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7316FF">
      <w:pPr>
        <w:spacing w:line="360" w:lineRule="auto"/>
        <w:jc w:val="center"/>
        <w:outlineLvl w:val="0"/>
        <w:rPr>
          <w:b/>
          <w:sz w:val="36"/>
          <w:szCs w:val="36"/>
        </w:rPr>
      </w:pPr>
      <w:r>
        <w:rPr>
          <w:b/>
          <w:sz w:val="36"/>
          <w:szCs w:val="36"/>
        </w:rPr>
        <w:t>采购需求</w:t>
      </w:r>
    </w:p>
    <w:p w14:paraId="1B45FD8B">
      <w:pPr>
        <w:pStyle w:val="5"/>
        <w:numPr>
          <w:ilvl w:val="0"/>
          <w:numId w:val="1"/>
        </w:numPr>
        <w:spacing w:line="360" w:lineRule="auto"/>
        <w:ind w:left="420" w:leftChars="200" w:firstLine="0" w:firstLineChars="0"/>
        <w:contextualSpacing/>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采购标的</w:t>
      </w:r>
    </w:p>
    <w:tbl>
      <w:tblPr>
        <w:tblStyle w:val="3"/>
        <w:tblW w:w="83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851"/>
        <w:gridCol w:w="2268"/>
        <w:gridCol w:w="3118"/>
        <w:gridCol w:w="1372"/>
      </w:tblGrid>
      <w:tr w14:paraId="567DE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0" w:type="dxa"/>
            <w:vAlign w:val="center"/>
          </w:tcPr>
          <w:p w14:paraId="671C8D38">
            <w:pPr>
              <w:jc w:val="center"/>
              <w:rPr>
                <w:rFonts w:ascii="宋体" w:hAnsi="宋体"/>
                <w:bCs/>
                <w:sz w:val="24"/>
              </w:rPr>
            </w:pPr>
            <w:r>
              <w:rPr>
                <w:rFonts w:hint="eastAsia" w:ascii="宋体" w:hAnsi="宋体"/>
                <w:bCs/>
                <w:sz w:val="24"/>
              </w:rPr>
              <w:t>包号</w:t>
            </w:r>
          </w:p>
        </w:tc>
        <w:tc>
          <w:tcPr>
            <w:tcW w:w="851" w:type="dxa"/>
            <w:vAlign w:val="center"/>
          </w:tcPr>
          <w:p w14:paraId="4D62815F">
            <w:pPr>
              <w:jc w:val="center"/>
              <w:rPr>
                <w:rFonts w:ascii="宋体" w:hAnsi="宋体"/>
                <w:bCs/>
                <w:sz w:val="24"/>
              </w:rPr>
            </w:pPr>
            <w:r>
              <w:rPr>
                <w:rFonts w:hint="eastAsia" w:ascii="宋体" w:hAnsi="宋体"/>
                <w:bCs/>
                <w:sz w:val="24"/>
              </w:rPr>
              <w:t>序号</w:t>
            </w:r>
          </w:p>
        </w:tc>
        <w:tc>
          <w:tcPr>
            <w:tcW w:w="2268" w:type="dxa"/>
            <w:vAlign w:val="center"/>
          </w:tcPr>
          <w:p w14:paraId="570A0628">
            <w:pPr>
              <w:jc w:val="center"/>
              <w:rPr>
                <w:rFonts w:ascii="宋体" w:hAnsi="宋体"/>
                <w:bCs/>
                <w:sz w:val="24"/>
              </w:rPr>
            </w:pPr>
            <w:r>
              <w:rPr>
                <w:rFonts w:hint="eastAsia" w:ascii="宋体" w:hAnsi="宋体"/>
                <w:bCs/>
                <w:sz w:val="24"/>
                <w:lang w:val="en-US" w:eastAsia="zh-CN"/>
              </w:rPr>
              <w:t>维保</w:t>
            </w:r>
            <w:r>
              <w:rPr>
                <w:rFonts w:hint="eastAsia" w:ascii="宋体" w:hAnsi="宋体"/>
                <w:bCs/>
                <w:sz w:val="24"/>
              </w:rPr>
              <w:t>设备名称</w:t>
            </w:r>
          </w:p>
        </w:tc>
        <w:tc>
          <w:tcPr>
            <w:tcW w:w="3118" w:type="dxa"/>
            <w:vAlign w:val="center"/>
          </w:tcPr>
          <w:p w14:paraId="369B14E8">
            <w:pPr>
              <w:jc w:val="center"/>
              <w:rPr>
                <w:rFonts w:ascii="宋体" w:hAnsi="宋体"/>
                <w:bCs/>
                <w:sz w:val="24"/>
              </w:rPr>
            </w:pPr>
            <w:r>
              <w:rPr>
                <w:rFonts w:hint="eastAsia" w:ascii="宋体" w:hAnsi="宋体"/>
                <w:bCs/>
                <w:sz w:val="24"/>
              </w:rPr>
              <w:t>设备型号</w:t>
            </w:r>
          </w:p>
        </w:tc>
        <w:tc>
          <w:tcPr>
            <w:tcW w:w="1372" w:type="dxa"/>
            <w:vAlign w:val="center"/>
          </w:tcPr>
          <w:p w14:paraId="767DE317">
            <w:pPr>
              <w:jc w:val="center"/>
              <w:rPr>
                <w:rFonts w:ascii="宋体" w:hAnsi="宋体"/>
                <w:bCs/>
                <w:sz w:val="24"/>
              </w:rPr>
            </w:pPr>
            <w:r>
              <w:rPr>
                <w:rFonts w:hint="eastAsia" w:ascii="宋体" w:hAnsi="宋体"/>
                <w:bCs/>
                <w:sz w:val="24"/>
              </w:rPr>
              <w:t>数量（套）</w:t>
            </w:r>
          </w:p>
        </w:tc>
      </w:tr>
      <w:tr w14:paraId="7803D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0" w:type="dxa"/>
            <w:vMerge w:val="restart"/>
            <w:vAlign w:val="center"/>
          </w:tcPr>
          <w:p w14:paraId="38505ADE">
            <w:pPr>
              <w:jc w:val="center"/>
              <w:rPr>
                <w:rFonts w:ascii="宋体" w:hAnsi="宋体"/>
                <w:bCs/>
                <w:sz w:val="24"/>
              </w:rPr>
            </w:pPr>
            <w:r>
              <w:rPr>
                <w:rFonts w:hint="eastAsia" w:ascii="宋体" w:hAnsi="宋体"/>
                <w:bCs/>
                <w:sz w:val="24"/>
              </w:rPr>
              <w:t>02</w:t>
            </w:r>
          </w:p>
        </w:tc>
        <w:tc>
          <w:tcPr>
            <w:tcW w:w="851" w:type="dxa"/>
            <w:vAlign w:val="center"/>
          </w:tcPr>
          <w:p w14:paraId="7DBAD0B5">
            <w:pPr>
              <w:jc w:val="center"/>
              <w:rPr>
                <w:rFonts w:ascii="宋体" w:hAnsi="宋体"/>
                <w:bCs/>
                <w:sz w:val="24"/>
              </w:rPr>
            </w:pPr>
            <w:r>
              <w:rPr>
                <w:rFonts w:hint="eastAsia" w:ascii="宋体" w:hAnsi="宋体"/>
                <w:bCs/>
                <w:sz w:val="24"/>
              </w:rPr>
              <w:t>1</w:t>
            </w:r>
          </w:p>
        </w:tc>
        <w:tc>
          <w:tcPr>
            <w:tcW w:w="2268" w:type="dxa"/>
            <w:vAlign w:val="center"/>
          </w:tcPr>
          <w:p w14:paraId="02E5BCB3">
            <w:pPr>
              <w:jc w:val="center"/>
              <w:rPr>
                <w:rFonts w:ascii="宋体" w:hAnsi="宋体"/>
                <w:bCs/>
                <w:sz w:val="24"/>
              </w:rPr>
            </w:pPr>
            <w:r>
              <w:rPr>
                <w:rFonts w:hint="eastAsia" w:ascii="宋体" w:hAnsi="宋体"/>
                <w:bCs/>
                <w:sz w:val="24"/>
              </w:rPr>
              <w:t>DSA维保</w:t>
            </w:r>
          </w:p>
        </w:tc>
        <w:tc>
          <w:tcPr>
            <w:tcW w:w="3118" w:type="dxa"/>
            <w:vAlign w:val="center"/>
          </w:tcPr>
          <w:p w14:paraId="4284C5C4">
            <w:pPr>
              <w:jc w:val="center"/>
              <w:rPr>
                <w:rFonts w:ascii="宋体" w:hAnsi="宋体"/>
                <w:bCs/>
                <w:sz w:val="24"/>
              </w:rPr>
            </w:pPr>
            <w:r>
              <w:rPr>
                <w:rFonts w:hint="eastAsia" w:ascii="宋体" w:hAnsi="宋体"/>
                <w:bCs/>
                <w:sz w:val="24"/>
              </w:rPr>
              <w:t>Allura Xper FD20 Biplane</w:t>
            </w:r>
          </w:p>
        </w:tc>
        <w:tc>
          <w:tcPr>
            <w:tcW w:w="1372" w:type="dxa"/>
            <w:vAlign w:val="center"/>
          </w:tcPr>
          <w:p w14:paraId="7AA3C685">
            <w:pPr>
              <w:jc w:val="center"/>
              <w:rPr>
                <w:rFonts w:ascii="宋体" w:hAnsi="宋体"/>
                <w:bCs/>
                <w:sz w:val="24"/>
              </w:rPr>
            </w:pPr>
            <w:r>
              <w:rPr>
                <w:rFonts w:hint="eastAsia" w:ascii="宋体" w:hAnsi="宋体"/>
                <w:bCs/>
                <w:sz w:val="24"/>
              </w:rPr>
              <w:t>1</w:t>
            </w:r>
          </w:p>
        </w:tc>
      </w:tr>
      <w:tr w14:paraId="26A83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0" w:type="dxa"/>
            <w:vMerge w:val="continue"/>
            <w:vAlign w:val="center"/>
          </w:tcPr>
          <w:p w14:paraId="46525619">
            <w:pPr>
              <w:jc w:val="center"/>
              <w:rPr>
                <w:rFonts w:ascii="宋体" w:hAnsi="宋体"/>
                <w:bCs/>
                <w:sz w:val="24"/>
              </w:rPr>
            </w:pPr>
          </w:p>
        </w:tc>
        <w:tc>
          <w:tcPr>
            <w:tcW w:w="851" w:type="dxa"/>
            <w:vAlign w:val="center"/>
          </w:tcPr>
          <w:p w14:paraId="5FBDC889">
            <w:pPr>
              <w:jc w:val="center"/>
              <w:rPr>
                <w:rFonts w:ascii="宋体" w:hAnsi="宋体"/>
                <w:bCs/>
                <w:sz w:val="24"/>
              </w:rPr>
            </w:pPr>
            <w:r>
              <w:rPr>
                <w:rFonts w:hint="eastAsia" w:ascii="宋体" w:hAnsi="宋体"/>
                <w:bCs/>
                <w:sz w:val="24"/>
              </w:rPr>
              <w:t>2</w:t>
            </w:r>
          </w:p>
        </w:tc>
        <w:tc>
          <w:tcPr>
            <w:tcW w:w="2268" w:type="dxa"/>
            <w:vAlign w:val="center"/>
          </w:tcPr>
          <w:p w14:paraId="0EC3063D">
            <w:pPr>
              <w:jc w:val="center"/>
              <w:rPr>
                <w:rFonts w:ascii="宋体" w:hAnsi="宋体"/>
                <w:bCs/>
                <w:sz w:val="24"/>
              </w:rPr>
            </w:pPr>
            <w:r>
              <w:rPr>
                <w:rFonts w:hint="eastAsia" w:ascii="宋体" w:hAnsi="宋体"/>
                <w:bCs/>
                <w:sz w:val="24"/>
              </w:rPr>
              <w:t>DSA维保</w:t>
            </w:r>
          </w:p>
        </w:tc>
        <w:tc>
          <w:tcPr>
            <w:tcW w:w="3118" w:type="dxa"/>
            <w:vAlign w:val="center"/>
          </w:tcPr>
          <w:p w14:paraId="6AD31D29">
            <w:pPr>
              <w:jc w:val="center"/>
              <w:rPr>
                <w:rFonts w:ascii="宋体" w:hAnsi="宋体"/>
                <w:bCs/>
                <w:sz w:val="24"/>
              </w:rPr>
            </w:pPr>
            <w:r>
              <w:rPr>
                <w:rFonts w:hint="eastAsia" w:ascii="宋体" w:hAnsi="宋体"/>
                <w:bCs/>
                <w:sz w:val="24"/>
              </w:rPr>
              <w:t>UNIQ FD20</w:t>
            </w:r>
          </w:p>
        </w:tc>
        <w:tc>
          <w:tcPr>
            <w:tcW w:w="1372" w:type="dxa"/>
            <w:vAlign w:val="center"/>
          </w:tcPr>
          <w:p w14:paraId="4012A747">
            <w:pPr>
              <w:jc w:val="center"/>
              <w:rPr>
                <w:rFonts w:ascii="宋体" w:hAnsi="宋体"/>
                <w:bCs/>
                <w:sz w:val="24"/>
              </w:rPr>
            </w:pPr>
            <w:r>
              <w:rPr>
                <w:rFonts w:hint="eastAsia" w:ascii="宋体" w:hAnsi="宋体"/>
                <w:bCs/>
                <w:sz w:val="24"/>
              </w:rPr>
              <w:t>1</w:t>
            </w:r>
          </w:p>
        </w:tc>
      </w:tr>
      <w:tr w14:paraId="3E1FB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0" w:type="dxa"/>
            <w:vMerge w:val="continue"/>
            <w:vAlign w:val="center"/>
          </w:tcPr>
          <w:p w14:paraId="1DA70F74">
            <w:pPr>
              <w:jc w:val="center"/>
              <w:rPr>
                <w:rFonts w:ascii="宋体" w:hAnsi="宋体"/>
                <w:bCs/>
                <w:sz w:val="24"/>
              </w:rPr>
            </w:pPr>
          </w:p>
        </w:tc>
        <w:tc>
          <w:tcPr>
            <w:tcW w:w="851" w:type="dxa"/>
            <w:vAlign w:val="center"/>
          </w:tcPr>
          <w:p w14:paraId="2D08A7A3">
            <w:pPr>
              <w:jc w:val="center"/>
              <w:rPr>
                <w:rFonts w:ascii="宋体" w:hAnsi="宋体"/>
                <w:bCs/>
                <w:sz w:val="24"/>
              </w:rPr>
            </w:pPr>
            <w:r>
              <w:rPr>
                <w:rFonts w:hint="eastAsia" w:ascii="宋体" w:hAnsi="宋体"/>
                <w:bCs/>
                <w:sz w:val="24"/>
              </w:rPr>
              <w:t>3</w:t>
            </w:r>
          </w:p>
        </w:tc>
        <w:tc>
          <w:tcPr>
            <w:tcW w:w="2268" w:type="dxa"/>
            <w:vAlign w:val="center"/>
          </w:tcPr>
          <w:p w14:paraId="4013F188">
            <w:pPr>
              <w:jc w:val="center"/>
              <w:rPr>
                <w:rFonts w:ascii="宋体" w:hAnsi="宋体"/>
                <w:bCs/>
                <w:sz w:val="24"/>
              </w:rPr>
            </w:pPr>
            <w:r>
              <w:rPr>
                <w:rFonts w:hint="eastAsia" w:ascii="宋体" w:hAnsi="宋体"/>
                <w:bCs/>
                <w:sz w:val="24"/>
              </w:rPr>
              <w:t>MRI维保</w:t>
            </w:r>
          </w:p>
        </w:tc>
        <w:tc>
          <w:tcPr>
            <w:tcW w:w="3118" w:type="dxa"/>
            <w:vAlign w:val="center"/>
          </w:tcPr>
          <w:p w14:paraId="5825B5A9">
            <w:pPr>
              <w:jc w:val="center"/>
              <w:rPr>
                <w:rFonts w:ascii="宋体" w:hAnsi="宋体"/>
                <w:bCs/>
                <w:sz w:val="24"/>
              </w:rPr>
            </w:pPr>
            <w:r>
              <w:rPr>
                <w:rFonts w:hint="eastAsia" w:ascii="宋体" w:hAnsi="宋体"/>
                <w:bCs/>
                <w:sz w:val="24"/>
              </w:rPr>
              <w:t>Ingenia 3.0T</w:t>
            </w:r>
          </w:p>
        </w:tc>
        <w:tc>
          <w:tcPr>
            <w:tcW w:w="1372" w:type="dxa"/>
            <w:vAlign w:val="center"/>
          </w:tcPr>
          <w:p w14:paraId="39B70AA2">
            <w:pPr>
              <w:jc w:val="center"/>
              <w:rPr>
                <w:rFonts w:ascii="宋体" w:hAnsi="宋体"/>
                <w:bCs/>
                <w:sz w:val="24"/>
              </w:rPr>
            </w:pPr>
            <w:r>
              <w:rPr>
                <w:rFonts w:hint="eastAsia" w:ascii="宋体" w:hAnsi="宋体"/>
                <w:bCs/>
                <w:sz w:val="24"/>
              </w:rPr>
              <w:t>1</w:t>
            </w:r>
          </w:p>
        </w:tc>
      </w:tr>
      <w:tr w14:paraId="40381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0" w:type="dxa"/>
            <w:vMerge w:val="continue"/>
            <w:vAlign w:val="center"/>
          </w:tcPr>
          <w:p w14:paraId="615AAA8B">
            <w:pPr>
              <w:jc w:val="center"/>
              <w:rPr>
                <w:rFonts w:ascii="宋体" w:hAnsi="宋体"/>
                <w:bCs/>
                <w:sz w:val="24"/>
              </w:rPr>
            </w:pPr>
          </w:p>
        </w:tc>
        <w:tc>
          <w:tcPr>
            <w:tcW w:w="851" w:type="dxa"/>
            <w:vAlign w:val="center"/>
          </w:tcPr>
          <w:p w14:paraId="6E4D7F9E">
            <w:pPr>
              <w:jc w:val="center"/>
              <w:rPr>
                <w:rFonts w:ascii="宋体" w:hAnsi="宋体"/>
                <w:bCs/>
                <w:sz w:val="24"/>
              </w:rPr>
            </w:pPr>
            <w:r>
              <w:rPr>
                <w:rFonts w:hint="eastAsia" w:ascii="宋体" w:hAnsi="宋体"/>
                <w:bCs/>
                <w:sz w:val="24"/>
              </w:rPr>
              <w:t>4</w:t>
            </w:r>
          </w:p>
        </w:tc>
        <w:tc>
          <w:tcPr>
            <w:tcW w:w="2268" w:type="dxa"/>
            <w:vAlign w:val="center"/>
          </w:tcPr>
          <w:p w14:paraId="2E25CA88">
            <w:pPr>
              <w:jc w:val="center"/>
              <w:rPr>
                <w:rFonts w:ascii="宋体" w:hAnsi="宋体"/>
                <w:bCs/>
                <w:sz w:val="24"/>
              </w:rPr>
            </w:pPr>
            <w:r>
              <w:rPr>
                <w:rFonts w:hint="eastAsia" w:ascii="宋体" w:hAnsi="宋体"/>
                <w:bCs/>
                <w:sz w:val="24"/>
              </w:rPr>
              <w:t>MRI维保</w:t>
            </w:r>
          </w:p>
        </w:tc>
        <w:tc>
          <w:tcPr>
            <w:tcW w:w="3118" w:type="dxa"/>
            <w:vAlign w:val="center"/>
          </w:tcPr>
          <w:p w14:paraId="7AD7A03D">
            <w:pPr>
              <w:jc w:val="center"/>
              <w:rPr>
                <w:rFonts w:ascii="宋体" w:hAnsi="宋体"/>
                <w:bCs/>
                <w:sz w:val="24"/>
              </w:rPr>
            </w:pPr>
            <w:r>
              <w:rPr>
                <w:rFonts w:hint="eastAsia" w:ascii="宋体" w:hAnsi="宋体"/>
                <w:bCs/>
                <w:sz w:val="24"/>
              </w:rPr>
              <w:t>Ingenia 1.5T</w:t>
            </w:r>
          </w:p>
        </w:tc>
        <w:tc>
          <w:tcPr>
            <w:tcW w:w="1372" w:type="dxa"/>
            <w:vAlign w:val="center"/>
          </w:tcPr>
          <w:p w14:paraId="3D2B4663">
            <w:pPr>
              <w:jc w:val="center"/>
              <w:rPr>
                <w:rFonts w:ascii="宋体" w:hAnsi="宋体"/>
                <w:bCs/>
                <w:sz w:val="24"/>
              </w:rPr>
            </w:pPr>
            <w:r>
              <w:rPr>
                <w:rFonts w:hint="eastAsia" w:ascii="宋体" w:hAnsi="宋体"/>
                <w:bCs/>
                <w:sz w:val="24"/>
              </w:rPr>
              <w:t>1</w:t>
            </w:r>
          </w:p>
        </w:tc>
      </w:tr>
      <w:tr w14:paraId="2CE63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0" w:type="dxa"/>
            <w:vMerge w:val="continue"/>
            <w:vAlign w:val="center"/>
          </w:tcPr>
          <w:p w14:paraId="421BCDAF">
            <w:pPr>
              <w:jc w:val="center"/>
              <w:rPr>
                <w:rFonts w:ascii="宋体" w:hAnsi="宋体"/>
                <w:bCs/>
                <w:sz w:val="24"/>
              </w:rPr>
            </w:pPr>
          </w:p>
        </w:tc>
        <w:tc>
          <w:tcPr>
            <w:tcW w:w="851" w:type="dxa"/>
            <w:vAlign w:val="center"/>
          </w:tcPr>
          <w:p w14:paraId="3FAE82AC">
            <w:pPr>
              <w:jc w:val="center"/>
              <w:rPr>
                <w:rFonts w:ascii="宋体" w:hAnsi="宋体"/>
                <w:bCs/>
                <w:sz w:val="24"/>
              </w:rPr>
            </w:pPr>
            <w:r>
              <w:rPr>
                <w:rFonts w:hint="eastAsia" w:ascii="宋体" w:hAnsi="宋体"/>
                <w:bCs/>
                <w:sz w:val="24"/>
              </w:rPr>
              <w:t>5</w:t>
            </w:r>
          </w:p>
        </w:tc>
        <w:tc>
          <w:tcPr>
            <w:tcW w:w="2268" w:type="dxa"/>
            <w:vAlign w:val="center"/>
          </w:tcPr>
          <w:p w14:paraId="24D7E0FE">
            <w:pPr>
              <w:jc w:val="center"/>
              <w:rPr>
                <w:rFonts w:ascii="宋体" w:hAnsi="宋体"/>
                <w:bCs/>
                <w:sz w:val="24"/>
              </w:rPr>
            </w:pPr>
            <w:r>
              <w:rPr>
                <w:rFonts w:hint="eastAsia" w:ascii="宋体" w:hAnsi="宋体"/>
                <w:bCs/>
                <w:sz w:val="24"/>
              </w:rPr>
              <w:t>大孔径CT维保</w:t>
            </w:r>
          </w:p>
        </w:tc>
        <w:tc>
          <w:tcPr>
            <w:tcW w:w="3118" w:type="dxa"/>
            <w:vAlign w:val="center"/>
          </w:tcPr>
          <w:p w14:paraId="08DF4851">
            <w:pPr>
              <w:jc w:val="center"/>
              <w:rPr>
                <w:rFonts w:ascii="宋体" w:hAnsi="宋体"/>
                <w:bCs/>
                <w:sz w:val="24"/>
              </w:rPr>
            </w:pPr>
            <w:r>
              <w:rPr>
                <w:rFonts w:hint="eastAsia" w:ascii="宋体" w:hAnsi="宋体"/>
                <w:bCs/>
                <w:sz w:val="24"/>
              </w:rPr>
              <w:t>Brilliance CT Big Bore</w:t>
            </w:r>
          </w:p>
        </w:tc>
        <w:tc>
          <w:tcPr>
            <w:tcW w:w="1372" w:type="dxa"/>
            <w:vAlign w:val="center"/>
          </w:tcPr>
          <w:p w14:paraId="78E60F4F">
            <w:pPr>
              <w:jc w:val="center"/>
              <w:rPr>
                <w:rFonts w:ascii="宋体" w:hAnsi="宋体"/>
                <w:bCs/>
                <w:sz w:val="24"/>
              </w:rPr>
            </w:pPr>
            <w:r>
              <w:rPr>
                <w:rFonts w:hint="eastAsia" w:ascii="宋体" w:hAnsi="宋体"/>
                <w:bCs/>
                <w:sz w:val="24"/>
              </w:rPr>
              <w:t>1</w:t>
            </w:r>
          </w:p>
        </w:tc>
      </w:tr>
      <w:tr w14:paraId="2FCC5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0" w:type="dxa"/>
            <w:vMerge w:val="continue"/>
            <w:vAlign w:val="center"/>
          </w:tcPr>
          <w:p w14:paraId="172FD161">
            <w:pPr>
              <w:jc w:val="center"/>
              <w:rPr>
                <w:rFonts w:ascii="宋体" w:hAnsi="宋体"/>
                <w:bCs/>
                <w:sz w:val="24"/>
              </w:rPr>
            </w:pPr>
          </w:p>
        </w:tc>
        <w:tc>
          <w:tcPr>
            <w:tcW w:w="851" w:type="dxa"/>
            <w:vAlign w:val="center"/>
          </w:tcPr>
          <w:p w14:paraId="20802A64">
            <w:pPr>
              <w:jc w:val="center"/>
              <w:rPr>
                <w:rFonts w:ascii="宋体" w:hAnsi="宋体"/>
                <w:bCs/>
                <w:sz w:val="24"/>
              </w:rPr>
            </w:pPr>
            <w:r>
              <w:rPr>
                <w:rFonts w:hint="eastAsia" w:ascii="宋体" w:hAnsi="宋体"/>
                <w:bCs/>
                <w:sz w:val="24"/>
              </w:rPr>
              <w:t>6</w:t>
            </w:r>
          </w:p>
        </w:tc>
        <w:tc>
          <w:tcPr>
            <w:tcW w:w="2268" w:type="dxa"/>
            <w:vAlign w:val="center"/>
          </w:tcPr>
          <w:p w14:paraId="6FE701FC">
            <w:pPr>
              <w:jc w:val="center"/>
              <w:rPr>
                <w:rFonts w:ascii="宋体" w:hAnsi="宋体"/>
                <w:bCs/>
                <w:sz w:val="24"/>
              </w:rPr>
            </w:pPr>
            <w:r>
              <w:rPr>
                <w:rFonts w:hint="eastAsia" w:ascii="宋体" w:hAnsi="宋体"/>
                <w:bCs/>
                <w:sz w:val="24"/>
              </w:rPr>
              <w:t>移动C形臂X线机维保</w:t>
            </w:r>
          </w:p>
        </w:tc>
        <w:tc>
          <w:tcPr>
            <w:tcW w:w="3118" w:type="dxa"/>
            <w:vAlign w:val="center"/>
          </w:tcPr>
          <w:p w14:paraId="0C442194">
            <w:pPr>
              <w:jc w:val="center"/>
              <w:rPr>
                <w:rFonts w:ascii="宋体" w:hAnsi="宋体"/>
                <w:bCs/>
                <w:sz w:val="24"/>
              </w:rPr>
            </w:pPr>
            <w:r>
              <w:rPr>
                <w:rFonts w:hint="eastAsia" w:ascii="宋体" w:hAnsi="宋体"/>
                <w:bCs/>
                <w:sz w:val="24"/>
              </w:rPr>
              <w:t>Veradius</w:t>
            </w:r>
          </w:p>
        </w:tc>
        <w:tc>
          <w:tcPr>
            <w:tcW w:w="1372" w:type="dxa"/>
            <w:vAlign w:val="center"/>
          </w:tcPr>
          <w:p w14:paraId="2CC8D627">
            <w:pPr>
              <w:jc w:val="center"/>
              <w:rPr>
                <w:rFonts w:ascii="宋体" w:hAnsi="宋体"/>
                <w:bCs/>
                <w:sz w:val="24"/>
              </w:rPr>
            </w:pPr>
            <w:r>
              <w:rPr>
                <w:rFonts w:hint="eastAsia" w:ascii="宋体" w:hAnsi="宋体"/>
                <w:bCs/>
                <w:sz w:val="24"/>
              </w:rPr>
              <w:t>1</w:t>
            </w:r>
          </w:p>
        </w:tc>
      </w:tr>
      <w:tr w14:paraId="65685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0" w:type="dxa"/>
            <w:vMerge w:val="continue"/>
            <w:vAlign w:val="center"/>
          </w:tcPr>
          <w:p w14:paraId="4C2C255D">
            <w:pPr>
              <w:jc w:val="center"/>
              <w:rPr>
                <w:rFonts w:ascii="宋体" w:hAnsi="宋体"/>
                <w:bCs/>
                <w:sz w:val="24"/>
              </w:rPr>
            </w:pPr>
          </w:p>
        </w:tc>
        <w:tc>
          <w:tcPr>
            <w:tcW w:w="851" w:type="dxa"/>
            <w:vAlign w:val="center"/>
          </w:tcPr>
          <w:p w14:paraId="54A22CE9">
            <w:pPr>
              <w:jc w:val="center"/>
              <w:rPr>
                <w:rFonts w:ascii="宋体" w:hAnsi="宋体"/>
                <w:bCs/>
                <w:sz w:val="24"/>
              </w:rPr>
            </w:pPr>
            <w:r>
              <w:rPr>
                <w:rFonts w:hint="eastAsia" w:ascii="宋体" w:hAnsi="宋体"/>
                <w:bCs/>
                <w:sz w:val="24"/>
              </w:rPr>
              <w:t>7</w:t>
            </w:r>
          </w:p>
        </w:tc>
        <w:tc>
          <w:tcPr>
            <w:tcW w:w="2268" w:type="dxa"/>
            <w:vAlign w:val="center"/>
          </w:tcPr>
          <w:p w14:paraId="6CA1D576">
            <w:pPr>
              <w:jc w:val="center"/>
              <w:rPr>
                <w:rFonts w:ascii="宋体" w:hAnsi="宋体"/>
                <w:bCs/>
                <w:sz w:val="24"/>
              </w:rPr>
            </w:pPr>
            <w:r>
              <w:rPr>
                <w:rFonts w:hint="eastAsia" w:ascii="宋体" w:hAnsi="宋体"/>
                <w:sz w:val="24"/>
              </w:rPr>
              <w:t>MRI移机</w:t>
            </w:r>
          </w:p>
        </w:tc>
        <w:tc>
          <w:tcPr>
            <w:tcW w:w="3118" w:type="dxa"/>
            <w:shd w:val="clear" w:color="auto" w:fill="auto"/>
            <w:vAlign w:val="center"/>
          </w:tcPr>
          <w:p w14:paraId="17870283">
            <w:pPr>
              <w:jc w:val="center"/>
              <w:rPr>
                <w:rFonts w:ascii="宋体" w:hAnsi="宋体"/>
                <w:bCs/>
                <w:sz w:val="24"/>
              </w:rPr>
            </w:pPr>
            <w:r>
              <w:rPr>
                <w:rFonts w:hint="eastAsia" w:ascii="宋体" w:hAnsi="宋体"/>
                <w:bCs/>
                <w:sz w:val="24"/>
              </w:rPr>
              <w:t>Ingenia 1.5T</w:t>
            </w:r>
          </w:p>
        </w:tc>
        <w:tc>
          <w:tcPr>
            <w:tcW w:w="1372" w:type="dxa"/>
            <w:shd w:val="clear" w:color="auto" w:fill="auto"/>
            <w:vAlign w:val="center"/>
          </w:tcPr>
          <w:p w14:paraId="31780BC5">
            <w:pPr>
              <w:jc w:val="center"/>
              <w:rPr>
                <w:rFonts w:ascii="宋体" w:hAnsi="宋体"/>
                <w:bCs/>
                <w:sz w:val="24"/>
              </w:rPr>
            </w:pPr>
            <w:r>
              <w:rPr>
                <w:rFonts w:ascii="宋体" w:hAnsi="宋体"/>
                <w:bCs/>
                <w:sz w:val="24"/>
              </w:rPr>
              <w:t>1</w:t>
            </w:r>
          </w:p>
        </w:tc>
      </w:tr>
    </w:tbl>
    <w:p w14:paraId="6ECCBB08">
      <w:pPr>
        <w:pStyle w:val="5"/>
        <w:spacing w:line="360" w:lineRule="auto"/>
        <w:ind w:firstLine="480"/>
        <w:contextualSpacing/>
        <w:jc w:val="left"/>
        <w:rPr>
          <w:rFonts w:ascii="宋体" w:hAnsi="宋体" w:cs="宋体"/>
          <w:bCs/>
          <w:sz w:val="24"/>
        </w:rPr>
      </w:pPr>
    </w:p>
    <w:p w14:paraId="3F300603">
      <w:pPr>
        <w:pStyle w:val="5"/>
        <w:spacing w:line="360" w:lineRule="auto"/>
        <w:ind w:firstLine="482"/>
        <w:contextualSpacing/>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二、</w:t>
      </w:r>
      <w:r>
        <w:rPr>
          <w:rFonts w:asciiTheme="minorEastAsia" w:hAnsiTheme="minorEastAsia" w:eastAsiaTheme="minorEastAsia"/>
          <w:b/>
          <w:sz w:val="24"/>
          <w:szCs w:val="24"/>
        </w:rPr>
        <w:t>商务要求</w:t>
      </w:r>
    </w:p>
    <w:p w14:paraId="30636E58">
      <w:pPr>
        <w:spacing w:line="360" w:lineRule="auto"/>
        <w:ind w:firstLine="480" w:firstLineChars="200"/>
        <w:contextualSpacing/>
        <w:jc w:val="left"/>
        <w:rPr>
          <w:rFonts w:ascii="宋体" w:hAnsi="宋体" w:cs="宋体"/>
          <w:bCs/>
          <w:sz w:val="24"/>
        </w:rPr>
      </w:pPr>
      <w:r>
        <w:rPr>
          <w:rFonts w:hint="eastAsia" w:ascii="宋体" w:hAnsi="宋体" w:cs="宋体"/>
          <w:bCs/>
          <w:sz w:val="24"/>
        </w:rPr>
        <w:t>1.服务时间和地点：</w:t>
      </w:r>
    </w:p>
    <w:p w14:paraId="718CE3DB">
      <w:pPr>
        <w:widowControl/>
        <w:autoSpaceDE w:val="0"/>
        <w:autoSpaceDN w:val="0"/>
        <w:adjustRightInd w:val="0"/>
        <w:snapToGrid w:val="0"/>
        <w:spacing w:line="360" w:lineRule="auto"/>
        <w:ind w:firstLine="480" w:firstLineChars="200"/>
        <w:jc w:val="left"/>
        <w:textAlignment w:val="baseline"/>
        <w:rPr>
          <w:rFonts w:ascii="宋体" w:hAnsi="宋体" w:cs="宋体"/>
          <w:sz w:val="24"/>
        </w:rPr>
      </w:pPr>
      <w:r>
        <w:rPr>
          <w:rFonts w:hint="eastAsia" w:ascii="宋体" w:hAnsi="宋体" w:cs="宋体"/>
          <w:sz w:val="24"/>
        </w:rPr>
        <w:t>1.1</w:t>
      </w:r>
      <w:r>
        <w:rPr>
          <w:rFonts w:ascii="宋体" w:hAnsi="宋体" w:cs="宋体"/>
          <w:sz w:val="24"/>
        </w:rPr>
        <w:t>服务期限：</w:t>
      </w:r>
      <w:r>
        <w:rPr>
          <w:rFonts w:hint="eastAsia" w:ascii="宋体" w:hAnsi="宋体" w:cs="宋体"/>
          <w:sz w:val="24"/>
        </w:rPr>
        <w:t>1年</w:t>
      </w:r>
    </w:p>
    <w:p w14:paraId="450E4A1C">
      <w:pPr>
        <w:widowControl/>
        <w:autoSpaceDE w:val="0"/>
        <w:autoSpaceDN w:val="0"/>
        <w:adjustRightInd w:val="0"/>
        <w:snapToGrid w:val="0"/>
        <w:spacing w:line="360" w:lineRule="auto"/>
        <w:ind w:firstLine="480" w:firstLineChars="200"/>
        <w:jc w:val="left"/>
        <w:textAlignment w:val="baseline"/>
        <w:rPr>
          <w:rFonts w:ascii="宋体" w:hAnsi="宋体" w:cs="宋体"/>
          <w:sz w:val="24"/>
        </w:rPr>
      </w:pPr>
      <w:r>
        <w:rPr>
          <w:rFonts w:hint="eastAsia" w:ascii="宋体" w:hAnsi="宋体" w:cs="宋体"/>
          <w:sz w:val="24"/>
        </w:rPr>
        <w:t>1.2</w:t>
      </w:r>
      <w:r>
        <w:rPr>
          <w:rFonts w:ascii="宋体" w:hAnsi="宋体" w:cs="宋体"/>
          <w:sz w:val="24"/>
        </w:rPr>
        <w:t>服务地点：</w:t>
      </w:r>
      <w:r>
        <w:rPr>
          <w:rFonts w:hint="eastAsia" w:ascii="宋体" w:hAnsi="宋体"/>
          <w:bCs/>
          <w:sz w:val="24"/>
        </w:rPr>
        <w:t>首都医科大学宣武医院</w:t>
      </w:r>
      <w:r>
        <w:rPr>
          <w:rFonts w:hint="eastAsia" w:ascii="宋体" w:hAnsi="宋体" w:cs="宋体"/>
          <w:bCs/>
          <w:sz w:val="24"/>
        </w:rPr>
        <w:t>指定地点</w:t>
      </w:r>
    </w:p>
    <w:p w14:paraId="503DF042">
      <w:pPr>
        <w:widowControl/>
        <w:autoSpaceDE w:val="0"/>
        <w:autoSpaceDN w:val="0"/>
        <w:adjustRightInd w:val="0"/>
        <w:snapToGrid w:val="0"/>
        <w:spacing w:line="360" w:lineRule="auto"/>
        <w:ind w:firstLine="480" w:firstLineChars="200"/>
        <w:jc w:val="left"/>
        <w:textAlignment w:val="baseline"/>
        <w:rPr>
          <w:rFonts w:asciiTheme="minorEastAsia" w:hAnsiTheme="minorEastAsia" w:eastAsiaTheme="minorEastAsia"/>
          <w:b/>
          <w:sz w:val="24"/>
        </w:rPr>
      </w:pPr>
      <w:r>
        <w:rPr>
          <w:rFonts w:hint="eastAsia" w:ascii="宋体" w:hAnsi="宋体" w:cs="宋体"/>
          <w:sz w:val="24"/>
        </w:rPr>
        <w:t>2.付款条件：详见第六章拟签订的合同文本</w:t>
      </w:r>
    </w:p>
    <w:p w14:paraId="7336F6E1">
      <w:pPr>
        <w:pStyle w:val="5"/>
        <w:spacing w:line="360" w:lineRule="auto"/>
        <w:ind w:firstLine="482"/>
        <w:contextualSpacing/>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三、</w:t>
      </w:r>
      <w:r>
        <w:rPr>
          <w:rFonts w:asciiTheme="minorEastAsia" w:hAnsiTheme="minorEastAsia" w:eastAsiaTheme="minorEastAsia"/>
          <w:b/>
          <w:sz w:val="24"/>
          <w:szCs w:val="24"/>
        </w:rPr>
        <w:t>技术要求</w:t>
      </w:r>
    </w:p>
    <w:p w14:paraId="1EAA0CF4">
      <w:pPr>
        <w:spacing w:line="360" w:lineRule="auto"/>
        <w:ind w:firstLine="482" w:firstLineChars="200"/>
        <w:jc w:val="left"/>
        <w:outlineLvl w:val="0"/>
        <w:rPr>
          <w:rFonts w:ascii="宋体" w:hAnsi="宋体" w:cs="宋体"/>
          <w:b/>
          <w:bCs/>
          <w:sz w:val="24"/>
        </w:rPr>
      </w:pPr>
      <w:bookmarkStart w:id="0" w:name="_Toc201867414"/>
      <w:r>
        <w:rPr>
          <w:rFonts w:hint="eastAsia" w:ascii="宋体" w:hAnsi="宋体" w:cs="宋体"/>
          <w:b/>
          <w:bCs/>
          <w:sz w:val="24"/>
        </w:rPr>
        <w:t>（一）基本要求</w:t>
      </w:r>
      <w:bookmarkEnd w:id="0"/>
    </w:p>
    <w:p w14:paraId="7CBF9FD0">
      <w:pPr>
        <w:spacing w:line="360" w:lineRule="auto"/>
        <w:ind w:firstLine="480" w:firstLineChars="200"/>
        <w:jc w:val="left"/>
        <w:rPr>
          <w:rFonts w:ascii="宋体" w:hAnsi="宋体" w:cs="宋体"/>
          <w:sz w:val="24"/>
        </w:rPr>
      </w:pPr>
      <w:r>
        <w:rPr>
          <w:rFonts w:ascii="宋体" w:hAnsi="宋体" w:cs="宋体"/>
          <w:sz w:val="24"/>
        </w:rPr>
        <w:t>1.采购标的需实现的功能或者目标</w:t>
      </w:r>
    </w:p>
    <w:p w14:paraId="5E62F116">
      <w:pPr>
        <w:spacing w:line="360" w:lineRule="auto"/>
        <w:ind w:firstLine="480" w:firstLineChars="200"/>
        <w:jc w:val="left"/>
        <w:rPr>
          <w:rFonts w:ascii="宋体" w:hAnsi="宋体" w:cs="宋体"/>
          <w:sz w:val="24"/>
        </w:rPr>
      </w:pPr>
      <w:r>
        <w:rPr>
          <w:rFonts w:ascii="宋体" w:hAnsi="宋体" w:cs="宋体"/>
          <w:sz w:val="24"/>
        </w:rPr>
        <w:t>本次招标是</w:t>
      </w:r>
      <w:r>
        <w:rPr>
          <w:rFonts w:hint="eastAsia" w:ascii="宋体" w:hAnsi="宋体" w:cs="宋体"/>
          <w:sz w:val="24"/>
        </w:rPr>
        <w:t>“MRI、DSA、回旋加速器及大孔径CT等维保服务购置项目”</w:t>
      </w:r>
      <w:r>
        <w:rPr>
          <w:rFonts w:ascii="宋体" w:hAnsi="宋体" w:cs="宋体"/>
          <w:sz w:val="24"/>
        </w:rPr>
        <w:t>，投标人应根据招标文件所提出的服务要求，以优良的服务和优惠的价格，充分显示自己的竞争实力。</w:t>
      </w:r>
    </w:p>
    <w:p w14:paraId="14C7C305">
      <w:pPr>
        <w:spacing w:line="360" w:lineRule="auto"/>
        <w:ind w:firstLine="480" w:firstLineChars="200"/>
        <w:jc w:val="left"/>
        <w:rPr>
          <w:rFonts w:ascii="宋体" w:hAnsi="宋体" w:cs="宋体"/>
          <w:sz w:val="24"/>
        </w:rPr>
      </w:pPr>
      <w:r>
        <w:rPr>
          <w:rFonts w:ascii="宋体" w:hAnsi="宋体" w:cs="宋体"/>
          <w:sz w:val="24"/>
        </w:rPr>
        <w:t>2.需执行的国家相关标准、行业标准、地方标准或者其他标准、规范</w:t>
      </w:r>
    </w:p>
    <w:p w14:paraId="4E914B1E">
      <w:pPr>
        <w:widowControl/>
        <w:autoSpaceDE w:val="0"/>
        <w:autoSpaceDN w:val="0"/>
        <w:adjustRightInd w:val="0"/>
        <w:snapToGrid w:val="0"/>
        <w:spacing w:line="360" w:lineRule="auto"/>
        <w:ind w:firstLine="480" w:firstLineChars="200"/>
        <w:jc w:val="left"/>
        <w:textAlignment w:val="baseline"/>
        <w:rPr>
          <w:rFonts w:ascii="宋体" w:hAnsi="宋体" w:cs="宋体"/>
          <w:sz w:val="24"/>
        </w:rPr>
      </w:pPr>
      <w:r>
        <w:rPr>
          <w:rFonts w:ascii="宋体" w:hAnsi="宋体" w:cs="宋体"/>
          <w:sz w:val="24"/>
        </w:rPr>
        <w:t>投标人所提供的服务应符合国家有关部门规定的相应技术法规及标准要求。</w:t>
      </w:r>
    </w:p>
    <w:p w14:paraId="36FB8F7F">
      <w:pPr>
        <w:spacing w:line="360" w:lineRule="auto"/>
        <w:ind w:firstLine="482" w:firstLineChars="200"/>
        <w:jc w:val="left"/>
        <w:outlineLvl w:val="0"/>
        <w:rPr>
          <w:rFonts w:ascii="宋体" w:hAnsi="宋体" w:cs="宋体"/>
          <w:b/>
          <w:bCs/>
          <w:sz w:val="24"/>
        </w:rPr>
      </w:pPr>
      <w:bookmarkStart w:id="1" w:name="_Toc5651"/>
      <w:bookmarkStart w:id="2" w:name="_Toc201867415"/>
      <w:r>
        <w:rPr>
          <w:rFonts w:hint="eastAsia" w:ascii="宋体" w:hAnsi="宋体" w:cs="宋体"/>
          <w:b/>
          <w:bCs/>
          <w:sz w:val="24"/>
        </w:rPr>
        <w:t>（二）服务内容及要求</w:t>
      </w:r>
      <w:bookmarkEnd w:id="1"/>
      <w:bookmarkEnd w:id="2"/>
    </w:p>
    <w:p w14:paraId="6BBCCD8E">
      <w:pPr>
        <w:widowControl/>
        <w:autoSpaceDE w:val="0"/>
        <w:autoSpaceDN w:val="0"/>
        <w:adjustRightInd w:val="0"/>
        <w:snapToGrid w:val="0"/>
        <w:spacing w:line="360" w:lineRule="auto"/>
        <w:ind w:firstLine="482" w:firstLineChars="200"/>
        <w:jc w:val="left"/>
        <w:textAlignment w:val="baseline"/>
        <w:rPr>
          <w:rFonts w:ascii="宋体" w:hAnsi="宋体" w:cs="宋体"/>
          <w:b/>
          <w:sz w:val="24"/>
        </w:rPr>
      </w:pPr>
      <w:r>
        <w:rPr>
          <w:rFonts w:hint="eastAsia" w:ascii="宋体" w:hAnsi="宋体" w:cs="宋体"/>
          <w:b/>
          <w:sz w:val="24"/>
        </w:rPr>
        <w:t>1.服务设备明细</w:t>
      </w:r>
    </w:p>
    <w:tbl>
      <w:tblPr>
        <w:tblStyle w:val="3"/>
        <w:tblW w:w="488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1"/>
        <w:gridCol w:w="1588"/>
        <w:gridCol w:w="3040"/>
        <w:gridCol w:w="1176"/>
        <w:gridCol w:w="1644"/>
      </w:tblGrid>
      <w:tr w14:paraId="465B3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9" w:type="pct"/>
            <w:shd w:val="clear" w:color="auto" w:fill="auto"/>
            <w:vAlign w:val="center"/>
          </w:tcPr>
          <w:p w14:paraId="4526B94C">
            <w:pPr>
              <w:contextualSpacing/>
              <w:jc w:val="center"/>
              <w:rPr>
                <w:rFonts w:hint="eastAsia" w:ascii="宋体" w:hAnsi="宋体"/>
                <w:b/>
                <w:kern w:val="0"/>
                <w:sz w:val="24"/>
              </w:rPr>
            </w:pPr>
            <w:r>
              <w:rPr>
                <w:rFonts w:hint="eastAsia" w:ascii="宋体" w:hAnsi="宋体"/>
                <w:b/>
                <w:kern w:val="0"/>
                <w:sz w:val="24"/>
              </w:rPr>
              <w:t>序号</w:t>
            </w:r>
          </w:p>
        </w:tc>
        <w:tc>
          <w:tcPr>
            <w:tcW w:w="953" w:type="pct"/>
            <w:shd w:val="clear" w:color="auto" w:fill="auto"/>
            <w:vAlign w:val="center"/>
          </w:tcPr>
          <w:p w14:paraId="799F640F">
            <w:pPr>
              <w:contextualSpacing/>
              <w:jc w:val="center"/>
              <w:rPr>
                <w:rFonts w:hint="eastAsia" w:ascii="宋体" w:hAnsi="宋体"/>
                <w:b/>
                <w:kern w:val="0"/>
                <w:sz w:val="24"/>
              </w:rPr>
            </w:pPr>
            <w:r>
              <w:rPr>
                <w:rFonts w:hint="eastAsia" w:ascii="宋体" w:hAnsi="宋体"/>
                <w:b/>
                <w:kern w:val="0"/>
                <w:sz w:val="24"/>
              </w:rPr>
              <w:t>服务名称</w:t>
            </w:r>
          </w:p>
        </w:tc>
        <w:tc>
          <w:tcPr>
            <w:tcW w:w="1825" w:type="pct"/>
            <w:shd w:val="clear" w:color="auto" w:fill="auto"/>
            <w:vAlign w:val="center"/>
          </w:tcPr>
          <w:p w14:paraId="72CE9047">
            <w:pPr>
              <w:contextualSpacing/>
              <w:jc w:val="center"/>
              <w:rPr>
                <w:rFonts w:ascii="宋体" w:hAnsi="宋体"/>
                <w:b/>
                <w:bCs/>
                <w:sz w:val="24"/>
              </w:rPr>
            </w:pPr>
            <w:r>
              <w:rPr>
                <w:rFonts w:hint="eastAsia" w:ascii="宋体" w:hAnsi="宋体"/>
                <w:b/>
                <w:kern w:val="0"/>
                <w:sz w:val="24"/>
              </w:rPr>
              <w:t>设备型号</w:t>
            </w:r>
          </w:p>
        </w:tc>
        <w:tc>
          <w:tcPr>
            <w:tcW w:w="706" w:type="pct"/>
            <w:shd w:val="clear" w:color="auto" w:fill="auto"/>
            <w:vAlign w:val="center"/>
          </w:tcPr>
          <w:p w14:paraId="7981E54E">
            <w:pPr>
              <w:contextualSpacing/>
              <w:jc w:val="center"/>
              <w:rPr>
                <w:rFonts w:ascii="宋体" w:hAnsi="宋体"/>
                <w:b/>
                <w:bCs/>
                <w:sz w:val="24"/>
              </w:rPr>
            </w:pPr>
            <w:r>
              <w:rPr>
                <w:rFonts w:hint="eastAsia" w:ascii="宋体" w:hAnsi="宋体"/>
                <w:b/>
                <w:kern w:val="0"/>
                <w:sz w:val="24"/>
              </w:rPr>
              <w:t>设备号</w:t>
            </w:r>
          </w:p>
        </w:tc>
        <w:tc>
          <w:tcPr>
            <w:tcW w:w="987" w:type="pct"/>
            <w:shd w:val="clear" w:color="auto" w:fill="auto"/>
            <w:vAlign w:val="center"/>
          </w:tcPr>
          <w:p w14:paraId="0746E8BC">
            <w:pPr>
              <w:contextualSpacing/>
              <w:jc w:val="center"/>
              <w:rPr>
                <w:rFonts w:ascii="宋体" w:hAnsi="宋体"/>
                <w:b/>
                <w:bCs/>
                <w:sz w:val="24"/>
              </w:rPr>
            </w:pPr>
            <w:r>
              <w:rPr>
                <w:rFonts w:hint="eastAsia" w:ascii="宋体" w:hAnsi="宋体"/>
                <w:b/>
                <w:bCs/>
                <w:sz w:val="24"/>
              </w:rPr>
              <w:t>安装日期</w:t>
            </w:r>
          </w:p>
        </w:tc>
      </w:tr>
      <w:tr w14:paraId="5252B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9" w:type="pct"/>
            <w:shd w:val="clear" w:color="auto" w:fill="auto"/>
            <w:vAlign w:val="center"/>
          </w:tcPr>
          <w:p w14:paraId="335F199A">
            <w:pPr>
              <w:contextualSpacing/>
              <w:jc w:val="center"/>
              <w:rPr>
                <w:rFonts w:ascii="宋体" w:hAnsi="宋体"/>
                <w:bCs/>
                <w:sz w:val="24"/>
              </w:rPr>
            </w:pPr>
            <w:r>
              <w:rPr>
                <w:rFonts w:hint="eastAsia" w:ascii="宋体" w:hAnsi="宋体"/>
                <w:bCs/>
                <w:sz w:val="24"/>
              </w:rPr>
              <w:t>1</w:t>
            </w:r>
          </w:p>
        </w:tc>
        <w:tc>
          <w:tcPr>
            <w:tcW w:w="953" w:type="pct"/>
            <w:shd w:val="clear" w:color="auto" w:fill="auto"/>
            <w:vAlign w:val="center"/>
          </w:tcPr>
          <w:p w14:paraId="6265F0A6">
            <w:pPr>
              <w:contextualSpacing/>
              <w:jc w:val="center"/>
              <w:rPr>
                <w:rFonts w:ascii="宋体" w:hAnsi="宋体"/>
                <w:bCs/>
                <w:sz w:val="24"/>
              </w:rPr>
            </w:pPr>
            <w:r>
              <w:rPr>
                <w:rFonts w:hint="eastAsia" w:ascii="宋体" w:hAnsi="宋体"/>
                <w:bCs/>
                <w:sz w:val="24"/>
              </w:rPr>
              <w:t>DSA维保</w:t>
            </w:r>
          </w:p>
        </w:tc>
        <w:tc>
          <w:tcPr>
            <w:tcW w:w="1825" w:type="pct"/>
            <w:shd w:val="clear" w:color="auto" w:fill="auto"/>
            <w:vAlign w:val="center"/>
          </w:tcPr>
          <w:p w14:paraId="7BCE09FC">
            <w:pPr>
              <w:contextualSpacing/>
              <w:jc w:val="center"/>
              <w:rPr>
                <w:rFonts w:ascii="宋体" w:hAnsi="宋体"/>
                <w:bCs/>
                <w:sz w:val="24"/>
              </w:rPr>
            </w:pPr>
            <w:r>
              <w:rPr>
                <w:rFonts w:hint="eastAsia" w:ascii="宋体" w:hAnsi="宋体"/>
                <w:bCs/>
                <w:sz w:val="24"/>
              </w:rPr>
              <w:t>Allura Xper FD20 Biplane</w:t>
            </w:r>
          </w:p>
        </w:tc>
        <w:tc>
          <w:tcPr>
            <w:tcW w:w="706" w:type="pct"/>
            <w:shd w:val="clear" w:color="auto" w:fill="auto"/>
            <w:vAlign w:val="center"/>
          </w:tcPr>
          <w:p w14:paraId="2A620827">
            <w:pPr>
              <w:contextualSpacing/>
              <w:jc w:val="center"/>
              <w:rPr>
                <w:rFonts w:ascii="宋体" w:hAnsi="宋体"/>
                <w:bCs/>
                <w:sz w:val="24"/>
              </w:rPr>
            </w:pPr>
            <w:r>
              <w:rPr>
                <w:rFonts w:hint="eastAsia" w:ascii="宋体" w:hAnsi="宋体"/>
                <w:bCs/>
                <w:sz w:val="24"/>
              </w:rPr>
              <w:t>62333950</w:t>
            </w:r>
          </w:p>
        </w:tc>
        <w:tc>
          <w:tcPr>
            <w:tcW w:w="987" w:type="pct"/>
            <w:shd w:val="clear" w:color="auto" w:fill="auto"/>
            <w:vAlign w:val="center"/>
          </w:tcPr>
          <w:p w14:paraId="0DDF8089">
            <w:pPr>
              <w:contextualSpacing/>
              <w:jc w:val="center"/>
              <w:rPr>
                <w:rFonts w:ascii="宋体" w:hAnsi="宋体"/>
                <w:bCs/>
                <w:sz w:val="24"/>
              </w:rPr>
            </w:pPr>
            <w:r>
              <w:rPr>
                <w:rFonts w:hint="eastAsia" w:ascii="宋体" w:hAnsi="宋体"/>
                <w:bCs/>
                <w:sz w:val="24"/>
              </w:rPr>
              <w:t>2015年11月</w:t>
            </w:r>
          </w:p>
        </w:tc>
      </w:tr>
      <w:tr w14:paraId="0E4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9" w:type="pct"/>
            <w:shd w:val="clear" w:color="auto" w:fill="auto"/>
            <w:vAlign w:val="center"/>
          </w:tcPr>
          <w:p w14:paraId="4B114F9E">
            <w:pPr>
              <w:contextualSpacing/>
              <w:jc w:val="center"/>
              <w:rPr>
                <w:rFonts w:ascii="宋体" w:hAnsi="宋体"/>
                <w:bCs/>
                <w:sz w:val="24"/>
              </w:rPr>
            </w:pPr>
            <w:r>
              <w:rPr>
                <w:rFonts w:hint="eastAsia" w:ascii="宋体" w:hAnsi="宋体"/>
                <w:bCs/>
                <w:sz w:val="24"/>
              </w:rPr>
              <w:t>2</w:t>
            </w:r>
          </w:p>
        </w:tc>
        <w:tc>
          <w:tcPr>
            <w:tcW w:w="953" w:type="pct"/>
            <w:shd w:val="clear" w:color="auto" w:fill="auto"/>
            <w:vAlign w:val="center"/>
          </w:tcPr>
          <w:p w14:paraId="722848B2">
            <w:pPr>
              <w:contextualSpacing/>
              <w:jc w:val="center"/>
              <w:rPr>
                <w:rFonts w:ascii="宋体" w:hAnsi="宋体"/>
                <w:bCs/>
                <w:sz w:val="24"/>
              </w:rPr>
            </w:pPr>
            <w:r>
              <w:rPr>
                <w:rFonts w:hint="eastAsia" w:ascii="宋体" w:hAnsi="宋体"/>
                <w:bCs/>
                <w:sz w:val="24"/>
              </w:rPr>
              <w:t>DSA维保</w:t>
            </w:r>
          </w:p>
        </w:tc>
        <w:tc>
          <w:tcPr>
            <w:tcW w:w="1825" w:type="pct"/>
            <w:shd w:val="clear" w:color="auto" w:fill="auto"/>
            <w:vAlign w:val="center"/>
          </w:tcPr>
          <w:p w14:paraId="0E79CEE0">
            <w:pPr>
              <w:contextualSpacing/>
              <w:jc w:val="center"/>
              <w:rPr>
                <w:rFonts w:ascii="宋体" w:hAnsi="宋体"/>
                <w:bCs/>
                <w:sz w:val="24"/>
              </w:rPr>
            </w:pPr>
            <w:r>
              <w:rPr>
                <w:rFonts w:hint="eastAsia" w:ascii="宋体" w:hAnsi="宋体"/>
                <w:bCs/>
                <w:sz w:val="24"/>
              </w:rPr>
              <w:t>UNIQ FD20</w:t>
            </w:r>
          </w:p>
        </w:tc>
        <w:tc>
          <w:tcPr>
            <w:tcW w:w="706" w:type="pct"/>
            <w:shd w:val="clear" w:color="auto" w:fill="auto"/>
            <w:vAlign w:val="center"/>
          </w:tcPr>
          <w:p w14:paraId="720224BD">
            <w:pPr>
              <w:contextualSpacing/>
              <w:jc w:val="center"/>
              <w:rPr>
                <w:rFonts w:ascii="宋体" w:hAnsi="宋体"/>
                <w:bCs/>
                <w:sz w:val="24"/>
              </w:rPr>
            </w:pPr>
            <w:r>
              <w:rPr>
                <w:rFonts w:hint="eastAsia" w:ascii="宋体" w:hAnsi="宋体"/>
                <w:bCs/>
                <w:sz w:val="24"/>
              </w:rPr>
              <w:t>69536077</w:t>
            </w:r>
          </w:p>
        </w:tc>
        <w:tc>
          <w:tcPr>
            <w:tcW w:w="987" w:type="pct"/>
            <w:shd w:val="clear" w:color="auto" w:fill="auto"/>
            <w:vAlign w:val="center"/>
          </w:tcPr>
          <w:p w14:paraId="57485DCC">
            <w:pPr>
              <w:contextualSpacing/>
              <w:jc w:val="center"/>
              <w:rPr>
                <w:rFonts w:ascii="宋体" w:hAnsi="宋体"/>
                <w:bCs/>
                <w:sz w:val="24"/>
              </w:rPr>
            </w:pPr>
            <w:r>
              <w:rPr>
                <w:rFonts w:hint="eastAsia" w:ascii="宋体" w:hAnsi="宋体"/>
                <w:bCs/>
                <w:sz w:val="24"/>
              </w:rPr>
              <w:t>2017年4月</w:t>
            </w:r>
          </w:p>
        </w:tc>
      </w:tr>
      <w:tr w14:paraId="29DF9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9" w:type="pct"/>
            <w:shd w:val="clear" w:color="auto" w:fill="auto"/>
            <w:vAlign w:val="center"/>
          </w:tcPr>
          <w:p w14:paraId="423F2C5D">
            <w:pPr>
              <w:contextualSpacing/>
              <w:jc w:val="center"/>
              <w:rPr>
                <w:rFonts w:ascii="宋体" w:hAnsi="宋体"/>
                <w:bCs/>
                <w:sz w:val="24"/>
              </w:rPr>
            </w:pPr>
            <w:r>
              <w:rPr>
                <w:rFonts w:hint="eastAsia" w:ascii="宋体" w:hAnsi="宋体"/>
                <w:bCs/>
                <w:sz w:val="24"/>
              </w:rPr>
              <w:t>3</w:t>
            </w:r>
          </w:p>
        </w:tc>
        <w:tc>
          <w:tcPr>
            <w:tcW w:w="953" w:type="pct"/>
            <w:shd w:val="clear" w:color="auto" w:fill="auto"/>
            <w:vAlign w:val="center"/>
          </w:tcPr>
          <w:p w14:paraId="0C95D12B">
            <w:pPr>
              <w:contextualSpacing/>
              <w:jc w:val="center"/>
              <w:rPr>
                <w:rFonts w:ascii="宋体" w:hAnsi="宋体"/>
                <w:bCs/>
                <w:sz w:val="24"/>
              </w:rPr>
            </w:pPr>
            <w:r>
              <w:rPr>
                <w:rFonts w:hint="eastAsia" w:ascii="宋体" w:hAnsi="宋体"/>
                <w:bCs/>
                <w:sz w:val="24"/>
              </w:rPr>
              <w:t>MRI维保</w:t>
            </w:r>
          </w:p>
        </w:tc>
        <w:tc>
          <w:tcPr>
            <w:tcW w:w="1825" w:type="pct"/>
            <w:shd w:val="clear" w:color="auto" w:fill="auto"/>
            <w:vAlign w:val="center"/>
          </w:tcPr>
          <w:p w14:paraId="6A8608E1">
            <w:pPr>
              <w:contextualSpacing/>
              <w:jc w:val="center"/>
              <w:rPr>
                <w:rFonts w:ascii="宋体" w:hAnsi="宋体"/>
                <w:bCs/>
                <w:sz w:val="24"/>
              </w:rPr>
            </w:pPr>
            <w:r>
              <w:rPr>
                <w:rFonts w:hint="eastAsia" w:ascii="宋体" w:hAnsi="宋体"/>
                <w:bCs/>
                <w:sz w:val="24"/>
              </w:rPr>
              <w:t>Ingenia 3.0T</w:t>
            </w:r>
          </w:p>
        </w:tc>
        <w:tc>
          <w:tcPr>
            <w:tcW w:w="706" w:type="pct"/>
            <w:shd w:val="clear" w:color="auto" w:fill="auto"/>
            <w:vAlign w:val="center"/>
          </w:tcPr>
          <w:p w14:paraId="330F8AA9">
            <w:pPr>
              <w:contextualSpacing/>
              <w:jc w:val="center"/>
              <w:rPr>
                <w:rFonts w:ascii="宋体" w:hAnsi="宋体"/>
                <w:bCs/>
                <w:sz w:val="24"/>
              </w:rPr>
            </w:pPr>
            <w:r>
              <w:rPr>
                <w:rFonts w:hint="eastAsia" w:ascii="宋体" w:hAnsi="宋体"/>
                <w:bCs/>
                <w:sz w:val="24"/>
              </w:rPr>
              <w:t>74504929</w:t>
            </w:r>
          </w:p>
        </w:tc>
        <w:tc>
          <w:tcPr>
            <w:tcW w:w="987" w:type="pct"/>
            <w:shd w:val="clear" w:color="auto" w:fill="auto"/>
            <w:vAlign w:val="center"/>
          </w:tcPr>
          <w:p w14:paraId="764756F3">
            <w:pPr>
              <w:contextualSpacing/>
              <w:jc w:val="center"/>
              <w:rPr>
                <w:rFonts w:ascii="宋体" w:hAnsi="宋体"/>
                <w:bCs/>
                <w:sz w:val="24"/>
              </w:rPr>
            </w:pPr>
            <w:r>
              <w:rPr>
                <w:rFonts w:hint="eastAsia" w:ascii="宋体" w:hAnsi="宋体"/>
                <w:bCs/>
                <w:sz w:val="24"/>
              </w:rPr>
              <w:t>2018年11月</w:t>
            </w:r>
          </w:p>
        </w:tc>
      </w:tr>
      <w:tr w14:paraId="2D075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9" w:type="pct"/>
            <w:shd w:val="clear" w:color="auto" w:fill="auto"/>
            <w:vAlign w:val="center"/>
          </w:tcPr>
          <w:p w14:paraId="0169A9CD">
            <w:pPr>
              <w:contextualSpacing/>
              <w:jc w:val="center"/>
              <w:rPr>
                <w:rFonts w:ascii="宋体" w:hAnsi="宋体"/>
                <w:bCs/>
                <w:sz w:val="24"/>
              </w:rPr>
            </w:pPr>
            <w:r>
              <w:rPr>
                <w:rFonts w:hint="eastAsia" w:ascii="宋体" w:hAnsi="宋体"/>
                <w:bCs/>
                <w:sz w:val="24"/>
              </w:rPr>
              <w:t>4</w:t>
            </w:r>
          </w:p>
        </w:tc>
        <w:tc>
          <w:tcPr>
            <w:tcW w:w="953" w:type="pct"/>
            <w:shd w:val="clear" w:color="auto" w:fill="auto"/>
            <w:vAlign w:val="center"/>
          </w:tcPr>
          <w:p w14:paraId="4DA3CC87">
            <w:pPr>
              <w:contextualSpacing/>
              <w:jc w:val="center"/>
              <w:rPr>
                <w:rFonts w:ascii="宋体" w:hAnsi="宋体"/>
                <w:bCs/>
                <w:sz w:val="24"/>
              </w:rPr>
            </w:pPr>
            <w:r>
              <w:rPr>
                <w:rFonts w:hint="eastAsia" w:ascii="宋体" w:hAnsi="宋体"/>
                <w:bCs/>
                <w:sz w:val="24"/>
              </w:rPr>
              <w:t>MRI维保</w:t>
            </w:r>
          </w:p>
        </w:tc>
        <w:tc>
          <w:tcPr>
            <w:tcW w:w="1825" w:type="pct"/>
            <w:shd w:val="clear" w:color="auto" w:fill="auto"/>
            <w:vAlign w:val="center"/>
          </w:tcPr>
          <w:p w14:paraId="1FEA3395">
            <w:pPr>
              <w:contextualSpacing/>
              <w:jc w:val="center"/>
              <w:rPr>
                <w:rFonts w:ascii="宋体" w:hAnsi="宋体"/>
                <w:bCs/>
                <w:sz w:val="24"/>
              </w:rPr>
            </w:pPr>
            <w:r>
              <w:rPr>
                <w:rFonts w:hint="eastAsia" w:ascii="宋体" w:hAnsi="宋体"/>
                <w:bCs/>
                <w:sz w:val="24"/>
              </w:rPr>
              <w:t>Ingenia 1.5T</w:t>
            </w:r>
          </w:p>
        </w:tc>
        <w:tc>
          <w:tcPr>
            <w:tcW w:w="706" w:type="pct"/>
            <w:shd w:val="clear" w:color="auto" w:fill="auto"/>
            <w:vAlign w:val="center"/>
          </w:tcPr>
          <w:p w14:paraId="76C9A694">
            <w:pPr>
              <w:contextualSpacing/>
              <w:jc w:val="center"/>
              <w:rPr>
                <w:rFonts w:ascii="宋体" w:hAnsi="宋体"/>
                <w:bCs/>
                <w:sz w:val="24"/>
              </w:rPr>
            </w:pPr>
            <w:r>
              <w:rPr>
                <w:rFonts w:hint="eastAsia" w:ascii="宋体" w:hAnsi="宋体"/>
                <w:bCs/>
                <w:sz w:val="24"/>
              </w:rPr>
              <w:t>79320722</w:t>
            </w:r>
          </w:p>
        </w:tc>
        <w:tc>
          <w:tcPr>
            <w:tcW w:w="987" w:type="pct"/>
            <w:shd w:val="clear" w:color="auto" w:fill="auto"/>
            <w:vAlign w:val="center"/>
          </w:tcPr>
          <w:p w14:paraId="31087899">
            <w:pPr>
              <w:contextualSpacing/>
              <w:jc w:val="center"/>
              <w:rPr>
                <w:rFonts w:ascii="宋体" w:hAnsi="宋体"/>
                <w:bCs/>
                <w:sz w:val="24"/>
              </w:rPr>
            </w:pPr>
            <w:r>
              <w:rPr>
                <w:rFonts w:hint="eastAsia" w:ascii="宋体" w:hAnsi="宋体"/>
                <w:bCs/>
                <w:sz w:val="24"/>
              </w:rPr>
              <w:t>2019年9月</w:t>
            </w:r>
          </w:p>
        </w:tc>
      </w:tr>
      <w:tr w14:paraId="79BE7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9" w:type="pct"/>
            <w:shd w:val="clear" w:color="auto" w:fill="auto"/>
            <w:vAlign w:val="center"/>
          </w:tcPr>
          <w:p w14:paraId="0CB11D42">
            <w:pPr>
              <w:contextualSpacing/>
              <w:jc w:val="center"/>
              <w:rPr>
                <w:rFonts w:ascii="宋体" w:hAnsi="宋体"/>
                <w:bCs/>
                <w:sz w:val="24"/>
              </w:rPr>
            </w:pPr>
            <w:r>
              <w:rPr>
                <w:rFonts w:hint="eastAsia" w:ascii="宋体" w:hAnsi="宋体"/>
                <w:bCs/>
                <w:sz w:val="24"/>
              </w:rPr>
              <w:t>5</w:t>
            </w:r>
          </w:p>
        </w:tc>
        <w:tc>
          <w:tcPr>
            <w:tcW w:w="953" w:type="pct"/>
            <w:shd w:val="clear" w:color="auto" w:fill="auto"/>
            <w:vAlign w:val="center"/>
          </w:tcPr>
          <w:p w14:paraId="01BC221B">
            <w:pPr>
              <w:contextualSpacing/>
              <w:jc w:val="center"/>
              <w:rPr>
                <w:rFonts w:ascii="宋体" w:hAnsi="宋体"/>
                <w:bCs/>
                <w:sz w:val="24"/>
              </w:rPr>
            </w:pPr>
            <w:r>
              <w:rPr>
                <w:rFonts w:hint="eastAsia" w:ascii="宋体" w:hAnsi="宋体"/>
                <w:bCs/>
                <w:sz w:val="24"/>
              </w:rPr>
              <w:t>大孔径CT维保</w:t>
            </w:r>
          </w:p>
        </w:tc>
        <w:tc>
          <w:tcPr>
            <w:tcW w:w="1825" w:type="pct"/>
            <w:shd w:val="clear" w:color="auto" w:fill="auto"/>
            <w:vAlign w:val="center"/>
          </w:tcPr>
          <w:p w14:paraId="297510F8">
            <w:pPr>
              <w:contextualSpacing/>
              <w:jc w:val="center"/>
              <w:rPr>
                <w:rFonts w:ascii="宋体" w:hAnsi="宋体"/>
                <w:bCs/>
                <w:sz w:val="24"/>
              </w:rPr>
            </w:pPr>
            <w:r>
              <w:rPr>
                <w:rFonts w:hint="eastAsia" w:ascii="宋体" w:hAnsi="宋体"/>
                <w:bCs/>
                <w:sz w:val="24"/>
              </w:rPr>
              <w:t>Brilliance CT Big Bore</w:t>
            </w:r>
          </w:p>
        </w:tc>
        <w:tc>
          <w:tcPr>
            <w:tcW w:w="706" w:type="pct"/>
            <w:shd w:val="clear" w:color="auto" w:fill="auto"/>
            <w:vAlign w:val="center"/>
          </w:tcPr>
          <w:p w14:paraId="0B18C58D">
            <w:pPr>
              <w:contextualSpacing/>
              <w:jc w:val="center"/>
              <w:rPr>
                <w:rFonts w:ascii="宋体" w:hAnsi="宋体"/>
                <w:bCs/>
                <w:sz w:val="24"/>
              </w:rPr>
            </w:pPr>
            <w:r>
              <w:rPr>
                <w:rFonts w:hint="eastAsia" w:ascii="宋体" w:hAnsi="宋体"/>
                <w:bCs/>
                <w:sz w:val="24"/>
              </w:rPr>
              <w:t>74854241</w:t>
            </w:r>
          </w:p>
        </w:tc>
        <w:tc>
          <w:tcPr>
            <w:tcW w:w="987" w:type="pct"/>
            <w:shd w:val="clear" w:color="auto" w:fill="auto"/>
            <w:vAlign w:val="center"/>
          </w:tcPr>
          <w:p w14:paraId="505F7954">
            <w:pPr>
              <w:contextualSpacing/>
              <w:jc w:val="center"/>
              <w:rPr>
                <w:rFonts w:ascii="宋体" w:hAnsi="宋体"/>
                <w:bCs/>
                <w:sz w:val="24"/>
              </w:rPr>
            </w:pPr>
            <w:r>
              <w:rPr>
                <w:rFonts w:hint="eastAsia" w:ascii="宋体" w:hAnsi="宋体"/>
                <w:bCs/>
                <w:sz w:val="24"/>
              </w:rPr>
              <w:t>2020年8月</w:t>
            </w:r>
          </w:p>
        </w:tc>
      </w:tr>
      <w:tr w14:paraId="3F519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9" w:type="pct"/>
            <w:shd w:val="clear" w:color="auto" w:fill="auto"/>
            <w:vAlign w:val="center"/>
          </w:tcPr>
          <w:p w14:paraId="1A6DECC6">
            <w:pPr>
              <w:contextualSpacing/>
              <w:jc w:val="center"/>
              <w:rPr>
                <w:rFonts w:ascii="宋体" w:hAnsi="宋体"/>
                <w:bCs/>
                <w:sz w:val="24"/>
              </w:rPr>
            </w:pPr>
            <w:r>
              <w:rPr>
                <w:rFonts w:hint="eastAsia" w:ascii="宋体" w:hAnsi="宋体"/>
                <w:bCs/>
                <w:sz w:val="24"/>
              </w:rPr>
              <w:t>6</w:t>
            </w:r>
          </w:p>
        </w:tc>
        <w:tc>
          <w:tcPr>
            <w:tcW w:w="953" w:type="pct"/>
            <w:shd w:val="clear" w:color="auto" w:fill="auto"/>
            <w:vAlign w:val="center"/>
          </w:tcPr>
          <w:p w14:paraId="0621254D">
            <w:pPr>
              <w:contextualSpacing/>
              <w:jc w:val="center"/>
              <w:rPr>
                <w:rFonts w:ascii="宋体" w:hAnsi="宋体"/>
                <w:bCs/>
                <w:sz w:val="24"/>
              </w:rPr>
            </w:pPr>
            <w:r>
              <w:rPr>
                <w:rFonts w:hint="eastAsia" w:ascii="宋体" w:hAnsi="宋体"/>
                <w:bCs/>
                <w:sz w:val="24"/>
              </w:rPr>
              <w:t>移动C形臂X线机维保</w:t>
            </w:r>
          </w:p>
        </w:tc>
        <w:tc>
          <w:tcPr>
            <w:tcW w:w="1825" w:type="pct"/>
            <w:shd w:val="clear" w:color="auto" w:fill="auto"/>
            <w:vAlign w:val="center"/>
          </w:tcPr>
          <w:p w14:paraId="40A0A562">
            <w:pPr>
              <w:contextualSpacing/>
              <w:jc w:val="center"/>
              <w:rPr>
                <w:rFonts w:ascii="宋体" w:hAnsi="宋体"/>
                <w:bCs/>
                <w:sz w:val="24"/>
              </w:rPr>
            </w:pPr>
            <w:r>
              <w:rPr>
                <w:rFonts w:hint="eastAsia" w:ascii="宋体" w:hAnsi="宋体"/>
                <w:bCs/>
                <w:sz w:val="24"/>
              </w:rPr>
              <w:t>Veradius</w:t>
            </w:r>
          </w:p>
        </w:tc>
        <w:tc>
          <w:tcPr>
            <w:tcW w:w="706" w:type="pct"/>
            <w:shd w:val="clear" w:color="auto" w:fill="auto"/>
            <w:vAlign w:val="center"/>
          </w:tcPr>
          <w:p w14:paraId="6DF57318">
            <w:pPr>
              <w:contextualSpacing/>
              <w:jc w:val="center"/>
              <w:rPr>
                <w:rFonts w:ascii="宋体" w:hAnsi="宋体"/>
                <w:bCs/>
                <w:sz w:val="24"/>
              </w:rPr>
            </w:pPr>
            <w:r>
              <w:rPr>
                <w:rFonts w:hint="eastAsia" w:ascii="宋体" w:hAnsi="宋体"/>
                <w:bCs/>
                <w:sz w:val="24"/>
              </w:rPr>
              <w:t>79125933</w:t>
            </w:r>
          </w:p>
        </w:tc>
        <w:tc>
          <w:tcPr>
            <w:tcW w:w="987" w:type="pct"/>
            <w:shd w:val="clear" w:color="auto" w:fill="auto"/>
            <w:vAlign w:val="center"/>
          </w:tcPr>
          <w:p w14:paraId="7C4D5F65">
            <w:pPr>
              <w:contextualSpacing/>
              <w:jc w:val="center"/>
              <w:rPr>
                <w:rFonts w:ascii="宋体" w:hAnsi="宋体"/>
                <w:bCs/>
                <w:sz w:val="24"/>
              </w:rPr>
            </w:pPr>
            <w:r>
              <w:rPr>
                <w:rFonts w:hint="eastAsia" w:ascii="宋体" w:hAnsi="宋体"/>
                <w:bCs/>
                <w:sz w:val="24"/>
              </w:rPr>
              <w:t>2019年11月</w:t>
            </w:r>
          </w:p>
        </w:tc>
      </w:tr>
      <w:tr w14:paraId="69DB6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9" w:type="pct"/>
            <w:shd w:val="clear" w:color="auto" w:fill="auto"/>
            <w:vAlign w:val="center"/>
          </w:tcPr>
          <w:p w14:paraId="378D3403">
            <w:pPr>
              <w:contextualSpacing/>
              <w:jc w:val="center"/>
              <w:rPr>
                <w:rFonts w:ascii="宋体" w:hAnsi="宋体"/>
                <w:bCs/>
                <w:sz w:val="24"/>
              </w:rPr>
            </w:pPr>
            <w:r>
              <w:rPr>
                <w:rFonts w:hint="eastAsia" w:ascii="宋体" w:hAnsi="宋体"/>
                <w:bCs/>
                <w:sz w:val="24"/>
              </w:rPr>
              <w:t>7</w:t>
            </w:r>
          </w:p>
        </w:tc>
        <w:tc>
          <w:tcPr>
            <w:tcW w:w="953" w:type="pct"/>
            <w:shd w:val="clear" w:color="auto" w:fill="auto"/>
            <w:vAlign w:val="center"/>
          </w:tcPr>
          <w:p w14:paraId="3F1129A9">
            <w:pPr>
              <w:contextualSpacing/>
              <w:jc w:val="center"/>
              <w:rPr>
                <w:rFonts w:ascii="宋体" w:hAnsi="宋体"/>
                <w:bCs/>
                <w:sz w:val="24"/>
              </w:rPr>
            </w:pPr>
            <w:r>
              <w:rPr>
                <w:rFonts w:hint="eastAsia" w:ascii="宋体" w:hAnsi="宋体"/>
                <w:sz w:val="24"/>
              </w:rPr>
              <w:t>MRI移机</w:t>
            </w:r>
          </w:p>
        </w:tc>
        <w:tc>
          <w:tcPr>
            <w:tcW w:w="1825" w:type="pct"/>
            <w:shd w:val="clear" w:color="auto" w:fill="auto"/>
            <w:vAlign w:val="center"/>
          </w:tcPr>
          <w:p w14:paraId="107818AE">
            <w:pPr>
              <w:contextualSpacing/>
              <w:jc w:val="center"/>
              <w:rPr>
                <w:rFonts w:ascii="宋体" w:hAnsi="宋体"/>
                <w:bCs/>
                <w:sz w:val="24"/>
              </w:rPr>
            </w:pPr>
            <w:r>
              <w:rPr>
                <w:rFonts w:hint="eastAsia" w:ascii="宋体" w:hAnsi="宋体"/>
                <w:bCs/>
                <w:sz w:val="24"/>
              </w:rPr>
              <w:t>Ingenia 1.5T</w:t>
            </w:r>
          </w:p>
        </w:tc>
        <w:tc>
          <w:tcPr>
            <w:tcW w:w="706" w:type="pct"/>
            <w:shd w:val="clear" w:color="auto" w:fill="auto"/>
            <w:vAlign w:val="center"/>
          </w:tcPr>
          <w:p w14:paraId="6A578E58">
            <w:pPr>
              <w:contextualSpacing/>
              <w:jc w:val="center"/>
              <w:rPr>
                <w:rFonts w:ascii="宋体" w:hAnsi="宋体"/>
                <w:bCs/>
                <w:sz w:val="24"/>
              </w:rPr>
            </w:pPr>
            <w:r>
              <w:rPr>
                <w:rFonts w:hint="eastAsia" w:ascii="宋体" w:hAnsi="宋体"/>
                <w:bCs/>
                <w:sz w:val="24"/>
              </w:rPr>
              <w:t>79320722</w:t>
            </w:r>
          </w:p>
        </w:tc>
        <w:tc>
          <w:tcPr>
            <w:tcW w:w="987" w:type="pct"/>
            <w:shd w:val="clear" w:color="auto" w:fill="auto"/>
            <w:vAlign w:val="center"/>
          </w:tcPr>
          <w:p w14:paraId="3BFCBC95">
            <w:pPr>
              <w:contextualSpacing/>
              <w:jc w:val="center"/>
              <w:rPr>
                <w:rFonts w:ascii="宋体" w:hAnsi="宋体"/>
                <w:bCs/>
                <w:sz w:val="24"/>
              </w:rPr>
            </w:pPr>
            <w:r>
              <w:rPr>
                <w:rFonts w:hint="eastAsia" w:ascii="宋体" w:hAnsi="宋体"/>
                <w:bCs/>
                <w:sz w:val="24"/>
              </w:rPr>
              <w:t>2019年9月</w:t>
            </w:r>
          </w:p>
        </w:tc>
      </w:tr>
    </w:tbl>
    <w:p w14:paraId="2139AF6B">
      <w:pPr>
        <w:pStyle w:val="2"/>
        <w:spacing w:line="360" w:lineRule="auto"/>
        <w:ind w:firstLine="480" w:firstLineChars="200"/>
        <w:rPr>
          <w:rFonts w:hAnsi="宋体" w:cs="宋体"/>
          <w:bCs/>
        </w:rPr>
      </w:pPr>
    </w:p>
    <w:p w14:paraId="3D0B6082">
      <w:pPr>
        <w:spacing w:line="360" w:lineRule="auto"/>
        <w:ind w:firstLine="480" w:firstLineChars="200"/>
        <w:jc w:val="left"/>
        <w:rPr>
          <w:rFonts w:ascii="宋体" w:hAnsi="宋体" w:cs="宋体"/>
          <w:sz w:val="24"/>
        </w:rPr>
      </w:pPr>
      <w:r>
        <w:rPr>
          <w:rFonts w:ascii="宋体" w:hAnsi="宋体" w:cs="宋体"/>
          <w:sz w:val="24"/>
        </w:rPr>
        <w:t>2.</w:t>
      </w:r>
      <w:r>
        <w:rPr>
          <w:rFonts w:hint="eastAsia" w:ascii="宋体" w:hAnsi="宋体" w:cs="宋体"/>
          <w:sz w:val="24"/>
        </w:rPr>
        <w:t>服务要求：</w:t>
      </w:r>
    </w:p>
    <w:p w14:paraId="78821D63">
      <w:pPr>
        <w:spacing w:line="360" w:lineRule="auto"/>
        <w:ind w:firstLine="480" w:firstLineChars="200"/>
        <w:contextualSpacing/>
        <w:jc w:val="left"/>
        <w:rPr>
          <w:rFonts w:ascii="宋体" w:hAnsi="宋体" w:cs="宋体"/>
          <w:bCs/>
          <w:sz w:val="24"/>
        </w:rPr>
      </w:pPr>
      <w:r>
        <w:rPr>
          <w:rFonts w:hint="eastAsia" w:ascii="宋体" w:hAnsi="宋体" w:cs="宋体"/>
          <w:bCs/>
          <w:sz w:val="24"/>
        </w:rPr>
        <w:t>2.1服务内容：</w:t>
      </w:r>
    </w:p>
    <w:p w14:paraId="32AE47B7">
      <w:pPr>
        <w:spacing w:line="360" w:lineRule="auto"/>
        <w:ind w:firstLine="480" w:firstLineChars="200"/>
        <w:contextualSpacing/>
        <w:jc w:val="left"/>
        <w:rPr>
          <w:rFonts w:ascii="宋体" w:hAnsi="宋体" w:cs="宋体"/>
          <w:bCs/>
          <w:sz w:val="24"/>
        </w:rPr>
      </w:pPr>
      <w:r>
        <w:rPr>
          <w:rFonts w:hint="eastAsia" w:ascii="宋体" w:hAnsi="宋体" w:cs="宋体"/>
          <w:bCs/>
          <w:sz w:val="24"/>
        </w:rPr>
        <w:t>2.1.1提供设备的安全检查；</w:t>
      </w:r>
    </w:p>
    <w:p w14:paraId="63020EEC">
      <w:pPr>
        <w:spacing w:line="360" w:lineRule="auto"/>
        <w:ind w:firstLine="480" w:firstLineChars="200"/>
        <w:contextualSpacing/>
        <w:jc w:val="left"/>
        <w:rPr>
          <w:rFonts w:ascii="宋体" w:hAnsi="宋体" w:cs="宋体"/>
          <w:bCs/>
          <w:sz w:val="24"/>
        </w:rPr>
      </w:pPr>
      <w:r>
        <w:rPr>
          <w:rFonts w:hint="eastAsia" w:ascii="宋体" w:hAnsi="宋体" w:cs="宋体"/>
          <w:bCs/>
          <w:sz w:val="24"/>
        </w:rPr>
        <w:t>2.1.2提供影像质量检查；</w:t>
      </w:r>
    </w:p>
    <w:p w14:paraId="61034C99">
      <w:pPr>
        <w:spacing w:line="360" w:lineRule="auto"/>
        <w:ind w:firstLine="480" w:firstLineChars="200"/>
        <w:contextualSpacing/>
        <w:jc w:val="left"/>
        <w:rPr>
          <w:rFonts w:ascii="宋体" w:hAnsi="宋体" w:cs="宋体"/>
          <w:bCs/>
          <w:sz w:val="24"/>
        </w:rPr>
      </w:pPr>
      <w:r>
        <w:rPr>
          <w:rFonts w:hint="eastAsia" w:ascii="宋体" w:hAnsi="宋体" w:cs="宋体"/>
          <w:bCs/>
          <w:sz w:val="24"/>
        </w:rPr>
        <w:t>2.1.3提供设备除尘保养；</w:t>
      </w:r>
    </w:p>
    <w:p w14:paraId="569E73C1">
      <w:pPr>
        <w:spacing w:line="360" w:lineRule="auto"/>
        <w:ind w:firstLine="480" w:firstLineChars="200"/>
        <w:contextualSpacing/>
        <w:jc w:val="left"/>
        <w:rPr>
          <w:rFonts w:ascii="宋体" w:hAnsi="宋体" w:cs="宋体"/>
          <w:bCs/>
          <w:sz w:val="24"/>
        </w:rPr>
      </w:pPr>
      <w:r>
        <w:rPr>
          <w:rFonts w:hint="eastAsia" w:ascii="宋体" w:hAnsi="宋体" w:cs="宋体"/>
          <w:bCs/>
          <w:sz w:val="24"/>
        </w:rPr>
        <w:t>2.1.4提供运行状态检查等；</w:t>
      </w:r>
    </w:p>
    <w:p w14:paraId="17CB9BB7">
      <w:pPr>
        <w:spacing w:line="360" w:lineRule="auto"/>
        <w:ind w:firstLine="480" w:firstLineChars="200"/>
        <w:contextualSpacing/>
        <w:jc w:val="left"/>
        <w:rPr>
          <w:rFonts w:ascii="宋体" w:hAnsi="宋体" w:cs="宋体"/>
          <w:bCs/>
          <w:sz w:val="24"/>
        </w:rPr>
      </w:pPr>
      <w:r>
        <w:rPr>
          <w:rFonts w:hint="eastAsia" w:ascii="宋体" w:hAnsi="宋体" w:cs="宋体"/>
          <w:bCs/>
          <w:sz w:val="24"/>
        </w:rPr>
        <w:t>2.1.5提供提供定期维护保养报告；</w:t>
      </w:r>
    </w:p>
    <w:p w14:paraId="792184D5">
      <w:pPr>
        <w:spacing w:line="360" w:lineRule="auto"/>
        <w:ind w:firstLine="480" w:firstLineChars="200"/>
        <w:contextualSpacing/>
        <w:jc w:val="left"/>
        <w:rPr>
          <w:rFonts w:ascii="宋体" w:hAnsi="宋体" w:cs="宋体"/>
          <w:bCs/>
          <w:sz w:val="24"/>
        </w:rPr>
      </w:pPr>
      <w:r>
        <w:rPr>
          <w:rFonts w:hint="eastAsia" w:ascii="宋体" w:hAnsi="宋体" w:cs="宋体"/>
          <w:bCs/>
          <w:sz w:val="24"/>
        </w:rPr>
        <w:t>2.1.6当采购人维保设备出现故障时，投标人及时派工程师进行指导或赴现场维修；</w:t>
      </w:r>
    </w:p>
    <w:p w14:paraId="15F1D8EA">
      <w:pPr>
        <w:spacing w:line="360" w:lineRule="auto"/>
        <w:ind w:firstLine="480" w:firstLineChars="200"/>
        <w:contextualSpacing/>
        <w:jc w:val="left"/>
        <w:rPr>
          <w:rFonts w:ascii="宋体" w:hAnsi="宋体" w:cs="宋体"/>
          <w:bCs/>
          <w:sz w:val="24"/>
        </w:rPr>
      </w:pPr>
      <w:r>
        <w:rPr>
          <w:rFonts w:hint="eastAsia" w:ascii="宋体" w:hAnsi="宋体" w:cs="宋体"/>
          <w:bCs/>
          <w:sz w:val="24"/>
        </w:rPr>
        <w:t>2.1.7维修服务所涉及的人工费用、交通差旅费及备件费，均由投标人承担（不包括的备件除外）；</w:t>
      </w:r>
    </w:p>
    <w:p w14:paraId="7A1B5475">
      <w:pPr>
        <w:spacing w:line="360" w:lineRule="auto"/>
        <w:ind w:firstLine="480" w:firstLineChars="200"/>
        <w:contextualSpacing/>
        <w:jc w:val="left"/>
        <w:rPr>
          <w:rFonts w:ascii="宋体" w:hAnsi="宋体" w:cs="宋体"/>
          <w:bCs/>
          <w:sz w:val="24"/>
        </w:rPr>
      </w:pPr>
      <w:r>
        <w:rPr>
          <w:rFonts w:hint="eastAsia" w:ascii="宋体" w:hAnsi="宋体" w:cs="宋体"/>
          <w:bCs/>
          <w:sz w:val="24"/>
        </w:rPr>
        <w:t>2.1.8投标人须保证维保设备全年工作日的开机率≥95%，按照一年365个工作日计算。</w:t>
      </w:r>
    </w:p>
    <w:p w14:paraId="05840957">
      <w:pPr>
        <w:spacing w:line="360" w:lineRule="auto"/>
        <w:ind w:firstLine="480" w:firstLineChars="200"/>
        <w:contextualSpacing/>
        <w:jc w:val="left"/>
        <w:rPr>
          <w:rFonts w:ascii="宋体" w:hAnsi="宋体" w:cs="宋体"/>
          <w:bCs/>
          <w:sz w:val="24"/>
        </w:rPr>
      </w:pPr>
      <w:r>
        <w:rPr>
          <w:rFonts w:hint="eastAsia" w:ascii="宋体" w:hAnsi="宋体" w:cs="宋体"/>
          <w:bCs/>
          <w:sz w:val="24"/>
        </w:rPr>
        <w:t>2.2服务响应要求</w:t>
      </w:r>
    </w:p>
    <w:p w14:paraId="3566F365">
      <w:pPr>
        <w:spacing w:line="360" w:lineRule="auto"/>
        <w:ind w:firstLine="480" w:firstLineChars="200"/>
        <w:contextualSpacing/>
        <w:jc w:val="left"/>
        <w:rPr>
          <w:rFonts w:ascii="宋体" w:hAnsi="宋体" w:cs="宋体"/>
          <w:bCs/>
          <w:sz w:val="24"/>
        </w:rPr>
      </w:pPr>
      <w:r>
        <w:rPr>
          <w:rFonts w:hint="eastAsia" w:ascii="宋体" w:hAnsi="宋体" w:cs="宋体"/>
          <w:bCs/>
          <w:sz w:val="24"/>
        </w:rPr>
        <w:t>2.2.1投标人需提供免费服务电话或免费维修电话，具备24小时×7天服务能力。</w:t>
      </w:r>
    </w:p>
    <w:p w14:paraId="49944AA6">
      <w:pPr>
        <w:spacing w:line="360" w:lineRule="auto"/>
        <w:ind w:firstLine="480" w:firstLineChars="200"/>
        <w:contextualSpacing/>
        <w:jc w:val="left"/>
        <w:rPr>
          <w:rFonts w:ascii="宋体" w:hAnsi="宋体" w:cs="宋体"/>
          <w:bCs/>
          <w:sz w:val="24"/>
        </w:rPr>
      </w:pPr>
      <w:r>
        <w:rPr>
          <w:rFonts w:hint="eastAsia" w:ascii="宋体" w:hAnsi="宋体" w:cs="宋体"/>
          <w:bCs/>
          <w:sz w:val="24"/>
        </w:rPr>
        <w:t>2.2.2投标人保证每天有专人值班服务，同时具备远程故障排除能力，投标人应提供详细应答说明，但不限于在线值班工程师的数量，资质等文件。</w:t>
      </w:r>
    </w:p>
    <w:p w14:paraId="59009DCA">
      <w:pPr>
        <w:spacing w:line="360" w:lineRule="auto"/>
        <w:ind w:firstLine="480" w:firstLineChars="200"/>
        <w:contextualSpacing/>
        <w:jc w:val="left"/>
        <w:rPr>
          <w:rFonts w:ascii="宋体" w:hAnsi="宋体" w:cs="宋体"/>
          <w:bCs/>
          <w:sz w:val="24"/>
        </w:rPr>
      </w:pPr>
      <w:r>
        <w:rPr>
          <w:rFonts w:hint="eastAsia" w:ascii="宋体" w:hAnsi="宋体" w:cs="宋体"/>
          <w:bCs/>
          <w:sz w:val="24"/>
        </w:rPr>
        <w:t>2.2.3保修设备发生故障，投标人应接到维修通知后，在线工程师电话响应时间不超过30分钟，工程师在电话指导保修设备操作人员仍不能排除故障时，派维修工程师到达维修设备现场≤8工作时。国内备件到货时间≤12小时，国际备件到货时间≤72小时。</w:t>
      </w:r>
    </w:p>
    <w:p w14:paraId="07B24646">
      <w:pPr>
        <w:spacing w:line="360" w:lineRule="auto"/>
        <w:ind w:firstLine="480" w:firstLineChars="200"/>
        <w:contextualSpacing/>
        <w:jc w:val="left"/>
        <w:rPr>
          <w:rFonts w:ascii="宋体" w:hAnsi="宋体" w:cs="宋体"/>
          <w:bCs/>
          <w:sz w:val="24"/>
        </w:rPr>
      </w:pPr>
      <w:r>
        <w:rPr>
          <w:rFonts w:hint="eastAsia" w:ascii="宋体" w:hAnsi="宋体" w:cs="宋体"/>
          <w:bCs/>
          <w:sz w:val="24"/>
        </w:rPr>
        <w:t>2.2.4投标人须提供全套原厂诊断软件，且需持有合法获得、完整使用有效的原厂高级故障诊断维修钥匙，以解决相应故障。</w:t>
      </w:r>
    </w:p>
    <w:p w14:paraId="5D3E9085">
      <w:pPr>
        <w:spacing w:line="360" w:lineRule="auto"/>
        <w:ind w:firstLine="480" w:firstLineChars="200"/>
        <w:contextualSpacing/>
        <w:jc w:val="left"/>
        <w:rPr>
          <w:rFonts w:ascii="宋体" w:hAnsi="宋体" w:cs="宋体"/>
          <w:bCs/>
          <w:sz w:val="24"/>
        </w:rPr>
      </w:pPr>
      <w:r>
        <w:rPr>
          <w:rFonts w:hint="eastAsia" w:ascii="宋体" w:hAnsi="宋体" w:cs="宋体"/>
          <w:bCs/>
          <w:sz w:val="24"/>
        </w:rPr>
        <w:t>2.2.5要求投标人能及时获取并提供全套完整的原厂系统软硬件改版措施(FCO)。</w:t>
      </w:r>
    </w:p>
    <w:p w14:paraId="443B14C9">
      <w:pPr>
        <w:spacing w:line="360" w:lineRule="auto"/>
        <w:ind w:firstLine="480" w:firstLineChars="200"/>
        <w:contextualSpacing/>
        <w:jc w:val="left"/>
        <w:rPr>
          <w:rFonts w:ascii="宋体" w:hAnsi="宋体" w:cs="宋体"/>
          <w:bCs/>
          <w:sz w:val="24"/>
        </w:rPr>
      </w:pPr>
      <w:r>
        <w:rPr>
          <w:rFonts w:hint="eastAsia" w:ascii="宋体" w:hAnsi="宋体" w:cs="宋体"/>
          <w:bCs/>
          <w:sz w:val="24"/>
        </w:rPr>
        <w:t>2.2.6投标人应保证维保设备开机率保证≥95%，超过一天顺延二天保修日期；其他意外灾害等不可抗力和人为恶意以及由于航空管制等特殊情况下配件等待引起的时间不含在内。</w:t>
      </w:r>
    </w:p>
    <w:p w14:paraId="29992E06">
      <w:pPr>
        <w:spacing w:line="360" w:lineRule="auto"/>
        <w:ind w:firstLine="480" w:firstLineChars="200"/>
        <w:contextualSpacing/>
        <w:jc w:val="left"/>
        <w:rPr>
          <w:rFonts w:ascii="宋体" w:hAnsi="宋体" w:cs="宋体"/>
          <w:bCs/>
          <w:sz w:val="24"/>
        </w:rPr>
      </w:pPr>
      <w:r>
        <w:rPr>
          <w:rFonts w:hint="eastAsia" w:ascii="宋体" w:hAnsi="宋体" w:cs="宋体"/>
          <w:bCs/>
          <w:sz w:val="24"/>
        </w:rPr>
        <w:t>2.3系统保养要求：</w:t>
      </w:r>
    </w:p>
    <w:p w14:paraId="74876F33">
      <w:pPr>
        <w:spacing w:line="360" w:lineRule="auto"/>
        <w:ind w:firstLine="480" w:firstLineChars="200"/>
        <w:contextualSpacing/>
        <w:jc w:val="left"/>
        <w:rPr>
          <w:rFonts w:ascii="宋体" w:hAnsi="宋体" w:cs="宋体"/>
          <w:bCs/>
          <w:sz w:val="24"/>
        </w:rPr>
      </w:pPr>
      <w:r>
        <w:rPr>
          <w:rFonts w:hint="eastAsia" w:ascii="宋体" w:hAnsi="宋体" w:cs="宋体"/>
          <w:bCs/>
          <w:sz w:val="24"/>
        </w:rPr>
        <w:t>2.3.1投标人需对保修设备及相关配套设备做出日常保养计划，定期进行保养、维护，并做好记录。</w:t>
      </w:r>
    </w:p>
    <w:p w14:paraId="0AC1DB43">
      <w:pPr>
        <w:spacing w:line="360" w:lineRule="auto"/>
        <w:ind w:firstLine="480" w:firstLineChars="200"/>
        <w:contextualSpacing/>
        <w:jc w:val="left"/>
        <w:rPr>
          <w:rFonts w:ascii="宋体" w:hAnsi="宋体" w:cs="宋体"/>
          <w:bCs/>
          <w:sz w:val="24"/>
        </w:rPr>
      </w:pPr>
      <w:r>
        <w:rPr>
          <w:rFonts w:hint="eastAsia" w:ascii="宋体" w:hAnsi="宋体" w:cs="宋体"/>
          <w:bCs/>
          <w:sz w:val="24"/>
        </w:rPr>
        <w:t>2.3.2投标人需对采购人工程技术人员进行培训，以便及时处理简单故障保证设备正常使用。</w:t>
      </w:r>
    </w:p>
    <w:p w14:paraId="4A0543D3">
      <w:pPr>
        <w:spacing w:line="360" w:lineRule="auto"/>
        <w:ind w:firstLine="480" w:firstLineChars="200"/>
        <w:contextualSpacing/>
        <w:jc w:val="left"/>
        <w:rPr>
          <w:rFonts w:ascii="宋体" w:hAnsi="宋体" w:cs="宋体"/>
          <w:bCs/>
          <w:sz w:val="24"/>
        </w:rPr>
      </w:pPr>
      <w:r>
        <w:rPr>
          <w:rFonts w:hint="eastAsia" w:ascii="宋体" w:hAnsi="宋体" w:cs="宋体"/>
          <w:bCs/>
          <w:sz w:val="24"/>
        </w:rPr>
        <w:t>2.3.3如维保服务设备信息表“备注”中无特殊要求，则投标人每年为设备提供高级维护保养服务（CT设备每年≥3次，DSA设备每年≥2次，MR设备每年≥3次），有特殊要求以维保服务设备信息表中要求为准。投标人的保养服务需做好记录，包括但不限于设备清洁、性能测试及校准等，根据采购人要求对设备的数据进行备份。根据采购人要求的时间段，进行保养工作。</w:t>
      </w:r>
    </w:p>
    <w:p w14:paraId="4707CF1E">
      <w:pPr>
        <w:spacing w:line="360" w:lineRule="auto"/>
        <w:ind w:firstLine="480" w:firstLineChars="200"/>
        <w:contextualSpacing/>
        <w:jc w:val="left"/>
        <w:rPr>
          <w:rFonts w:ascii="宋体" w:hAnsi="宋体" w:cs="宋体"/>
          <w:bCs/>
          <w:sz w:val="24"/>
        </w:rPr>
      </w:pPr>
      <w:r>
        <w:rPr>
          <w:rFonts w:hint="eastAsia" w:ascii="宋体" w:hAnsi="宋体" w:cs="宋体"/>
          <w:bCs/>
          <w:sz w:val="24"/>
        </w:rPr>
        <w:t>2.4备件和工具要求</w:t>
      </w:r>
    </w:p>
    <w:p w14:paraId="11A18718">
      <w:pPr>
        <w:spacing w:line="360" w:lineRule="auto"/>
        <w:ind w:firstLine="480" w:firstLineChars="200"/>
        <w:contextualSpacing/>
        <w:jc w:val="left"/>
        <w:rPr>
          <w:rFonts w:ascii="宋体" w:hAnsi="宋体" w:cs="宋体"/>
          <w:bCs/>
          <w:sz w:val="24"/>
        </w:rPr>
      </w:pPr>
      <w:r>
        <w:rPr>
          <w:rFonts w:hint="eastAsia" w:ascii="宋体" w:hAnsi="宋体" w:cs="宋体"/>
          <w:bCs/>
          <w:sz w:val="24"/>
        </w:rPr>
        <w:t>2.4.1任何经投标人使用的备件须保证经过原厂安全和性能检测合格，提供的每一个备件应具有可通过官方查询追溯的序列号。</w:t>
      </w:r>
    </w:p>
    <w:p w14:paraId="7CC86B59">
      <w:pPr>
        <w:spacing w:line="360" w:lineRule="auto"/>
        <w:ind w:firstLine="480" w:firstLineChars="200"/>
        <w:contextualSpacing/>
        <w:jc w:val="left"/>
        <w:rPr>
          <w:rFonts w:ascii="宋体" w:hAnsi="宋体" w:cs="宋体"/>
          <w:bCs/>
          <w:sz w:val="24"/>
        </w:rPr>
      </w:pPr>
      <w:r>
        <w:rPr>
          <w:rFonts w:hint="eastAsia" w:ascii="宋体" w:hAnsi="宋体" w:cs="宋体"/>
          <w:bCs/>
          <w:sz w:val="24"/>
        </w:rPr>
        <w:t>2.4.2投标人需提供设备制造商出具的备件供应证明，或提供备件供应渠道的原厂备件供应证明（设备制造商出具）以及投标人和备件供应渠道之间的合作证明。</w:t>
      </w:r>
    </w:p>
    <w:p w14:paraId="2FCB280C">
      <w:pPr>
        <w:spacing w:line="360" w:lineRule="auto"/>
        <w:ind w:firstLine="480" w:firstLineChars="200"/>
        <w:contextualSpacing/>
        <w:jc w:val="left"/>
        <w:rPr>
          <w:rFonts w:ascii="宋体" w:hAnsi="宋体" w:cs="宋体"/>
          <w:bCs/>
          <w:sz w:val="24"/>
        </w:rPr>
      </w:pPr>
      <w:r>
        <w:rPr>
          <w:rFonts w:hint="eastAsia" w:ascii="宋体" w:hAnsi="宋体" w:cs="宋体"/>
          <w:bCs/>
          <w:sz w:val="24"/>
        </w:rPr>
        <w:t>2.4.3投标人需具有核磁、CT、DSA专用调试工具各一套，并提供工具清单。</w:t>
      </w:r>
    </w:p>
    <w:p w14:paraId="1FCC31CC">
      <w:pPr>
        <w:spacing w:line="360" w:lineRule="auto"/>
        <w:ind w:firstLine="480" w:firstLineChars="200"/>
        <w:contextualSpacing/>
        <w:jc w:val="left"/>
        <w:rPr>
          <w:rFonts w:ascii="宋体" w:hAnsi="宋体" w:cs="宋体"/>
          <w:bCs/>
          <w:sz w:val="24"/>
        </w:rPr>
      </w:pPr>
      <w:r>
        <w:rPr>
          <w:rFonts w:hint="eastAsia" w:ascii="宋体" w:hAnsi="宋体" w:cs="宋体"/>
          <w:bCs/>
          <w:sz w:val="24"/>
        </w:rPr>
        <w:t>2.4.4投标人至少有一家仓库，保证维保设备常用维修所需零配件的95%得到及时提供。</w:t>
      </w:r>
    </w:p>
    <w:p w14:paraId="779F25FD">
      <w:pPr>
        <w:spacing w:line="360" w:lineRule="auto"/>
        <w:ind w:firstLine="480" w:firstLineChars="200"/>
        <w:contextualSpacing/>
        <w:jc w:val="left"/>
        <w:rPr>
          <w:rFonts w:ascii="宋体" w:hAnsi="宋体" w:cs="宋体"/>
          <w:bCs/>
          <w:sz w:val="24"/>
        </w:rPr>
      </w:pPr>
      <w:r>
        <w:rPr>
          <w:rFonts w:hint="eastAsia" w:ascii="宋体" w:hAnsi="宋体" w:cs="宋体"/>
          <w:bCs/>
          <w:sz w:val="24"/>
        </w:rPr>
        <w:t>2.5</w:t>
      </w:r>
      <w:r>
        <w:rPr>
          <w:rFonts w:ascii="宋体" w:hAnsi="宋体" w:cs="宋体"/>
          <w:bCs/>
          <w:sz w:val="24"/>
        </w:rPr>
        <w:t>投标人需根据</w:t>
      </w:r>
      <w:r>
        <w:rPr>
          <w:rFonts w:hint="eastAsia" w:ascii="宋体" w:hAnsi="宋体" w:cs="宋体"/>
          <w:bCs/>
          <w:sz w:val="24"/>
        </w:rPr>
        <w:t>采购人要求</w:t>
      </w:r>
      <w:r>
        <w:rPr>
          <w:rFonts w:ascii="宋体" w:hAnsi="宋体" w:cs="宋体"/>
          <w:bCs/>
          <w:sz w:val="24"/>
        </w:rPr>
        <w:t>为相关使用及维护人员提供4人次培训名额，保证设备使用。</w:t>
      </w:r>
    </w:p>
    <w:p w14:paraId="2F8154AC">
      <w:pPr>
        <w:spacing w:line="360" w:lineRule="auto"/>
        <w:ind w:firstLine="480" w:firstLineChars="200"/>
        <w:contextualSpacing/>
        <w:jc w:val="left"/>
        <w:rPr>
          <w:rFonts w:ascii="宋体" w:hAnsi="宋体" w:cs="宋体"/>
          <w:bCs/>
          <w:sz w:val="24"/>
        </w:rPr>
      </w:pPr>
      <w:r>
        <w:rPr>
          <w:rFonts w:hint="eastAsia" w:ascii="宋体" w:hAnsi="宋体" w:cs="宋体"/>
          <w:bCs/>
          <w:sz w:val="24"/>
        </w:rPr>
        <w:t>2.6投标人需提供所保Ingenia 1.5T设备及其配套的水冷机和精密空调移机服务1次，价格已包含在投标总价中。</w:t>
      </w:r>
    </w:p>
    <w:p w14:paraId="0F9A0468">
      <w:pPr>
        <w:spacing w:line="360" w:lineRule="auto"/>
        <w:ind w:firstLine="480" w:firstLineChars="200"/>
        <w:contextualSpacing/>
        <w:jc w:val="left"/>
        <w:rPr>
          <w:rFonts w:ascii="宋体" w:hAnsi="宋体" w:cs="宋体"/>
          <w:bCs/>
          <w:sz w:val="24"/>
        </w:rPr>
      </w:pPr>
      <w:r>
        <w:rPr>
          <w:rFonts w:hint="eastAsia" w:ascii="宋体" w:hAnsi="宋体" w:cs="宋体"/>
          <w:bCs/>
          <w:sz w:val="24"/>
        </w:rPr>
        <w:t>2.6.1需提供原厂技术工程师对设备进行相关检查（软件及硬件），对设备进行评估。</w:t>
      </w:r>
    </w:p>
    <w:p w14:paraId="22A7CCEB">
      <w:pPr>
        <w:spacing w:line="360" w:lineRule="auto"/>
        <w:ind w:firstLine="480" w:firstLineChars="200"/>
        <w:contextualSpacing/>
        <w:jc w:val="left"/>
        <w:rPr>
          <w:rFonts w:ascii="宋体" w:hAnsi="宋体" w:cs="宋体"/>
          <w:bCs/>
          <w:sz w:val="24"/>
        </w:rPr>
      </w:pPr>
      <w:r>
        <w:rPr>
          <w:rFonts w:hint="eastAsia" w:ascii="宋体" w:hAnsi="宋体" w:cs="宋体"/>
          <w:bCs/>
          <w:sz w:val="24"/>
        </w:rPr>
        <w:t>2.6.2技术工程师对设备硬件进行拆分分类（专业工具箱、工装架1套到达场地）；</w:t>
      </w:r>
    </w:p>
    <w:p w14:paraId="1A6D239F">
      <w:pPr>
        <w:spacing w:line="360" w:lineRule="auto"/>
        <w:ind w:firstLine="480" w:firstLineChars="200"/>
        <w:contextualSpacing/>
        <w:jc w:val="left"/>
        <w:rPr>
          <w:rFonts w:ascii="宋体" w:hAnsi="宋体" w:cs="宋体"/>
          <w:bCs/>
          <w:sz w:val="24"/>
        </w:rPr>
      </w:pPr>
      <w:r>
        <w:rPr>
          <w:rFonts w:hint="eastAsia" w:ascii="宋体" w:hAnsi="宋体" w:cs="宋体"/>
          <w:bCs/>
          <w:sz w:val="24"/>
        </w:rPr>
        <w:t>2.6.3技术工程师对设备主要备件进行拆分，技术工程师协助指导实施工程师对设备进行拆除；</w:t>
      </w:r>
    </w:p>
    <w:p w14:paraId="67FC52D7">
      <w:pPr>
        <w:spacing w:line="360" w:lineRule="auto"/>
        <w:ind w:firstLine="480" w:firstLineChars="200"/>
        <w:contextualSpacing/>
        <w:jc w:val="left"/>
        <w:rPr>
          <w:rFonts w:ascii="宋体" w:hAnsi="宋体" w:cs="宋体"/>
          <w:bCs/>
          <w:sz w:val="24"/>
        </w:rPr>
      </w:pPr>
      <w:r>
        <w:rPr>
          <w:rFonts w:hint="eastAsia" w:ascii="宋体" w:hAnsi="宋体" w:cs="宋体"/>
          <w:bCs/>
          <w:sz w:val="24"/>
        </w:rPr>
        <w:t>2.6.4转移至指定区域对所有备件进行除尘、检查、分类、编组包装</w:t>
      </w:r>
    </w:p>
    <w:p w14:paraId="5602F844">
      <w:pPr>
        <w:spacing w:line="360" w:lineRule="auto"/>
        <w:ind w:firstLine="480" w:firstLineChars="200"/>
        <w:contextualSpacing/>
        <w:jc w:val="left"/>
        <w:rPr>
          <w:rFonts w:ascii="宋体" w:hAnsi="宋体" w:cs="宋体"/>
          <w:bCs/>
          <w:sz w:val="24"/>
        </w:rPr>
      </w:pPr>
      <w:r>
        <w:rPr>
          <w:rFonts w:hint="eastAsia" w:ascii="宋体" w:hAnsi="宋体" w:cs="宋体"/>
          <w:bCs/>
          <w:sz w:val="24"/>
        </w:rPr>
        <w:t>2.6.5转运至医院指定位置， 再次安装，调试，校准（提供安装场地要求条件指导，不包含新场地安装必要条件准备）；</w:t>
      </w:r>
    </w:p>
    <w:p w14:paraId="4AFB33B3">
      <w:pPr>
        <w:spacing w:line="360" w:lineRule="auto"/>
        <w:ind w:firstLine="480" w:firstLineChars="200"/>
        <w:contextualSpacing/>
        <w:jc w:val="left"/>
        <w:rPr>
          <w:rFonts w:ascii="宋体" w:hAnsi="宋体" w:cs="宋体"/>
          <w:bCs/>
          <w:sz w:val="24"/>
        </w:rPr>
      </w:pPr>
      <w:r>
        <w:rPr>
          <w:rFonts w:hint="eastAsia" w:ascii="宋体" w:hAnsi="宋体" w:cs="宋体"/>
          <w:bCs/>
          <w:sz w:val="24"/>
        </w:rPr>
        <w:t>2.6.6包含在拆装机过程中必备使用硬件（如易损耗的地线、电源线，绝缘垫片，各类固定器等）；</w:t>
      </w:r>
    </w:p>
    <w:p w14:paraId="21FB428E">
      <w:pPr>
        <w:spacing w:line="360" w:lineRule="auto"/>
        <w:ind w:firstLine="480" w:firstLineChars="200"/>
        <w:contextualSpacing/>
        <w:jc w:val="left"/>
        <w:rPr>
          <w:rFonts w:ascii="宋体" w:hAnsi="宋体" w:cs="宋体"/>
          <w:bCs/>
          <w:sz w:val="24"/>
        </w:rPr>
      </w:pPr>
      <w:r>
        <w:rPr>
          <w:rFonts w:hint="eastAsia" w:ascii="宋体" w:hAnsi="宋体" w:cs="宋体"/>
          <w:bCs/>
          <w:sz w:val="24"/>
        </w:rPr>
        <w:t>2.6.7不包含在拆机、转运、安装过程中非人为因素造成的备件损坏。</w:t>
      </w:r>
    </w:p>
    <w:p w14:paraId="3F3503F9">
      <w:pPr>
        <w:spacing w:line="360" w:lineRule="auto"/>
        <w:ind w:firstLine="480" w:firstLineChars="200"/>
        <w:jc w:val="left"/>
        <w:rPr>
          <w:rFonts w:ascii="宋体" w:hAnsi="宋体" w:cs="宋体"/>
          <w:sz w:val="24"/>
        </w:rPr>
      </w:pPr>
    </w:p>
    <w:p w14:paraId="6FE63EBF">
      <w:pPr>
        <w:spacing w:line="360" w:lineRule="auto"/>
        <w:rPr>
          <w:rFonts w:ascii="宋体" w:hAnsi="宋体" w:cs="宋体"/>
          <w:b/>
          <w:bCs/>
          <w:sz w:val="24"/>
        </w:rPr>
      </w:pPr>
      <w:r>
        <w:rPr>
          <w:rFonts w:hint="eastAsia" w:ascii="宋体" w:hAnsi="宋体" w:cs="宋体"/>
          <w:b/>
          <w:bCs/>
          <w:sz w:val="24"/>
        </w:rPr>
        <w:t>四、为落实政府采购政策需满足的要求</w:t>
      </w:r>
    </w:p>
    <w:p w14:paraId="6F0216AD">
      <w:pPr>
        <w:pStyle w:val="2"/>
        <w:spacing w:line="360" w:lineRule="auto"/>
        <w:ind w:firstLine="480" w:firstLineChars="200"/>
        <w:rPr>
          <w:rFonts w:hAnsi="宋体" w:cs="宋体"/>
          <w:bCs/>
        </w:rPr>
      </w:pPr>
      <w:r>
        <w:rPr>
          <w:rFonts w:hint="eastAsia" w:hAnsi="宋体" w:cs="宋体"/>
          <w:bCs/>
        </w:rPr>
        <w:t>1.促进中小企业发展政策：根据《政府采购促进中小企业发展管理办法》规定，本项目采 购货物为中型、小型或微型企业制造的，投标人应出具招标文件要求的《中小企业声明函》给予证明，否则评标时不予认可。投标人应对提交的中小企业声明函的真实性负责，提交的中小企业声明函不真实的，应承担相应的法律责任。（注：依据《政府采购促进中小企业发展管理办法》规定享受扶持政策获得政府采购合同的小微企业不得将合同分包给大中型企业，中型企业不得将合同分包给大型企业。）</w:t>
      </w:r>
    </w:p>
    <w:p w14:paraId="3E2CDD43">
      <w:pPr>
        <w:pStyle w:val="2"/>
        <w:spacing w:line="360" w:lineRule="auto"/>
        <w:ind w:firstLine="480" w:firstLineChars="200"/>
        <w:rPr>
          <w:rFonts w:hAnsi="宋体" w:cs="宋体"/>
          <w:bCs/>
        </w:rPr>
      </w:pPr>
      <w:r>
        <w:rPr>
          <w:rFonts w:hint="eastAsia" w:hAnsi="宋体" w:cs="宋体"/>
          <w:bCs/>
        </w:rPr>
        <w:t>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14:paraId="5A313B44">
      <w:pPr>
        <w:pStyle w:val="2"/>
        <w:spacing w:line="360" w:lineRule="auto"/>
        <w:ind w:firstLine="480" w:firstLineChars="200"/>
        <w:rPr>
          <w:rFonts w:hAnsi="宋体" w:cs="宋体"/>
          <w:bCs/>
        </w:rPr>
      </w:pPr>
      <w:r>
        <w:rPr>
          <w:rFonts w:hint="eastAsia" w:hAnsi="宋体" w:cs="宋体"/>
          <w:bCs/>
        </w:rPr>
        <w:t>3.促进残疾人就业政府采购政策：根据《三部门联合发布关于促进残疾人就业政府采购政策的通知》（财库〔2017〕141 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14:paraId="2DBB7712">
      <w:pPr>
        <w:pStyle w:val="2"/>
        <w:wordWrap w:val="0"/>
        <w:topLinePunct/>
        <w:autoSpaceDE/>
        <w:autoSpaceDN/>
        <w:spacing w:line="360" w:lineRule="auto"/>
        <w:ind w:firstLine="480" w:firstLineChars="200"/>
        <w:rPr>
          <w:rFonts w:hAnsi="宋体" w:cs="宋体"/>
          <w:bCs/>
        </w:rPr>
      </w:pPr>
      <w:r>
        <w:rPr>
          <w:rFonts w:hint="eastAsia" w:hAnsi="宋体" w:cs="宋体"/>
          <w:bCs/>
        </w:rPr>
        <w:t>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ww.ccgp.gov.cn）建立的认证结果信息发布平台链接中查询下载。</w:t>
      </w:r>
    </w:p>
    <w:p w14:paraId="07626230">
      <w:pPr>
        <w:spacing w:line="360" w:lineRule="auto"/>
        <w:ind w:firstLine="480" w:firstLineChars="200"/>
        <w:rPr>
          <w:rFonts w:hint="eastAsia" w:ascii="宋体" w:hAnsi="宋体" w:eastAsia="宋体" w:cs="宋体"/>
          <w:bCs/>
          <w:kern w:val="2"/>
          <w:sz w:val="24"/>
          <w:szCs w:val="24"/>
          <w:lang w:val="en-US" w:eastAsia="zh-CN" w:bidi="ar-SA"/>
        </w:rPr>
      </w:pPr>
      <w:bookmarkStart w:id="3" w:name="_GoBack"/>
      <w:bookmarkEnd w:id="3"/>
      <w:r>
        <w:rPr>
          <w:rFonts w:hint="eastAsia" w:ascii="宋体" w:hAnsi="宋体" w:eastAsia="宋体" w:cs="宋体"/>
          <w:bCs/>
          <w:kern w:val="2"/>
          <w:sz w:val="24"/>
          <w:szCs w:val="24"/>
          <w:lang w:val="en-US" w:eastAsia="zh-CN" w:bidi="ar-SA"/>
        </w:rPr>
        <w:t>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ww.ccgp.gov.cn）建立的认证结果信息发布平台链接中查询下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3A3D17"/>
    <w:multiLevelType w:val="singleLevel"/>
    <w:tmpl w:val="DB3A3D1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612937"/>
    <w:rsid w:val="0F6129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0"/>
    <w:pPr>
      <w:autoSpaceDE w:val="0"/>
      <w:autoSpaceDN w:val="0"/>
      <w:adjustRightInd w:val="0"/>
      <w:ind w:firstLine="420"/>
      <w:jc w:val="left"/>
    </w:pPr>
    <w:rPr>
      <w:rFonts w:ascii="宋体"/>
      <w:sz w:val="24"/>
    </w:rPr>
  </w:style>
  <w:style w:type="paragraph" w:customStyle="1" w:styleId="5">
    <w:name w:val="列出段落1"/>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2025-08-15T07:55:00Z</dcterms:created>
  <dc:creator>周连妹</dc:creator>
  <cp:lastModifiedBy>周连妹</cp:lastModifiedBy>
  <dcterms:modified xsi:type="dcterms:W3CDTF">2025-08-15T08:01:48Z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B70F3F6A0EFD47BC85C17915712921D6_11</vt:lpwstr>
  </property>
  <property fmtid="{D5CDD505-2E9C-101B-9397-08002B2CF9AE}" pid="4" name="KSOTemplateDocerSaveRecord">
    <vt:lpwstr>eyJoZGlkIjoiOTBlYjhiOWM3OTA5ZDBjNmEzYjU5M2VjODA1MmY2OGEiLCJ1c2VySWQiOiIyOTI2NjUzMzQifQ==</vt:lpwstr>
  </property>
</Properties>
</file>