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384CC">
      <w:pPr>
        <w:spacing w:line="360" w:lineRule="auto"/>
        <w:jc w:val="center"/>
        <w:outlineLvl w:val="0"/>
        <w:rPr>
          <w:rFonts w:ascii="宋体" w:hAnsi="宋体"/>
          <w:b/>
          <w:sz w:val="36"/>
          <w:szCs w:val="36"/>
        </w:rPr>
      </w:pPr>
      <w:r>
        <w:rPr>
          <w:rFonts w:ascii="宋体" w:hAnsi="宋体"/>
          <w:b/>
          <w:sz w:val="36"/>
          <w:szCs w:val="36"/>
        </w:rPr>
        <w:t>采购需求</w:t>
      </w:r>
    </w:p>
    <w:p w14:paraId="65C3A6C0">
      <w:pPr>
        <w:pStyle w:val="5"/>
        <w:spacing w:line="360" w:lineRule="auto"/>
        <w:ind w:firstLine="482"/>
        <w:contextualSpacing/>
        <w:rPr>
          <w:rFonts w:ascii="宋体" w:hAnsi="宋体" w:cs="宋体"/>
          <w:b/>
          <w:sz w:val="24"/>
          <w:szCs w:val="24"/>
        </w:rPr>
      </w:pPr>
      <w:r>
        <w:rPr>
          <w:rFonts w:ascii="宋体" w:hAnsi="宋体" w:cs="宋体"/>
          <w:b/>
          <w:sz w:val="24"/>
          <w:szCs w:val="24"/>
        </w:rPr>
        <w:t>一、采购标的</w:t>
      </w:r>
    </w:p>
    <w:p w14:paraId="5D6F3E29">
      <w:pPr>
        <w:spacing w:line="360" w:lineRule="auto"/>
        <w:ind w:left="130" w:leftChars="62" w:firstLine="302" w:firstLineChars="126"/>
        <w:rPr>
          <w:rFonts w:ascii="宋体" w:hAnsi="宋体" w:cs="宋体"/>
          <w:sz w:val="24"/>
        </w:rPr>
      </w:pPr>
      <w:r>
        <w:rPr>
          <w:rFonts w:hint="eastAsia" w:ascii="宋体" w:hAnsi="宋体" w:cs="宋体"/>
          <w:sz w:val="24"/>
        </w:rPr>
        <w:t>1. 采购标的</w:t>
      </w:r>
    </w:p>
    <w:tbl>
      <w:tblPr>
        <w:tblStyle w:val="3"/>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577"/>
        <w:gridCol w:w="4728"/>
      </w:tblGrid>
      <w:tr w14:paraId="63AA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vAlign w:val="center"/>
          </w:tcPr>
          <w:p w14:paraId="79BDA849">
            <w:pPr>
              <w:jc w:val="center"/>
              <w:rPr>
                <w:rFonts w:ascii="宋体" w:hAnsi="宋体"/>
                <w:bCs/>
                <w:sz w:val="24"/>
              </w:rPr>
            </w:pPr>
            <w:r>
              <w:rPr>
                <w:rFonts w:hint="eastAsia" w:ascii="宋体" w:hAnsi="宋体"/>
                <w:bCs/>
                <w:sz w:val="24"/>
              </w:rPr>
              <w:t>序号</w:t>
            </w:r>
          </w:p>
        </w:tc>
        <w:tc>
          <w:tcPr>
            <w:tcW w:w="2577" w:type="dxa"/>
            <w:vAlign w:val="center"/>
          </w:tcPr>
          <w:p w14:paraId="66682AA0">
            <w:pPr>
              <w:jc w:val="center"/>
              <w:rPr>
                <w:rFonts w:ascii="宋体" w:hAnsi="宋体"/>
                <w:bCs/>
                <w:sz w:val="24"/>
              </w:rPr>
            </w:pPr>
            <w:r>
              <w:rPr>
                <w:rFonts w:hint="eastAsia" w:ascii="宋体" w:hAnsi="宋体"/>
                <w:bCs/>
                <w:sz w:val="24"/>
              </w:rPr>
              <w:t>标的名称</w:t>
            </w:r>
          </w:p>
        </w:tc>
        <w:tc>
          <w:tcPr>
            <w:tcW w:w="4728" w:type="dxa"/>
            <w:vAlign w:val="center"/>
          </w:tcPr>
          <w:p w14:paraId="6209839A">
            <w:pPr>
              <w:jc w:val="center"/>
              <w:rPr>
                <w:rFonts w:ascii="宋体" w:hAnsi="宋体"/>
                <w:bCs/>
                <w:sz w:val="24"/>
              </w:rPr>
            </w:pPr>
            <w:r>
              <w:rPr>
                <w:rFonts w:hint="eastAsia" w:ascii="宋体" w:hAnsi="宋体"/>
                <w:bCs/>
                <w:sz w:val="24"/>
              </w:rPr>
              <w:t>简要技术需求</w:t>
            </w:r>
          </w:p>
        </w:tc>
      </w:tr>
      <w:tr w14:paraId="2FAC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vAlign w:val="center"/>
          </w:tcPr>
          <w:p w14:paraId="0D8A5F53">
            <w:pPr>
              <w:jc w:val="center"/>
              <w:rPr>
                <w:rFonts w:ascii="宋体" w:hAnsi="宋体"/>
                <w:bCs/>
                <w:sz w:val="24"/>
              </w:rPr>
            </w:pPr>
            <w:r>
              <w:rPr>
                <w:rFonts w:hint="eastAsia" w:ascii="宋体" w:hAnsi="宋体"/>
                <w:bCs/>
                <w:sz w:val="24"/>
              </w:rPr>
              <w:t>1</w:t>
            </w:r>
          </w:p>
        </w:tc>
        <w:tc>
          <w:tcPr>
            <w:tcW w:w="2577" w:type="dxa"/>
            <w:vAlign w:val="center"/>
          </w:tcPr>
          <w:p w14:paraId="0D6FDB27">
            <w:pPr>
              <w:jc w:val="center"/>
              <w:rPr>
                <w:rFonts w:ascii="宋体" w:hAnsi="宋体"/>
                <w:bCs/>
                <w:sz w:val="24"/>
              </w:rPr>
            </w:pPr>
            <w:r>
              <w:rPr>
                <w:rFonts w:hint="eastAsia" w:ascii="宋体" w:hAnsi="宋体"/>
                <w:bCs/>
                <w:sz w:val="24"/>
              </w:rPr>
              <w:t>临床研究分中心协作委托</w:t>
            </w:r>
          </w:p>
        </w:tc>
        <w:tc>
          <w:tcPr>
            <w:tcW w:w="4728" w:type="dxa"/>
            <w:vAlign w:val="center"/>
          </w:tcPr>
          <w:p w14:paraId="0345645C">
            <w:pPr>
              <w:jc w:val="left"/>
              <w:rPr>
                <w:rFonts w:ascii="宋体" w:hAnsi="宋体"/>
                <w:bCs/>
                <w:sz w:val="24"/>
              </w:rPr>
            </w:pPr>
            <w:r>
              <w:rPr>
                <w:rFonts w:hint="eastAsia" w:ascii="宋体" w:hAnsi="宋体"/>
                <w:bCs/>
                <w:sz w:val="24"/>
              </w:rPr>
              <w:t>要保证数据信息的完整度不能低于90%且保证数据准确、真实。</w:t>
            </w:r>
          </w:p>
        </w:tc>
      </w:tr>
      <w:tr w14:paraId="0770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vAlign w:val="center"/>
          </w:tcPr>
          <w:p w14:paraId="07EB36A7">
            <w:pPr>
              <w:jc w:val="center"/>
              <w:rPr>
                <w:rFonts w:ascii="宋体" w:hAnsi="宋体"/>
                <w:bCs/>
                <w:sz w:val="24"/>
              </w:rPr>
            </w:pPr>
            <w:r>
              <w:rPr>
                <w:rFonts w:hint="eastAsia" w:ascii="宋体" w:hAnsi="宋体"/>
                <w:bCs/>
                <w:sz w:val="24"/>
              </w:rPr>
              <w:t>2</w:t>
            </w:r>
          </w:p>
        </w:tc>
        <w:tc>
          <w:tcPr>
            <w:tcW w:w="2577" w:type="dxa"/>
            <w:vAlign w:val="center"/>
          </w:tcPr>
          <w:p w14:paraId="51F3B192">
            <w:pPr>
              <w:jc w:val="center"/>
              <w:rPr>
                <w:rFonts w:ascii="宋体" w:hAnsi="宋体"/>
                <w:bCs/>
                <w:sz w:val="24"/>
              </w:rPr>
            </w:pPr>
            <w:r>
              <w:rPr>
                <w:rFonts w:hint="eastAsia" w:ascii="宋体" w:hAnsi="宋体"/>
                <w:bCs/>
                <w:sz w:val="24"/>
              </w:rPr>
              <w:t>脑卒中患者随机对照试验委托</w:t>
            </w:r>
          </w:p>
        </w:tc>
        <w:tc>
          <w:tcPr>
            <w:tcW w:w="4728" w:type="dxa"/>
            <w:vAlign w:val="center"/>
          </w:tcPr>
          <w:p w14:paraId="496A07FA">
            <w:pPr>
              <w:jc w:val="left"/>
              <w:rPr>
                <w:rFonts w:ascii="宋体" w:hAnsi="宋体"/>
                <w:bCs/>
                <w:sz w:val="24"/>
              </w:rPr>
            </w:pPr>
            <w:r>
              <w:rPr>
                <w:rFonts w:hint="eastAsia" w:ascii="宋体" w:hAnsi="宋体"/>
                <w:bCs/>
                <w:sz w:val="24"/>
              </w:rPr>
              <w:t>质量控制：整体误差率≤0.5%。</w:t>
            </w:r>
          </w:p>
        </w:tc>
      </w:tr>
      <w:tr w14:paraId="4A5F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 w:type="dxa"/>
            <w:vAlign w:val="center"/>
          </w:tcPr>
          <w:p w14:paraId="17CC34E5">
            <w:pPr>
              <w:jc w:val="center"/>
              <w:rPr>
                <w:rFonts w:ascii="宋体" w:hAnsi="宋体"/>
                <w:bCs/>
                <w:sz w:val="24"/>
              </w:rPr>
            </w:pPr>
            <w:r>
              <w:rPr>
                <w:rFonts w:hint="eastAsia" w:ascii="宋体" w:hAnsi="宋体"/>
                <w:bCs/>
                <w:sz w:val="24"/>
              </w:rPr>
              <w:t>3</w:t>
            </w:r>
          </w:p>
        </w:tc>
        <w:tc>
          <w:tcPr>
            <w:tcW w:w="2577" w:type="dxa"/>
            <w:vAlign w:val="center"/>
          </w:tcPr>
          <w:p w14:paraId="483B802E">
            <w:pPr>
              <w:jc w:val="center"/>
              <w:rPr>
                <w:rFonts w:ascii="宋体" w:hAnsi="宋体"/>
                <w:bCs/>
                <w:sz w:val="24"/>
              </w:rPr>
            </w:pPr>
            <w:r>
              <w:rPr>
                <w:rFonts w:hint="eastAsia" w:ascii="宋体" w:hAnsi="宋体"/>
                <w:bCs/>
                <w:sz w:val="24"/>
              </w:rPr>
              <w:t>AD血液标志物检测</w:t>
            </w:r>
          </w:p>
        </w:tc>
        <w:tc>
          <w:tcPr>
            <w:tcW w:w="4728" w:type="dxa"/>
            <w:vAlign w:val="center"/>
          </w:tcPr>
          <w:p w14:paraId="1DD37D76">
            <w:pPr>
              <w:jc w:val="left"/>
              <w:rPr>
                <w:rFonts w:ascii="宋体" w:hAnsi="宋体"/>
                <w:bCs/>
                <w:sz w:val="24"/>
              </w:rPr>
            </w:pPr>
            <w:r>
              <w:rPr>
                <w:rFonts w:hint="eastAsia" w:ascii="宋体" w:hAnsi="宋体"/>
                <w:bCs/>
                <w:sz w:val="24"/>
              </w:rPr>
              <w:t>实验周期：接收样本后15天内反馈结果。</w:t>
            </w:r>
          </w:p>
        </w:tc>
      </w:tr>
    </w:tbl>
    <w:p w14:paraId="799AE911">
      <w:pPr>
        <w:pStyle w:val="6"/>
        <w:spacing w:line="360" w:lineRule="auto"/>
        <w:ind w:firstLine="482"/>
        <w:contextualSpacing/>
        <w:jc w:val="left"/>
        <w:rPr>
          <w:rFonts w:ascii="宋体" w:hAnsi="宋体"/>
          <w:b/>
          <w:sz w:val="24"/>
          <w:szCs w:val="24"/>
        </w:rPr>
      </w:pPr>
    </w:p>
    <w:p w14:paraId="13495BCA">
      <w:pPr>
        <w:pStyle w:val="6"/>
        <w:spacing w:line="360" w:lineRule="auto"/>
        <w:ind w:firstLine="482"/>
        <w:contextualSpacing/>
        <w:jc w:val="left"/>
        <w:rPr>
          <w:rFonts w:ascii="宋体" w:hAnsi="宋体"/>
          <w:b/>
          <w:sz w:val="24"/>
          <w:szCs w:val="24"/>
        </w:rPr>
      </w:pPr>
      <w:r>
        <w:rPr>
          <w:rFonts w:ascii="宋体" w:hAnsi="宋体"/>
          <w:b/>
          <w:sz w:val="24"/>
          <w:szCs w:val="24"/>
        </w:rPr>
        <w:t>二、商务要求</w:t>
      </w:r>
    </w:p>
    <w:p w14:paraId="6C737511">
      <w:pPr>
        <w:spacing w:line="360" w:lineRule="auto"/>
        <w:ind w:firstLine="482" w:firstLineChars="200"/>
        <w:contextualSpacing/>
        <w:jc w:val="left"/>
        <w:rPr>
          <w:rFonts w:ascii="宋体" w:hAnsi="宋体" w:cs="宋体"/>
          <w:b/>
          <w:sz w:val="24"/>
        </w:rPr>
      </w:pPr>
      <w:r>
        <w:rPr>
          <w:rFonts w:hint="eastAsia" w:ascii="宋体" w:hAnsi="宋体" w:cs="宋体"/>
          <w:b/>
          <w:sz w:val="24"/>
        </w:rPr>
        <w:t>（一）服务期限和地点：</w:t>
      </w:r>
    </w:p>
    <w:p w14:paraId="582C97BA">
      <w:pPr>
        <w:spacing w:line="360" w:lineRule="auto"/>
        <w:ind w:firstLine="480" w:firstLineChars="200"/>
        <w:contextualSpacing/>
        <w:jc w:val="left"/>
        <w:rPr>
          <w:rFonts w:ascii="宋体" w:hAnsi="宋体"/>
        </w:rPr>
      </w:pPr>
      <w:r>
        <w:rPr>
          <w:rFonts w:hint="eastAsia" w:ascii="宋体" w:hAnsi="宋体" w:cs="宋体"/>
          <w:bCs/>
          <w:sz w:val="24"/>
        </w:rPr>
        <w:t>1.</w:t>
      </w:r>
      <w:r>
        <w:rPr>
          <w:rFonts w:hint="eastAsia" w:ascii="宋体" w:hAnsi="宋体" w:cs="宋体"/>
          <w:b/>
          <w:sz w:val="24"/>
        </w:rPr>
        <w:t>服务期限</w:t>
      </w:r>
      <w:r>
        <w:rPr>
          <w:rFonts w:hint="eastAsia" w:ascii="宋体" w:hAnsi="宋体"/>
          <w:bCs/>
          <w:sz w:val="24"/>
        </w:rPr>
        <w:t>：</w:t>
      </w:r>
      <w:r>
        <w:rPr>
          <w:rFonts w:hint="eastAsia" w:ascii="宋体" w:hAnsi="宋体" w:cs="宋体"/>
          <w:bCs/>
          <w:sz w:val="24"/>
        </w:rPr>
        <w:t>自合同签订生效后1年。</w:t>
      </w:r>
    </w:p>
    <w:p w14:paraId="766F2797">
      <w:pPr>
        <w:spacing w:line="360" w:lineRule="auto"/>
        <w:ind w:firstLine="480" w:firstLineChars="200"/>
        <w:contextualSpacing/>
        <w:jc w:val="left"/>
        <w:rPr>
          <w:rFonts w:ascii="宋体" w:hAnsi="宋体" w:cs="宋体"/>
          <w:bCs/>
          <w:sz w:val="24"/>
        </w:rPr>
      </w:pPr>
      <w:r>
        <w:rPr>
          <w:rFonts w:hint="eastAsia" w:ascii="宋体" w:hAnsi="宋体" w:cs="宋体"/>
          <w:bCs/>
          <w:sz w:val="24"/>
        </w:rPr>
        <w:t>2.</w:t>
      </w:r>
      <w:r>
        <w:rPr>
          <w:rFonts w:hint="eastAsia" w:ascii="宋体" w:hAnsi="宋体" w:cs="宋体"/>
          <w:b/>
          <w:sz w:val="24"/>
        </w:rPr>
        <w:t>服务地点：</w:t>
      </w:r>
      <w:r>
        <w:rPr>
          <w:rFonts w:hint="eastAsia" w:ascii="宋体" w:hAnsi="宋体" w:cs="宋体"/>
          <w:bCs/>
          <w:sz w:val="24"/>
        </w:rPr>
        <w:t>采购人指定地点</w:t>
      </w:r>
    </w:p>
    <w:p w14:paraId="2F1587F1">
      <w:pPr>
        <w:spacing w:line="360" w:lineRule="auto"/>
        <w:ind w:firstLine="482" w:firstLineChars="200"/>
        <w:contextualSpacing/>
        <w:jc w:val="left"/>
        <w:rPr>
          <w:rFonts w:ascii="宋体" w:hAnsi="宋体" w:cs="宋体"/>
          <w:bCs/>
          <w:sz w:val="24"/>
        </w:rPr>
      </w:pPr>
      <w:r>
        <w:rPr>
          <w:rFonts w:hint="eastAsia" w:ascii="宋体" w:hAnsi="宋体" w:cs="宋体"/>
          <w:b/>
          <w:sz w:val="24"/>
        </w:rPr>
        <w:t>（二）付款条件（进度和方式）：详见第六章《拟签订的合同文本》</w:t>
      </w:r>
      <w:r>
        <w:rPr>
          <w:rFonts w:hint="eastAsia" w:ascii="宋体" w:hAnsi="宋体" w:cs="宋体"/>
          <w:bCs/>
          <w:sz w:val="24"/>
        </w:rPr>
        <w:t>。</w:t>
      </w:r>
    </w:p>
    <w:p w14:paraId="2C8C9AD7">
      <w:pPr>
        <w:pStyle w:val="5"/>
        <w:spacing w:line="360" w:lineRule="auto"/>
        <w:ind w:firstLine="482"/>
        <w:contextualSpacing/>
        <w:rPr>
          <w:rFonts w:ascii="宋体" w:hAnsi="宋体" w:cs="宋体"/>
          <w:b/>
          <w:sz w:val="24"/>
          <w:szCs w:val="24"/>
        </w:rPr>
      </w:pPr>
      <w:r>
        <w:rPr>
          <w:rFonts w:hint="eastAsia" w:ascii="宋体" w:hAnsi="宋体" w:cs="宋体"/>
          <w:b/>
          <w:sz w:val="24"/>
          <w:szCs w:val="24"/>
        </w:rPr>
        <w:t>三、技术要求</w:t>
      </w:r>
    </w:p>
    <w:p w14:paraId="64EA3A7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（一）基本要求</w:t>
      </w:r>
    </w:p>
    <w:p w14:paraId="114A867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1.采购标的需实现的功能或者目标</w:t>
      </w:r>
    </w:p>
    <w:p w14:paraId="10CC73FE">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1.1投标人应根据招标文件所提出的服务要求，以优良的服务和优惠的价格，充分显示自己的竞争实力。</w:t>
      </w:r>
    </w:p>
    <w:p w14:paraId="27DF262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2.需执行的国家相关标准、行业标准、地方标准或者其他标准、规范：投标人所提供的服务应符合国家有关部门规定的相应技术法规及标准要求。</w:t>
      </w:r>
    </w:p>
    <w:p w14:paraId="622CC0F8">
      <w:pPr>
        <w:spacing w:line="360" w:lineRule="auto"/>
        <w:ind w:firstLine="480" w:firstLineChars="200"/>
        <w:rPr>
          <w:rFonts w:ascii="宋体" w:hAnsi="宋体" w:cstheme="majorEastAsia"/>
          <w:sz w:val="24"/>
        </w:rPr>
      </w:pPr>
      <w:r>
        <w:rPr>
          <w:rFonts w:hint="eastAsia" w:ascii="宋体" w:hAnsi="宋体" w:cstheme="majorEastAsia"/>
          <w:sz w:val="24"/>
        </w:rPr>
        <w:t>（二）服务内容及要求</w:t>
      </w:r>
    </w:p>
    <w:p w14:paraId="78C3D6D7">
      <w:pPr>
        <w:pStyle w:val="2"/>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采购标的1：临床研究分中心协作委托</w:t>
      </w:r>
    </w:p>
    <w:p w14:paraId="702400F6">
      <w:pPr>
        <w:spacing w:line="360" w:lineRule="auto"/>
        <w:ind w:firstLine="480" w:firstLineChars="200"/>
        <w:rPr>
          <w:rFonts w:ascii="宋体" w:hAnsi="宋体" w:cs="宋体"/>
          <w:sz w:val="24"/>
        </w:rPr>
      </w:pPr>
      <w:r>
        <w:rPr>
          <w:rFonts w:hint="eastAsia" w:ascii="宋体" w:hAnsi="宋体" w:cs="宋体"/>
          <w:sz w:val="24"/>
        </w:rPr>
        <w:t>1.与≥70家分中心建立项目合作。</w:t>
      </w:r>
    </w:p>
    <w:p w14:paraId="4233F867">
      <w:pPr>
        <w:spacing w:line="360" w:lineRule="auto"/>
        <w:ind w:firstLine="480" w:firstLineChars="200"/>
        <w:rPr>
          <w:rFonts w:ascii="宋体" w:hAnsi="宋体" w:cs="宋体"/>
          <w:sz w:val="24"/>
        </w:rPr>
      </w:pPr>
      <w:r>
        <w:rPr>
          <w:rFonts w:hint="eastAsia" w:ascii="宋体" w:hAnsi="宋体" w:cs="宋体"/>
          <w:sz w:val="24"/>
        </w:rPr>
        <w:t>2.协助每家分中心入组数据≥100组。</w:t>
      </w:r>
    </w:p>
    <w:p w14:paraId="2B34DCF3">
      <w:pPr>
        <w:spacing w:line="360" w:lineRule="auto"/>
        <w:ind w:firstLine="480" w:firstLineChars="200"/>
        <w:rPr>
          <w:rFonts w:ascii="宋体" w:hAnsi="宋体" w:cs="宋体"/>
          <w:sz w:val="24"/>
        </w:rPr>
      </w:pPr>
      <w:r>
        <w:rPr>
          <w:rFonts w:hint="eastAsia" w:ascii="宋体" w:hAnsi="宋体" w:cs="宋体"/>
          <w:sz w:val="24"/>
        </w:rPr>
        <w:t>3.协助每家分中心按照委托方研究方案执行研究工作，按统一的纳排标准收集数据，维护多中心研究的一致性。</w:t>
      </w:r>
    </w:p>
    <w:p w14:paraId="101978D8">
      <w:pPr>
        <w:spacing w:line="360" w:lineRule="auto"/>
        <w:ind w:firstLine="480" w:firstLineChars="200"/>
        <w:rPr>
          <w:rFonts w:ascii="宋体" w:hAnsi="宋体" w:cs="宋体"/>
          <w:sz w:val="24"/>
        </w:rPr>
      </w:pPr>
      <w:r>
        <w:rPr>
          <w:rFonts w:hint="eastAsia" w:ascii="宋体" w:hAnsi="宋体" w:cs="宋体"/>
          <w:sz w:val="24"/>
        </w:rPr>
        <w:t>4.要保证数据信息的完整度≥90%且保证数据准确、真实。</w:t>
      </w:r>
    </w:p>
    <w:p w14:paraId="51365C00">
      <w:pPr>
        <w:spacing w:line="360" w:lineRule="auto"/>
        <w:ind w:firstLine="480" w:firstLineChars="200"/>
        <w:rPr>
          <w:rFonts w:ascii="宋体" w:hAnsi="宋体" w:cs="宋体"/>
          <w:sz w:val="24"/>
        </w:rPr>
      </w:pPr>
      <w:r>
        <w:rPr>
          <w:rFonts w:hint="eastAsia" w:ascii="宋体" w:hAnsi="宋体" w:cs="宋体"/>
          <w:sz w:val="24"/>
        </w:rPr>
        <w:t>5.最终科研成果、知识产权等归属权由采购人跟对应分中心协商，供应商对此成果、知识产权没有支配所有权，并且供应商在服务期间不得以任何形式（包括但不限于期刊论文、会议报告、学位论文、研究报告等）公开发表与本项目相关的单中心数据研究结果。如因特殊情况需要提前发布，须事先获得委托方书面同意。</w:t>
      </w:r>
    </w:p>
    <w:p w14:paraId="7E0FCC30">
      <w:pPr>
        <w:spacing w:line="360" w:lineRule="auto"/>
        <w:ind w:firstLine="480" w:firstLineChars="200"/>
        <w:rPr>
          <w:rFonts w:ascii="宋体" w:hAnsi="宋体" w:cs="宋体"/>
          <w:sz w:val="24"/>
        </w:rPr>
      </w:pPr>
      <w:r>
        <w:rPr>
          <w:rFonts w:hint="eastAsia" w:ascii="宋体" w:hAnsi="宋体" w:cs="宋体"/>
          <w:sz w:val="24"/>
        </w:rPr>
        <w:t>6.人员要求：项目人员≥1人，专业为生物相关专业，具有国家药监局颁发的GCP认证（结业）证书。</w:t>
      </w:r>
    </w:p>
    <w:p w14:paraId="54CE76BB">
      <w:pPr>
        <w:pStyle w:val="2"/>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采购标的2：脑卒中患者随机对照试验委托</w:t>
      </w:r>
    </w:p>
    <w:p w14:paraId="7FE7BD09">
      <w:pPr>
        <w:spacing w:line="360" w:lineRule="auto"/>
        <w:ind w:firstLine="480" w:firstLineChars="200"/>
        <w:rPr>
          <w:rFonts w:ascii="宋体" w:hAnsi="宋体" w:cs="宋体"/>
          <w:sz w:val="24"/>
        </w:rPr>
      </w:pPr>
      <w:r>
        <w:rPr>
          <w:rFonts w:hint="eastAsia" w:ascii="宋体" w:hAnsi="宋体" w:cs="宋体"/>
          <w:sz w:val="24"/>
        </w:rPr>
        <w:t>1.数据筛选：明确可以入组数据量（≥6300组）</w:t>
      </w:r>
    </w:p>
    <w:p w14:paraId="5017C24A">
      <w:pPr>
        <w:spacing w:line="360" w:lineRule="auto"/>
        <w:ind w:firstLine="480" w:firstLineChars="200"/>
        <w:rPr>
          <w:rFonts w:ascii="宋体" w:hAnsi="宋体" w:cs="宋体"/>
          <w:sz w:val="24"/>
        </w:rPr>
      </w:pPr>
      <w:r>
        <w:rPr>
          <w:rFonts w:hint="eastAsia" w:ascii="宋体" w:hAnsi="宋体" w:cs="宋体"/>
          <w:sz w:val="24"/>
        </w:rPr>
        <w:t>2.确定实验方法：可选用行双盲、双模拟多中心随机对照等方法。</w:t>
      </w:r>
    </w:p>
    <w:p w14:paraId="02B1169E">
      <w:pPr>
        <w:spacing w:line="360" w:lineRule="auto"/>
        <w:ind w:firstLine="480" w:firstLineChars="200"/>
        <w:rPr>
          <w:rFonts w:ascii="宋体" w:hAnsi="宋体" w:cs="宋体"/>
          <w:sz w:val="24"/>
        </w:rPr>
      </w:pPr>
      <w:r>
        <w:rPr>
          <w:rFonts w:hint="eastAsia" w:ascii="宋体" w:hAnsi="宋体" w:cs="宋体"/>
          <w:sz w:val="24"/>
        </w:rPr>
        <w:t>3.数据分配：合理分配试验组和对照组的入组量，并制定随机数字表。</w:t>
      </w:r>
    </w:p>
    <w:p w14:paraId="4AC66F48">
      <w:pPr>
        <w:spacing w:line="360" w:lineRule="auto"/>
        <w:ind w:left="479" w:leftChars="228"/>
        <w:rPr>
          <w:rFonts w:ascii="宋体" w:hAnsi="宋体" w:cs="宋体"/>
          <w:sz w:val="24"/>
        </w:rPr>
      </w:pPr>
      <w:r>
        <w:rPr>
          <w:rFonts w:hint="eastAsia" w:ascii="宋体" w:hAnsi="宋体" w:cs="宋体"/>
          <w:sz w:val="24"/>
        </w:rPr>
        <w:t>4.以各分中心为单位进行整群随机分组，干预方式采用如下4组中的一组：4.1强化干预组；</w:t>
      </w:r>
    </w:p>
    <w:p w14:paraId="19C1FCE6">
      <w:pPr>
        <w:spacing w:line="360" w:lineRule="auto"/>
        <w:ind w:left="479" w:leftChars="228"/>
        <w:rPr>
          <w:rFonts w:ascii="宋体" w:hAnsi="宋体" w:cs="宋体"/>
          <w:sz w:val="24"/>
        </w:rPr>
      </w:pPr>
      <w:r>
        <w:rPr>
          <w:rFonts w:hint="eastAsia" w:ascii="宋体" w:hAnsi="宋体" w:cs="宋体"/>
          <w:sz w:val="24"/>
        </w:rPr>
        <w:t>4.2温度健康风险预警组；</w:t>
      </w:r>
    </w:p>
    <w:p w14:paraId="15DDACD1">
      <w:pPr>
        <w:spacing w:line="360" w:lineRule="auto"/>
        <w:ind w:left="479" w:leftChars="228"/>
        <w:rPr>
          <w:rFonts w:ascii="宋体" w:hAnsi="宋体" w:cs="宋体"/>
          <w:sz w:val="24"/>
        </w:rPr>
      </w:pPr>
      <w:r>
        <w:rPr>
          <w:rFonts w:hint="eastAsia" w:ascii="宋体" w:hAnsi="宋体" w:cs="宋体"/>
          <w:sz w:val="24"/>
        </w:rPr>
        <w:t>4.3危险因素管理组；</w:t>
      </w:r>
    </w:p>
    <w:p w14:paraId="4E6D42CC">
      <w:pPr>
        <w:spacing w:line="360" w:lineRule="auto"/>
        <w:ind w:left="479" w:leftChars="228"/>
        <w:rPr>
          <w:rFonts w:ascii="宋体" w:hAnsi="宋体" w:cs="宋体"/>
          <w:sz w:val="24"/>
        </w:rPr>
      </w:pPr>
      <w:r>
        <w:rPr>
          <w:rFonts w:hint="eastAsia" w:ascii="宋体" w:hAnsi="宋体" w:cs="宋体"/>
          <w:sz w:val="24"/>
        </w:rPr>
        <w:t>4.4常规宣教组。</w:t>
      </w:r>
    </w:p>
    <w:p w14:paraId="535472EC">
      <w:pPr>
        <w:spacing w:line="360" w:lineRule="auto"/>
        <w:ind w:firstLine="480" w:firstLineChars="200"/>
        <w:rPr>
          <w:rFonts w:ascii="宋体" w:hAnsi="宋体" w:cs="宋体"/>
          <w:sz w:val="24"/>
        </w:rPr>
      </w:pPr>
      <w:r>
        <w:rPr>
          <w:rFonts w:hint="eastAsia" w:ascii="宋体" w:hAnsi="宋体" w:cs="宋体"/>
          <w:sz w:val="24"/>
        </w:rPr>
        <w:t>5.质量控制：整体误差率≤0.5%。</w:t>
      </w:r>
    </w:p>
    <w:p w14:paraId="699FD1A5">
      <w:pPr>
        <w:pStyle w:val="2"/>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采购标的3：AD血液标志物检测</w:t>
      </w:r>
    </w:p>
    <w:p w14:paraId="2339FA1C">
      <w:pPr>
        <w:spacing w:line="360" w:lineRule="auto"/>
        <w:ind w:firstLine="480" w:firstLineChars="200"/>
        <w:rPr>
          <w:rFonts w:ascii="宋体" w:hAnsi="宋体" w:cs="宋体"/>
          <w:sz w:val="24"/>
        </w:rPr>
      </w:pPr>
      <w:r>
        <w:rPr>
          <w:rFonts w:hint="eastAsia" w:ascii="宋体" w:hAnsi="宋体" w:cs="宋体"/>
          <w:sz w:val="24"/>
        </w:rPr>
        <w:t>1.实验平台：Luminex平台、化学发光平台等。</w:t>
      </w:r>
    </w:p>
    <w:p w14:paraId="1196DC4B">
      <w:pPr>
        <w:spacing w:line="360" w:lineRule="auto"/>
        <w:ind w:firstLine="480" w:firstLineChars="200"/>
        <w:rPr>
          <w:rFonts w:ascii="宋体" w:hAnsi="宋体" w:cs="宋体"/>
          <w:sz w:val="24"/>
        </w:rPr>
      </w:pPr>
      <w:r>
        <w:rPr>
          <w:rFonts w:hint="eastAsia" w:ascii="宋体" w:hAnsi="宋体" w:cs="宋体"/>
          <w:sz w:val="24"/>
        </w:rPr>
        <w:t>2.检测要求：针对tau蛋白、胶质纤维酸性蛋白（GFAP）和神经丝轻链蛋白（NfL）等多种AD血液标志物运用多种方法学检测，实验周期：接收样本后15天内反馈结果。</w:t>
      </w:r>
    </w:p>
    <w:p w14:paraId="1D670EFF">
      <w:pPr>
        <w:spacing w:line="360" w:lineRule="auto"/>
        <w:ind w:firstLine="480" w:firstLineChars="200"/>
        <w:rPr>
          <w:rFonts w:ascii="宋体" w:hAnsi="宋体" w:cs="宋体"/>
          <w:sz w:val="24"/>
        </w:rPr>
      </w:pPr>
      <w:r>
        <w:rPr>
          <w:rFonts w:hint="eastAsia" w:ascii="宋体" w:hAnsi="宋体" w:cs="宋体"/>
          <w:sz w:val="24"/>
        </w:rPr>
        <w:t>3.ELISA检测：单因子Elisa检测360个样本</w:t>
      </w:r>
    </w:p>
    <w:p w14:paraId="0D07E5DC">
      <w:pPr>
        <w:spacing w:line="360" w:lineRule="auto"/>
        <w:ind w:firstLine="480" w:firstLineChars="200"/>
        <w:rPr>
          <w:rFonts w:ascii="宋体" w:hAnsi="宋体" w:cs="宋体"/>
          <w:sz w:val="24"/>
        </w:rPr>
      </w:pPr>
      <w:r>
        <w:rPr>
          <w:rFonts w:hint="eastAsia" w:ascii="宋体" w:hAnsi="宋体" w:cs="宋体"/>
          <w:sz w:val="24"/>
        </w:rPr>
        <w:t>3.1样本检查：样本量、有无溶血现象等</w:t>
      </w:r>
    </w:p>
    <w:p w14:paraId="1EDC1238">
      <w:pPr>
        <w:spacing w:line="360" w:lineRule="auto"/>
        <w:ind w:firstLine="480" w:firstLineChars="200"/>
        <w:rPr>
          <w:rFonts w:ascii="宋体" w:hAnsi="宋体" w:cs="宋体"/>
          <w:sz w:val="24"/>
        </w:rPr>
      </w:pPr>
      <w:r>
        <w:rPr>
          <w:rFonts w:hint="eastAsia" w:ascii="宋体" w:hAnsi="宋体" w:cs="宋体"/>
          <w:sz w:val="24"/>
        </w:rPr>
        <w:t>3.2样本编号上样：按具体试剂盒SOP实验上样</w:t>
      </w:r>
    </w:p>
    <w:p w14:paraId="17F2CC36">
      <w:pPr>
        <w:spacing w:line="360" w:lineRule="auto"/>
        <w:ind w:firstLine="480" w:firstLineChars="200"/>
        <w:rPr>
          <w:rFonts w:ascii="宋体" w:hAnsi="宋体" w:cs="宋体"/>
          <w:sz w:val="24"/>
        </w:rPr>
      </w:pPr>
      <w:r>
        <w:rPr>
          <w:rFonts w:hint="eastAsia" w:ascii="宋体" w:hAnsi="宋体" w:cs="宋体"/>
          <w:sz w:val="24"/>
        </w:rPr>
        <w:t>结果导出EXCEL形式</w:t>
      </w:r>
    </w:p>
    <w:p w14:paraId="65F85531">
      <w:pPr>
        <w:spacing w:line="360" w:lineRule="auto"/>
        <w:ind w:firstLine="480" w:firstLineChars="200"/>
        <w:rPr>
          <w:rFonts w:ascii="宋体" w:hAnsi="宋体" w:cs="宋体"/>
          <w:sz w:val="24"/>
        </w:rPr>
      </w:pPr>
      <w:r>
        <w:rPr>
          <w:rFonts w:hint="eastAsia" w:ascii="宋体" w:hAnsi="宋体" w:cs="宋体"/>
          <w:sz w:val="24"/>
        </w:rPr>
        <w:t>4.Luminex平台检测：多因子检测360个样本</w:t>
      </w:r>
    </w:p>
    <w:p w14:paraId="75E5851F">
      <w:pPr>
        <w:spacing w:line="360" w:lineRule="auto"/>
        <w:ind w:firstLine="480" w:firstLineChars="200"/>
        <w:rPr>
          <w:rFonts w:ascii="宋体" w:hAnsi="宋体" w:cs="宋体"/>
          <w:sz w:val="24"/>
        </w:rPr>
      </w:pPr>
      <w:r>
        <w:rPr>
          <w:rFonts w:hint="eastAsia" w:ascii="宋体" w:hAnsi="宋体" w:cs="宋体"/>
          <w:sz w:val="24"/>
        </w:rPr>
        <w:t>4.1样本检查：样本量、有无溶血现象等</w:t>
      </w:r>
    </w:p>
    <w:p w14:paraId="27203B34">
      <w:pPr>
        <w:spacing w:line="360" w:lineRule="auto"/>
        <w:ind w:firstLine="480" w:firstLineChars="200"/>
        <w:rPr>
          <w:rFonts w:ascii="宋体" w:hAnsi="宋体" w:cs="宋体"/>
          <w:sz w:val="24"/>
        </w:rPr>
      </w:pPr>
      <w:r>
        <w:rPr>
          <w:rFonts w:hint="eastAsia" w:ascii="宋体" w:hAnsi="宋体" w:cs="宋体"/>
          <w:sz w:val="24"/>
        </w:rPr>
        <w:t>4.2样本编号上样：按具体试剂盒SOP实验上样</w:t>
      </w:r>
    </w:p>
    <w:p w14:paraId="5249F003">
      <w:pPr>
        <w:spacing w:line="360" w:lineRule="auto"/>
        <w:ind w:firstLine="480" w:firstLineChars="200"/>
        <w:rPr>
          <w:rFonts w:ascii="宋体" w:hAnsi="宋体" w:cs="宋体"/>
          <w:sz w:val="24"/>
        </w:rPr>
      </w:pPr>
      <w:r>
        <w:rPr>
          <w:rFonts w:hint="eastAsia" w:ascii="宋体" w:hAnsi="宋体" w:cs="宋体"/>
          <w:sz w:val="24"/>
        </w:rPr>
        <w:t>4.3按需求选择Cubic四参数分析/Five五参数分析方法分析实验数据导出原始数据和分析后数据</w:t>
      </w:r>
    </w:p>
    <w:p w14:paraId="519ACA5D">
      <w:pPr>
        <w:spacing w:line="360" w:lineRule="auto"/>
        <w:ind w:firstLine="480" w:firstLineChars="200"/>
        <w:rPr>
          <w:rFonts w:ascii="宋体" w:hAnsi="宋体" w:cs="宋体"/>
          <w:sz w:val="24"/>
        </w:rPr>
      </w:pPr>
      <w:r>
        <w:rPr>
          <w:rFonts w:hint="eastAsia" w:ascii="宋体" w:hAnsi="宋体" w:cs="宋体"/>
          <w:sz w:val="24"/>
        </w:rPr>
        <w:t>5.化学发光平台检测：化学发光平台检测360个样本</w:t>
      </w:r>
    </w:p>
    <w:p w14:paraId="7E793669">
      <w:pPr>
        <w:spacing w:line="360" w:lineRule="auto"/>
        <w:ind w:firstLine="480" w:firstLineChars="200"/>
        <w:rPr>
          <w:rFonts w:ascii="宋体" w:hAnsi="宋体" w:cs="宋体"/>
          <w:sz w:val="24"/>
        </w:rPr>
      </w:pPr>
      <w:r>
        <w:rPr>
          <w:rFonts w:hint="eastAsia" w:ascii="宋体" w:hAnsi="宋体" w:cs="宋体"/>
          <w:sz w:val="24"/>
        </w:rPr>
        <w:t>5.1样本试剂检查准备</w:t>
      </w:r>
    </w:p>
    <w:p w14:paraId="5837A97E">
      <w:pPr>
        <w:spacing w:line="360" w:lineRule="auto"/>
        <w:ind w:firstLine="480" w:firstLineChars="200"/>
        <w:rPr>
          <w:rFonts w:ascii="宋体" w:hAnsi="宋体" w:cs="宋体"/>
          <w:sz w:val="24"/>
        </w:rPr>
      </w:pPr>
      <w:r>
        <w:rPr>
          <w:rFonts w:hint="eastAsia" w:ascii="宋体" w:hAnsi="宋体" w:cs="宋体"/>
          <w:sz w:val="24"/>
        </w:rPr>
        <w:t>5.2反应体系构建</w:t>
      </w:r>
    </w:p>
    <w:p w14:paraId="501238E6">
      <w:pPr>
        <w:spacing w:line="360" w:lineRule="auto"/>
        <w:ind w:firstLine="480" w:firstLineChars="200"/>
        <w:rPr>
          <w:rFonts w:ascii="宋体" w:hAnsi="宋体" w:cs="宋体"/>
          <w:sz w:val="24"/>
        </w:rPr>
      </w:pPr>
      <w:r>
        <w:rPr>
          <w:rFonts w:hint="eastAsia" w:ascii="宋体" w:hAnsi="宋体" w:cs="宋体"/>
          <w:sz w:val="24"/>
        </w:rPr>
        <w:t>5.3化学发光反应</w:t>
      </w:r>
    </w:p>
    <w:p w14:paraId="6430DB95">
      <w:r>
        <w:rPr>
          <w:rFonts w:hint="eastAsia" w:ascii="宋体" w:hAnsi="宋体" w:cs="宋体"/>
          <w:sz w:val="24"/>
        </w:rPr>
        <w:t>5.4信号检测及数据分析</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16FD0"/>
    <w:rsid w:val="7BE16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11"/>
    <w:basedOn w:val="1"/>
    <w:qFormat/>
    <w:uiPriority w:val="0"/>
    <w:pPr>
      <w:ind w:firstLine="420" w:firstLineChars="200"/>
    </w:pPr>
    <w:rPr>
      <w:rFonts w:ascii="Calibri" w:hAnsi="Calibri"/>
      <w:szCs w:val="22"/>
    </w:rPr>
  </w:style>
  <w:style w:type="paragraph" w:customStyle="1" w:styleId="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2025-08-14T06:46:00Z</dcterms:created>
  <dc:creator>周连妹</dc:creator>
  <cp:lastModifiedBy>周连妹</cp:lastModifiedBy>
  <dcterms:modified xsi:type="dcterms:W3CDTF">2025-08-14T06:47:09Z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9B6799FC75DF47BC81E2042A4A18D67B_11</vt:lpwstr>
  </property>
  <property fmtid="{D5CDD505-2E9C-101B-9397-08002B2CF9AE}" pid="4" name="KSOTemplateDocerSaveRecord">
    <vt:lpwstr>eyJoZGlkIjoiOTBlYjhiOWM3OTA5ZDBjNmEzYjU5M2VjODA1MmY2OGEiLCJ1c2VySWQiOiIyOTI2NjUzMzQifQ==</vt:lpwstr>
  </property>
</Properties>
</file>