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EE9E7">
      <w:pPr>
        <w:spacing w:line="360" w:lineRule="auto"/>
        <w:jc w:val="center"/>
        <w:outlineLvl w:val="0"/>
        <w:rPr>
          <w:b/>
          <w:sz w:val="36"/>
          <w:szCs w:val="36"/>
        </w:rPr>
      </w:pPr>
      <w:r>
        <w:rPr>
          <w:b/>
          <w:sz w:val="36"/>
          <w:szCs w:val="36"/>
        </w:rPr>
        <w:t>采购需求</w:t>
      </w:r>
    </w:p>
    <w:p w14:paraId="723C26C2">
      <w:pPr>
        <w:pStyle w:val="3"/>
      </w:pPr>
    </w:p>
    <w:p w14:paraId="468C3EC6">
      <w:pPr>
        <w:pStyle w:val="7"/>
        <w:numPr>
          <w:ilvl w:val="0"/>
          <w:numId w:val="1"/>
        </w:numPr>
        <w:spacing w:line="360" w:lineRule="auto"/>
        <w:ind w:firstLineChars="0"/>
        <w:contextualSpacing/>
        <w:rPr>
          <w:rFonts w:ascii="宋体" w:hAnsi="宋体" w:cs="宋体"/>
          <w:b/>
          <w:sz w:val="24"/>
          <w:szCs w:val="24"/>
        </w:rPr>
      </w:pPr>
      <w:r>
        <w:rPr>
          <w:rFonts w:hint="eastAsia" w:ascii="宋体" w:hAnsi="宋体" w:cs="宋体"/>
          <w:b/>
          <w:sz w:val="24"/>
          <w:szCs w:val="24"/>
        </w:rPr>
        <w:t>采购标的</w:t>
      </w:r>
    </w:p>
    <w:tbl>
      <w:tblPr>
        <w:tblStyle w:val="5"/>
        <w:tblW w:w="46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3"/>
        <w:gridCol w:w="975"/>
        <w:gridCol w:w="1658"/>
        <w:gridCol w:w="1205"/>
        <w:gridCol w:w="1458"/>
      </w:tblGrid>
      <w:tr w14:paraId="0280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2925" w:type="dxa"/>
            <w:vAlign w:val="center"/>
          </w:tcPr>
          <w:p w14:paraId="77718AED">
            <w:pPr>
              <w:jc w:val="center"/>
              <w:rPr>
                <w:rFonts w:ascii="宋体" w:hAnsi="宋体" w:cs="宋体"/>
                <w:b/>
                <w:bCs/>
                <w:sz w:val="24"/>
              </w:rPr>
            </w:pPr>
            <w:r>
              <w:rPr>
                <w:rFonts w:hint="eastAsia" w:ascii="宋体" w:hAnsi="宋体" w:cs="宋体"/>
                <w:b/>
                <w:bCs/>
                <w:sz w:val="24"/>
              </w:rPr>
              <w:t>标的名称</w:t>
            </w:r>
          </w:p>
        </w:tc>
        <w:tc>
          <w:tcPr>
            <w:tcW w:w="1050" w:type="dxa"/>
            <w:vAlign w:val="center"/>
          </w:tcPr>
          <w:p w14:paraId="4E21C17E">
            <w:pPr>
              <w:jc w:val="center"/>
              <w:rPr>
                <w:rFonts w:ascii="宋体" w:hAnsi="宋体" w:cs="宋体"/>
                <w:b/>
                <w:bCs/>
                <w:sz w:val="24"/>
              </w:rPr>
            </w:pPr>
            <w:r>
              <w:rPr>
                <w:rFonts w:hint="eastAsia" w:ascii="宋体" w:hAnsi="宋体" w:cs="宋体"/>
                <w:b/>
                <w:bCs/>
                <w:sz w:val="24"/>
              </w:rPr>
              <w:t>数量</w:t>
            </w:r>
          </w:p>
          <w:p w14:paraId="2E9D0B6D">
            <w:pPr>
              <w:jc w:val="center"/>
              <w:rPr>
                <w:rFonts w:ascii="宋体" w:hAnsi="宋体" w:cs="宋体"/>
                <w:b/>
                <w:bCs/>
                <w:sz w:val="24"/>
              </w:rPr>
            </w:pPr>
            <w:r>
              <w:rPr>
                <w:rFonts w:hint="eastAsia" w:ascii="宋体" w:hAnsi="宋体" w:cs="宋体"/>
                <w:b/>
                <w:bCs/>
                <w:sz w:val="24"/>
              </w:rPr>
              <w:t>（台）</w:t>
            </w:r>
          </w:p>
        </w:tc>
        <w:tc>
          <w:tcPr>
            <w:tcW w:w="1808" w:type="dxa"/>
            <w:vAlign w:val="center"/>
          </w:tcPr>
          <w:p w14:paraId="0D799C92">
            <w:pPr>
              <w:jc w:val="center"/>
              <w:rPr>
                <w:rFonts w:ascii="宋体" w:hAnsi="宋体" w:cs="宋体"/>
                <w:b/>
                <w:bCs/>
                <w:sz w:val="24"/>
              </w:rPr>
            </w:pPr>
            <w:r>
              <w:rPr>
                <w:rFonts w:hint="eastAsia" w:ascii="宋体" w:hAnsi="宋体" w:cs="宋体"/>
                <w:b/>
                <w:bCs/>
                <w:sz w:val="24"/>
              </w:rPr>
              <w:t>预算金额</w:t>
            </w:r>
          </w:p>
          <w:p w14:paraId="25B6D51C">
            <w:pPr>
              <w:jc w:val="center"/>
              <w:rPr>
                <w:rFonts w:ascii="宋体" w:hAnsi="宋体" w:cs="宋体"/>
                <w:b/>
                <w:bCs/>
                <w:sz w:val="24"/>
              </w:rPr>
            </w:pPr>
            <w:r>
              <w:rPr>
                <w:rFonts w:hint="eastAsia" w:ascii="宋体" w:hAnsi="宋体" w:cs="宋体"/>
                <w:b/>
                <w:bCs/>
                <w:sz w:val="24"/>
              </w:rPr>
              <w:t>（万元）</w:t>
            </w:r>
          </w:p>
        </w:tc>
        <w:tc>
          <w:tcPr>
            <w:tcW w:w="1305" w:type="dxa"/>
            <w:vAlign w:val="center"/>
          </w:tcPr>
          <w:p w14:paraId="5FD11C34">
            <w:pPr>
              <w:jc w:val="center"/>
              <w:rPr>
                <w:rFonts w:ascii="宋体" w:hAnsi="宋体" w:cs="宋体"/>
                <w:b/>
                <w:bCs/>
                <w:sz w:val="24"/>
              </w:rPr>
            </w:pPr>
            <w:r>
              <w:rPr>
                <w:rFonts w:hint="eastAsia" w:ascii="宋体" w:hAnsi="宋体" w:cs="宋体"/>
                <w:b/>
                <w:bCs/>
                <w:sz w:val="24"/>
              </w:rPr>
              <w:t>是否允许进口</w:t>
            </w:r>
          </w:p>
        </w:tc>
        <w:tc>
          <w:tcPr>
            <w:tcW w:w="1586" w:type="dxa"/>
            <w:vAlign w:val="center"/>
          </w:tcPr>
          <w:p w14:paraId="20075942">
            <w:pPr>
              <w:jc w:val="center"/>
              <w:rPr>
                <w:rFonts w:ascii="宋体" w:hAnsi="宋体" w:cs="宋体"/>
                <w:b/>
                <w:bCs/>
                <w:sz w:val="24"/>
              </w:rPr>
            </w:pPr>
            <w:r>
              <w:rPr>
                <w:rFonts w:hint="eastAsia" w:ascii="宋体" w:hAnsi="宋体" w:cs="宋体"/>
                <w:b/>
                <w:bCs/>
                <w:sz w:val="24"/>
              </w:rPr>
              <w:t>是否为核心产品</w:t>
            </w:r>
          </w:p>
        </w:tc>
      </w:tr>
      <w:tr w14:paraId="31B6D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925" w:type="dxa"/>
            <w:vAlign w:val="center"/>
          </w:tcPr>
          <w:p w14:paraId="3A85D673">
            <w:pPr>
              <w:widowControl/>
              <w:jc w:val="center"/>
              <w:textAlignment w:val="center"/>
              <w:rPr>
                <w:rFonts w:ascii="宋体" w:hAnsi="宋体" w:cs="宋体"/>
                <w:bCs/>
                <w:sz w:val="24"/>
              </w:rPr>
            </w:pPr>
            <w:r>
              <w:rPr>
                <w:rFonts w:ascii="宋体" w:hAnsi="宋体" w:cs="宋体"/>
                <w:bCs/>
                <w:sz w:val="24"/>
              </w:rPr>
              <w:t>经颅交流电刺激治疗仪</w:t>
            </w:r>
          </w:p>
        </w:tc>
        <w:tc>
          <w:tcPr>
            <w:tcW w:w="1050" w:type="dxa"/>
            <w:vAlign w:val="center"/>
          </w:tcPr>
          <w:p w14:paraId="33F7EB79">
            <w:pPr>
              <w:widowControl/>
              <w:jc w:val="center"/>
              <w:textAlignment w:val="center"/>
              <w:rPr>
                <w:rFonts w:ascii="宋体" w:hAnsi="宋体" w:cs="宋体"/>
                <w:bCs/>
                <w:sz w:val="24"/>
              </w:rPr>
            </w:pPr>
            <w:r>
              <w:rPr>
                <w:rFonts w:hint="eastAsia" w:ascii="宋体" w:hAnsi="宋体" w:cs="宋体"/>
                <w:bCs/>
                <w:sz w:val="24"/>
              </w:rPr>
              <w:t>1</w:t>
            </w:r>
          </w:p>
        </w:tc>
        <w:tc>
          <w:tcPr>
            <w:tcW w:w="1808" w:type="dxa"/>
            <w:vAlign w:val="center"/>
          </w:tcPr>
          <w:p w14:paraId="62E49DBD">
            <w:pPr>
              <w:widowControl/>
              <w:jc w:val="center"/>
              <w:textAlignment w:val="center"/>
              <w:rPr>
                <w:rFonts w:ascii="宋体" w:hAnsi="宋体" w:cs="宋体"/>
                <w:bCs/>
                <w:sz w:val="24"/>
              </w:rPr>
            </w:pPr>
            <w:r>
              <w:rPr>
                <w:rFonts w:hint="eastAsia" w:ascii="宋体" w:hAnsi="宋体" w:cs="宋体"/>
                <w:bCs/>
                <w:sz w:val="24"/>
              </w:rPr>
              <w:t>89</w:t>
            </w:r>
          </w:p>
        </w:tc>
        <w:tc>
          <w:tcPr>
            <w:tcW w:w="1305" w:type="dxa"/>
            <w:vAlign w:val="center"/>
          </w:tcPr>
          <w:p w14:paraId="20C09550">
            <w:pPr>
              <w:widowControl/>
              <w:jc w:val="center"/>
              <w:textAlignment w:val="center"/>
              <w:rPr>
                <w:rFonts w:ascii="宋体" w:hAnsi="宋体" w:cs="宋体"/>
                <w:bCs/>
                <w:sz w:val="24"/>
              </w:rPr>
            </w:pPr>
            <w:r>
              <w:rPr>
                <w:rFonts w:hint="eastAsia" w:ascii="宋体" w:hAnsi="宋体" w:cs="宋体"/>
                <w:bCs/>
                <w:sz w:val="24"/>
              </w:rPr>
              <w:t>是</w:t>
            </w:r>
          </w:p>
        </w:tc>
        <w:tc>
          <w:tcPr>
            <w:tcW w:w="1586" w:type="dxa"/>
            <w:vAlign w:val="center"/>
          </w:tcPr>
          <w:p w14:paraId="256939E0">
            <w:pPr>
              <w:widowControl/>
              <w:jc w:val="center"/>
              <w:textAlignment w:val="center"/>
              <w:rPr>
                <w:rFonts w:ascii="宋体" w:hAnsi="宋体" w:cs="宋体"/>
                <w:bCs/>
                <w:sz w:val="24"/>
              </w:rPr>
            </w:pPr>
            <w:r>
              <w:rPr>
                <w:rFonts w:hAnsi="宋体" w:cs="宋体"/>
                <w:sz w:val="24"/>
              </w:rPr>
              <w:t>单一产品采购包</w:t>
            </w:r>
          </w:p>
        </w:tc>
      </w:tr>
    </w:tbl>
    <w:p w14:paraId="647E97C0">
      <w:pPr>
        <w:wordWrap w:val="0"/>
        <w:topLinePunct/>
        <w:adjustRightInd w:val="0"/>
        <w:spacing w:line="360" w:lineRule="auto"/>
        <w:jc w:val="left"/>
        <w:textAlignment w:val="baseline"/>
        <w:rPr>
          <w:rFonts w:ascii="宋体" w:hAnsi="宋体" w:cs="宋体"/>
          <w:sz w:val="24"/>
        </w:rPr>
      </w:pPr>
    </w:p>
    <w:p w14:paraId="3CE36A45">
      <w:pPr>
        <w:pStyle w:val="4"/>
        <w:spacing w:line="360" w:lineRule="auto"/>
        <w:rPr>
          <w:rFonts w:ascii="宋体" w:hAnsi="宋体" w:cs="宋体"/>
          <w:b/>
          <w:sz w:val="24"/>
        </w:rPr>
      </w:pPr>
      <w:r>
        <w:rPr>
          <w:rFonts w:hint="eastAsia" w:ascii="宋体" w:hAnsi="宋体" w:cs="宋体"/>
          <w:bCs/>
          <w:sz w:val="24"/>
        </w:rPr>
        <w:t>二、</w:t>
      </w:r>
      <w:r>
        <w:rPr>
          <w:rFonts w:hint="eastAsia" w:ascii="宋体" w:hAnsi="宋体" w:cs="宋体"/>
          <w:b/>
          <w:sz w:val="24"/>
        </w:rPr>
        <w:t>商务要求</w:t>
      </w:r>
    </w:p>
    <w:p w14:paraId="2A9D913D">
      <w:pPr>
        <w:spacing w:line="360" w:lineRule="auto"/>
        <w:ind w:firstLine="482" w:firstLineChars="200"/>
        <w:contextualSpacing/>
        <w:jc w:val="left"/>
        <w:rPr>
          <w:rFonts w:ascii="宋体" w:hAnsi="宋体" w:cs="宋体"/>
          <w:b/>
          <w:sz w:val="24"/>
        </w:rPr>
      </w:pPr>
      <w:r>
        <w:rPr>
          <w:rFonts w:hint="eastAsia" w:ascii="宋体" w:hAnsi="宋体" w:cs="宋体"/>
          <w:b/>
          <w:sz w:val="24"/>
        </w:rPr>
        <w:t>（一）交货时间和地点：</w:t>
      </w:r>
    </w:p>
    <w:p w14:paraId="26D9CCC5">
      <w:pPr>
        <w:pStyle w:val="2"/>
        <w:spacing w:line="360" w:lineRule="auto"/>
        <w:ind w:firstLine="480" w:firstLineChars="200"/>
        <w:rPr>
          <w:rFonts w:hAnsi="宋体" w:cs="宋体"/>
          <w:highlight w:val="none"/>
        </w:rPr>
      </w:pPr>
      <w:r>
        <w:rPr>
          <w:rFonts w:hint="eastAsia" w:hAnsi="宋体" w:cs="宋体"/>
          <w:bCs/>
          <w:highlight w:val="none"/>
        </w:rPr>
        <w:t>1.交货时间：合同签订后90日内完成交货</w:t>
      </w:r>
      <w:r>
        <w:rPr>
          <w:rFonts w:hint="eastAsia" w:hAnsi="宋体" w:cs="宋体"/>
          <w:highlight w:val="none"/>
        </w:rPr>
        <w:t>。</w:t>
      </w:r>
    </w:p>
    <w:p w14:paraId="409C6381">
      <w:pPr>
        <w:pStyle w:val="2"/>
        <w:spacing w:line="360" w:lineRule="auto"/>
        <w:ind w:firstLine="480" w:firstLineChars="200"/>
        <w:rPr>
          <w:rFonts w:hAnsi="宋体" w:cs="宋体"/>
          <w:bCs/>
        </w:rPr>
      </w:pPr>
      <w:r>
        <w:rPr>
          <w:rFonts w:hint="eastAsia" w:hAnsi="宋体" w:cs="宋体"/>
          <w:bCs/>
        </w:rPr>
        <w:t>2.交货地点：采购人指定地点</w:t>
      </w:r>
    </w:p>
    <w:p w14:paraId="6A83D718">
      <w:pPr>
        <w:spacing w:line="360" w:lineRule="auto"/>
        <w:ind w:firstLine="482" w:firstLineChars="200"/>
        <w:contextualSpacing/>
        <w:jc w:val="left"/>
        <w:rPr>
          <w:rFonts w:ascii="宋体" w:hAnsi="宋体" w:cs="宋体"/>
          <w:sz w:val="24"/>
        </w:rPr>
      </w:pPr>
      <w:r>
        <w:rPr>
          <w:rFonts w:hint="eastAsia" w:ascii="宋体" w:hAnsi="宋体" w:cs="宋体"/>
          <w:b/>
          <w:sz w:val="24"/>
        </w:rPr>
        <w:t>（二）付款条件（进度和方式）：</w:t>
      </w:r>
      <w:r>
        <w:rPr>
          <w:rFonts w:hint="eastAsia" w:ascii="宋体" w:hAnsi="宋体" w:cs="宋体"/>
          <w:bCs/>
          <w:sz w:val="24"/>
        </w:rPr>
        <w:t>见第六章拟签订的合同文本</w:t>
      </w:r>
    </w:p>
    <w:p w14:paraId="7256C650">
      <w:pPr>
        <w:pStyle w:val="3"/>
        <w:spacing w:line="360" w:lineRule="auto"/>
        <w:ind w:left="0" w:leftChars="0" w:firstLine="482" w:firstLineChars="200"/>
        <w:jc w:val="left"/>
        <w:rPr>
          <w:rFonts w:ascii="宋体" w:hAnsi="宋体" w:cs="宋体"/>
          <w:sz w:val="24"/>
        </w:rPr>
      </w:pPr>
      <w:r>
        <w:rPr>
          <w:rFonts w:hint="eastAsia" w:ascii="宋体" w:hAnsi="宋体" w:cs="宋体"/>
          <w:b/>
          <w:bCs/>
          <w:sz w:val="24"/>
        </w:rPr>
        <w:t>（三）包装和运输</w:t>
      </w:r>
      <w:r>
        <w:rPr>
          <w:rFonts w:hint="eastAsia" w:ascii="宋体" w:hAnsi="宋体" w:cs="宋体"/>
          <w:sz w:val="24"/>
        </w:rPr>
        <w:t>（如适用，须满足《关于印发〈商品包装政府采购需求标准（试行）〉、〈快递包装政府采购需求标准（试行）〉的通知》（财办库﹝2020﹞123号））</w:t>
      </w:r>
    </w:p>
    <w:p w14:paraId="28973FED">
      <w:pPr>
        <w:pStyle w:val="3"/>
        <w:spacing w:line="360" w:lineRule="auto"/>
        <w:ind w:left="0" w:leftChars="0" w:firstLine="482" w:firstLineChars="200"/>
        <w:jc w:val="left"/>
        <w:rPr>
          <w:rFonts w:ascii="宋体" w:hAnsi="宋体" w:cs="宋体"/>
          <w:b/>
          <w:bCs/>
          <w:sz w:val="24"/>
        </w:rPr>
      </w:pPr>
      <w:r>
        <w:rPr>
          <w:rFonts w:hint="eastAsia" w:ascii="宋体" w:hAnsi="宋体" w:cs="宋体"/>
          <w:b/>
          <w:bCs/>
          <w:sz w:val="24"/>
        </w:rPr>
        <w:t>（四）售后服务：</w:t>
      </w:r>
    </w:p>
    <w:p w14:paraId="487E65FA">
      <w:pPr>
        <w:spacing w:line="360" w:lineRule="auto"/>
        <w:ind w:firstLine="480" w:firstLineChars="200"/>
        <w:rPr>
          <w:rFonts w:ascii="宋体" w:hAnsi="宋体" w:cs="宋体"/>
          <w:sz w:val="24"/>
          <w:highlight w:val="none"/>
        </w:rPr>
      </w:pPr>
      <w:r>
        <w:rPr>
          <w:rFonts w:hint="eastAsia" w:ascii="宋体" w:hAnsi="宋体" w:cs="宋体"/>
          <w:sz w:val="24"/>
          <w:highlight w:val="none"/>
        </w:rPr>
        <w:t>1.质保期：</w:t>
      </w:r>
      <w:r>
        <w:rPr>
          <w:rFonts w:hint="eastAsia" w:ascii="宋体" w:hAnsi="宋体" w:cs="宋体"/>
          <w:sz w:val="24"/>
          <w:highlight w:val="none"/>
          <w:lang w:val="en-US" w:eastAsia="zh-CN"/>
        </w:rPr>
        <w:t>不少于</w:t>
      </w:r>
      <w:r>
        <w:rPr>
          <w:rFonts w:hint="eastAsia" w:ascii="宋体" w:hAnsi="宋体" w:cs="宋体"/>
          <w:sz w:val="24"/>
          <w:highlight w:val="none"/>
        </w:rPr>
        <w:t>5年。</w:t>
      </w:r>
    </w:p>
    <w:p w14:paraId="312BD6EA">
      <w:pPr>
        <w:spacing w:line="360" w:lineRule="auto"/>
        <w:ind w:firstLine="480" w:firstLineChars="200"/>
        <w:rPr>
          <w:rFonts w:ascii="宋体" w:hAnsi="宋体" w:cs="宋体"/>
          <w:sz w:val="24"/>
        </w:rPr>
      </w:pPr>
      <w:r>
        <w:rPr>
          <w:rFonts w:hint="eastAsia" w:ascii="宋体" w:hAnsi="宋体" w:cs="宋体"/>
          <w:sz w:val="24"/>
          <w:lang w:val="en-US" w:eastAsia="zh-CN"/>
        </w:rPr>
        <w:t>2.</w:t>
      </w:r>
      <w:r>
        <w:rPr>
          <w:rFonts w:hint="eastAsia" w:ascii="宋体" w:hAnsi="宋体" w:cs="宋体"/>
          <w:sz w:val="24"/>
        </w:rPr>
        <w:t>培训：免费提供设备到达现场后的安装调试，应用培训，直至操作人员掌握为止。</w:t>
      </w:r>
    </w:p>
    <w:p w14:paraId="6C5F1E71">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.技术支持：免费提供设备使用手册、培训教材、应用资料等；长期提供技术服务支持。</w:t>
      </w:r>
    </w:p>
    <w:p w14:paraId="202B4729">
      <w:pPr>
        <w:spacing w:line="360" w:lineRule="auto"/>
        <w:ind w:firstLine="480" w:firstLineChars="200"/>
        <w:rPr>
          <w:rFonts w:ascii="宋体" w:hAnsi="宋体" w:cs="宋体"/>
          <w:kern w:val="0"/>
          <w:sz w:val="24"/>
        </w:rPr>
      </w:pPr>
      <w:r>
        <w:rPr>
          <w:rFonts w:hint="eastAsia" w:ascii="宋体" w:hAnsi="宋体" w:cs="宋体"/>
          <w:sz w:val="24"/>
          <w:lang w:val="en-US" w:eastAsia="zh-CN"/>
        </w:rPr>
        <w:t>4</w:t>
      </w:r>
      <w:r>
        <w:rPr>
          <w:rFonts w:hint="eastAsia" w:ascii="宋体" w:hAnsi="宋体" w:cs="宋体"/>
          <w:sz w:val="24"/>
        </w:rPr>
        <w:t>.维修要求：在设备整个使用期内，卖方应确保设备的正常使用。在接到用户维修要求后须在2小时内作出回应，并在48小时内派员到达买方现场实施维修。</w:t>
      </w:r>
    </w:p>
    <w:p w14:paraId="48C2085B">
      <w:pPr>
        <w:pStyle w:val="8"/>
        <w:spacing w:line="360" w:lineRule="auto"/>
        <w:ind w:firstLine="0" w:firstLineChars="0"/>
        <w:contextualSpacing/>
        <w:rPr>
          <w:rFonts w:ascii="宋体" w:hAnsi="宋体" w:cs="宋体"/>
          <w:b/>
          <w:sz w:val="24"/>
          <w:szCs w:val="24"/>
        </w:rPr>
      </w:pPr>
      <w:r>
        <w:rPr>
          <w:rFonts w:hint="eastAsia" w:ascii="宋体" w:hAnsi="宋体" w:cs="宋体"/>
          <w:b/>
          <w:sz w:val="24"/>
          <w:szCs w:val="24"/>
        </w:rPr>
        <w:t>三、技术要求</w:t>
      </w:r>
    </w:p>
    <w:p w14:paraId="5A7190AD">
      <w:pPr>
        <w:spacing w:line="360" w:lineRule="auto"/>
        <w:ind w:firstLine="482" w:firstLineChars="200"/>
        <w:contextualSpacing/>
        <w:rPr>
          <w:rFonts w:ascii="宋体" w:hAnsi="宋体" w:cs="宋体"/>
          <w:b/>
          <w:bCs/>
          <w:sz w:val="24"/>
        </w:rPr>
      </w:pPr>
      <w:r>
        <w:rPr>
          <w:rFonts w:hint="eastAsia" w:ascii="宋体" w:hAnsi="宋体" w:cs="宋体"/>
          <w:b/>
          <w:bCs/>
          <w:sz w:val="24"/>
        </w:rPr>
        <w:t>（一）基本要求</w:t>
      </w:r>
    </w:p>
    <w:p w14:paraId="4050918A">
      <w:pPr>
        <w:spacing w:line="360" w:lineRule="auto"/>
        <w:ind w:firstLine="482" w:firstLineChars="200"/>
        <w:contextualSpacing/>
        <w:rPr>
          <w:rFonts w:ascii="宋体" w:hAnsi="宋体" w:cs="宋体"/>
          <w:b/>
          <w:bCs/>
          <w:sz w:val="24"/>
        </w:rPr>
      </w:pPr>
      <w:r>
        <w:rPr>
          <w:rFonts w:hint="eastAsia" w:ascii="宋体" w:hAnsi="宋体" w:cs="宋体"/>
          <w:b/>
          <w:bCs/>
          <w:sz w:val="24"/>
        </w:rPr>
        <w:t>1.采购标的需实现的功能或者目标</w:t>
      </w:r>
    </w:p>
    <w:p w14:paraId="310B1AF3">
      <w:pPr>
        <w:pStyle w:val="2"/>
        <w:spacing w:line="360" w:lineRule="auto"/>
        <w:ind w:firstLine="480" w:firstLineChars="200"/>
        <w:rPr>
          <w:rFonts w:hAnsi="宋体" w:cs="宋体"/>
        </w:rPr>
      </w:pPr>
      <w:r>
        <w:rPr>
          <w:rFonts w:hint="eastAsia" w:hAnsi="宋体" w:cs="宋体"/>
        </w:rPr>
        <w:t>本次招标采购是首都医科大学附属北京安定医院院经颅交流电刺激治疗仪购置项目，投标人应根据招标文件所提出的设备技术规格和服务要求，以满足招标文件要求的产品、优良的服务和优惠的价格，充分显示自己的竞争实力。</w:t>
      </w:r>
    </w:p>
    <w:p w14:paraId="0477A844">
      <w:pPr>
        <w:numPr>
          <w:ilvl w:val="0"/>
          <w:numId w:val="2"/>
        </w:numPr>
        <w:spacing w:line="360" w:lineRule="auto"/>
        <w:ind w:firstLine="482" w:firstLineChars="200"/>
        <w:contextualSpacing/>
        <w:rPr>
          <w:rFonts w:ascii="宋体" w:hAnsi="宋体" w:cs="宋体"/>
          <w:b/>
          <w:bCs/>
          <w:sz w:val="24"/>
          <w:highlight w:val="none"/>
        </w:rPr>
      </w:pPr>
      <w:r>
        <w:rPr>
          <w:rFonts w:hint="eastAsia" w:ascii="宋体" w:hAnsi="宋体" w:cs="宋体"/>
          <w:b/>
          <w:bCs/>
          <w:sz w:val="24"/>
          <w:highlight w:val="none"/>
        </w:rPr>
        <w:t>需满足国家相关标准、行业标准、地方标准或者其他标准、规范：</w:t>
      </w:r>
    </w:p>
    <w:p w14:paraId="3611B84B">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2.1</w:t>
      </w:r>
      <w:r>
        <w:rPr>
          <w:rFonts w:hint="eastAsia" w:ascii="宋体" w:hAnsi="宋体" w:eastAsia="宋体" w:cs="宋体"/>
          <w:color w:val="auto"/>
          <w:kern w:val="0"/>
          <w:sz w:val="24"/>
          <w:highlight w:val="none"/>
        </w:rPr>
        <w:t>投标产品属于医疗器械的，应按原国家食品药品监督管理总局颁发的《医疗器械注册管理办法》，办理医疗器械注册证或者办理备案，投标人须提供医疗器械注册证复印件或备案凭证加盖单位公章。</w:t>
      </w:r>
    </w:p>
    <w:p w14:paraId="13A03A9E">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2.2</w:t>
      </w:r>
      <w:r>
        <w:rPr>
          <w:rFonts w:hint="eastAsia" w:ascii="宋体" w:hAnsi="宋体" w:eastAsia="宋体" w:cs="宋体"/>
          <w:color w:val="auto"/>
          <w:kern w:val="0"/>
          <w:sz w:val="24"/>
          <w:highlight w:val="none"/>
        </w:rPr>
        <w:t>如投标人为代理商，所投投标产品为国产医疗器械的，应按原国家食品药品监督管理总局颁发的《医疗器械生产监督管理办法》，还应提供制造厂商有效的医疗器械生产资格证明文件复印件加盖单位公章。</w:t>
      </w:r>
    </w:p>
    <w:p w14:paraId="245C1A17">
      <w:pPr>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★2.3允许采购进口的产品，若有标人所投产品为进口产品，须提供制造厂商授权书。</w:t>
      </w:r>
    </w:p>
    <w:p w14:paraId="0676AB60">
      <w:pPr>
        <w:spacing w:line="360" w:lineRule="auto"/>
        <w:ind w:firstLine="480" w:firstLineChars="200"/>
        <w:jc w:val="left"/>
        <w:rPr>
          <w:rFonts w:ascii="宋体" w:hAnsi="宋体" w:cs="宋体"/>
          <w:kern w:val="0"/>
          <w:sz w:val="24"/>
        </w:rPr>
      </w:pPr>
      <w:r>
        <w:rPr>
          <w:rFonts w:hint="eastAsia" w:ascii="宋体" w:hAnsi="宋体" w:cs="宋体"/>
          <w:kern w:val="0"/>
          <w:sz w:val="24"/>
        </w:rPr>
        <w:t>2.4投标产品及制造商应符合国家有关部门规定的相应技术法规及标准，如国家有关部门对投标产品或其制造商有强制性规定或要求的，投标产品或其制造商必须符合相应规定或要求。</w:t>
      </w:r>
    </w:p>
    <w:p w14:paraId="1EF7DEEE">
      <w:pPr>
        <w:spacing w:line="360" w:lineRule="auto"/>
        <w:ind w:firstLine="482" w:firstLineChars="200"/>
        <w:jc w:val="left"/>
        <w:rPr>
          <w:rFonts w:ascii="宋体" w:hAnsi="宋体" w:cs="宋体"/>
          <w:sz w:val="24"/>
        </w:rPr>
      </w:pPr>
      <w:r>
        <w:rPr>
          <w:rFonts w:hint="eastAsia" w:ascii="宋体" w:hAnsi="宋体" w:cs="宋体"/>
          <w:b/>
          <w:bCs/>
          <w:sz w:val="24"/>
        </w:rPr>
        <w:t>（二）具体要求</w:t>
      </w:r>
    </w:p>
    <w:p w14:paraId="747B6D67">
      <w:pPr>
        <w:spacing w:line="360" w:lineRule="auto"/>
        <w:ind w:firstLine="480" w:firstLineChars="200"/>
        <w:rPr>
          <w:rFonts w:ascii="宋体" w:hAnsi="宋体" w:cs="宋体"/>
          <w:sz w:val="24"/>
        </w:rPr>
      </w:pPr>
      <w:r>
        <w:rPr>
          <w:rFonts w:hint="eastAsia" w:ascii="宋体" w:hAnsi="宋体" w:cs="宋体"/>
          <w:sz w:val="24"/>
        </w:rPr>
        <w:t>1.整体功能要求：</w:t>
      </w:r>
    </w:p>
    <w:p w14:paraId="1ABFEF2C">
      <w:pPr>
        <w:spacing w:line="360" w:lineRule="auto"/>
        <w:ind w:firstLine="480" w:firstLineChars="200"/>
        <w:rPr>
          <w:rFonts w:ascii="宋体" w:hAnsi="宋体" w:cs="宋体"/>
          <w:sz w:val="24"/>
        </w:rPr>
      </w:pPr>
      <w:r>
        <w:rPr>
          <w:rFonts w:hint="eastAsia" w:hAnsi="宋体" w:cs="宋体"/>
          <w:sz w:val="24"/>
        </w:rPr>
        <w:t>▲</w:t>
      </w:r>
      <w:r>
        <w:rPr>
          <w:rFonts w:hint="eastAsia" w:ascii="宋体" w:hAnsi="宋体" w:cs="宋体"/>
          <w:sz w:val="24"/>
        </w:rPr>
        <w:t>1.1 用途：用于缓解失眠、抑郁的症状</w:t>
      </w:r>
      <w:r>
        <w:rPr>
          <w:rFonts w:hint="eastAsia" w:ascii="宋体" w:hAnsi="宋体" w:cs="宋体"/>
          <w:color w:val="000000"/>
          <w:sz w:val="24"/>
        </w:rPr>
        <w:t>(须提供医疗器械注册证加以证明)</w:t>
      </w:r>
      <w:r>
        <w:rPr>
          <w:rFonts w:hint="eastAsia" w:ascii="宋体" w:hAnsi="宋体" w:cs="宋体"/>
          <w:sz w:val="24"/>
        </w:rPr>
        <w:t>；</w:t>
      </w:r>
    </w:p>
    <w:p w14:paraId="40946FE1">
      <w:pPr>
        <w:spacing w:line="360" w:lineRule="auto"/>
        <w:ind w:firstLine="480" w:firstLineChars="200"/>
        <w:rPr>
          <w:rFonts w:ascii="宋体" w:hAnsi="宋体" w:cs="宋体"/>
          <w:sz w:val="24"/>
        </w:rPr>
      </w:pPr>
      <w:r>
        <w:rPr>
          <w:rFonts w:hint="eastAsia" w:ascii="宋体" w:hAnsi="宋体" w:cs="宋体"/>
          <w:sz w:val="24"/>
        </w:rPr>
        <w:t>2.技术要求：</w:t>
      </w:r>
    </w:p>
    <w:p w14:paraId="6B049D82">
      <w:pPr>
        <w:spacing w:line="360" w:lineRule="auto"/>
        <w:ind w:firstLine="480" w:firstLineChars="200"/>
        <w:rPr>
          <w:rFonts w:ascii="宋体" w:hAnsi="宋体" w:cs="宋体"/>
          <w:sz w:val="24"/>
        </w:rPr>
      </w:pPr>
      <w:r>
        <w:rPr>
          <w:rFonts w:hint="eastAsia" w:hAnsi="宋体" w:cs="宋体"/>
          <w:sz w:val="24"/>
        </w:rPr>
        <w:t>▲</w:t>
      </w:r>
      <w:r>
        <w:rPr>
          <w:rFonts w:hint="eastAsia" w:ascii="宋体" w:hAnsi="宋体" w:cs="宋体"/>
          <w:sz w:val="24"/>
        </w:rPr>
        <w:t>2.1刺激模式：经颅交流电；</w:t>
      </w:r>
    </w:p>
    <w:p w14:paraId="2B4FC4A4">
      <w:pPr>
        <w:spacing w:line="360" w:lineRule="auto"/>
        <w:ind w:firstLine="480" w:firstLineChars="200"/>
        <w:rPr>
          <w:rFonts w:ascii="宋体" w:hAnsi="宋体" w:cs="宋体"/>
          <w:sz w:val="24"/>
        </w:rPr>
      </w:pPr>
      <w:r>
        <w:rPr>
          <w:rFonts w:hint="eastAsia" w:ascii="宋体" w:hAnsi="宋体" w:cs="宋体"/>
          <w:sz w:val="24"/>
        </w:rPr>
        <w:t>2.2刺激频率：≥70Hz；</w:t>
      </w:r>
    </w:p>
    <w:p w14:paraId="70812CE9">
      <w:pPr>
        <w:spacing w:line="360" w:lineRule="auto"/>
        <w:ind w:firstLine="480" w:firstLineChars="200"/>
        <w:rPr>
          <w:rFonts w:ascii="宋体" w:hAnsi="宋体" w:cs="宋体"/>
          <w:sz w:val="24"/>
        </w:rPr>
      </w:pPr>
      <w:r>
        <w:rPr>
          <w:rFonts w:hint="eastAsia" w:hAnsi="宋体" w:cs="宋体"/>
          <w:sz w:val="24"/>
        </w:rPr>
        <w:t>▲</w:t>
      </w:r>
      <w:r>
        <w:rPr>
          <w:rFonts w:hint="eastAsia" w:ascii="宋体" w:hAnsi="宋体" w:cs="宋体"/>
          <w:sz w:val="24"/>
        </w:rPr>
        <w:t>2.3电极模式：≥三电极模式；</w:t>
      </w:r>
    </w:p>
    <w:p w14:paraId="77EEEACA">
      <w:pPr>
        <w:spacing w:line="360" w:lineRule="auto"/>
        <w:ind w:firstLine="480" w:firstLineChars="200"/>
        <w:rPr>
          <w:rFonts w:ascii="宋体" w:hAnsi="宋体" w:cs="宋体"/>
          <w:sz w:val="24"/>
        </w:rPr>
      </w:pPr>
      <w:r>
        <w:rPr>
          <w:rFonts w:hint="eastAsia" w:hAnsi="宋体" w:cs="宋体"/>
          <w:sz w:val="24"/>
        </w:rPr>
        <w:t>▲</w:t>
      </w:r>
      <w:r>
        <w:rPr>
          <w:rFonts w:hint="eastAsia" w:ascii="宋体" w:hAnsi="宋体" w:cs="宋体"/>
          <w:sz w:val="24"/>
        </w:rPr>
        <w:t>2.4治疗时间：≥30min/次；</w:t>
      </w:r>
    </w:p>
    <w:p w14:paraId="17D3ED74">
      <w:pPr>
        <w:spacing w:line="360" w:lineRule="auto"/>
        <w:ind w:firstLine="480" w:firstLineChars="200"/>
        <w:rPr>
          <w:rFonts w:ascii="宋体" w:hAnsi="宋体" w:cs="宋体"/>
          <w:sz w:val="24"/>
        </w:rPr>
      </w:pPr>
      <w:r>
        <w:rPr>
          <w:rFonts w:hint="eastAsia" w:ascii="宋体" w:hAnsi="宋体" w:cs="宋体"/>
          <w:sz w:val="24"/>
        </w:rPr>
        <w:t>2.5刺激电流：≥10mA；</w:t>
      </w:r>
    </w:p>
    <w:p w14:paraId="40082F80">
      <w:pPr>
        <w:spacing w:line="360" w:lineRule="auto"/>
        <w:ind w:firstLine="480" w:firstLineChars="200"/>
        <w:rPr>
          <w:rFonts w:ascii="宋体" w:hAnsi="宋体" w:cs="宋体"/>
          <w:sz w:val="24"/>
        </w:rPr>
      </w:pPr>
      <w:r>
        <w:rPr>
          <w:rFonts w:hint="eastAsia" w:ascii="宋体" w:hAnsi="宋体" w:cs="宋体"/>
          <w:sz w:val="24"/>
        </w:rPr>
        <w:t>2.6治疗疗程：20-25次；</w:t>
      </w:r>
    </w:p>
    <w:p w14:paraId="1E338450">
      <w:pPr>
        <w:spacing w:line="360" w:lineRule="auto"/>
        <w:ind w:firstLine="480" w:firstLineChars="200"/>
        <w:rPr>
          <w:rFonts w:ascii="宋体" w:hAnsi="宋体" w:cs="宋体"/>
          <w:sz w:val="24"/>
        </w:rPr>
      </w:pPr>
      <w:r>
        <w:rPr>
          <w:rFonts w:hint="eastAsia" w:ascii="宋体" w:hAnsi="宋体" w:cs="宋体"/>
          <w:sz w:val="24"/>
        </w:rPr>
        <w:t>2.7预设参数：具备治疗抑郁、失眠等症状的预设参数；</w:t>
      </w:r>
    </w:p>
    <w:p w14:paraId="7F78D35D">
      <w:pPr>
        <w:spacing w:line="360" w:lineRule="auto"/>
        <w:ind w:firstLine="480" w:firstLineChars="200"/>
        <w:rPr>
          <w:rFonts w:ascii="宋体" w:hAnsi="宋体" w:cs="宋体"/>
          <w:sz w:val="24"/>
        </w:rPr>
      </w:pPr>
      <w:r>
        <w:rPr>
          <w:rFonts w:hint="eastAsia" w:ascii="宋体" w:hAnsi="宋体" w:cs="宋体"/>
          <w:sz w:val="24"/>
        </w:rPr>
        <w:t>2.8显示功能：</w:t>
      </w:r>
    </w:p>
    <w:p w14:paraId="4D9378B8">
      <w:pPr>
        <w:spacing w:line="360" w:lineRule="auto"/>
        <w:ind w:firstLine="480" w:firstLineChars="200"/>
        <w:rPr>
          <w:rFonts w:ascii="宋体" w:hAnsi="宋体" w:cs="宋体"/>
          <w:sz w:val="24"/>
        </w:rPr>
      </w:pPr>
      <w:r>
        <w:rPr>
          <w:rFonts w:hint="eastAsia" w:hAnsi="宋体" w:cs="宋体"/>
          <w:sz w:val="24"/>
        </w:rPr>
        <w:t>▲</w:t>
      </w:r>
      <w:r>
        <w:rPr>
          <w:rFonts w:hint="eastAsia" w:ascii="宋体" w:hAnsi="宋体" w:cs="宋体"/>
          <w:sz w:val="24"/>
        </w:rPr>
        <w:t>2.8.1 具备实时显示电流强度数值功能；</w:t>
      </w:r>
    </w:p>
    <w:p w14:paraId="3909C487">
      <w:pPr>
        <w:spacing w:line="360" w:lineRule="auto"/>
        <w:ind w:firstLine="480" w:firstLineChars="200"/>
        <w:rPr>
          <w:rFonts w:ascii="宋体" w:hAnsi="宋体" w:cs="宋体"/>
          <w:sz w:val="24"/>
        </w:rPr>
      </w:pPr>
      <w:r>
        <w:rPr>
          <w:rFonts w:hint="eastAsia" w:hAnsi="宋体" w:cs="宋体"/>
          <w:sz w:val="24"/>
        </w:rPr>
        <w:t>▲</w:t>
      </w:r>
      <w:r>
        <w:rPr>
          <w:rFonts w:hint="eastAsia" w:ascii="宋体" w:hAnsi="宋体" w:cs="宋体"/>
          <w:sz w:val="24"/>
        </w:rPr>
        <w:t>2.8.2 具备实时显示治疗时间功能；</w:t>
      </w:r>
    </w:p>
    <w:p w14:paraId="7E229313">
      <w:pPr>
        <w:spacing w:line="360" w:lineRule="auto"/>
        <w:ind w:firstLine="480" w:firstLineChars="200"/>
        <w:rPr>
          <w:rFonts w:ascii="宋体" w:hAnsi="宋体" w:cs="宋体"/>
          <w:sz w:val="24"/>
        </w:rPr>
      </w:pPr>
      <w:r>
        <w:rPr>
          <w:rFonts w:hint="eastAsia" w:ascii="宋体" w:hAnsi="宋体" w:cs="宋体"/>
          <w:sz w:val="24"/>
        </w:rPr>
        <w:t>2.8.3 具备实时显示仪器运行状态功能；</w:t>
      </w:r>
    </w:p>
    <w:p w14:paraId="1561FDF9">
      <w:pPr>
        <w:spacing w:line="360" w:lineRule="auto"/>
        <w:ind w:firstLine="480" w:firstLineChars="200"/>
        <w:rPr>
          <w:rFonts w:ascii="宋体" w:hAnsi="宋体" w:cs="宋体"/>
          <w:sz w:val="24"/>
        </w:rPr>
      </w:pPr>
      <w:r>
        <w:rPr>
          <w:rFonts w:hint="eastAsia" w:ascii="宋体" w:hAnsi="宋体" w:cs="宋体"/>
          <w:sz w:val="24"/>
        </w:rPr>
        <w:t>3. 安全保障性能：</w:t>
      </w:r>
    </w:p>
    <w:p w14:paraId="1E3A84B4">
      <w:pPr>
        <w:spacing w:line="360" w:lineRule="auto"/>
        <w:ind w:firstLine="480" w:firstLineChars="200"/>
        <w:rPr>
          <w:rFonts w:ascii="宋体" w:hAnsi="宋体" w:cs="宋体"/>
          <w:sz w:val="24"/>
        </w:rPr>
      </w:pPr>
      <w:r>
        <w:rPr>
          <w:rFonts w:hint="eastAsia" w:ascii="宋体" w:hAnsi="宋体" w:cs="宋体"/>
          <w:sz w:val="24"/>
        </w:rPr>
        <w:t>3.1 具有开机自检功能；</w:t>
      </w:r>
    </w:p>
    <w:p w14:paraId="2597402E">
      <w:pPr>
        <w:spacing w:line="360" w:lineRule="auto"/>
        <w:ind w:firstLine="480" w:firstLineChars="200"/>
        <w:rPr>
          <w:rFonts w:ascii="宋体" w:hAnsi="宋体" w:cs="宋体"/>
          <w:sz w:val="24"/>
        </w:rPr>
      </w:pPr>
      <w:r>
        <w:rPr>
          <w:rFonts w:hint="eastAsia" w:hAnsi="宋体" w:cs="宋体"/>
          <w:sz w:val="24"/>
        </w:rPr>
        <w:t>▲</w:t>
      </w:r>
      <w:r>
        <w:rPr>
          <w:rFonts w:hint="eastAsia" w:ascii="宋体" w:hAnsi="宋体" w:cs="宋体"/>
          <w:sz w:val="24"/>
        </w:rPr>
        <w:t>3.2 具备电极片脱落实时提示功能；</w:t>
      </w:r>
    </w:p>
    <w:p w14:paraId="36AC21CD">
      <w:pPr>
        <w:spacing w:line="360" w:lineRule="auto"/>
        <w:ind w:firstLine="480" w:firstLineChars="200"/>
        <w:rPr>
          <w:rFonts w:ascii="宋体" w:hAnsi="宋体" w:cs="宋体"/>
          <w:sz w:val="24"/>
        </w:rPr>
      </w:pPr>
      <w:r>
        <w:rPr>
          <w:rFonts w:hint="eastAsia" w:ascii="宋体" w:hAnsi="宋体" w:cs="宋体"/>
          <w:sz w:val="24"/>
        </w:rPr>
        <w:t>3.3 具有系统故障实时提示功能；</w:t>
      </w:r>
    </w:p>
    <w:p w14:paraId="0A0D3285">
      <w:pPr>
        <w:spacing w:line="360" w:lineRule="auto"/>
        <w:ind w:firstLine="480" w:firstLineChars="200"/>
        <w:rPr>
          <w:rFonts w:ascii="宋体" w:hAnsi="宋体" w:cs="宋体"/>
          <w:sz w:val="24"/>
        </w:rPr>
      </w:pPr>
      <w:r>
        <w:rPr>
          <w:rFonts w:hint="eastAsia" w:hAnsi="宋体" w:cs="宋体"/>
          <w:sz w:val="24"/>
        </w:rPr>
        <w:t>▲</w:t>
      </w:r>
      <w:r>
        <w:rPr>
          <w:rFonts w:hint="eastAsia" w:ascii="宋体" w:hAnsi="宋体" w:cs="宋体"/>
          <w:sz w:val="24"/>
        </w:rPr>
        <w:t>3.4 具有备用电池，具备在断电时完成至少一次治疗功能；</w:t>
      </w:r>
    </w:p>
    <w:p w14:paraId="47B885BA">
      <w:pPr>
        <w:spacing w:line="360" w:lineRule="auto"/>
        <w:ind w:firstLine="480" w:firstLineChars="200"/>
        <w:rPr>
          <w:rFonts w:ascii="宋体" w:hAnsi="宋体" w:cs="宋体"/>
          <w:sz w:val="24"/>
        </w:rPr>
      </w:pPr>
      <w:r>
        <w:rPr>
          <w:rFonts w:hint="eastAsia" w:ascii="宋体" w:hAnsi="宋体" w:cs="宋体"/>
          <w:sz w:val="24"/>
        </w:rPr>
        <w:t>3.5 电介质强度；连续漏电流等安全性能满足《经颅电刺激仪》医疗器械产品技术要求；</w:t>
      </w:r>
    </w:p>
    <w:p w14:paraId="3DE4ECEF">
      <w:pPr>
        <w:spacing w:line="360" w:lineRule="auto"/>
        <w:ind w:firstLine="480" w:firstLineChars="200"/>
        <w:rPr>
          <w:rFonts w:ascii="宋体" w:hAnsi="宋体" w:cs="宋体"/>
          <w:sz w:val="24"/>
        </w:rPr>
      </w:pPr>
      <w:r>
        <w:rPr>
          <w:rFonts w:hint="eastAsia" w:hAnsi="宋体" w:cs="宋体"/>
          <w:sz w:val="24"/>
        </w:rPr>
        <w:t>▲</w:t>
      </w:r>
      <w:r>
        <w:rPr>
          <w:rFonts w:hint="eastAsia" w:ascii="宋体" w:hAnsi="宋体" w:cs="宋体"/>
          <w:sz w:val="24"/>
        </w:rPr>
        <w:t>3.6治疗参数记忆功能：患者治疗中断后，设备自动记忆剩余时间，患者返回可接续治疗。</w:t>
      </w:r>
    </w:p>
    <w:p w14:paraId="0D85267F">
      <w:pPr>
        <w:spacing w:line="360" w:lineRule="auto"/>
        <w:ind w:firstLine="480" w:firstLineChars="200"/>
        <w:rPr>
          <w:rFonts w:ascii="宋体" w:hAnsi="宋体" w:cs="宋体"/>
          <w:sz w:val="24"/>
        </w:rPr>
      </w:pPr>
      <w:r>
        <w:rPr>
          <w:rFonts w:hint="eastAsia" w:ascii="宋体" w:hAnsi="宋体" w:cs="宋体"/>
          <w:sz w:val="24"/>
        </w:rPr>
        <w:t>4.设备运行要求：</w:t>
      </w:r>
    </w:p>
    <w:p w14:paraId="18520347">
      <w:pPr>
        <w:spacing w:line="360" w:lineRule="auto"/>
        <w:ind w:firstLine="480" w:firstLineChars="200"/>
        <w:rPr>
          <w:rFonts w:ascii="宋体" w:hAnsi="宋体" w:cs="宋体"/>
          <w:sz w:val="24"/>
        </w:rPr>
      </w:pPr>
      <w:r>
        <w:rPr>
          <w:rFonts w:hint="eastAsia" w:ascii="宋体" w:hAnsi="宋体" w:cs="宋体"/>
          <w:sz w:val="24"/>
        </w:rPr>
        <w:t>4.1 电源：220V ，50Hz交流电源；</w:t>
      </w:r>
    </w:p>
    <w:p w14:paraId="6228C4B3">
      <w:pPr>
        <w:spacing w:line="360" w:lineRule="auto"/>
        <w:ind w:firstLine="480" w:firstLineChars="200"/>
        <w:rPr>
          <w:rFonts w:ascii="宋体" w:hAnsi="宋体" w:cs="宋体"/>
          <w:sz w:val="24"/>
        </w:rPr>
      </w:pPr>
      <w:r>
        <w:rPr>
          <w:rFonts w:hint="eastAsia" w:ascii="宋体" w:hAnsi="宋体" w:cs="宋体"/>
          <w:sz w:val="24"/>
        </w:rPr>
        <w:t>4.2 操作人员：护理或医技人员经培训后可操作；</w:t>
      </w:r>
    </w:p>
    <w:p w14:paraId="0CD94C09">
      <w:pPr>
        <w:spacing w:line="360" w:lineRule="auto"/>
        <w:ind w:firstLine="480" w:firstLineChars="200"/>
        <w:rPr>
          <w:rFonts w:ascii="宋体" w:hAnsi="宋体" w:cs="宋体"/>
          <w:sz w:val="24"/>
        </w:rPr>
      </w:pPr>
      <w:r>
        <w:rPr>
          <w:rFonts w:hint="eastAsia" w:ascii="宋体" w:hAnsi="宋体" w:cs="宋体"/>
          <w:sz w:val="24"/>
        </w:rPr>
        <w:t>4.3 耗材要求：配套专用耗材；</w:t>
      </w:r>
    </w:p>
    <w:p w14:paraId="7F231E5D">
      <w:pPr>
        <w:spacing w:line="360" w:lineRule="auto"/>
        <w:ind w:firstLine="480" w:firstLineChars="200"/>
        <w:rPr>
          <w:kern w:val="0"/>
          <w:sz w:val="24"/>
        </w:rPr>
      </w:pPr>
      <w:r>
        <w:rPr>
          <w:rFonts w:hint="eastAsia" w:ascii="宋体" w:hAnsi="宋体" w:cs="宋体"/>
          <w:sz w:val="24"/>
        </w:rPr>
        <w:t>4.3.1电极贴的生物相容性符合医用级标准。</w:t>
      </w:r>
    </w:p>
    <w:p w14:paraId="0F9A6EEC">
      <w:pPr>
        <w:widowControl/>
        <w:spacing w:line="360" w:lineRule="auto"/>
        <w:ind w:firstLine="482" w:firstLineChars="200"/>
        <w:jc w:val="left"/>
        <w:textAlignment w:val="center"/>
        <w:rPr>
          <w:rFonts w:ascii="宋体" w:hAnsi="宋体" w:cs="宋体"/>
          <w:b/>
          <w:kern w:val="0"/>
          <w:sz w:val="24"/>
        </w:rPr>
      </w:pPr>
      <w:r>
        <w:rPr>
          <w:rFonts w:hint="eastAsia" w:ascii="宋体" w:hAnsi="宋体" w:cs="宋体"/>
          <w:b/>
          <w:kern w:val="0"/>
          <w:sz w:val="24"/>
        </w:rPr>
        <w:t>（三）采购标的需满足的服务标准、期限、效率等要求：</w:t>
      </w:r>
    </w:p>
    <w:p w14:paraId="3A4ADFB8">
      <w:pPr>
        <w:pStyle w:val="2"/>
        <w:spacing w:line="360" w:lineRule="auto"/>
        <w:ind w:firstLine="480" w:firstLineChars="200"/>
        <w:rPr>
          <w:rFonts w:hAnsi="宋体" w:cs="宋体"/>
        </w:rPr>
      </w:pPr>
      <w:r>
        <w:rPr>
          <w:rFonts w:hint="eastAsia" w:hAnsi="宋体" w:cs="宋体"/>
        </w:rPr>
        <w:t>1.采购人收到货物后与中标供应商及时验收，中标供应商对货物实行三包（包修、包换、包退）。</w:t>
      </w:r>
    </w:p>
    <w:p w14:paraId="6D559195">
      <w:pPr>
        <w:pStyle w:val="2"/>
        <w:spacing w:line="360" w:lineRule="auto"/>
        <w:ind w:firstLine="480" w:firstLineChars="200"/>
        <w:rPr>
          <w:rFonts w:hAnsi="宋体" w:cs="宋体"/>
        </w:rPr>
      </w:pPr>
      <w:r>
        <w:rPr>
          <w:rFonts w:hint="eastAsia" w:hAnsi="宋体" w:cs="宋体"/>
        </w:rPr>
        <w:t>2.中标供应商保证合同项下的设备在发货时无任何设计、材料或工艺上的缺陷，质量符合原出厂标准及本合同约定的要求。</w:t>
      </w:r>
    </w:p>
    <w:p w14:paraId="59FF30AD">
      <w:pPr>
        <w:pStyle w:val="2"/>
        <w:spacing w:line="360" w:lineRule="auto"/>
        <w:ind w:firstLine="480" w:firstLineChars="200"/>
        <w:rPr>
          <w:rFonts w:hAnsi="宋体" w:cs="宋体"/>
        </w:rPr>
      </w:pPr>
      <w:r>
        <w:rPr>
          <w:rFonts w:hint="eastAsia" w:hAnsi="宋体" w:cs="宋体"/>
        </w:rPr>
        <w:t>3.中标供应商负责对采购人操作人员进行设备使用等方面的知识和方法培训，直至采购人的操作人员能独立熟练操作为止，中标供应商承担培训技师的薪资、差旅等全部费用。</w:t>
      </w:r>
    </w:p>
    <w:p w14:paraId="0323FF4F">
      <w:pPr>
        <w:pStyle w:val="2"/>
        <w:spacing w:line="360" w:lineRule="auto"/>
        <w:ind w:firstLine="480" w:firstLineChars="200"/>
        <w:rPr>
          <w:rFonts w:hAnsi="宋体" w:cs="宋体"/>
        </w:rPr>
      </w:pPr>
      <w:r>
        <w:rPr>
          <w:rFonts w:hint="eastAsia" w:hAnsi="宋体" w:cs="宋体"/>
        </w:rPr>
        <w:t>4.中标供应商免费提供设备性能验证和质量控制校准的耗材等和与之相关的服务。</w:t>
      </w:r>
    </w:p>
    <w:p w14:paraId="2DED1D37">
      <w:pPr>
        <w:widowControl/>
        <w:spacing w:line="360" w:lineRule="auto"/>
        <w:ind w:firstLine="480" w:firstLineChars="200"/>
        <w:contextualSpacing/>
        <w:rPr>
          <w:rFonts w:ascii="宋体" w:hAnsi="宋体"/>
          <w:sz w:val="24"/>
        </w:rPr>
      </w:pPr>
      <w:r>
        <w:rPr>
          <w:rFonts w:hint="eastAsia" w:ascii="宋体" w:hAnsi="宋体"/>
          <w:sz w:val="24"/>
        </w:rPr>
        <w:t>5.</w:t>
      </w:r>
      <w:r>
        <w:rPr>
          <w:rFonts w:ascii="宋体" w:hAnsi="宋体"/>
          <w:sz w:val="24"/>
        </w:rPr>
        <w:t>为落实政府采购政策需满足的要求</w:t>
      </w:r>
      <w:r>
        <w:rPr>
          <w:rFonts w:hint="eastAsia" w:ascii="宋体" w:hAnsi="宋体"/>
          <w:sz w:val="24"/>
        </w:rPr>
        <w:t>：</w:t>
      </w:r>
    </w:p>
    <w:p w14:paraId="522CD590">
      <w:pPr>
        <w:pStyle w:val="2"/>
        <w:spacing w:line="360" w:lineRule="auto"/>
        <w:ind w:firstLine="480" w:firstLineChars="200"/>
        <w:rPr>
          <w:rFonts w:hAnsi="宋体"/>
        </w:rPr>
      </w:pPr>
      <w:r>
        <w:rPr>
          <w:rFonts w:hint="eastAsia" w:hAnsi="宋体"/>
        </w:rPr>
        <w:t>5.1促进中小企业发展政策：根据《政府采购促进中小企业发展管理办法》规定，本项目采 购货物为中型、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4D991D07">
      <w:pPr>
        <w:pStyle w:val="2"/>
        <w:spacing w:line="360" w:lineRule="auto"/>
        <w:ind w:firstLine="480" w:firstLineChars="200"/>
        <w:rPr>
          <w:rFonts w:hAnsi="宋体"/>
        </w:rPr>
      </w:pPr>
      <w:r>
        <w:rPr>
          <w:rFonts w:hint="eastAsia" w:hAnsi="宋体"/>
        </w:rPr>
        <w:t>5.2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425693DA">
      <w:pPr>
        <w:pStyle w:val="2"/>
        <w:spacing w:line="360" w:lineRule="auto"/>
        <w:ind w:firstLine="480" w:firstLineChars="200"/>
        <w:rPr>
          <w:rFonts w:hAnsi="宋体"/>
        </w:rPr>
      </w:pPr>
      <w:r>
        <w:rPr>
          <w:rFonts w:hint="eastAsia" w:hAnsi="宋体"/>
        </w:rPr>
        <w:t>5.3促进残疾人就业政府采购政策：根据《三部门联合发布关于促进残疾人就业政府采购政策的通知》（财库〔2017〕141 号）规定，符合条件的残疾人福利性单位在参加本项目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5642A4F2">
      <w:pPr>
        <w:pStyle w:val="2"/>
        <w:wordWrap w:val="0"/>
        <w:topLinePunct/>
        <w:autoSpaceDE/>
        <w:autoSpaceDN/>
        <w:spacing w:line="360" w:lineRule="auto"/>
        <w:ind w:firstLine="480" w:firstLineChars="200"/>
        <w:rPr>
          <w:rFonts w:hAnsi="宋体"/>
        </w:rPr>
      </w:pPr>
      <w:r>
        <w:rPr>
          <w:rFonts w:hint="eastAsia" w:hAnsi="宋体"/>
        </w:rPr>
        <w:t>5.4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14:paraId="7E18987B">
      <w:pPr>
        <w:pStyle w:val="2"/>
        <w:wordWrap w:val="0"/>
        <w:topLinePunct/>
        <w:autoSpaceDE/>
        <w:autoSpaceDN/>
        <w:spacing w:line="360" w:lineRule="auto"/>
        <w:ind w:firstLine="480" w:firstLineChars="200"/>
        <w:rPr>
          <w:rFonts w:hAnsi="宋体"/>
        </w:rPr>
      </w:pPr>
      <w:r>
        <w:rPr>
          <w:rFonts w:hint="eastAsia" w:hAnsi="宋体"/>
        </w:rPr>
        <w:t>5.5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14:paraId="0400E718">
      <w:pPr>
        <w:widowControl/>
        <w:spacing w:line="360" w:lineRule="auto"/>
        <w:ind w:firstLine="480" w:firstLineChars="200"/>
        <w:contextualSpacing/>
        <w:jc w:val="left"/>
        <w:rPr>
          <w:rFonts w:ascii="宋体" w:hAnsi="宋体"/>
          <w:sz w:val="24"/>
        </w:rPr>
      </w:pPr>
      <w:r>
        <w:rPr>
          <w:rFonts w:hint="eastAsia" w:ascii="宋体" w:hAnsi="宋体"/>
          <w:sz w:val="24"/>
        </w:rPr>
        <w:t>6.采购标的的其他技术、服务等要求：</w:t>
      </w:r>
    </w:p>
    <w:p w14:paraId="78F9318F">
      <w:pPr>
        <w:spacing w:line="360" w:lineRule="auto"/>
        <w:ind w:firstLine="480" w:firstLineChars="200"/>
        <w:jc w:val="left"/>
        <w:rPr>
          <w:rFonts w:ascii="宋体" w:hAnsi="宋体"/>
          <w:sz w:val="24"/>
        </w:rPr>
      </w:pPr>
      <w:r>
        <w:rPr>
          <w:rFonts w:hint="eastAsia" w:ascii="宋体" w:hAnsi="宋体"/>
          <w:sz w:val="24"/>
        </w:rPr>
        <w:t>6.1标注“</w:t>
      </w:r>
      <w:r>
        <w:rPr>
          <w:rFonts w:hint="eastAsia" w:ascii="宋体" w:hAnsi="宋体" w:cs="宋体"/>
          <w:bCs/>
          <w:kern w:val="0"/>
          <w:sz w:val="24"/>
        </w:rPr>
        <w:t>▲</w:t>
      </w:r>
      <w:r>
        <w:rPr>
          <w:rFonts w:hint="eastAsia" w:ascii="宋体" w:hAnsi="宋体"/>
          <w:sz w:val="24"/>
        </w:rPr>
        <w:t>”的指标为重要的技术指标，不满足将导致其在第四章评标标准中对采购需求的响应情况被扣除相应分值。</w:t>
      </w:r>
    </w:p>
    <w:p w14:paraId="215AA758">
      <w:pPr>
        <w:spacing w:line="360" w:lineRule="auto"/>
        <w:ind w:firstLine="480" w:firstLineChars="200"/>
        <w:jc w:val="left"/>
        <w:rPr>
          <w:rFonts w:ascii="宋体" w:hAnsi="宋体"/>
          <w:sz w:val="24"/>
        </w:rPr>
      </w:pPr>
      <w:r>
        <w:rPr>
          <w:rFonts w:hint="eastAsia" w:ascii="宋体" w:hAnsi="宋体"/>
          <w:sz w:val="24"/>
        </w:rPr>
        <w:t>6.2对于技术规格中标注“</w:t>
      </w:r>
      <w:r>
        <w:rPr>
          <w:rFonts w:hint="eastAsia" w:ascii="宋体" w:hAnsi="宋体" w:cs="宋体"/>
          <w:bCs/>
          <w:kern w:val="0"/>
          <w:sz w:val="24"/>
        </w:rPr>
        <w:t>▲</w:t>
      </w:r>
      <w:r>
        <w:rPr>
          <w:rFonts w:hint="eastAsia" w:ascii="宋体" w:hAnsi="宋体"/>
          <w:sz w:val="24"/>
        </w:rPr>
        <w:t xml:space="preserve">”号的技术指标，投标人须在投标文件中按照招标文件技术规格的要求提供技术应答的证明材料，其中技术支持资料指产品说明书或检测机构出具的检验报告（上文有特殊规定的从其规定）。如投标人技术响应与技术支持资料不一致，将以技术支持资料为准。对于投标人提供的投标文件技术应答未按本条款要求提供投标产品技术支持资料的，评标委员会可不予承认，并可认为该技术应答不符合招标文件要求。由此产生的风险由投标人承担。 </w:t>
      </w:r>
    </w:p>
    <w:p w14:paraId="699331EE">
      <w:pPr>
        <w:spacing w:line="360" w:lineRule="auto"/>
        <w:ind w:firstLine="480" w:firstLineChars="200"/>
        <w:jc w:val="left"/>
        <w:rPr>
          <w:rFonts w:ascii="宋体" w:hAnsi="宋体"/>
          <w:sz w:val="24"/>
        </w:rPr>
      </w:pPr>
      <w:r>
        <w:rPr>
          <w:rFonts w:hint="eastAsia" w:ascii="宋体" w:hAnsi="宋体"/>
          <w:sz w:val="24"/>
        </w:rPr>
        <w:t xml:space="preserve">6.3投标人所提供的部件之间及设备之间的连线或接插件均视为设备内部部件，应包含在相应的配置中。 </w:t>
      </w:r>
    </w:p>
    <w:p w14:paraId="076A3FAB">
      <w:pPr>
        <w:spacing w:line="360" w:lineRule="auto"/>
        <w:ind w:firstLine="480" w:firstLineChars="200"/>
        <w:jc w:val="left"/>
        <w:rPr>
          <w:rFonts w:ascii="宋体" w:hAnsi="宋体"/>
          <w:sz w:val="24"/>
        </w:rPr>
      </w:pPr>
      <w:r>
        <w:rPr>
          <w:rFonts w:hint="eastAsia" w:ascii="宋体" w:hAnsi="宋体"/>
          <w:sz w:val="24"/>
        </w:rPr>
        <w:t xml:space="preserve">6.4工作条件：除了在技术规格中另有规定外，投标人提供的一切仪器、设备和系统，应符合下列条件： </w:t>
      </w:r>
    </w:p>
    <w:p w14:paraId="0CD803AC">
      <w:pPr>
        <w:spacing w:line="360" w:lineRule="auto"/>
        <w:ind w:firstLine="480" w:firstLineChars="200"/>
        <w:jc w:val="left"/>
        <w:rPr>
          <w:rFonts w:ascii="宋体" w:hAnsi="宋体"/>
          <w:sz w:val="24"/>
        </w:rPr>
      </w:pPr>
      <w:r>
        <w:rPr>
          <w:rFonts w:hint="eastAsia" w:ascii="宋体" w:hAnsi="宋体"/>
          <w:sz w:val="24"/>
        </w:rPr>
        <w:t>6.4.1仪器设备的插头要符合中国电工标准。如不符合，则应提供适合仪器插头的插座，必须要有接地。</w:t>
      </w:r>
    </w:p>
    <w:p w14:paraId="7A1952AD">
      <w:pPr>
        <w:pStyle w:val="2"/>
        <w:spacing w:line="360" w:lineRule="auto"/>
        <w:ind w:firstLine="480" w:firstLineChars="200"/>
        <w:rPr>
          <w:rFonts w:hAnsi="宋体"/>
        </w:rPr>
      </w:pPr>
      <w:r>
        <w:rPr>
          <w:rFonts w:hint="eastAsia" w:hAnsi="宋体"/>
        </w:rPr>
        <w:t>6.4.2如果仪器设备需特殊的工作条件（如：水、电源、磁场强度、特殊温度、湿度、震动强度等），投标人应在有关投标文件中加以说明。</w:t>
      </w:r>
    </w:p>
    <w:p w14:paraId="02D302F0">
      <w:pPr>
        <w:spacing w:line="360" w:lineRule="auto"/>
        <w:ind w:firstLine="480" w:firstLineChars="200"/>
        <w:contextualSpacing/>
        <w:rPr>
          <w:rFonts w:ascii="宋体" w:hAnsi="宋体"/>
          <w:sz w:val="24"/>
        </w:rPr>
      </w:pPr>
      <w:r>
        <w:rPr>
          <w:rFonts w:hint="eastAsia" w:ascii="宋体" w:hAnsi="宋体"/>
          <w:sz w:val="24"/>
        </w:rPr>
        <w:t>7.</w:t>
      </w:r>
      <w:r>
        <w:rPr>
          <w:rFonts w:ascii="宋体" w:hAnsi="宋体"/>
          <w:sz w:val="24"/>
        </w:rPr>
        <w:t>验收标准</w:t>
      </w:r>
    </w:p>
    <w:p w14:paraId="4B0422D3">
      <w:pPr>
        <w:widowControl/>
        <w:spacing w:line="360" w:lineRule="auto"/>
        <w:ind w:firstLine="480" w:firstLineChars="200"/>
        <w:jc w:val="left"/>
        <w:rPr>
          <w:rFonts w:ascii="宋体" w:hAnsi="宋体" w:cs="仿宋"/>
          <w:kern w:val="0"/>
          <w:sz w:val="24"/>
        </w:rPr>
      </w:pPr>
      <w:r>
        <w:rPr>
          <w:rFonts w:hint="eastAsia" w:ascii="宋体" w:hAnsi="宋体" w:cs="仿宋"/>
          <w:kern w:val="0"/>
          <w:sz w:val="24"/>
        </w:rPr>
        <w:t>7.1中标供应商交付的设备，应符合国家标准、行业标准及本合同约定要求，符合医疗器械监督管理部门的相关规定，并能满足采购人的特别要求。</w:t>
      </w:r>
    </w:p>
    <w:p w14:paraId="293BE5B9">
      <w:pPr>
        <w:widowControl/>
        <w:spacing w:line="360" w:lineRule="auto"/>
        <w:ind w:firstLine="480" w:firstLineChars="200"/>
        <w:jc w:val="left"/>
        <w:rPr>
          <w:rFonts w:ascii="宋体" w:hAnsi="宋体" w:cs="仿宋"/>
          <w:kern w:val="0"/>
          <w:sz w:val="24"/>
        </w:rPr>
      </w:pPr>
      <w:r>
        <w:rPr>
          <w:rFonts w:hint="eastAsia" w:ascii="宋体" w:hAnsi="宋体" w:cs="仿宋"/>
          <w:kern w:val="0"/>
          <w:sz w:val="24"/>
        </w:rPr>
        <w:t>7.2验收时间：在设备抵达采购人指定地点后，采购人与中标供应商物流人员和中标供应商负责人现场共同验收，在中标供应商向采购人交付必需的医疗设备的有关文件、注册证明、技术资料和有关质量证明并经采购人验收合格后采购人与中标供应商双方验收人员及负责人应在验收单上签字认可。</w:t>
      </w:r>
    </w:p>
    <w:p w14:paraId="5D9101B4">
      <w:pPr>
        <w:widowControl/>
        <w:spacing w:line="360" w:lineRule="auto"/>
        <w:ind w:firstLine="480" w:firstLineChars="200"/>
        <w:jc w:val="left"/>
        <w:rPr>
          <w:rFonts w:ascii="宋体" w:hAnsi="宋体" w:cs="仿宋"/>
          <w:kern w:val="0"/>
          <w:sz w:val="24"/>
        </w:rPr>
      </w:pPr>
      <w:r>
        <w:rPr>
          <w:rFonts w:hint="eastAsia" w:ascii="宋体" w:hAnsi="宋体" w:cs="仿宋"/>
          <w:kern w:val="0"/>
          <w:sz w:val="24"/>
        </w:rPr>
        <w:t>7.3验收方式：设备自中标供应商交付，采购人、中标供应商双方负责人对设备实物外观进行开箱清点、检查验收，如果发现数量不足或在外观验收完成七个工作日内发现有质量、技术等问题，中标供应商应按照采购人的要求，采取补足、更换或退货等处理措施，并承担由此发生的一切损失和费用。</w:t>
      </w:r>
    </w:p>
    <w:p w14:paraId="473ADEC8">
      <w:pPr>
        <w:widowControl/>
        <w:spacing w:line="360" w:lineRule="auto"/>
        <w:ind w:firstLine="480" w:firstLineChars="200"/>
        <w:jc w:val="left"/>
        <w:rPr>
          <w:rFonts w:ascii="宋体" w:hAnsi="宋体" w:cs="仿宋"/>
          <w:kern w:val="0"/>
          <w:sz w:val="24"/>
        </w:rPr>
      </w:pPr>
      <w:r>
        <w:rPr>
          <w:rFonts w:hint="eastAsia" w:ascii="宋体" w:hAnsi="宋体" w:cs="仿宋"/>
          <w:kern w:val="0"/>
          <w:sz w:val="24"/>
        </w:rPr>
        <w:t>7.4设备到货后，中标供应商应在接到采购人通知后七日内完成设备的安装调试工作。</w:t>
      </w:r>
    </w:p>
    <w:p w14:paraId="53091EE1">
      <w:r>
        <w:rPr>
          <w:rFonts w:hint="eastAsia" w:ascii="宋体" w:hAnsi="宋体" w:cs="仿宋"/>
          <w:kern w:val="0"/>
          <w:sz w:val="24"/>
        </w:rPr>
        <w:t>7.5中标供应商负责交付现场的清理打扫及保存设备包装箱。</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13B98B"/>
    <w:multiLevelType w:val="singleLevel"/>
    <w:tmpl w:val="BB13B98B"/>
    <w:lvl w:ilvl="0" w:tentative="0">
      <w:start w:val="2"/>
      <w:numFmt w:val="decimal"/>
      <w:lvlText w:val="%1."/>
      <w:lvlJc w:val="left"/>
      <w:pPr>
        <w:tabs>
          <w:tab w:val="left" w:pos="312"/>
        </w:tabs>
      </w:pPr>
    </w:lvl>
  </w:abstractNum>
  <w:abstractNum w:abstractNumId="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523D1C"/>
    <w:rsid w:val="69523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sz w:val="24"/>
    </w:rPr>
  </w:style>
  <w:style w:type="paragraph" w:styleId="3">
    <w:name w:val="toc 2"/>
    <w:basedOn w:val="1"/>
    <w:next w:val="1"/>
    <w:qFormat/>
    <w:uiPriority w:val="39"/>
    <w:pPr>
      <w:tabs>
        <w:tab w:val="right" w:leader="dot" w:pos="8937"/>
      </w:tabs>
      <w:spacing w:line="312" w:lineRule="auto"/>
      <w:ind w:left="420" w:leftChars="200"/>
    </w:pPr>
  </w:style>
  <w:style w:type="paragraph" w:styleId="4">
    <w:name w:val="Body Text 2"/>
    <w:basedOn w:val="1"/>
    <w:semiHidden/>
    <w:unhideWhenUsed/>
    <w:qFormat/>
    <w:uiPriority w:val="99"/>
    <w:pPr>
      <w:spacing w:after="120" w:line="480" w:lineRule="auto"/>
    </w:pPr>
  </w:style>
  <w:style w:type="paragraph" w:customStyle="1" w:styleId="7">
    <w:name w:val="列出段落1"/>
    <w:basedOn w:val="1"/>
    <w:qFormat/>
    <w:uiPriority w:val="34"/>
    <w:pPr>
      <w:ind w:firstLine="420" w:firstLineChars="200"/>
    </w:pPr>
    <w:rPr>
      <w:rFonts w:ascii="Calibri" w:hAnsi="Calibri"/>
      <w:szCs w:val="22"/>
    </w:rPr>
  </w:style>
  <w:style w:type="paragraph" w:customStyle="1" w:styleId="8">
    <w:name w:val="列出段落1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2025-08-18T06:51:00Z</dcterms:created>
  <dc:creator>周连妹</dc:creator>
  <cp:lastModifiedBy>周连妹</cp:lastModifiedBy>
  <dcterms:modified xsi:type="dcterms:W3CDTF">2025-08-18T06:54:47Z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146C7260806C4AF49C72274B46AFE77A_11</vt:lpwstr>
  </property>
  <property fmtid="{D5CDD505-2E9C-101B-9397-08002B2CF9AE}" pid="4" name="KSOTemplateDocerSaveRecord">
    <vt:lpwstr>eyJoZGlkIjoiOTBlYjhiOWM3OTA5ZDBjNmEzYjU5M2VjODA1MmY2OGEiLCJ1c2VySWQiOiIyOTI2NjUzMzQifQ==</vt:lpwstr>
  </property>
</Properties>
</file>