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72AC4">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41575812">
      <w:pPr>
        <w:adjustRightInd w:val="0"/>
        <w:snapToGrid w:val="0"/>
        <w:spacing w:line="360" w:lineRule="auto"/>
        <w:ind w:firstLine="480"/>
        <w:jc w:val="center"/>
        <w:textAlignment w:val="baseline"/>
        <w:rPr>
          <w:rFonts w:ascii="宋体" w:hAnsi="宋体" w:cs="宋体"/>
          <w:b/>
          <w:sz w:val="32"/>
          <w:szCs w:val="32"/>
          <w:highlight w:val="none"/>
        </w:rPr>
      </w:pPr>
    </w:p>
    <w:p w14:paraId="7CE1978A">
      <w:pPr>
        <w:numPr>
          <w:ilvl w:val="0"/>
          <w:numId w:val="1"/>
        </w:numPr>
        <w:spacing w:before="60" w:after="60" w:line="360" w:lineRule="auto"/>
        <w:ind w:left="482" w:hanging="482" w:hangingChars="200"/>
        <w:outlineLvl w:val="0"/>
        <w:rPr>
          <w:rFonts w:ascii="宋体" w:hAnsi="宋体" w:cs="宋体"/>
          <w:b/>
          <w:kern w:val="44"/>
          <w:sz w:val="24"/>
          <w:highlight w:val="none"/>
        </w:rPr>
      </w:pPr>
      <w:r>
        <w:rPr>
          <w:rFonts w:hint="eastAsia" w:ascii="宋体" w:hAnsi="宋体" w:cs="宋体"/>
          <w:b/>
          <w:kern w:val="44"/>
          <w:sz w:val="24"/>
          <w:highlight w:val="none"/>
        </w:rPr>
        <w:t>、项目背景</w:t>
      </w:r>
    </w:p>
    <w:p w14:paraId="570EB055">
      <w:pPr>
        <w:adjustRightInd w:val="0"/>
        <w:snapToGrid w:val="0"/>
        <w:spacing w:line="360" w:lineRule="auto"/>
        <w:ind w:firstLine="480" w:firstLineChars="200"/>
        <w:textAlignment w:val="baseline"/>
        <w:rPr>
          <w:rFonts w:ascii="宋体" w:hAnsi="宋体" w:cs="宋体"/>
          <w:kern w:val="0"/>
          <w:sz w:val="24"/>
          <w:highlight w:val="none"/>
        </w:rPr>
      </w:pPr>
      <w:r>
        <w:rPr>
          <w:rFonts w:hint="eastAsia" w:ascii="宋体" w:hAnsi="宋体" w:cs="宋体"/>
          <w:color w:val="000000"/>
          <w:sz w:val="24"/>
          <w:highlight w:val="none"/>
        </w:rPr>
        <w:t>为贯彻落实北京市经济和信息化局关于印发《北京市市级政务云管理办法的通知》（京经信委函（2019）150号）等文件的要求，北京市统计局开展2025年市级政务云服务项目采购，确保云上信息系统在政务云环境下可靠稳定安全运行。</w:t>
      </w:r>
    </w:p>
    <w:p w14:paraId="459D1D7D">
      <w:pPr>
        <w:numPr>
          <w:ilvl w:val="0"/>
          <w:numId w:val="1"/>
        </w:numPr>
        <w:spacing w:before="60" w:after="60" w:line="360" w:lineRule="auto"/>
        <w:ind w:left="482" w:hanging="482" w:hangingChars="200"/>
        <w:outlineLvl w:val="0"/>
        <w:rPr>
          <w:rFonts w:ascii="宋体" w:hAnsi="宋体" w:cs="宋体"/>
          <w:b/>
          <w:kern w:val="44"/>
          <w:sz w:val="24"/>
          <w:highlight w:val="none"/>
        </w:rPr>
      </w:pPr>
      <w:r>
        <w:rPr>
          <w:rFonts w:hint="eastAsia" w:ascii="宋体" w:hAnsi="宋体" w:cs="宋体"/>
          <w:b/>
          <w:kern w:val="44"/>
          <w:sz w:val="24"/>
          <w:highlight w:val="none"/>
        </w:rPr>
        <w:t>、技术参数要求</w:t>
      </w:r>
    </w:p>
    <w:p w14:paraId="462A1F1B">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政务云基础服务</w:t>
      </w:r>
    </w:p>
    <w:tbl>
      <w:tblPr>
        <w:tblStyle w:val="5"/>
        <w:tblW w:w="8519" w:type="dxa"/>
        <w:tblInd w:w="0" w:type="dxa"/>
        <w:tblLayout w:type="fixed"/>
        <w:tblCellMar>
          <w:top w:w="0" w:type="dxa"/>
          <w:left w:w="108" w:type="dxa"/>
          <w:bottom w:w="0" w:type="dxa"/>
          <w:right w:w="108" w:type="dxa"/>
        </w:tblCellMar>
      </w:tblPr>
      <w:tblGrid>
        <w:gridCol w:w="801"/>
        <w:gridCol w:w="1148"/>
        <w:gridCol w:w="2978"/>
        <w:gridCol w:w="1138"/>
        <w:gridCol w:w="802"/>
        <w:gridCol w:w="802"/>
        <w:gridCol w:w="850"/>
      </w:tblGrid>
      <w:tr w14:paraId="1A74BE02">
        <w:tblPrEx>
          <w:tblCellMar>
            <w:top w:w="0" w:type="dxa"/>
            <w:left w:w="108" w:type="dxa"/>
            <w:bottom w:w="0" w:type="dxa"/>
            <w:right w:w="108" w:type="dxa"/>
          </w:tblCellMar>
        </w:tblPrEx>
        <w:trPr>
          <w:trHeight w:val="525" w:hRule="atLeast"/>
        </w:trPr>
        <w:tc>
          <w:tcPr>
            <w:tcW w:w="80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737174E">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服务类别</w:t>
            </w:r>
          </w:p>
        </w:tc>
        <w:tc>
          <w:tcPr>
            <w:tcW w:w="114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74C6E7A">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服务子类</w:t>
            </w:r>
          </w:p>
        </w:tc>
        <w:tc>
          <w:tcPr>
            <w:tcW w:w="297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BADBFAA">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服务项</w:t>
            </w:r>
          </w:p>
        </w:tc>
        <w:tc>
          <w:tcPr>
            <w:tcW w:w="113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1ACFE6">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计价单位</w:t>
            </w:r>
          </w:p>
        </w:tc>
        <w:tc>
          <w:tcPr>
            <w:tcW w:w="8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5350F4">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报价单位</w:t>
            </w:r>
          </w:p>
        </w:tc>
        <w:tc>
          <w:tcPr>
            <w:tcW w:w="8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E9AF1C1">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52CE778">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期限（月）</w:t>
            </w:r>
          </w:p>
        </w:tc>
      </w:tr>
      <w:tr w14:paraId="737DF2E5">
        <w:tblPrEx>
          <w:tblCellMar>
            <w:top w:w="0" w:type="dxa"/>
            <w:left w:w="108" w:type="dxa"/>
            <w:bottom w:w="0" w:type="dxa"/>
            <w:right w:w="108" w:type="dxa"/>
          </w:tblCellMar>
        </w:tblPrEx>
        <w:trPr>
          <w:trHeight w:val="270" w:hRule="atLeast"/>
        </w:trPr>
        <w:tc>
          <w:tcPr>
            <w:tcW w:w="801" w:type="dxa"/>
            <w:vMerge w:val="restart"/>
            <w:tcBorders>
              <w:top w:val="single" w:color="000000" w:sz="4" w:space="0"/>
              <w:left w:val="single" w:color="000000" w:sz="4" w:space="0"/>
              <w:bottom w:val="nil"/>
              <w:right w:val="single" w:color="000000" w:sz="4" w:space="0"/>
            </w:tcBorders>
            <w:shd w:val="clear" w:color="auto" w:fill="auto"/>
            <w:vAlign w:val="center"/>
          </w:tcPr>
          <w:p w14:paraId="0B788DD6">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计算服务</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52F50">
            <w:pPr>
              <w:widowControl/>
              <w:jc w:val="left"/>
              <w:textAlignment w:val="center"/>
              <w:rPr>
                <w:rFonts w:ascii="宋体" w:hAnsi="宋体" w:cs="宋体"/>
                <w:szCs w:val="21"/>
                <w:highlight w:val="none"/>
              </w:rPr>
            </w:pPr>
            <w:r>
              <w:rPr>
                <w:rFonts w:ascii="宋体" w:hAnsi="宋体" w:cs="宋体"/>
                <w:kern w:val="0"/>
                <w:szCs w:val="21"/>
                <w:highlight w:val="none"/>
              </w:rPr>
              <w:t>平台云主机服务</w:t>
            </w:r>
            <w:r>
              <w:rPr>
                <w:rFonts w:hint="eastAsia" w:ascii="宋体" w:hAnsi="宋体" w:cs="宋体"/>
                <w:kern w:val="0"/>
                <w:szCs w:val="21"/>
                <w:highlight w:val="none"/>
              </w:rPr>
              <w:t>（包含X86、ARM、C86）</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A1398">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vCPU（vCPU ARM架构主频不低于2.4GHz，C86和X86主频不低于2.2GHz，平均虚拟化率，即物理CPU/虚拟CPU≥1/4，虚拟CPU利用率不低于物理CPU的25%）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B03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CPU</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31ED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E94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1665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961A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6794982F">
        <w:tblPrEx>
          <w:tblCellMar>
            <w:top w:w="0" w:type="dxa"/>
            <w:left w:w="108" w:type="dxa"/>
            <w:bottom w:w="0" w:type="dxa"/>
            <w:right w:w="108" w:type="dxa"/>
          </w:tblCellMar>
        </w:tblPrEx>
        <w:trPr>
          <w:trHeight w:val="270" w:hRule="atLeast"/>
        </w:trPr>
        <w:tc>
          <w:tcPr>
            <w:tcW w:w="801" w:type="dxa"/>
            <w:vMerge w:val="continue"/>
            <w:tcBorders>
              <w:top w:val="single" w:color="000000" w:sz="4" w:space="0"/>
              <w:left w:val="single" w:color="000000" w:sz="4" w:space="0"/>
              <w:bottom w:val="nil"/>
              <w:right w:val="single" w:color="000000" w:sz="4" w:space="0"/>
            </w:tcBorders>
            <w:shd w:val="clear" w:color="auto" w:fill="auto"/>
            <w:vAlign w:val="center"/>
          </w:tcPr>
          <w:p w14:paraId="522A9F01">
            <w:pPr>
              <w:jc w:val="center"/>
              <w:rPr>
                <w:rFonts w:ascii="宋体" w:hAnsi="宋体" w:cs="宋体"/>
                <w:b/>
                <w:bCs/>
                <w:color w:val="000000"/>
                <w:szCs w:val="21"/>
                <w:highlight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33D1">
            <w:pPr>
              <w:jc w:val="left"/>
              <w:rPr>
                <w:rFonts w:ascii="宋体" w:hAnsi="宋体" w:cs="宋体"/>
                <w:color w:val="000000"/>
                <w:szCs w:val="21"/>
                <w:highlight w:val="none"/>
              </w:rPr>
            </w:pP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27079">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内存</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3A87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GB</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127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CC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6103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E37A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625C35D8">
        <w:tblPrEx>
          <w:tblCellMar>
            <w:top w:w="0" w:type="dxa"/>
            <w:left w:w="108" w:type="dxa"/>
            <w:bottom w:w="0" w:type="dxa"/>
            <w:right w:w="108" w:type="dxa"/>
          </w:tblCellMar>
        </w:tblPrEx>
        <w:trPr>
          <w:trHeight w:val="788" w:hRule="atLeast"/>
        </w:trPr>
        <w:tc>
          <w:tcPr>
            <w:tcW w:w="801" w:type="dxa"/>
            <w:vMerge w:val="continue"/>
            <w:tcBorders>
              <w:top w:val="single" w:color="000000" w:sz="4" w:space="0"/>
              <w:left w:val="single" w:color="000000" w:sz="4" w:space="0"/>
              <w:bottom w:val="nil"/>
              <w:right w:val="single" w:color="000000" w:sz="4" w:space="0"/>
            </w:tcBorders>
            <w:shd w:val="clear" w:color="auto" w:fill="auto"/>
            <w:vAlign w:val="center"/>
          </w:tcPr>
          <w:p w14:paraId="17C5BA5E">
            <w:pPr>
              <w:jc w:val="center"/>
              <w:rPr>
                <w:rFonts w:ascii="宋体" w:hAnsi="宋体" w:cs="宋体"/>
                <w:b/>
                <w:bCs/>
                <w:color w:val="000000"/>
                <w:szCs w:val="21"/>
                <w:highlight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DC6A9">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物理服务器租用服务（包含X86、ARM、C86）</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69865">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配置1：双路每CPU核数≥32核，主频≥2.0GHz，128G内存，2块600G SAS硬盘，2个HBA卡，2个万兆端口</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37DE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台</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9204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52C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8A8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372CFF3F">
        <w:tblPrEx>
          <w:tblCellMar>
            <w:top w:w="0" w:type="dxa"/>
            <w:left w:w="108" w:type="dxa"/>
            <w:bottom w:w="0" w:type="dxa"/>
            <w:right w:w="108" w:type="dxa"/>
          </w:tblCellMar>
        </w:tblPrEx>
        <w:trPr>
          <w:trHeight w:val="270" w:hRule="atLeast"/>
        </w:trPr>
        <w:tc>
          <w:tcPr>
            <w:tcW w:w="801" w:type="dxa"/>
            <w:vMerge w:val="continue"/>
            <w:tcBorders>
              <w:top w:val="single" w:color="000000" w:sz="4" w:space="0"/>
              <w:left w:val="single" w:color="000000" w:sz="4" w:space="0"/>
              <w:bottom w:val="nil"/>
              <w:right w:val="single" w:color="000000" w:sz="4" w:space="0"/>
            </w:tcBorders>
            <w:shd w:val="clear" w:color="auto" w:fill="auto"/>
            <w:vAlign w:val="center"/>
          </w:tcPr>
          <w:p w14:paraId="06DE3DB0">
            <w:pPr>
              <w:jc w:val="center"/>
              <w:rPr>
                <w:rFonts w:ascii="宋体" w:hAnsi="宋体" w:cs="宋体"/>
                <w:b/>
                <w:bCs/>
                <w:color w:val="000000"/>
                <w:szCs w:val="21"/>
                <w:highlight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7D4E9">
            <w:pPr>
              <w:jc w:val="left"/>
              <w:rPr>
                <w:rFonts w:ascii="宋体" w:hAnsi="宋体" w:cs="宋体"/>
                <w:color w:val="000000"/>
                <w:szCs w:val="21"/>
                <w:highlight w:val="none"/>
              </w:rPr>
            </w:pP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6E3D3">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内存-32GB内存</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214C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条</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76E7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0AF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168</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1C91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0B3E61BD">
        <w:tblPrEx>
          <w:tblCellMar>
            <w:top w:w="0" w:type="dxa"/>
            <w:left w:w="108" w:type="dxa"/>
            <w:bottom w:w="0" w:type="dxa"/>
            <w:right w:w="108" w:type="dxa"/>
          </w:tblCellMar>
        </w:tblPrEx>
        <w:trPr>
          <w:trHeight w:val="270" w:hRule="atLeast"/>
        </w:trPr>
        <w:tc>
          <w:tcPr>
            <w:tcW w:w="801" w:type="dxa"/>
            <w:vMerge w:val="continue"/>
            <w:tcBorders>
              <w:top w:val="single" w:color="000000" w:sz="4" w:space="0"/>
              <w:left w:val="single" w:color="000000" w:sz="4" w:space="0"/>
              <w:bottom w:val="nil"/>
              <w:right w:val="single" w:color="000000" w:sz="4" w:space="0"/>
            </w:tcBorders>
            <w:shd w:val="clear" w:color="auto" w:fill="auto"/>
            <w:vAlign w:val="center"/>
          </w:tcPr>
          <w:p w14:paraId="4C34AAF0">
            <w:pPr>
              <w:jc w:val="center"/>
              <w:rPr>
                <w:rFonts w:ascii="宋体" w:hAnsi="宋体" w:cs="宋体"/>
                <w:b/>
                <w:bCs/>
                <w:color w:val="000000"/>
                <w:szCs w:val="21"/>
                <w:highlight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4A9E">
            <w:pPr>
              <w:jc w:val="left"/>
              <w:rPr>
                <w:rFonts w:ascii="宋体" w:hAnsi="宋体" w:cs="宋体"/>
                <w:color w:val="000000"/>
                <w:szCs w:val="21"/>
                <w:highlight w:val="none"/>
              </w:rPr>
            </w:pP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46351">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硬盘配置1-480GB SSD</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E3F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块</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9AFD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4CF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88</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3929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6DEA0497">
        <w:tblPrEx>
          <w:tblCellMar>
            <w:top w:w="0" w:type="dxa"/>
            <w:left w:w="108" w:type="dxa"/>
            <w:bottom w:w="0" w:type="dxa"/>
            <w:right w:w="108" w:type="dxa"/>
          </w:tblCellMar>
        </w:tblPrEx>
        <w:trPr>
          <w:trHeight w:val="525"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D91B">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存储服务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DF7A">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普通性能存储</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A88A0">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普通存储（单盘技术指标: 单盘IOPS 1000-3000 ）</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78FC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GB</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05E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A6D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90224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1B2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62ED3EA2">
        <w:tblPrEx>
          <w:tblCellMar>
            <w:top w:w="0" w:type="dxa"/>
            <w:left w:w="108" w:type="dxa"/>
            <w:bottom w:w="0" w:type="dxa"/>
            <w:right w:w="108" w:type="dxa"/>
          </w:tblCellMar>
        </w:tblPrEx>
        <w:trPr>
          <w:trHeight w:val="525"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32C2">
            <w:pPr>
              <w:jc w:val="center"/>
              <w:rPr>
                <w:rFonts w:ascii="宋体" w:hAnsi="宋体" w:cs="宋体"/>
                <w:b/>
                <w:bCs/>
                <w:color w:val="000000"/>
                <w:szCs w:val="21"/>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C19F">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高性能存储</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88F21">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高性能存储（单盘技术指标：单盘IOPS 3000-20000 ）</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D287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GB</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A62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ADD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68826</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FFF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4F105D4E">
        <w:tblPrEx>
          <w:tblCellMar>
            <w:top w:w="0" w:type="dxa"/>
            <w:left w:w="108" w:type="dxa"/>
            <w:bottom w:w="0" w:type="dxa"/>
            <w:right w:w="108" w:type="dxa"/>
          </w:tblCellMar>
        </w:tblPrEx>
        <w:trPr>
          <w:trHeight w:val="525"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A111">
            <w:pPr>
              <w:jc w:val="center"/>
              <w:rPr>
                <w:rFonts w:ascii="宋体" w:hAnsi="宋体" w:cs="宋体"/>
                <w:b/>
                <w:bCs/>
                <w:color w:val="000000"/>
                <w:szCs w:val="21"/>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539C">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静态存储</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E2CC4">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大容量、高可靠的数据存储服务，具备PB级线性扩展能力，提供静态数据存储</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D8DC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TB</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D922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655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AD92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2AF6C3F4">
        <w:tblPrEx>
          <w:tblCellMar>
            <w:top w:w="0" w:type="dxa"/>
            <w:left w:w="108" w:type="dxa"/>
            <w:bottom w:w="0" w:type="dxa"/>
            <w:right w:w="108" w:type="dxa"/>
          </w:tblCellMar>
        </w:tblPrEx>
        <w:trPr>
          <w:trHeight w:val="788"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6DAA">
            <w:pPr>
              <w:jc w:val="center"/>
              <w:rPr>
                <w:rFonts w:ascii="宋体" w:hAnsi="宋体" w:cs="宋体"/>
                <w:b/>
                <w:bCs/>
                <w:color w:val="000000"/>
                <w:szCs w:val="21"/>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25DD">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本地备份服务</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B51C">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通过备份策略实现文件、操作系统、数据库的本地备份（不包含备份存储空间费用）</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99FC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GB</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B9C4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49D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90224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51C6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1179647D">
        <w:tblPrEx>
          <w:tblCellMar>
            <w:top w:w="0" w:type="dxa"/>
            <w:left w:w="108" w:type="dxa"/>
            <w:bottom w:w="0" w:type="dxa"/>
            <w:right w:w="108" w:type="dxa"/>
          </w:tblCellMar>
        </w:tblPrEx>
        <w:trPr>
          <w:trHeight w:val="270"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B615E">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网络服务</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58B06">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互联网链路服务</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73167">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互联网链路带宽</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52FD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Mb</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E736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6F4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12AB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27284E53">
        <w:tblPrEx>
          <w:tblCellMar>
            <w:top w:w="0" w:type="dxa"/>
            <w:left w:w="108" w:type="dxa"/>
            <w:bottom w:w="0" w:type="dxa"/>
            <w:right w:w="108" w:type="dxa"/>
          </w:tblCellMar>
        </w:tblPrEx>
        <w:trPr>
          <w:trHeight w:val="270"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939E">
            <w:pPr>
              <w:jc w:val="center"/>
              <w:rPr>
                <w:rFonts w:ascii="宋体" w:hAnsi="宋体" w:cs="宋体"/>
                <w:b/>
                <w:bCs/>
                <w:color w:val="000000"/>
                <w:szCs w:val="21"/>
                <w:highlight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2A56">
            <w:pPr>
              <w:jc w:val="left"/>
              <w:rPr>
                <w:rFonts w:ascii="宋体" w:hAnsi="宋体" w:cs="宋体"/>
                <w:color w:val="000000"/>
                <w:szCs w:val="21"/>
                <w:highlight w:val="none"/>
              </w:rPr>
            </w:pP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14C71">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互联网IP地址租用服务、并提供备案服务</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97EC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IP</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5F46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BB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ACD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56A61EF3">
        <w:tblPrEx>
          <w:tblCellMar>
            <w:top w:w="0" w:type="dxa"/>
            <w:left w:w="108" w:type="dxa"/>
            <w:bottom w:w="0" w:type="dxa"/>
            <w:right w:w="108" w:type="dxa"/>
          </w:tblCellMar>
        </w:tblPrEx>
        <w:trPr>
          <w:trHeight w:val="525"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53D5">
            <w:pPr>
              <w:jc w:val="center"/>
              <w:rPr>
                <w:rFonts w:ascii="宋体" w:hAnsi="宋体" w:cs="宋体"/>
                <w:b/>
                <w:bCs/>
                <w:color w:val="000000"/>
                <w:szCs w:val="21"/>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9999">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主机负载均衡服务</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A2CF">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主机负载均衡服务</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8E5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IP（内网）</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BD0C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7BF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505D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638FFE08">
        <w:tblPrEx>
          <w:tblCellMar>
            <w:top w:w="0" w:type="dxa"/>
            <w:left w:w="108" w:type="dxa"/>
            <w:bottom w:w="0" w:type="dxa"/>
            <w:right w:w="108" w:type="dxa"/>
          </w:tblCellMar>
        </w:tblPrEx>
        <w:trPr>
          <w:trHeight w:val="525"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45E0">
            <w:pPr>
              <w:jc w:val="center"/>
              <w:rPr>
                <w:rFonts w:ascii="宋体" w:hAnsi="宋体" w:cs="宋体"/>
                <w:b/>
                <w:bCs/>
                <w:color w:val="000000"/>
                <w:szCs w:val="21"/>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F97D">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远程接入服务</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6C1C4">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每个账号结合身份验证通过VPN远程接入堡垒机进行维护</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C45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1账号</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54F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199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54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FCBF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7B2F4B37">
        <w:tblPrEx>
          <w:tblCellMar>
            <w:top w:w="0" w:type="dxa"/>
            <w:left w:w="108" w:type="dxa"/>
            <w:bottom w:w="0" w:type="dxa"/>
            <w:right w:w="108" w:type="dxa"/>
          </w:tblCellMar>
        </w:tblPrEx>
        <w:trPr>
          <w:trHeight w:val="1050"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563B">
            <w:pPr>
              <w:jc w:val="center"/>
              <w:rPr>
                <w:rFonts w:ascii="宋体" w:hAnsi="宋体" w:cs="宋体"/>
                <w:b/>
                <w:bCs/>
                <w:color w:val="000000"/>
                <w:szCs w:val="21"/>
                <w:highlight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2EA1">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WAF防护</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DDA65">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在网站前端架设WAF防护服务，保证用户网站对已知安全隐患进行防护，实时升级漏洞补丁，配置防护策略，可起到前端防护作用</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5E85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 IP（互联网）</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8673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38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7</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823F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bl>
    <w:p w14:paraId="2A7294E3">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政务云扩展服务</w:t>
      </w:r>
    </w:p>
    <w:tbl>
      <w:tblPr>
        <w:tblStyle w:val="5"/>
        <w:tblW w:w="8522" w:type="dxa"/>
        <w:tblInd w:w="0" w:type="dxa"/>
        <w:tblLayout w:type="fixed"/>
        <w:tblCellMar>
          <w:top w:w="0" w:type="dxa"/>
          <w:left w:w="108" w:type="dxa"/>
          <w:bottom w:w="0" w:type="dxa"/>
          <w:right w:w="108" w:type="dxa"/>
        </w:tblCellMar>
      </w:tblPr>
      <w:tblGrid>
        <w:gridCol w:w="817"/>
        <w:gridCol w:w="1349"/>
        <w:gridCol w:w="2904"/>
        <w:gridCol w:w="992"/>
        <w:gridCol w:w="806"/>
        <w:gridCol w:w="827"/>
        <w:gridCol w:w="827"/>
      </w:tblGrid>
      <w:tr w14:paraId="0B739814">
        <w:tblPrEx>
          <w:tblCellMar>
            <w:top w:w="0" w:type="dxa"/>
            <w:left w:w="108" w:type="dxa"/>
            <w:bottom w:w="0" w:type="dxa"/>
            <w:right w:w="108" w:type="dxa"/>
          </w:tblCellMar>
        </w:tblPrEx>
        <w:trPr>
          <w:trHeight w:val="525" w:hRule="atLeast"/>
        </w:trPr>
        <w:tc>
          <w:tcPr>
            <w:tcW w:w="81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E1B60A">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服务类别</w:t>
            </w:r>
          </w:p>
        </w:tc>
        <w:tc>
          <w:tcPr>
            <w:tcW w:w="134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52B2CBE">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服务子类</w:t>
            </w:r>
          </w:p>
        </w:tc>
        <w:tc>
          <w:tcPr>
            <w:tcW w:w="290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531A65">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服务项</w:t>
            </w:r>
          </w:p>
        </w:tc>
        <w:tc>
          <w:tcPr>
            <w:tcW w:w="99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F02B04">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计价单位</w:t>
            </w:r>
          </w:p>
        </w:tc>
        <w:tc>
          <w:tcPr>
            <w:tcW w:w="80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3D32752">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报价单位</w:t>
            </w:r>
          </w:p>
        </w:tc>
        <w:tc>
          <w:tcPr>
            <w:tcW w:w="82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05485D">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82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FF48AD2">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期限（月）</w:t>
            </w:r>
          </w:p>
        </w:tc>
      </w:tr>
      <w:tr w14:paraId="23027141">
        <w:tblPrEx>
          <w:tblCellMar>
            <w:top w:w="0" w:type="dxa"/>
            <w:left w:w="108" w:type="dxa"/>
            <w:bottom w:w="0" w:type="dxa"/>
            <w:right w:w="108" w:type="dxa"/>
          </w:tblCellMar>
        </w:tblPrEx>
        <w:trPr>
          <w:trHeight w:val="525"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337B27">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安全服务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122">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主机杀毒服务</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8CCD">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对云主机进行定期的病毒查杀，杀毒软件集中控制，对网络性能无影响</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CF3F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1台</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791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982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103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37790339">
        <w:tblPrEx>
          <w:tblCellMar>
            <w:top w:w="0" w:type="dxa"/>
            <w:left w:w="108" w:type="dxa"/>
            <w:bottom w:w="0" w:type="dxa"/>
            <w:right w:w="108" w:type="dxa"/>
          </w:tblCellMar>
        </w:tblPrEx>
        <w:trPr>
          <w:trHeight w:val="52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DC940">
            <w:pPr>
              <w:jc w:val="center"/>
              <w:rPr>
                <w:rFonts w:ascii="宋体" w:hAnsi="宋体" w:cs="宋体"/>
                <w:b/>
                <w:bCs/>
                <w:color w:val="000000"/>
                <w:szCs w:val="21"/>
                <w:highlight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003">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主机防护</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F14C0">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主机防护：提供符合等保三级要求的主机权限管理及安全防护</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963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1台</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52B9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4FE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EE9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2E353BA1">
        <w:tblPrEx>
          <w:tblCellMar>
            <w:top w:w="0" w:type="dxa"/>
            <w:left w:w="108" w:type="dxa"/>
            <w:bottom w:w="0" w:type="dxa"/>
            <w:right w:w="108" w:type="dxa"/>
          </w:tblCellMar>
        </w:tblPrEx>
        <w:trPr>
          <w:trHeight w:val="788"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61E253">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安全检测监测、审计服务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DA66">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主机日志分析</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BC80C">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针对操作系统进行日志收集，并且进行分析，并将结果反馈给用户，用于了解主机安全情况及资源使用情况</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BED0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1台</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757B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05D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3B36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174CF214">
        <w:tblPrEx>
          <w:tblCellMar>
            <w:top w:w="0" w:type="dxa"/>
            <w:left w:w="108" w:type="dxa"/>
            <w:bottom w:w="0" w:type="dxa"/>
            <w:right w:w="108" w:type="dxa"/>
          </w:tblCellMar>
        </w:tblPrEx>
        <w:trPr>
          <w:trHeight w:val="52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FDC0E">
            <w:pPr>
              <w:jc w:val="center"/>
              <w:rPr>
                <w:rFonts w:ascii="宋体" w:hAnsi="宋体" w:cs="宋体"/>
                <w:b/>
                <w:bCs/>
                <w:color w:val="000000"/>
                <w:szCs w:val="21"/>
                <w:highlight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29A2">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数据库审计服务</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4A5DE">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支持Oracle及相关国产数据库审计。（1套为1个数据库实例）</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1DF0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1套</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6AB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CD3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6317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3EE3B859">
        <w:tblPrEx>
          <w:tblCellMar>
            <w:top w:w="0" w:type="dxa"/>
            <w:left w:w="108" w:type="dxa"/>
            <w:bottom w:w="0" w:type="dxa"/>
            <w:right w:w="108" w:type="dxa"/>
          </w:tblCellMar>
        </w:tblPrEx>
        <w:trPr>
          <w:trHeight w:val="51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126E">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国密服务</w:t>
            </w: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4E16BDCF">
            <w:pPr>
              <w:widowControl/>
              <w:jc w:val="left"/>
              <w:textAlignment w:val="center"/>
              <w:rPr>
                <w:rFonts w:ascii="宋体" w:hAnsi="宋体" w:cs="宋体"/>
                <w:color w:val="000000"/>
                <w:szCs w:val="21"/>
                <w:highlight w:val="none"/>
              </w:rPr>
            </w:pPr>
            <w:r>
              <w:rPr>
                <w:rStyle w:val="7"/>
                <w:rFonts w:hint="default"/>
                <w:sz w:val="21"/>
                <w:szCs w:val="21"/>
                <w:highlight w:val="none"/>
              </w:rPr>
              <w:t>强身份认证服务</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49026AA1">
            <w:pPr>
              <w:widowControl/>
              <w:jc w:val="left"/>
              <w:textAlignment w:val="center"/>
              <w:rPr>
                <w:rFonts w:ascii="宋体" w:hAnsi="宋体" w:cs="宋体"/>
                <w:color w:val="000000"/>
                <w:szCs w:val="21"/>
                <w:highlight w:val="none"/>
              </w:rPr>
            </w:pPr>
            <w:r>
              <w:rPr>
                <w:rStyle w:val="7"/>
                <w:rFonts w:hint="default"/>
                <w:sz w:val="21"/>
                <w:szCs w:val="21"/>
                <w:highlight w:val="none"/>
              </w:rPr>
              <w:t>为系统提供强身份认证服务，基于数字证书登录业务系统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BC4D">
            <w:pPr>
              <w:widowControl/>
              <w:jc w:val="center"/>
              <w:textAlignment w:val="center"/>
              <w:rPr>
                <w:color w:val="000000"/>
                <w:szCs w:val="21"/>
                <w:highlight w:val="none"/>
              </w:rPr>
            </w:pPr>
            <w:r>
              <w:rPr>
                <w:rStyle w:val="8"/>
                <w:sz w:val="21"/>
                <w:szCs w:val="21"/>
                <w:highlight w:val="none"/>
              </w:rPr>
              <w:t>1</w:t>
            </w:r>
            <w:r>
              <w:rPr>
                <w:rStyle w:val="7"/>
                <w:rFonts w:hint="default"/>
                <w:sz w:val="21"/>
                <w:szCs w:val="21"/>
                <w:highlight w:val="none"/>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12A8">
            <w:pPr>
              <w:widowControl/>
              <w:jc w:val="center"/>
              <w:textAlignment w:val="center"/>
              <w:rPr>
                <w:color w:val="000000"/>
                <w:szCs w:val="21"/>
                <w:highlight w:val="none"/>
              </w:rPr>
            </w:pPr>
            <w:r>
              <w:rPr>
                <w:rStyle w:val="7"/>
                <w:rFonts w:hint="default"/>
                <w:sz w:val="21"/>
                <w:szCs w:val="21"/>
                <w:highlight w:val="none"/>
              </w:rPr>
              <w:t>元</w:t>
            </w:r>
            <w:r>
              <w:rPr>
                <w:rStyle w:val="8"/>
                <w:sz w:val="21"/>
                <w:szCs w:val="21"/>
                <w:highlight w:val="none"/>
              </w:rPr>
              <w:t>/</w:t>
            </w:r>
            <w:r>
              <w:rPr>
                <w:rStyle w:val="7"/>
                <w:rFonts w:hint="default"/>
                <w:sz w:val="21"/>
                <w:szCs w:val="21"/>
                <w:highlight w:val="none"/>
              </w:rPr>
              <w:t>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247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BCF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53F60DDC">
        <w:tblPrEx>
          <w:tblCellMar>
            <w:top w:w="0" w:type="dxa"/>
            <w:left w:w="108" w:type="dxa"/>
            <w:bottom w:w="0" w:type="dxa"/>
            <w:right w:w="108" w:type="dxa"/>
          </w:tblCellMar>
        </w:tblPrEx>
        <w:trPr>
          <w:trHeight w:val="5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7FCE">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29159660">
            <w:pPr>
              <w:widowControl/>
              <w:jc w:val="left"/>
              <w:textAlignment w:val="center"/>
              <w:rPr>
                <w:rFonts w:ascii="宋体" w:hAnsi="宋体" w:cs="宋体"/>
                <w:color w:val="000000"/>
                <w:szCs w:val="21"/>
                <w:highlight w:val="none"/>
              </w:rPr>
            </w:pPr>
            <w:r>
              <w:rPr>
                <w:rStyle w:val="7"/>
                <w:rFonts w:hint="default"/>
                <w:sz w:val="21"/>
                <w:szCs w:val="21"/>
                <w:highlight w:val="none"/>
              </w:rPr>
              <w:t>签名验证服务</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20BD034A">
            <w:pPr>
              <w:widowControl/>
              <w:jc w:val="left"/>
              <w:textAlignment w:val="center"/>
              <w:rPr>
                <w:rFonts w:ascii="宋体" w:hAnsi="宋体" w:cs="宋体"/>
                <w:color w:val="000000"/>
                <w:szCs w:val="21"/>
                <w:highlight w:val="none"/>
              </w:rPr>
            </w:pPr>
            <w:r>
              <w:rPr>
                <w:rStyle w:val="7"/>
                <w:rFonts w:hint="default"/>
                <w:sz w:val="21"/>
                <w:szCs w:val="21"/>
                <w:highlight w:val="none"/>
              </w:rPr>
              <w:t>为系统提供重要数据在存储、传输过程中的完整性保护</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8243">
            <w:pPr>
              <w:widowControl/>
              <w:jc w:val="center"/>
              <w:textAlignment w:val="center"/>
              <w:rPr>
                <w:color w:val="000000"/>
                <w:szCs w:val="21"/>
                <w:highlight w:val="none"/>
              </w:rPr>
            </w:pPr>
            <w:r>
              <w:rPr>
                <w:rStyle w:val="8"/>
                <w:sz w:val="21"/>
                <w:szCs w:val="21"/>
                <w:highlight w:val="none"/>
              </w:rPr>
              <w:t>1</w:t>
            </w:r>
            <w:r>
              <w:rPr>
                <w:rStyle w:val="7"/>
                <w:rFonts w:hint="default"/>
                <w:sz w:val="21"/>
                <w:szCs w:val="21"/>
                <w:highlight w:val="none"/>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D9AF">
            <w:pPr>
              <w:widowControl/>
              <w:jc w:val="center"/>
              <w:textAlignment w:val="center"/>
              <w:rPr>
                <w:color w:val="000000"/>
                <w:szCs w:val="21"/>
                <w:highlight w:val="none"/>
              </w:rPr>
            </w:pPr>
            <w:r>
              <w:rPr>
                <w:rStyle w:val="7"/>
                <w:rFonts w:hint="default"/>
                <w:sz w:val="21"/>
                <w:szCs w:val="21"/>
                <w:highlight w:val="none"/>
              </w:rPr>
              <w:t>元</w:t>
            </w:r>
            <w:r>
              <w:rPr>
                <w:rStyle w:val="8"/>
                <w:sz w:val="21"/>
                <w:szCs w:val="21"/>
                <w:highlight w:val="none"/>
              </w:rPr>
              <w:t>/</w:t>
            </w:r>
            <w:r>
              <w:rPr>
                <w:rStyle w:val="7"/>
                <w:rFonts w:hint="default"/>
                <w:sz w:val="21"/>
                <w:szCs w:val="21"/>
                <w:highlight w:val="none"/>
              </w:rPr>
              <w:t>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EB5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79C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7E3FB0E5">
        <w:tblPrEx>
          <w:tblCellMar>
            <w:top w:w="0" w:type="dxa"/>
            <w:left w:w="108" w:type="dxa"/>
            <w:bottom w:w="0" w:type="dxa"/>
            <w:right w:w="108" w:type="dxa"/>
          </w:tblCellMar>
        </w:tblPrEx>
        <w:trPr>
          <w:trHeight w:val="5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C886">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15485A90">
            <w:pPr>
              <w:widowControl/>
              <w:jc w:val="left"/>
              <w:textAlignment w:val="center"/>
              <w:rPr>
                <w:rFonts w:ascii="宋体" w:hAnsi="宋体" w:cs="宋体"/>
                <w:color w:val="000000"/>
                <w:szCs w:val="21"/>
                <w:highlight w:val="none"/>
              </w:rPr>
            </w:pPr>
            <w:r>
              <w:rPr>
                <w:rStyle w:val="7"/>
                <w:rFonts w:hint="default"/>
                <w:sz w:val="21"/>
                <w:szCs w:val="21"/>
                <w:highlight w:val="none"/>
              </w:rPr>
              <w:t>加解密服务</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2516F9A1">
            <w:pPr>
              <w:widowControl/>
              <w:jc w:val="left"/>
              <w:textAlignment w:val="center"/>
              <w:rPr>
                <w:rFonts w:ascii="宋体" w:hAnsi="宋体" w:cs="宋体"/>
                <w:color w:val="000000"/>
                <w:szCs w:val="21"/>
                <w:highlight w:val="none"/>
              </w:rPr>
            </w:pPr>
            <w:r>
              <w:rPr>
                <w:rStyle w:val="7"/>
                <w:rFonts w:hint="default"/>
                <w:sz w:val="21"/>
                <w:szCs w:val="21"/>
                <w:highlight w:val="none"/>
              </w:rPr>
              <w:t>为系统提供重要数据在存储、传输过程中的机密性保护</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9B87">
            <w:pPr>
              <w:widowControl/>
              <w:jc w:val="center"/>
              <w:textAlignment w:val="center"/>
              <w:rPr>
                <w:color w:val="000000"/>
                <w:szCs w:val="21"/>
                <w:highlight w:val="none"/>
              </w:rPr>
            </w:pPr>
            <w:r>
              <w:rPr>
                <w:rStyle w:val="8"/>
                <w:sz w:val="21"/>
                <w:szCs w:val="21"/>
                <w:highlight w:val="none"/>
              </w:rPr>
              <w:t>1</w:t>
            </w:r>
            <w:r>
              <w:rPr>
                <w:rStyle w:val="7"/>
                <w:rFonts w:hint="default"/>
                <w:sz w:val="21"/>
                <w:szCs w:val="21"/>
                <w:highlight w:val="none"/>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8033">
            <w:pPr>
              <w:widowControl/>
              <w:jc w:val="center"/>
              <w:textAlignment w:val="center"/>
              <w:rPr>
                <w:color w:val="000000"/>
                <w:szCs w:val="21"/>
                <w:highlight w:val="none"/>
              </w:rPr>
            </w:pPr>
            <w:r>
              <w:rPr>
                <w:rStyle w:val="7"/>
                <w:rFonts w:hint="default"/>
                <w:sz w:val="21"/>
                <w:szCs w:val="21"/>
                <w:highlight w:val="none"/>
              </w:rPr>
              <w:t>元</w:t>
            </w:r>
            <w:r>
              <w:rPr>
                <w:rStyle w:val="8"/>
                <w:sz w:val="21"/>
                <w:szCs w:val="21"/>
                <w:highlight w:val="none"/>
              </w:rPr>
              <w:t>/</w:t>
            </w:r>
            <w:r>
              <w:rPr>
                <w:rStyle w:val="7"/>
                <w:rFonts w:hint="default"/>
                <w:sz w:val="21"/>
                <w:szCs w:val="21"/>
                <w:highlight w:val="none"/>
              </w:rPr>
              <w:t>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EEB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87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0228D7A2">
        <w:tblPrEx>
          <w:tblCellMar>
            <w:top w:w="0" w:type="dxa"/>
            <w:left w:w="108" w:type="dxa"/>
            <w:bottom w:w="0" w:type="dxa"/>
            <w:right w:w="108" w:type="dxa"/>
          </w:tblCellMar>
        </w:tblPrEx>
        <w:trPr>
          <w:trHeight w:val="27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B985">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422B0CEC">
            <w:pPr>
              <w:widowControl/>
              <w:jc w:val="left"/>
              <w:textAlignment w:val="center"/>
              <w:rPr>
                <w:rFonts w:ascii="宋体" w:hAnsi="宋体" w:cs="宋体"/>
                <w:color w:val="000000"/>
                <w:szCs w:val="21"/>
                <w:highlight w:val="none"/>
              </w:rPr>
            </w:pPr>
            <w:r>
              <w:rPr>
                <w:rStyle w:val="7"/>
                <w:rFonts w:hint="default"/>
                <w:sz w:val="21"/>
                <w:szCs w:val="21"/>
                <w:highlight w:val="none"/>
              </w:rPr>
              <w:t>时间戳服务</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27F5D0F0">
            <w:pPr>
              <w:widowControl/>
              <w:jc w:val="left"/>
              <w:textAlignment w:val="center"/>
              <w:rPr>
                <w:rFonts w:ascii="宋体" w:hAnsi="宋体" w:cs="宋体"/>
                <w:color w:val="000000"/>
                <w:szCs w:val="21"/>
                <w:highlight w:val="none"/>
              </w:rPr>
            </w:pPr>
            <w:r>
              <w:rPr>
                <w:rStyle w:val="7"/>
                <w:rFonts w:hint="default"/>
                <w:sz w:val="21"/>
                <w:szCs w:val="21"/>
                <w:highlight w:val="none"/>
              </w:rPr>
              <w:t>为系统提供重要数据在不可否认性保护</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3961">
            <w:pPr>
              <w:widowControl/>
              <w:jc w:val="center"/>
              <w:textAlignment w:val="center"/>
              <w:rPr>
                <w:color w:val="000000"/>
                <w:szCs w:val="21"/>
                <w:highlight w:val="none"/>
              </w:rPr>
            </w:pPr>
            <w:r>
              <w:rPr>
                <w:rStyle w:val="8"/>
                <w:sz w:val="21"/>
                <w:szCs w:val="21"/>
                <w:highlight w:val="none"/>
              </w:rPr>
              <w:t>1</w:t>
            </w:r>
            <w:r>
              <w:rPr>
                <w:rStyle w:val="7"/>
                <w:rFonts w:hint="default"/>
                <w:sz w:val="21"/>
                <w:szCs w:val="21"/>
                <w:highlight w:val="none"/>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4831">
            <w:pPr>
              <w:widowControl/>
              <w:jc w:val="center"/>
              <w:textAlignment w:val="center"/>
              <w:rPr>
                <w:color w:val="000000"/>
                <w:szCs w:val="21"/>
                <w:highlight w:val="none"/>
              </w:rPr>
            </w:pPr>
            <w:r>
              <w:rPr>
                <w:rStyle w:val="7"/>
                <w:rFonts w:hint="default"/>
                <w:sz w:val="21"/>
                <w:szCs w:val="21"/>
                <w:highlight w:val="none"/>
              </w:rPr>
              <w:t>元</w:t>
            </w:r>
            <w:r>
              <w:rPr>
                <w:rStyle w:val="8"/>
                <w:sz w:val="21"/>
                <w:szCs w:val="21"/>
                <w:highlight w:val="none"/>
              </w:rPr>
              <w:t>/</w:t>
            </w:r>
            <w:r>
              <w:rPr>
                <w:rStyle w:val="7"/>
                <w:rFonts w:hint="default"/>
                <w:sz w:val="21"/>
                <w:szCs w:val="21"/>
                <w:highlight w:val="none"/>
              </w:rPr>
              <w:t>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C2C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AA7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00411422">
        <w:tblPrEx>
          <w:tblCellMar>
            <w:top w:w="0" w:type="dxa"/>
            <w:left w:w="108" w:type="dxa"/>
            <w:bottom w:w="0" w:type="dxa"/>
            <w:right w:w="108" w:type="dxa"/>
          </w:tblCellMar>
        </w:tblPrEx>
        <w:trPr>
          <w:trHeight w:val="773"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A191">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2A9652D0">
            <w:pPr>
              <w:widowControl/>
              <w:jc w:val="left"/>
              <w:textAlignment w:val="center"/>
              <w:rPr>
                <w:color w:val="000000"/>
                <w:szCs w:val="21"/>
                <w:highlight w:val="none"/>
              </w:rPr>
            </w:pPr>
            <w:r>
              <w:rPr>
                <w:rStyle w:val="8"/>
                <w:sz w:val="21"/>
                <w:szCs w:val="21"/>
                <w:highlight w:val="none"/>
              </w:rPr>
              <w:t>SSL</w:t>
            </w:r>
            <w:r>
              <w:rPr>
                <w:rStyle w:val="7"/>
                <w:rFonts w:hint="default"/>
                <w:sz w:val="21"/>
                <w:szCs w:val="21"/>
                <w:highlight w:val="none"/>
              </w:rPr>
              <w:t>安全服务</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47DF085A">
            <w:pPr>
              <w:widowControl/>
              <w:jc w:val="left"/>
              <w:textAlignment w:val="center"/>
              <w:rPr>
                <w:rFonts w:ascii="宋体" w:hAnsi="宋体" w:cs="宋体"/>
                <w:color w:val="000000"/>
                <w:szCs w:val="21"/>
                <w:highlight w:val="none"/>
              </w:rPr>
            </w:pPr>
            <w:r>
              <w:rPr>
                <w:rStyle w:val="7"/>
                <w:rFonts w:hint="default"/>
                <w:sz w:val="21"/>
                <w:szCs w:val="21"/>
                <w:highlight w:val="none"/>
              </w:rPr>
              <w:t>基于</w:t>
            </w:r>
            <w:r>
              <w:rPr>
                <w:rStyle w:val="8"/>
                <w:rFonts w:ascii="宋体" w:hAnsi="宋体"/>
                <w:sz w:val="21"/>
                <w:szCs w:val="21"/>
                <w:highlight w:val="none"/>
              </w:rPr>
              <w:t>SM2/SM3/SM4</w:t>
            </w:r>
            <w:r>
              <w:rPr>
                <w:rStyle w:val="7"/>
                <w:rFonts w:hint="default"/>
                <w:sz w:val="21"/>
                <w:szCs w:val="21"/>
                <w:highlight w:val="none"/>
              </w:rPr>
              <w:t>算法建立</w:t>
            </w:r>
            <w:r>
              <w:rPr>
                <w:rStyle w:val="8"/>
                <w:rFonts w:ascii="宋体" w:hAnsi="宋体"/>
                <w:sz w:val="21"/>
                <w:szCs w:val="21"/>
                <w:highlight w:val="none"/>
              </w:rPr>
              <w:t>SSL</w:t>
            </w:r>
            <w:r>
              <w:rPr>
                <w:rStyle w:val="7"/>
                <w:rFonts w:hint="default"/>
                <w:sz w:val="21"/>
                <w:szCs w:val="21"/>
                <w:highlight w:val="none"/>
              </w:rPr>
              <w:t>通信信道，保证通信过程中数据的机密性和完整性</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DCA9">
            <w:pPr>
              <w:widowControl/>
              <w:jc w:val="center"/>
              <w:textAlignment w:val="center"/>
              <w:rPr>
                <w:color w:val="000000"/>
                <w:szCs w:val="21"/>
                <w:highlight w:val="none"/>
              </w:rPr>
            </w:pPr>
            <w:r>
              <w:rPr>
                <w:rStyle w:val="8"/>
                <w:sz w:val="21"/>
                <w:szCs w:val="21"/>
                <w:highlight w:val="none"/>
              </w:rPr>
              <w:t>1</w:t>
            </w:r>
            <w:r>
              <w:rPr>
                <w:rStyle w:val="7"/>
                <w:rFonts w:hint="default"/>
                <w:sz w:val="21"/>
                <w:szCs w:val="21"/>
                <w:highlight w:val="none"/>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31D2">
            <w:pPr>
              <w:widowControl/>
              <w:jc w:val="center"/>
              <w:textAlignment w:val="center"/>
              <w:rPr>
                <w:color w:val="000000"/>
                <w:szCs w:val="21"/>
                <w:highlight w:val="none"/>
              </w:rPr>
            </w:pPr>
            <w:r>
              <w:rPr>
                <w:rStyle w:val="7"/>
                <w:rFonts w:hint="default"/>
                <w:sz w:val="21"/>
                <w:szCs w:val="21"/>
                <w:highlight w:val="none"/>
              </w:rPr>
              <w:t>元</w:t>
            </w:r>
            <w:r>
              <w:rPr>
                <w:rStyle w:val="8"/>
                <w:sz w:val="21"/>
                <w:szCs w:val="21"/>
                <w:highlight w:val="none"/>
              </w:rPr>
              <w:t>/</w:t>
            </w:r>
            <w:r>
              <w:rPr>
                <w:rStyle w:val="7"/>
                <w:rFonts w:hint="default"/>
                <w:sz w:val="21"/>
                <w:szCs w:val="21"/>
                <w:highlight w:val="none"/>
              </w:rPr>
              <w:t>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D9D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99F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0B497ECF">
        <w:tblPrEx>
          <w:tblCellMar>
            <w:top w:w="0" w:type="dxa"/>
            <w:left w:w="108" w:type="dxa"/>
            <w:bottom w:w="0" w:type="dxa"/>
            <w:right w:w="108" w:type="dxa"/>
          </w:tblCellMar>
        </w:tblPrEx>
        <w:trPr>
          <w:trHeight w:val="5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6D7A">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3A54101E">
            <w:pPr>
              <w:widowControl/>
              <w:jc w:val="left"/>
              <w:textAlignment w:val="center"/>
              <w:rPr>
                <w:rFonts w:ascii="宋体" w:hAnsi="宋体" w:cs="宋体"/>
                <w:color w:val="000000"/>
                <w:szCs w:val="21"/>
                <w:highlight w:val="none"/>
              </w:rPr>
            </w:pPr>
            <w:r>
              <w:rPr>
                <w:rStyle w:val="7"/>
                <w:rFonts w:hint="default"/>
                <w:sz w:val="21"/>
                <w:szCs w:val="21"/>
                <w:highlight w:val="none"/>
              </w:rPr>
              <w:t>云服务接入集成费</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7BDFA7FE">
            <w:pPr>
              <w:widowControl/>
              <w:jc w:val="left"/>
              <w:textAlignment w:val="center"/>
              <w:rPr>
                <w:rFonts w:ascii="宋体" w:hAnsi="宋体" w:cs="宋体"/>
                <w:color w:val="000000"/>
                <w:szCs w:val="21"/>
                <w:highlight w:val="none"/>
              </w:rPr>
            </w:pPr>
            <w:r>
              <w:rPr>
                <w:rStyle w:val="7"/>
                <w:rFonts w:hint="default"/>
                <w:sz w:val="21"/>
                <w:szCs w:val="21"/>
                <w:highlight w:val="none"/>
              </w:rPr>
              <w:t>提供应用系统接入云服务所需应用集成、开通和配置服务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12B3">
            <w:pPr>
              <w:widowControl/>
              <w:jc w:val="center"/>
              <w:textAlignment w:val="center"/>
              <w:rPr>
                <w:color w:val="000000"/>
                <w:szCs w:val="21"/>
                <w:highlight w:val="none"/>
              </w:rPr>
            </w:pPr>
            <w:r>
              <w:rPr>
                <w:rStyle w:val="8"/>
                <w:sz w:val="21"/>
                <w:szCs w:val="21"/>
                <w:highlight w:val="none"/>
              </w:rPr>
              <w:t>1</w:t>
            </w:r>
            <w:r>
              <w:rPr>
                <w:rStyle w:val="7"/>
                <w:rFonts w:hint="default"/>
                <w:sz w:val="21"/>
                <w:szCs w:val="21"/>
                <w:highlight w:val="none"/>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5990">
            <w:pPr>
              <w:widowControl/>
              <w:jc w:val="center"/>
              <w:textAlignment w:val="center"/>
              <w:rPr>
                <w:color w:val="000000"/>
                <w:szCs w:val="21"/>
                <w:highlight w:val="none"/>
              </w:rPr>
            </w:pPr>
            <w:r>
              <w:rPr>
                <w:rStyle w:val="7"/>
                <w:rFonts w:hint="default"/>
                <w:sz w:val="21"/>
                <w:szCs w:val="21"/>
                <w:highlight w:val="none"/>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23E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30A7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w:t>
            </w:r>
          </w:p>
        </w:tc>
      </w:tr>
      <w:tr w14:paraId="36328933">
        <w:tblPrEx>
          <w:tblCellMar>
            <w:top w:w="0" w:type="dxa"/>
            <w:left w:w="108" w:type="dxa"/>
            <w:bottom w:w="0" w:type="dxa"/>
            <w:right w:w="108" w:type="dxa"/>
          </w:tblCellMar>
        </w:tblPrEx>
        <w:trPr>
          <w:trHeight w:val="336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0D32">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007EFB85">
            <w:pPr>
              <w:widowControl/>
              <w:jc w:val="left"/>
              <w:textAlignment w:val="center"/>
              <w:rPr>
                <w:rFonts w:ascii="宋体" w:hAnsi="宋体" w:cs="宋体"/>
                <w:color w:val="000000"/>
                <w:szCs w:val="21"/>
                <w:highlight w:val="none"/>
              </w:rPr>
            </w:pPr>
            <w:r>
              <w:rPr>
                <w:rStyle w:val="7"/>
                <w:rFonts w:hint="default"/>
                <w:sz w:val="21"/>
                <w:szCs w:val="21"/>
                <w:highlight w:val="none"/>
              </w:rPr>
              <w:t>国密浏览器</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06F6BE88">
            <w:pPr>
              <w:widowControl/>
              <w:jc w:val="left"/>
              <w:textAlignment w:val="center"/>
              <w:rPr>
                <w:rFonts w:ascii="宋体" w:hAnsi="宋体" w:cs="宋体"/>
                <w:color w:val="000000"/>
                <w:szCs w:val="21"/>
                <w:highlight w:val="none"/>
              </w:rPr>
            </w:pPr>
            <w:r>
              <w:rPr>
                <w:rStyle w:val="8"/>
                <w:rFonts w:ascii="宋体" w:hAnsi="宋体"/>
                <w:sz w:val="21"/>
                <w:szCs w:val="21"/>
                <w:highlight w:val="none"/>
              </w:rPr>
              <w:t>1.</w:t>
            </w:r>
            <w:r>
              <w:rPr>
                <w:rStyle w:val="7"/>
                <w:rFonts w:hint="default"/>
                <w:sz w:val="21"/>
                <w:szCs w:val="21"/>
                <w:highlight w:val="none"/>
              </w:rPr>
              <w:t>支持</w:t>
            </w:r>
            <w:r>
              <w:rPr>
                <w:rStyle w:val="8"/>
                <w:rFonts w:ascii="宋体" w:hAnsi="宋体"/>
                <w:sz w:val="21"/>
                <w:szCs w:val="21"/>
                <w:highlight w:val="none"/>
              </w:rPr>
              <w:t>SM2/SM3/SM4</w:t>
            </w:r>
            <w:r>
              <w:rPr>
                <w:rStyle w:val="7"/>
                <w:rFonts w:hint="default"/>
                <w:sz w:val="21"/>
                <w:szCs w:val="21"/>
                <w:highlight w:val="none"/>
              </w:rPr>
              <w:t>国密算法以及国密的</w:t>
            </w:r>
            <w:r>
              <w:rPr>
                <w:rStyle w:val="8"/>
                <w:rFonts w:ascii="宋体" w:hAnsi="宋体"/>
                <w:sz w:val="21"/>
                <w:szCs w:val="21"/>
                <w:highlight w:val="none"/>
              </w:rPr>
              <w:t>SSL</w:t>
            </w:r>
            <w:r>
              <w:rPr>
                <w:rStyle w:val="7"/>
                <w:rFonts w:hint="default"/>
                <w:sz w:val="21"/>
                <w:szCs w:val="21"/>
                <w:highlight w:val="none"/>
              </w:rPr>
              <w:t>双向协议；</w:t>
            </w:r>
            <w:r>
              <w:rPr>
                <w:rStyle w:val="8"/>
                <w:rFonts w:ascii="宋体" w:hAnsi="宋体"/>
                <w:sz w:val="21"/>
                <w:szCs w:val="21"/>
                <w:highlight w:val="none"/>
              </w:rPr>
              <w:t>2.</w:t>
            </w:r>
            <w:r>
              <w:rPr>
                <w:rStyle w:val="7"/>
                <w:rFonts w:hint="default"/>
                <w:sz w:val="21"/>
                <w:szCs w:val="21"/>
                <w:highlight w:val="none"/>
              </w:rPr>
              <w:t>支持国密网站、国密应用自动识别及国密标识展现；</w:t>
            </w:r>
            <w:r>
              <w:rPr>
                <w:rStyle w:val="8"/>
                <w:rFonts w:ascii="宋体" w:hAnsi="宋体"/>
                <w:sz w:val="21"/>
                <w:szCs w:val="21"/>
                <w:highlight w:val="none"/>
              </w:rPr>
              <w:t>3.</w:t>
            </w:r>
            <w:r>
              <w:rPr>
                <w:rStyle w:val="7"/>
                <w:rFonts w:hint="default"/>
                <w:sz w:val="21"/>
                <w:szCs w:val="21"/>
                <w:highlight w:val="none"/>
              </w:rPr>
              <w:t>支持国产系列操作系统，如中标麒麟、银河麒麟、中科方德、</w:t>
            </w:r>
            <w:r>
              <w:rPr>
                <w:rStyle w:val="8"/>
                <w:rFonts w:ascii="宋体" w:hAnsi="宋体"/>
                <w:sz w:val="21"/>
                <w:szCs w:val="21"/>
                <w:highlight w:val="none"/>
              </w:rPr>
              <w:t>UOS</w:t>
            </w:r>
            <w:r>
              <w:rPr>
                <w:rStyle w:val="7"/>
                <w:rFonts w:hint="default"/>
                <w:sz w:val="21"/>
                <w:szCs w:val="21"/>
                <w:highlight w:val="none"/>
              </w:rPr>
              <w:t>；</w:t>
            </w:r>
            <w:r>
              <w:rPr>
                <w:rStyle w:val="8"/>
                <w:rFonts w:ascii="宋体" w:hAnsi="宋体"/>
                <w:sz w:val="21"/>
                <w:szCs w:val="21"/>
                <w:highlight w:val="none"/>
              </w:rPr>
              <w:t>4.</w:t>
            </w:r>
            <w:r>
              <w:rPr>
                <w:rStyle w:val="7"/>
                <w:rFonts w:hint="default"/>
                <w:sz w:val="21"/>
                <w:szCs w:val="21"/>
                <w:highlight w:val="none"/>
              </w:rPr>
              <w:t>支持国产系列（包括龙芯（</w:t>
            </w:r>
            <w:r>
              <w:rPr>
                <w:rStyle w:val="8"/>
                <w:rFonts w:ascii="宋体" w:hAnsi="宋体"/>
                <w:sz w:val="21"/>
                <w:szCs w:val="21"/>
                <w:highlight w:val="none"/>
              </w:rPr>
              <w:t>MIPS</w:t>
            </w:r>
            <w:r>
              <w:rPr>
                <w:rStyle w:val="7"/>
                <w:rFonts w:hint="default"/>
                <w:sz w:val="21"/>
                <w:szCs w:val="21"/>
                <w:highlight w:val="none"/>
              </w:rPr>
              <w:t>）、兆芯、飞腾（</w:t>
            </w:r>
            <w:r>
              <w:rPr>
                <w:rStyle w:val="8"/>
                <w:rFonts w:ascii="宋体" w:hAnsi="宋体"/>
                <w:sz w:val="21"/>
                <w:szCs w:val="21"/>
                <w:highlight w:val="none"/>
              </w:rPr>
              <w:t>ARM</w:t>
            </w:r>
            <w:r>
              <w:rPr>
                <w:rStyle w:val="7"/>
                <w:rFonts w:hint="default"/>
                <w:sz w:val="21"/>
                <w:szCs w:val="21"/>
                <w:highlight w:val="none"/>
              </w:rPr>
              <w:t>）、海光）等各架构</w:t>
            </w:r>
            <w:r>
              <w:rPr>
                <w:rStyle w:val="8"/>
                <w:rFonts w:ascii="宋体" w:hAnsi="宋体"/>
                <w:sz w:val="21"/>
                <w:szCs w:val="21"/>
                <w:highlight w:val="none"/>
              </w:rPr>
              <w:t>CPU</w:t>
            </w:r>
            <w:r>
              <w:rPr>
                <w:rStyle w:val="7"/>
                <w:rFonts w:hint="default"/>
                <w:sz w:val="21"/>
                <w:szCs w:val="21"/>
                <w:highlight w:val="none"/>
              </w:rPr>
              <w:t>；</w:t>
            </w:r>
            <w:r>
              <w:rPr>
                <w:rStyle w:val="8"/>
                <w:rFonts w:ascii="宋体" w:hAnsi="宋体"/>
                <w:sz w:val="21"/>
                <w:szCs w:val="21"/>
                <w:highlight w:val="none"/>
              </w:rPr>
              <w:t>5.</w:t>
            </w:r>
            <w:r>
              <w:rPr>
                <w:rStyle w:val="7"/>
                <w:rFonts w:hint="default"/>
                <w:sz w:val="21"/>
                <w:szCs w:val="21"/>
                <w:highlight w:val="none"/>
              </w:rPr>
              <w:t>支持页面解析、页面标签栏、页面地址栏、前进后退、页面刷新、网址收藏、证书集成、插件集成等浏览器功能；</w:t>
            </w:r>
            <w:r>
              <w:rPr>
                <w:rStyle w:val="8"/>
                <w:rFonts w:ascii="宋体" w:hAnsi="宋体"/>
                <w:sz w:val="21"/>
                <w:szCs w:val="21"/>
                <w:highlight w:val="none"/>
              </w:rPr>
              <w:t>6.</w:t>
            </w:r>
            <w:r>
              <w:rPr>
                <w:rStyle w:val="7"/>
                <w:rFonts w:hint="default"/>
                <w:sz w:val="21"/>
                <w:szCs w:val="21"/>
                <w:highlight w:val="none"/>
              </w:rPr>
              <w:t>支持安全沙箱、环境检查、完整性校验、隐私设置、无痕浏览、缓存加密、反调试及证书管控、插件管控等安全性功能。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35AF">
            <w:pPr>
              <w:widowControl/>
              <w:jc w:val="center"/>
              <w:textAlignment w:val="center"/>
              <w:rPr>
                <w:rFonts w:ascii="宋体" w:hAnsi="宋体" w:cs="宋体"/>
                <w:color w:val="000000"/>
                <w:kern w:val="0"/>
                <w:szCs w:val="21"/>
                <w:highlight w:val="none"/>
              </w:rPr>
            </w:pPr>
            <w:r>
              <w:rPr>
                <w:rFonts w:ascii="宋体" w:hAnsi="宋体" w:cs="宋体"/>
                <w:kern w:val="0"/>
                <w:highlight w:val="none"/>
              </w:rPr>
              <w:t>1</w:t>
            </w:r>
            <w:r>
              <w:rPr>
                <w:kern w:val="0"/>
                <w:highlight w:val="none"/>
              </w:rPr>
              <w:t>用户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B392">
            <w:pPr>
              <w:widowControl/>
              <w:jc w:val="center"/>
              <w:textAlignment w:val="center"/>
              <w:rPr>
                <w:color w:val="000000"/>
                <w:szCs w:val="21"/>
                <w:highlight w:val="none"/>
              </w:rPr>
            </w:pPr>
            <w:r>
              <w:rPr>
                <w:rStyle w:val="7"/>
                <w:rFonts w:hint="default"/>
                <w:sz w:val="21"/>
                <w:szCs w:val="21"/>
                <w:highlight w:val="none"/>
              </w:rPr>
              <w:t>元</w:t>
            </w:r>
            <w:r>
              <w:rPr>
                <w:rStyle w:val="8"/>
                <w:sz w:val="21"/>
                <w:szCs w:val="21"/>
                <w:highlight w:val="none"/>
              </w:rPr>
              <w:t>/</w:t>
            </w:r>
            <w:r>
              <w:rPr>
                <w:rStyle w:val="7"/>
                <w:rFonts w:hint="default"/>
                <w:sz w:val="21"/>
                <w:szCs w:val="21"/>
                <w:highlight w:val="none"/>
              </w:rPr>
              <w:t>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4B3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D00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34A4EEEA">
        <w:tblPrEx>
          <w:tblCellMar>
            <w:top w:w="0" w:type="dxa"/>
            <w:left w:w="108" w:type="dxa"/>
            <w:bottom w:w="0" w:type="dxa"/>
            <w:right w:w="108" w:type="dxa"/>
          </w:tblCellMar>
        </w:tblPrEx>
        <w:trPr>
          <w:trHeight w:val="27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6D51">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1F5673EA">
            <w:pPr>
              <w:widowControl/>
              <w:jc w:val="left"/>
              <w:textAlignment w:val="center"/>
              <w:rPr>
                <w:rFonts w:ascii="宋体" w:hAnsi="宋体" w:cs="宋体"/>
                <w:color w:val="000000"/>
                <w:szCs w:val="21"/>
                <w:highlight w:val="none"/>
              </w:rPr>
            </w:pPr>
            <w:r>
              <w:rPr>
                <w:rStyle w:val="7"/>
                <w:rFonts w:hint="default"/>
                <w:sz w:val="21"/>
                <w:szCs w:val="21"/>
                <w:highlight w:val="none"/>
              </w:rPr>
              <w:t>设备证书</w:t>
            </w:r>
          </w:p>
        </w:tc>
        <w:tc>
          <w:tcPr>
            <w:tcW w:w="2904" w:type="dxa"/>
            <w:tcBorders>
              <w:top w:val="single" w:color="000000" w:sz="4" w:space="0"/>
              <w:left w:val="nil"/>
              <w:bottom w:val="single" w:color="000000" w:sz="4" w:space="0"/>
              <w:right w:val="single" w:color="000000" w:sz="4" w:space="0"/>
            </w:tcBorders>
            <w:shd w:val="clear" w:color="auto" w:fill="auto"/>
            <w:vAlign w:val="center"/>
          </w:tcPr>
          <w:p w14:paraId="53DF823C">
            <w:pPr>
              <w:widowControl/>
              <w:jc w:val="left"/>
              <w:textAlignment w:val="center"/>
              <w:rPr>
                <w:rFonts w:ascii="宋体" w:hAnsi="宋体" w:cs="宋体"/>
                <w:color w:val="000000"/>
                <w:szCs w:val="21"/>
                <w:highlight w:val="none"/>
              </w:rPr>
            </w:pPr>
            <w:r>
              <w:rPr>
                <w:rStyle w:val="7"/>
                <w:rFonts w:hint="default"/>
                <w:sz w:val="21"/>
                <w:szCs w:val="21"/>
                <w:highlight w:val="none"/>
              </w:rPr>
              <w:t>标识各类设备的网上身份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3D36">
            <w:pPr>
              <w:widowControl/>
              <w:jc w:val="center"/>
              <w:textAlignment w:val="center"/>
              <w:rPr>
                <w:rFonts w:ascii="宋体" w:hAnsi="宋体" w:cs="宋体"/>
                <w:color w:val="000000"/>
                <w:kern w:val="0"/>
                <w:szCs w:val="21"/>
                <w:highlight w:val="none"/>
              </w:rPr>
            </w:pPr>
            <w:r>
              <w:rPr>
                <w:rFonts w:hint="eastAsia" w:ascii="宋体" w:hAnsi="宋体" w:cs="宋体"/>
                <w:kern w:val="0"/>
                <w:highlight w:val="none"/>
              </w:rPr>
              <w:t>1</w:t>
            </w:r>
            <w:r>
              <w:rPr>
                <w:kern w:val="0"/>
                <w:highlight w:val="none"/>
              </w:rPr>
              <w:t>年</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2049">
            <w:pPr>
              <w:widowControl/>
              <w:jc w:val="center"/>
              <w:textAlignment w:val="center"/>
              <w:rPr>
                <w:color w:val="000000"/>
                <w:szCs w:val="21"/>
                <w:highlight w:val="none"/>
              </w:rPr>
            </w:pPr>
            <w:r>
              <w:rPr>
                <w:rStyle w:val="7"/>
                <w:rFonts w:hint="default"/>
                <w:sz w:val="21"/>
                <w:szCs w:val="21"/>
                <w:highlight w:val="none"/>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C54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25</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0167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w:t>
            </w:r>
          </w:p>
        </w:tc>
      </w:tr>
      <w:tr w14:paraId="3EE5EBAB">
        <w:tblPrEx>
          <w:tblCellMar>
            <w:top w:w="0" w:type="dxa"/>
            <w:left w:w="108" w:type="dxa"/>
            <w:bottom w:w="0" w:type="dxa"/>
            <w:right w:w="108" w:type="dxa"/>
          </w:tblCellMar>
        </w:tblPrEx>
        <w:trPr>
          <w:trHeight w:val="27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30904C">
            <w:pPr>
              <w:widowControl/>
              <w:jc w:val="center"/>
              <w:textAlignment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其他服务</w:t>
            </w: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14124EB4">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短信服务</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C1EE0">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提供短信验证服务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A02C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62A5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6D4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700000</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A010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w:t>
            </w:r>
          </w:p>
        </w:tc>
      </w:tr>
      <w:tr w14:paraId="715B71A4">
        <w:tblPrEx>
          <w:tblCellMar>
            <w:top w:w="0" w:type="dxa"/>
            <w:left w:w="108" w:type="dxa"/>
            <w:bottom w:w="0" w:type="dxa"/>
            <w:right w:w="108" w:type="dxa"/>
          </w:tblCellMar>
        </w:tblPrEx>
        <w:trPr>
          <w:trHeight w:val="52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9DDCE">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6802C90B">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国产商用操作系统租用</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1A996">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国产商用操作系统租用、安装、调优，排错，技术支持</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AFB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1台</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D67C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396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22B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61DF2CE5">
        <w:tblPrEx>
          <w:tblCellMar>
            <w:top w:w="0" w:type="dxa"/>
            <w:left w:w="108" w:type="dxa"/>
            <w:bottom w:w="0" w:type="dxa"/>
            <w:right w:w="108" w:type="dxa"/>
          </w:tblCellMar>
        </w:tblPrEx>
        <w:trPr>
          <w:trHeight w:val="52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E3CCA">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41F37D35">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国产商用应用中间件套餐</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B9F00">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国产商用应用中间件租用、安装及维护</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972F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1CPU</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AF1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3C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22</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F6B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4775076D">
        <w:tblPrEx>
          <w:tblCellMar>
            <w:top w:w="0" w:type="dxa"/>
            <w:left w:w="108" w:type="dxa"/>
            <w:bottom w:w="0" w:type="dxa"/>
            <w:right w:w="108" w:type="dxa"/>
          </w:tblCellMar>
        </w:tblPrEx>
        <w:trPr>
          <w:trHeight w:val="52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46F09">
            <w:pPr>
              <w:jc w:val="center"/>
              <w:rPr>
                <w:rFonts w:ascii="宋体" w:hAnsi="宋体" w:cs="宋体"/>
                <w:b/>
                <w:bCs/>
                <w:color w:val="000000"/>
                <w:szCs w:val="21"/>
                <w:highlight w:val="none"/>
              </w:rPr>
            </w:pPr>
          </w:p>
        </w:tc>
        <w:tc>
          <w:tcPr>
            <w:tcW w:w="1349" w:type="dxa"/>
            <w:vMerge w:val="restart"/>
            <w:tcBorders>
              <w:top w:val="single" w:color="000000" w:sz="4" w:space="0"/>
              <w:left w:val="nil"/>
              <w:right w:val="single" w:color="000000" w:sz="4" w:space="0"/>
            </w:tcBorders>
            <w:shd w:val="clear" w:color="auto" w:fill="auto"/>
            <w:vAlign w:val="center"/>
          </w:tcPr>
          <w:p w14:paraId="7C00E84C">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国产商用数据库套餐</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4C12">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国产数据库租用、安装及原厂技术支持服务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109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1套</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851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238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5</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201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0060F365">
        <w:tblPrEx>
          <w:tblCellMar>
            <w:top w:w="0" w:type="dxa"/>
            <w:left w:w="108" w:type="dxa"/>
            <w:bottom w:w="0" w:type="dxa"/>
            <w:right w:w="108" w:type="dxa"/>
          </w:tblCellMar>
        </w:tblPrEx>
        <w:trPr>
          <w:trHeight w:val="27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E5077">
            <w:pPr>
              <w:jc w:val="center"/>
              <w:rPr>
                <w:rFonts w:ascii="宋体" w:hAnsi="宋体" w:cs="宋体"/>
                <w:b/>
                <w:bCs/>
                <w:color w:val="000000"/>
                <w:szCs w:val="21"/>
                <w:highlight w:val="none"/>
              </w:rPr>
            </w:pPr>
          </w:p>
        </w:tc>
        <w:tc>
          <w:tcPr>
            <w:tcW w:w="1349" w:type="dxa"/>
            <w:vMerge w:val="continue"/>
            <w:tcBorders>
              <w:left w:val="nil"/>
              <w:right w:val="single" w:color="000000" w:sz="4" w:space="0"/>
            </w:tcBorders>
            <w:shd w:val="clear" w:color="auto" w:fill="auto"/>
            <w:vAlign w:val="center"/>
          </w:tcPr>
          <w:p w14:paraId="65110A6E">
            <w:pPr>
              <w:jc w:val="left"/>
              <w:textAlignment w:val="center"/>
              <w:rPr>
                <w:rFonts w:ascii="宋体" w:hAnsi="宋体" w:cs="宋体"/>
                <w:color w:val="000000"/>
                <w:szCs w:val="21"/>
                <w:highlight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5A27">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高斯测试数据库安装及原厂技术支持服务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15BF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1节点</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C47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9FE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2AF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7A1EA1EA">
        <w:tblPrEx>
          <w:tblCellMar>
            <w:top w:w="0" w:type="dxa"/>
            <w:left w:w="108" w:type="dxa"/>
            <w:bottom w:w="0" w:type="dxa"/>
            <w:right w:w="108" w:type="dxa"/>
          </w:tblCellMar>
        </w:tblPrEx>
        <w:trPr>
          <w:trHeight w:val="52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5CFCC">
            <w:pPr>
              <w:jc w:val="center"/>
              <w:rPr>
                <w:rFonts w:ascii="宋体" w:hAnsi="宋体" w:cs="宋体"/>
                <w:b/>
                <w:bCs/>
                <w:color w:val="000000"/>
                <w:szCs w:val="21"/>
                <w:highlight w:val="none"/>
              </w:rPr>
            </w:pPr>
          </w:p>
        </w:tc>
        <w:tc>
          <w:tcPr>
            <w:tcW w:w="1349" w:type="dxa"/>
            <w:vMerge w:val="continue"/>
            <w:tcBorders>
              <w:left w:val="nil"/>
              <w:bottom w:val="single" w:color="000000" w:sz="4" w:space="0"/>
              <w:right w:val="single" w:color="000000" w:sz="4" w:space="0"/>
            </w:tcBorders>
            <w:shd w:val="clear" w:color="auto" w:fill="auto"/>
            <w:vAlign w:val="center"/>
          </w:tcPr>
          <w:p w14:paraId="621E7756">
            <w:pPr>
              <w:widowControl/>
              <w:jc w:val="left"/>
              <w:textAlignment w:val="center"/>
              <w:rPr>
                <w:rFonts w:ascii="宋体" w:hAnsi="宋体" w:cs="宋体"/>
                <w:color w:val="000000"/>
                <w:szCs w:val="21"/>
                <w:highlight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B8DDB">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高斯数据库租用、安装及原厂技术支持服务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4355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1节点</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9EAA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F53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B590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r w14:paraId="0CE87148">
        <w:tblPrEx>
          <w:tblCellMar>
            <w:top w:w="0" w:type="dxa"/>
            <w:left w:w="108" w:type="dxa"/>
            <w:bottom w:w="0" w:type="dxa"/>
            <w:right w:w="108" w:type="dxa"/>
          </w:tblCellMar>
        </w:tblPrEx>
        <w:trPr>
          <w:trHeight w:val="52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FBE3BF">
            <w:pPr>
              <w:jc w:val="center"/>
              <w:rPr>
                <w:rFonts w:ascii="宋体" w:hAnsi="宋体" w:cs="宋体"/>
                <w:b/>
                <w:bCs/>
                <w:color w:val="000000"/>
                <w:szCs w:val="21"/>
                <w:highlight w:val="none"/>
              </w:rPr>
            </w:pP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7542EA37">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商用数据库租用服务</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B832">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O</w:t>
            </w:r>
            <w:r>
              <w:rPr>
                <w:rFonts w:ascii="宋体" w:hAnsi="宋体" w:cs="宋体"/>
                <w:color w:val="000000"/>
                <w:kern w:val="0"/>
                <w:szCs w:val="21"/>
                <w:highlight w:val="none"/>
              </w:rPr>
              <w:t>racle12C</w:t>
            </w:r>
            <w:r>
              <w:rPr>
                <w:rFonts w:hint="eastAsia" w:ascii="宋体" w:hAnsi="宋体" w:cs="宋体"/>
                <w:color w:val="000000"/>
                <w:kern w:val="0"/>
                <w:szCs w:val="21"/>
                <w:highlight w:val="none"/>
              </w:rPr>
              <w:t xml:space="preserve"> 标准版（不含RAC组件）租用、安装、维护服务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8A6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1套</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6BAD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元/月</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194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D4A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r>
    </w:tbl>
    <w:p w14:paraId="60EE142A">
      <w:pPr>
        <w:numPr>
          <w:ilvl w:val="0"/>
          <w:numId w:val="1"/>
        </w:numPr>
        <w:spacing w:before="60" w:after="60" w:line="360" w:lineRule="auto"/>
        <w:ind w:left="482" w:hanging="482" w:hangingChars="200"/>
        <w:outlineLvl w:val="0"/>
        <w:rPr>
          <w:rFonts w:ascii="宋体" w:hAnsi="宋体" w:cs="宋体"/>
          <w:b/>
          <w:kern w:val="44"/>
          <w:sz w:val="24"/>
          <w:highlight w:val="none"/>
        </w:rPr>
      </w:pPr>
      <w:r>
        <w:rPr>
          <w:rFonts w:hint="eastAsia" w:ascii="宋体" w:hAnsi="宋体" w:cs="宋体"/>
          <w:b/>
          <w:kern w:val="44"/>
          <w:sz w:val="24"/>
          <w:highlight w:val="none"/>
        </w:rPr>
        <w:t>、采购目标</w:t>
      </w:r>
    </w:p>
    <w:p w14:paraId="0F542EB3">
      <w:pPr>
        <w:spacing w:after="120" w:line="360" w:lineRule="auto"/>
        <w:ind w:firstLine="480" w:firstLineChars="200"/>
        <w:rPr>
          <w:rFonts w:ascii="宋体" w:hAnsi="宋体" w:cs="宋体"/>
          <w:kern w:val="0"/>
          <w:sz w:val="24"/>
          <w:highlight w:val="none"/>
        </w:rPr>
      </w:pPr>
      <w:r>
        <w:rPr>
          <w:rFonts w:hint="eastAsia" w:ascii="宋体" w:hAnsi="宋体" w:cs="宋体"/>
          <w:bCs/>
          <w:sz w:val="24"/>
          <w:highlight w:val="none"/>
        </w:rPr>
        <w:t>本项目的总体目标是通过租用政务云平台</w:t>
      </w:r>
      <w:r>
        <w:rPr>
          <w:rFonts w:hint="eastAsia" w:ascii="宋体" w:hAnsi="宋体" w:cs="宋体"/>
          <w:kern w:val="0"/>
          <w:sz w:val="24"/>
          <w:highlight w:val="none"/>
        </w:rPr>
        <w:t>计算服务、存储服务、网络服务、安全服务、安全检测监测、审计服务、国密服务及其他服务等。提供全年7×24小时运维保障，做好法定节假日和重点时期应急值守保障服务，确保各信息系统在政务云环境中安全稳定运行。</w:t>
      </w:r>
    </w:p>
    <w:p w14:paraId="236FA054">
      <w:pPr>
        <w:numPr>
          <w:ilvl w:val="0"/>
          <w:numId w:val="1"/>
        </w:numPr>
        <w:spacing w:before="60" w:after="60" w:line="360" w:lineRule="auto"/>
        <w:ind w:left="482" w:hanging="482" w:hangingChars="200"/>
        <w:outlineLvl w:val="0"/>
        <w:rPr>
          <w:rFonts w:ascii="宋体" w:hAnsi="宋体" w:cs="宋体"/>
          <w:b/>
          <w:kern w:val="44"/>
          <w:sz w:val="24"/>
          <w:highlight w:val="none"/>
        </w:rPr>
      </w:pPr>
      <w:bookmarkStart w:id="1" w:name="_Toc24198"/>
      <w:r>
        <w:rPr>
          <w:rFonts w:hint="eastAsia" w:ascii="宋体" w:hAnsi="宋体" w:cs="宋体"/>
          <w:b/>
          <w:kern w:val="44"/>
          <w:sz w:val="24"/>
          <w:highlight w:val="none"/>
        </w:rPr>
        <w:t>、服务内容与服务标准</w:t>
      </w:r>
      <w:bookmarkEnd w:id="1"/>
    </w:p>
    <w:p w14:paraId="41382FA6">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计算服务</w:t>
      </w:r>
    </w:p>
    <w:p w14:paraId="62DDF736">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4AA42DBC">
      <w:pPr>
        <w:spacing w:line="360" w:lineRule="auto"/>
        <w:ind w:firstLine="480"/>
        <w:rPr>
          <w:rFonts w:ascii="宋体" w:hAnsi="宋体" w:cs="宋体"/>
          <w:sz w:val="24"/>
          <w:highlight w:val="none"/>
        </w:rPr>
      </w:pPr>
      <w:r>
        <w:rPr>
          <w:rFonts w:hint="eastAsia" w:ascii="宋体" w:hAnsi="宋体" w:cs="宋体"/>
          <w:sz w:val="24"/>
          <w:highlight w:val="none"/>
        </w:rPr>
        <w:t>按照采购人的具体需求，提供计算服务，包括：平台云主机服务和物理服务器租用服务，按需求对CPU及内存进行动态调整，实现合理的计算资源配置。在提供政务云主机的服务过程中做好与采购人和对应项目应用开发厂商的协调沟通工作。</w:t>
      </w:r>
    </w:p>
    <w:p w14:paraId="298E8180">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107F3889">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云主机应实现物理机的全部功能，如具有CPU、存储、内存、网卡等资源，可以指定单独的IP地址等。</w:t>
      </w:r>
    </w:p>
    <w:p w14:paraId="10A99F29">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支持存储裸设备映射（RDM），可以将存储设备上的LUN直接映射给虚拟机使用，并且支持SCSI指令使用透传模式或者非透传模式。</w:t>
      </w:r>
    </w:p>
    <w:p w14:paraId="6E731CD2">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应满足云主机之间、CPU之间隔离保护要求。</w:t>
      </w:r>
    </w:p>
    <w:p w14:paraId="422F8325">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支持资源的动态调整，根据业务的负载情况实现业务系统虚拟机的动态扩展和回收。</w:t>
      </w:r>
    </w:p>
    <w:p w14:paraId="45B66278">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支持在线进行虚拟化软件版本升级，不同版本之间可以相互兼容。</w:t>
      </w:r>
    </w:p>
    <w:p w14:paraId="5DF6C64F">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支持异构虚拟化能力，如KVM等多种虚拟化技术。</w:t>
      </w:r>
    </w:p>
    <w:p w14:paraId="57057943">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云主机出现故障时，支持自动重启或者迁移，保障业务连续性。</w:t>
      </w:r>
    </w:p>
    <w:p w14:paraId="5BD64489">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支持虚拟机热迁移，可在不同代CPU资源池中进行虚拟机热迁移。</w:t>
      </w:r>
    </w:p>
    <w:p w14:paraId="07B42D5E">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云计算资源性能要求包括但不限于如下：</w:t>
      </w:r>
    </w:p>
    <w:p w14:paraId="1736C77A">
      <w:pPr>
        <w:spacing w:line="360" w:lineRule="auto"/>
        <w:ind w:firstLine="480"/>
        <w:rPr>
          <w:rFonts w:ascii="宋体" w:hAnsi="宋体" w:cs="宋体"/>
          <w:sz w:val="24"/>
          <w:highlight w:val="none"/>
        </w:rPr>
      </w:pPr>
      <w:r>
        <w:rPr>
          <w:rFonts w:hint="eastAsia" w:ascii="宋体" w:hAnsi="宋体" w:cs="宋体"/>
          <w:sz w:val="24"/>
          <w:highlight w:val="none"/>
        </w:rPr>
        <w:t>（1）物理服务器CPU主频应不低于2.40GHz；</w:t>
      </w:r>
    </w:p>
    <w:p w14:paraId="67D5C75B">
      <w:pPr>
        <w:spacing w:line="360" w:lineRule="auto"/>
        <w:ind w:firstLine="480"/>
        <w:rPr>
          <w:rFonts w:ascii="宋体" w:hAnsi="宋体" w:cs="宋体"/>
          <w:sz w:val="24"/>
          <w:highlight w:val="none"/>
        </w:rPr>
      </w:pPr>
      <w:r>
        <w:rPr>
          <w:rFonts w:hint="eastAsia" w:ascii="宋体" w:hAnsi="宋体" w:cs="宋体"/>
          <w:sz w:val="24"/>
          <w:highlight w:val="none"/>
        </w:rPr>
        <w:t>（2）主机内存硬件配置不低于DDR4-2400MHz；</w:t>
      </w:r>
    </w:p>
    <w:p w14:paraId="2680C110">
      <w:pPr>
        <w:spacing w:line="360" w:lineRule="auto"/>
        <w:ind w:firstLine="480"/>
        <w:rPr>
          <w:rFonts w:ascii="宋体" w:hAnsi="宋体" w:cs="宋体"/>
          <w:sz w:val="24"/>
          <w:highlight w:val="none"/>
        </w:rPr>
      </w:pPr>
      <w:r>
        <w:rPr>
          <w:rFonts w:hint="eastAsia" w:ascii="宋体" w:hAnsi="宋体" w:cs="宋体"/>
          <w:sz w:val="24"/>
          <w:highlight w:val="none"/>
        </w:rPr>
        <w:t>（3）可用性不低于99.9%。</w:t>
      </w:r>
    </w:p>
    <w:p w14:paraId="072530B2">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存储服务</w:t>
      </w:r>
    </w:p>
    <w:p w14:paraId="4087B971">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3852F180">
      <w:pPr>
        <w:spacing w:line="360" w:lineRule="auto"/>
        <w:ind w:firstLine="480"/>
        <w:rPr>
          <w:rFonts w:ascii="宋体" w:hAnsi="宋体" w:cs="宋体"/>
          <w:sz w:val="24"/>
          <w:highlight w:val="none"/>
        </w:rPr>
      </w:pPr>
      <w:r>
        <w:rPr>
          <w:rFonts w:hint="eastAsia" w:ascii="宋体" w:hAnsi="宋体" w:cs="宋体"/>
          <w:sz w:val="24"/>
          <w:highlight w:val="none"/>
        </w:rPr>
        <w:t>按照采购人的具体需求，提供存储服务，包括：普通性能存储、高性能存储、静态存储服务，实现合理的存储资源配置。在提供政务云存储的服务过程中需做好采购人和对应项目应用开发厂商的协调沟通工作。</w:t>
      </w:r>
    </w:p>
    <w:p w14:paraId="6228468F">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5831DFFD">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支持结构化数据、半结构化数据和非结构化数据等多种数据类型存储。</w:t>
      </w:r>
    </w:p>
    <w:p w14:paraId="02654E25">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支持块存储、对象存储、文件存储等多种存储方法，满足数据备份、视频存储等不同应用场景使用要求。</w:t>
      </w:r>
    </w:p>
    <w:p w14:paraId="599716E1">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支持存储资源扩展能力，例如：PB级扩展。</w:t>
      </w:r>
    </w:p>
    <w:p w14:paraId="6A8A706F">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支持磁盘容错技术，如磁盘故障后节点的自动平衡和重构、硬盘故障检测和处理、集群节点出现单盘故障时不影响业务运行等。</w:t>
      </w:r>
    </w:p>
    <w:p w14:paraId="15DC893A">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存储资源性能要求包括但不限于如下：</w:t>
      </w:r>
    </w:p>
    <w:p w14:paraId="50B7F919">
      <w:pPr>
        <w:spacing w:line="360" w:lineRule="auto"/>
        <w:ind w:firstLine="480" w:firstLineChars="200"/>
        <w:rPr>
          <w:rFonts w:ascii="宋体" w:hAnsi="宋体" w:cs="宋体"/>
          <w:sz w:val="24"/>
          <w:highlight w:val="none"/>
        </w:rPr>
      </w:pPr>
      <w:r>
        <w:rPr>
          <w:rFonts w:hint="eastAsia" w:ascii="宋体" w:hAnsi="宋体" w:cs="宋体"/>
          <w:sz w:val="24"/>
          <w:highlight w:val="none"/>
        </w:rPr>
        <w:t>(1)吞吐量：</w:t>
      </w:r>
      <w:bookmarkStart w:id="2" w:name="OLE_LINK2"/>
      <w:r>
        <w:rPr>
          <w:rFonts w:hint="eastAsia" w:ascii="宋体" w:hAnsi="宋体" w:cs="宋体"/>
          <w:sz w:val="24"/>
          <w:highlight w:val="none"/>
        </w:rPr>
        <w:t>高性能存储系统的读写带宽应不低于1000MB/s</w:t>
      </w:r>
      <w:bookmarkEnd w:id="2"/>
      <w:r>
        <w:rPr>
          <w:rFonts w:hint="eastAsia" w:ascii="宋体" w:hAnsi="宋体" w:cs="宋体"/>
          <w:sz w:val="24"/>
          <w:highlight w:val="none"/>
        </w:rPr>
        <w:t>，IOPS不低于20000；普通性能存储系统的读写带宽应不低于200MB/s，IOPS不低于1000。</w:t>
      </w:r>
    </w:p>
    <w:p w14:paraId="47A81011">
      <w:pPr>
        <w:spacing w:line="360" w:lineRule="auto"/>
        <w:ind w:firstLine="480" w:firstLineChars="200"/>
        <w:rPr>
          <w:rFonts w:ascii="宋体" w:hAnsi="宋体" w:cs="宋体"/>
          <w:sz w:val="24"/>
          <w:highlight w:val="none"/>
        </w:rPr>
      </w:pPr>
      <w:r>
        <w:rPr>
          <w:rFonts w:hint="eastAsia" w:ascii="宋体" w:hAnsi="宋体" w:cs="宋体"/>
          <w:sz w:val="24"/>
          <w:highlight w:val="none"/>
        </w:rPr>
        <w:t>(2)支持高可靠性，可靠性不低于99.9%。</w:t>
      </w:r>
    </w:p>
    <w:p w14:paraId="4518D680">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备份服务</w:t>
      </w:r>
    </w:p>
    <w:p w14:paraId="7C54D440">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619337F9">
      <w:pPr>
        <w:spacing w:line="360" w:lineRule="auto"/>
        <w:ind w:firstLine="480"/>
        <w:rPr>
          <w:rFonts w:ascii="宋体" w:hAnsi="宋体" w:cs="宋体"/>
          <w:sz w:val="24"/>
          <w:highlight w:val="none"/>
        </w:rPr>
      </w:pPr>
      <w:r>
        <w:rPr>
          <w:rFonts w:hint="eastAsia" w:ascii="宋体" w:hAnsi="宋体" w:cs="宋体"/>
          <w:sz w:val="24"/>
          <w:highlight w:val="none"/>
        </w:rPr>
        <w:t>按照采购人的具体需求，提供本地备份服务，投标人需具有本地和同城异地数据级备份能力，并配合采购人完成数据级容灾演练及恢复等工作。</w:t>
      </w:r>
    </w:p>
    <w:p w14:paraId="03FF8576">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46F0625A">
      <w:pPr>
        <w:spacing w:line="360" w:lineRule="auto"/>
        <w:ind w:firstLine="480"/>
        <w:rPr>
          <w:rFonts w:ascii="宋体" w:hAnsi="宋体" w:cs="宋体"/>
          <w:sz w:val="24"/>
          <w:highlight w:val="none"/>
        </w:rPr>
      </w:pPr>
      <w:r>
        <w:rPr>
          <w:rFonts w:hint="eastAsia" w:ascii="宋体" w:hAnsi="宋体" w:cs="宋体"/>
          <w:sz w:val="24"/>
          <w:highlight w:val="none"/>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046B8047">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备份介质本身具备高可用性和冗余性。</w:t>
      </w:r>
    </w:p>
    <w:p w14:paraId="1CA85239">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备份方式包括完整备份、差异备份和增量备份。</w:t>
      </w:r>
    </w:p>
    <w:p w14:paraId="25B90050">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支持Windows系列操作系统、Linux主流系统操作系统、主流数据库软件、主流中间件软件、结构化数据以及非结构化数据等备份对象。</w:t>
      </w:r>
    </w:p>
    <w:p w14:paraId="46505897">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投标人应提供对备份过程状态、备份结果提供运维监控保障服务，确保备份任务执行成功以及备份的数据完整性。</w:t>
      </w:r>
    </w:p>
    <w:p w14:paraId="5291CD37">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网络服务</w:t>
      </w:r>
    </w:p>
    <w:p w14:paraId="58FBE9F4">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42B1DB50">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提供互联网链路带宽服务、互联网IP地址租用服务，并提供相应的网络域名备案服务，配合应用开发厂商提供网络策略配置服务。</w:t>
      </w:r>
    </w:p>
    <w:p w14:paraId="71832A13">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主机负载均衡服务，按照采购人的具体需求，提供主机负载均衡服务。</w:t>
      </w:r>
    </w:p>
    <w:p w14:paraId="61290347">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远程接入服务，提供远程接入服务，每个账号结合身份验证接入堡垒机维护应用系统。</w:t>
      </w:r>
    </w:p>
    <w:p w14:paraId="1F6A880E">
      <w:pPr>
        <w:numPr>
          <w:ilvl w:val="3"/>
          <w:numId w:val="1"/>
        </w:numPr>
        <w:spacing w:line="360" w:lineRule="auto"/>
        <w:ind w:firstLine="480" w:firstLineChars="200"/>
        <w:rPr>
          <w:rFonts w:ascii="宋体" w:hAnsi="宋体" w:cs="宋体"/>
          <w:kern w:val="0"/>
          <w:sz w:val="24"/>
          <w:highlight w:val="none"/>
        </w:rPr>
      </w:pPr>
      <w:r>
        <w:rPr>
          <w:rFonts w:hint="eastAsia" w:ascii="宋体" w:hAnsi="宋体" w:cs="宋体"/>
          <w:sz w:val="24"/>
          <w:highlight w:val="none"/>
        </w:rPr>
        <w:t xml:space="preserve"> WAF防护服务</w:t>
      </w:r>
      <w:r>
        <w:rPr>
          <w:rFonts w:hint="eastAsia" w:ascii="宋体" w:hAnsi="宋体" w:cs="宋体"/>
          <w:kern w:val="0"/>
          <w:sz w:val="24"/>
          <w:highlight w:val="none"/>
        </w:rPr>
        <w:t>，</w:t>
      </w:r>
      <w:r>
        <w:rPr>
          <w:rFonts w:hint="eastAsia" w:ascii="宋体" w:hAnsi="宋体" w:cs="宋体"/>
          <w:sz w:val="24"/>
          <w:highlight w:val="none"/>
        </w:rPr>
        <w:t>按照采购人的具体需求，</w:t>
      </w:r>
      <w:r>
        <w:rPr>
          <w:rFonts w:hint="eastAsia" w:ascii="宋体" w:hAnsi="宋体" w:cs="宋体"/>
          <w:kern w:val="0"/>
          <w:sz w:val="24"/>
          <w:highlight w:val="none"/>
        </w:rPr>
        <w:t>提供WAF防护服务，在政务云流量入口架设WAF防护服务，保证用户对已知安全隐患进行防护</w:t>
      </w:r>
      <w:r>
        <w:rPr>
          <w:rFonts w:hint="eastAsia" w:ascii="宋体" w:hAnsi="宋体" w:cs="宋体"/>
          <w:sz w:val="24"/>
          <w:highlight w:val="none"/>
        </w:rPr>
        <w:t>，实时升级漏洞补丁，配置防护策略，起到前端防护作用</w:t>
      </w:r>
      <w:r>
        <w:rPr>
          <w:rFonts w:hint="eastAsia" w:ascii="宋体" w:hAnsi="宋体" w:cs="宋体"/>
          <w:kern w:val="0"/>
          <w:sz w:val="24"/>
          <w:highlight w:val="none"/>
        </w:rPr>
        <w:t>。</w:t>
      </w:r>
    </w:p>
    <w:p w14:paraId="29456B96">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15CE7B1E">
      <w:pPr>
        <w:spacing w:line="360" w:lineRule="auto"/>
        <w:ind w:firstLine="480" w:firstLineChars="200"/>
        <w:rPr>
          <w:rFonts w:ascii="宋体" w:hAnsi="宋体" w:cs="宋体"/>
          <w:sz w:val="24"/>
          <w:highlight w:val="none"/>
        </w:rPr>
      </w:pPr>
      <w:r>
        <w:rPr>
          <w:rFonts w:hint="eastAsia" w:ascii="宋体" w:hAnsi="宋体" w:cs="宋体"/>
          <w:sz w:val="24"/>
          <w:highlight w:val="none"/>
        </w:rPr>
        <w:t>网络系统提供稳定的数据传输能力，一般要求如下：</w:t>
      </w:r>
    </w:p>
    <w:p w14:paraId="5694740A">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具备多运营商网络接入服务的能力。</w:t>
      </w:r>
    </w:p>
    <w:p w14:paraId="16756C3A">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应采用集群部署网络控制，以保障升级时业务不中断。</w:t>
      </w:r>
    </w:p>
    <w:p w14:paraId="10FE213F">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应实现自动化动态网络资源调配和隔离，支持与互联网、电子政务外 网及行业部门专网的连接。</w:t>
      </w:r>
    </w:p>
    <w:p w14:paraId="4781793C">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具备边界防火墙和VPC防火墙隔离能力，分别针对不同的流量进行安全策略防护与配置。</w:t>
      </w:r>
    </w:p>
    <w:p w14:paraId="5CEB35FD">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具备高可用虚拟IP能力，在集群或主备场景下，云主机可绑定高可用虚拟IP，达到高可用访问效果。</w:t>
      </w:r>
    </w:p>
    <w:p w14:paraId="3518D880">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采用双活网络架构，降低单点故障带来的稳定风险；为入云系统划分安全区域，合理制定访问规则。</w:t>
      </w:r>
    </w:p>
    <w:p w14:paraId="099E0DBC">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网络系统性能要求包括但不限于如下：</w:t>
      </w:r>
    </w:p>
    <w:p w14:paraId="6EA2F15E">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（1）云内骨干线路带宽不低于10Gb/s；</w:t>
      </w:r>
    </w:p>
    <w:p w14:paraId="42298FD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（2）服务器业务带宽不低于1Gb/s；</w:t>
      </w:r>
    </w:p>
    <w:p w14:paraId="726160EA">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（3）平均可用性不低于99.9%。</w:t>
      </w:r>
    </w:p>
    <w:p w14:paraId="57BF0AAC">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安全及安全检测监测、审计服务</w:t>
      </w:r>
    </w:p>
    <w:p w14:paraId="4D54C65E">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06BC8EDD">
      <w:pPr>
        <w:adjustRightInd w:val="0"/>
        <w:snapToGrid w:val="0"/>
        <w:spacing w:line="360" w:lineRule="auto"/>
        <w:ind w:firstLine="480"/>
        <w:textAlignment w:val="baseline"/>
        <w:rPr>
          <w:rFonts w:ascii="宋体" w:hAnsi="宋体" w:cs="宋体"/>
          <w:kern w:val="0"/>
          <w:sz w:val="24"/>
          <w:highlight w:val="none"/>
        </w:rPr>
      </w:pPr>
      <w:r>
        <w:rPr>
          <w:rFonts w:hint="eastAsia" w:ascii="宋体" w:hAnsi="宋体" w:cs="宋体"/>
          <w:sz w:val="24"/>
          <w:highlight w:val="none"/>
        </w:rPr>
        <w:t>安全是政务云的红线，应按照网络安全等级保护等要求建设安全技术防护体系和安全管理体系，建立应急处置体系，强化各领域平台安全管控，在深化数据融合应用的同时保障安全。安全服务主要内容包含：</w:t>
      </w:r>
    </w:p>
    <w:p w14:paraId="160526AB">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主机杀毒服务</w:t>
      </w:r>
    </w:p>
    <w:p w14:paraId="4D96922E">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按照采购人的具体需求，提供主机杀毒服务，对云主机进行定期的病毒查杀，杀毒软件集中控制，对网络性能无影响。</w:t>
      </w:r>
    </w:p>
    <w:p w14:paraId="52A94795">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主机防护</w:t>
      </w:r>
    </w:p>
    <w:p w14:paraId="099192B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按照采购人的具体需求，提供符合等保三级要求的主机权限管理及安全防护。可对主机系统安全涉及的控制点形成立体防护。</w:t>
      </w:r>
    </w:p>
    <w:p w14:paraId="78852C70">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主机日志分析</w:t>
      </w:r>
    </w:p>
    <w:p w14:paraId="5AB510B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按照采购人的具体需求，投标人需提供主机日志分析服务。对主机系统日志进行采集分析处理，用于发现各种安全威胁、异常行为事件，日志存储时间不低于1年，并根据要求提供主机日志分析报告。</w:t>
      </w:r>
    </w:p>
    <w:p w14:paraId="4C4046F5">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数据库审计服务</w:t>
      </w:r>
    </w:p>
    <w:p w14:paraId="70639EE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按照采购人的具体需求，投标人需提供数据库审计服务。实时进行数据库访问监视与审计，为事后追查提供可靠的依据和来源，</w:t>
      </w:r>
      <w:r>
        <w:rPr>
          <w:rFonts w:hint="eastAsia" w:ascii="宋体" w:hAnsi="宋体" w:cs="宋体"/>
          <w:sz w:val="24"/>
          <w:highlight w:val="none"/>
        </w:rPr>
        <w:t>审计内容包括但不限于：发生时间、源IP、源端口、源MAC、目的IP、目的端口、数据库用户、数据库类型、操作类型、SQL语句、SQL模版、客户端程序名、响应码、影响行数、返回行数、SQL预计响应时间等。</w:t>
      </w:r>
      <w:r>
        <w:rPr>
          <w:rFonts w:hint="eastAsia" w:ascii="宋体" w:hAnsi="宋体" w:cs="宋体"/>
          <w:color w:val="000000"/>
          <w:sz w:val="24"/>
          <w:highlight w:val="none"/>
        </w:rPr>
        <w:t>支持对Oracle和高斯等数据库审计，审计日志存储时间不低于1年，可根据要求提供数据库审计报告。</w:t>
      </w:r>
    </w:p>
    <w:p w14:paraId="37B5599D">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70A43EC9">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21996CA2">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人需利用监控系统或人工对机房环境、硬件设备及应用系统的运行情况进行7×24小时的不间断巡检监控，及时发现安全隐患，通知相关人员及时处理，并形成监控报告。定期反馈日志分析和数据库审计报告，进行总结分析。</w:t>
      </w:r>
    </w:p>
    <w:p w14:paraId="19DA99CF">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投标人需纳入政务云监管单位网络安全保障整体工作体系，在涉及重保、安全事件、威胁情报等方面，配合安全服务商开展研判、处置、分析等工作。</w:t>
      </w:r>
    </w:p>
    <w:p w14:paraId="315ACB2D">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0C6C8DB0">
      <w:pPr>
        <w:numPr>
          <w:ilvl w:val="3"/>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人需保证安全技术服务能力不低于所承载的信息系统的最高级别，并通过GB/T22239相应等级的测评；通过商用密码应用安全性评估，商用密码应用安全性评估参考GB/T39786-2021中相应等级规定；保障其上的租户安全、容器安全、云主机安全、业务安全和数据安全。</w:t>
      </w:r>
    </w:p>
    <w:p w14:paraId="7F8C9F74">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国密服务及其他服务</w:t>
      </w:r>
    </w:p>
    <w:p w14:paraId="60E4CBA4">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3B475E22">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为本项目提供的国密服务包含：强身份认证服务、签名验证服务、加解密服务、时间戳服务、SSL安全服务、云服务接入集成费、国密浏览器和设备证书服务；其他服务包含：短信服务、国产商用操作系统租用、国产商用中间件套餐、国产商用数据库套餐和商用数据库租用服务。</w:t>
      </w:r>
    </w:p>
    <w:p w14:paraId="271E5C31">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2FFF6F87">
      <w:pPr>
        <w:numPr>
          <w:ilvl w:val="3"/>
          <w:numId w:val="1"/>
        </w:numPr>
        <w:spacing w:line="360" w:lineRule="auto"/>
        <w:ind w:firstLine="480" w:firstLineChars="200"/>
        <w:outlineLvl w:val="3"/>
        <w:rPr>
          <w:rFonts w:ascii="宋体" w:hAnsi="宋体" w:cs="宋体"/>
          <w:sz w:val="24"/>
          <w:highlight w:val="none"/>
        </w:rPr>
      </w:pPr>
      <w:r>
        <w:rPr>
          <w:rFonts w:hint="eastAsia" w:ascii="宋体" w:hAnsi="宋体" w:cs="宋体"/>
          <w:sz w:val="24"/>
          <w:highlight w:val="none"/>
        </w:rPr>
        <w:t xml:space="preserve"> 强身份认证服务</w:t>
      </w:r>
    </w:p>
    <w:p w14:paraId="4C43167F">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按照采购人的具体需求，为系统提供强身份认证服务，基于数字证书登录业务系统，需采用基于数字证书的强身份认证服务满足用户的身份认证需求，完善身份认证的环节，确保身份认证安全可信。</w:t>
      </w:r>
    </w:p>
    <w:p w14:paraId="730E37C8">
      <w:pPr>
        <w:numPr>
          <w:ilvl w:val="3"/>
          <w:numId w:val="1"/>
        </w:numPr>
        <w:spacing w:line="360" w:lineRule="auto"/>
        <w:ind w:firstLine="480" w:firstLineChars="200"/>
        <w:outlineLvl w:val="3"/>
        <w:rPr>
          <w:rFonts w:ascii="宋体" w:hAnsi="宋体" w:cs="宋体"/>
          <w:sz w:val="24"/>
          <w:highlight w:val="none"/>
        </w:rPr>
      </w:pPr>
      <w:r>
        <w:rPr>
          <w:rFonts w:hint="eastAsia" w:ascii="宋体" w:hAnsi="宋体" w:cs="宋体"/>
          <w:sz w:val="24"/>
          <w:highlight w:val="none"/>
        </w:rPr>
        <w:t xml:space="preserve"> 签名验证服务</w:t>
      </w:r>
    </w:p>
    <w:p w14:paraId="147B310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按照采购人的具体需求，为系统提供重要数据在存储、传输过程中的完整性保护，需对业务应用提供数据签名、签名验证等服务，确保数据的真实性、完整性和不可抵赖性。</w:t>
      </w:r>
    </w:p>
    <w:p w14:paraId="56E0CDDC">
      <w:pPr>
        <w:numPr>
          <w:ilvl w:val="3"/>
          <w:numId w:val="1"/>
        </w:numPr>
        <w:spacing w:line="360" w:lineRule="auto"/>
        <w:ind w:firstLine="480" w:firstLineChars="200"/>
        <w:outlineLvl w:val="3"/>
        <w:rPr>
          <w:rFonts w:ascii="宋体" w:hAnsi="宋体" w:cs="宋体"/>
          <w:sz w:val="24"/>
          <w:highlight w:val="none"/>
        </w:rPr>
      </w:pPr>
      <w:r>
        <w:rPr>
          <w:rFonts w:hint="eastAsia" w:ascii="宋体" w:hAnsi="宋体" w:cs="宋体"/>
          <w:sz w:val="24"/>
          <w:highlight w:val="none"/>
        </w:rPr>
        <w:t xml:space="preserve"> 加解密服务</w:t>
      </w:r>
    </w:p>
    <w:p w14:paraId="025CE020">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按照采购人的具体需求，为系统提供重要数据在存储、传输过程中的机密性保护，需对业务数据提供加解密服务，确保数据传输过程的机密性。</w:t>
      </w:r>
    </w:p>
    <w:p w14:paraId="5591834F">
      <w:pPr>
        <w:numPr>
          <w:ilvl w:val="3"/>
          <w:numId w:val="1"/>
        </w:numPr>
        <w:spacing w:line="360" w:lineRule="auto"/>
        <w:ind w:firstLine="480" w:firstLineChars="200"/>
        <w:outlineLvl w:val="3"/>
        <w:rPr>
          <w:rFonts w:ascii="宋体" w:hAnsi="宋体" w:cs="宋体"/>
          <w:sz w:val="24"/>
          <w:highlight w:val="none"/>
        </w:rPr>
      </w:pPr>
      <w:r>
        <w:rPr>
          <w:rFonts w:hint="eastAsia" w:ascii="宋体" w:hAnsi="宋体" w:cs="宋体"/>
          <w:sz w:val="24"/>
          <w:highlight w:val="none"/>
        </w:rPr>
        <w:t xml:space="preserve"> 时间戳服务</w:t>
      </w:r>
    </w:p>
    <w:p w14:paraId="08855C0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按照采购人的具体需求，为系统提供重要数据在不可否认性保护，以API方式提供密码服务，计算资源由云端统一保障。</w:t>
      </w:r>
    </w:p>
    <w:p w14:paraId="5ABAE0C7">
      <w:pPr>
        <w:numPr>
          <w:ilvl w:val="3"/>
          <w:numId w:val="1"/>
        </w:numPr>
        <w:spacing w:line="360" w:lineRule="auto"/>
        <w:ind w:firstLine="480" w:firstLineChars="200"/>
        <w:outlineLvl w:val="3"/>
        <w:rPr>
          <w:rFonts w:ascii="宋体" w:hAnsi="宋体" w:cs="宋体"/>
          <w:sz w:val="24"/>
          <w:highlight w:val="none"/>
        </w:rPr>
      </w:pPr>
      <w:r>
        <w:rPr>
          <w:rFonts w:hint="eastAsia" w:ascii="宋体" w:hAnsi="宋体" w:cs="宋体"/>
          <w:sz w:val="24"/>
          <w:highlight w:val="none"/>
        </w:rPr>
        <w:t xml:space="preserve"> SSL安全服务</w:t>
      </w:r>
    </w:p>
    <w:p w14:paraId="0530E557">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按照采购人的具体需求，提供SSL安全服务，需采用国产算法</w:t>
      </w:r>
      <w:r>
        <w:rPr>
          <w:rFonts w:ascii="宋体" w:hAnsi="宋体" w:cs="宋体"/>
          <w:color w:val="000000"/>
          <w:sz w:val="24"/>
          <w:highlight w:val="none"/>
        </w:rPr>
        <w:t>SSL建立https通信，实现信息传输通道加密。</w:t>
      </w:r>
    </w:p>
    <w:p w14:paraId="6461659D">
      <w:pPr>
        <w:numPr>
          <w:ilvl w:val="3"/>
          <w:numId w:val="1"/>
        </w:numPr>
        <w:spacing w:line="360" w:lineRule="auto"/>
        <w:ind w:firstLine="480" w:firstLineChars="200"/>
        <w:outlineLvl w:val="3"/>
        <w:rPr>
          <w:rFonts w:ascii="宋体" w:hAnsi="宋体" w:cs="宋体"/>
          <w:sz w:val="24"/>
          <w:highlight w:val="none"/>
        </w:rPr>
      </w:pPr>
      <w:r>
        <w:rPr>
          <w:rFonts w:hint="eastAsia" w:ascii="宋体" w:hAnsi="宋体" w:cs="宋体"/>
          <w:sz w:val="24"/>
          <w:highlight w:val="none"/>
        </w:rPr>
        <w:t xml:space="preserve"> 云服务接入集成费</w:t>
      </w:r>
    </w:p>
    <w:p w14:paraId="24A53B41">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按照采购人的具体需求，提供应用系统接入云服务所需应用集成、开通和配置服务。密码云接入服务包括对云签名服务、时间戳服务和证书服务等服务的集成和配置。</w:t>
      </w:r>
    </w:p>
    <w:p w14:paraId="2DC558A7">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国密浏览器</w:t>
      </w:r>
    </w:p>
    <w:p w14:paraId="1D0D6A4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按照采购人的具体需求，提供国密浏览器服务，由浏览器内核、浏览器界面、密码算法</w:t>
      </w:r>
      <w:r>
        <w:rPr>
          <w:rFonts w:ascii="宋体" w:hAnsi="宋体" w:cs="宋体"/>
          <w:color w:val="000000"/>
          <w:sz w:val="24"/>
          <w:highlight w:val="none"/>
        </w:rPr>
        <w:t>SSL协议逻辑运算模块、智能密码钥匙等组成。支持SM2/SM3/SM4算法与WEB服务器之间建立安全通道，保证WEB网页访问的安全性。</w:t>
      </w:r>
    </w:p>
    <w:p w14:paraId="42AA9694">
      <w:pPr>
        <w:numPr>
          <w:ilvl w:val="3"/>
          <w:numId w:val="1"/>
        </w:numPr>
        <w:spacing w:line="360" w:lineRule="auto"/>
        <w:ind w:firstLine="482"/>
        <w:outlineLvl w:val="3"/>
        <w:rPr>
          <w:rFonts w:ascii="宋体" w:hAnsi="宋体" w:cs="宋体"/>
          <w:sz w:val="24"/>
          <w:highlight w:val="none"/>
        </w:rPr>
      </w:pPr>
      <w:r>
        <w:rPr>
          <w:rFonts w:ascii="宋体" w:hAnsi="宋体" w:cs="宋体"/>
          <w:sz w:val="24"/>
          <w:highlight w:val="none"/>
        </w:rPr>
        <w:t>设备证书服务</w:t>
      </w:r>
    </w:p>
    <w:p w14:paraId="1C65A51E">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按照采购人的具体需求，提供设备证书服务，用于标识各类设备的网上身份。</w:t>
      </w:r>
    </w:p>
    <w:p w14:paraId="4BCE6A28">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短信服务</w:t>
      </w:r>
    </w:p>
    <w:p w14:paraId="6FB169D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按照采购人的具体需求，为云上系统提供互联网/政务外网环境的短信服务，通过API接口方式接入政务云平台。</w:t>
      </w:r>
    </w:p>
    <w:p w14:paraId="7665EDFB">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国产商用操作系统租用</w:t>
      </w:r>
    </w:p>
    <w:p w14:paraId="63AEE02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按照采购人的具体需求，提供统信和麒麟等国产操作系统租用、安装及原厂技术支持服务。</w:t>
      </w:r>
    </w:p>
    <w:p w14:paraId="58151185">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国产商用中间件套餐</w:t>
      </w:r>
    </w:p>
    <w:p w14:paraId="2C41782F">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按照采购人的具体需求，提供国产商用应用中间件租用、安装及原厂技术支持服务。</w:t>
      </w:r>
    </w:p>
    <w:p w14:paraId="2CBA18C8">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国产</w:t>
      </w:r>
      <w:r>
        <w:rPr>
          <w:rFonts w:ascii="宋体" w:hAnsi="宋体" w:cs="宋体"/>
          <w:sz w:val="24"/>
          <w:highlight w:val="none"/>
        </w:rPr>
        <w:t>商用数据库套餐</w:t>
      </w:r>
    </w:p>
    <w:p w14:paraId="60D0F2DD">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按照采购人的具体需求，提供国产数据库、高斯测试数据库、高斯数据库租用、安装及原厂技术支持服务。</w:t>
      </w:r>
    </w:p>
    <w:p w14:paraId="7A8906D9">
      <w:pPr>
        <w:numPr>
          <w:ilvl w:val="3"/>
          <w:numId w:val="1"/>
        </w:numPr>
        <w:spacing w:line="360" w:lineRule="auto"/>
        <w:ind w:firstLine="482"/>
        <w:outlineLvl w:val="3"/>
        <w:rPr>
          <w:rFonts w:ascii="宋体" w:hAnsi="宋体" w:cs="宋体"/>
          <w:sz w:val="24"/>
          <w:highlight w:val="none"/>
        </w:rPr>
      </w:pPr>
      <w:r>
        <w:rPr>
          <w:rFonts w:hint="eastAsia" w:ascii="宋体" w:hAnsi="宋体" w:cs="宋体"/>
          <w:sz w:val="24"/>
          <w:highlight w:val="none"/>
        </w:rPr>
        <w:t xml:space="preserve"> 商用数据库租用服务</w:t>
      </w:r>
    </w:p>
    <w:p w14:paraId="48B20BAD">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按照采购人的具体需求，提供oracle12C标准版（不含RAC组件）租用、安装及原厂技术支持服务。</w:t>
      </w:r>
    </w:p>
    <w:p w14:paraId="3A6DBFD1">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运维服务</w:t>
      </w:r>
    </w:p>
    <w:p w14:paraId="50C1831F">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0A15CD16">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负责机房环境资源、云平台硬件资产、虚拟化资产的管理工作。</w:t>
      </w:r>
    </w:p>
    <w:p w14:paraId="193570A5">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信息系统入云、上线、变更、退出等各阶段的备案与信息变更等工作。</w:t>
      </w:r>
    </w:p>
    <w:p w14:paraId="535782B9">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执行云平台变更申请、审批流程。</w:t>
      </w:r>
    </w:p>
    <w:p w14:paraId="33BAAF0E">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云平台网络资源管理，针对内部地址使用情况、云平台专线接入情况、政务外网资源使用情况等做好统计工作。</w:t>
      </w:r>
    </w:p>
    <w:p w14:paraId="5EE9BC35">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服务期内，投标人须配备运维团队，提供可靠的售后服务保障。投标人针对采购人要求的云平台运维服务相关内容，需指定专业技术能力较强的工程师，根据采购人要求配合开展相关维护服务。</w:t>
      </w:r>
    </w:p>
    <w:p w14:paraId="464D0764">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提供服务器资源监测及预警服务，实时做好资源的动态监控工作，为资源使用情况设置阈值，达到阈值时，及时建议采购人实施资源动态调整。每月向采购人提供资源使用情况报告，结合实际给出合理性建议。对采购人提出的资源申请工单进行合理性评估。</w:t>
      </w:r>
    </w:p>
    <w:p w14:paraId="3469612B">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辅助做好网络安全监测、检测服务，</w:t>
      </w:r>
      <w:r>
        <w:rPr>
          <w:rFonts w:hint="eastAsia" w:ascii="宋体" w:hAnsi="宋体"/>
          <w:sz w:val="24"/>
          <w:highlight w:val="none"/>
        </w:rPr>
        <w:t>从网络层到应用层进行全面扫描和查杀，对各种加壳、压缩、加密病毒，以及木马、蠕虫、恶意软件等网络威胁均能够快速、准确地彻底清除</w:t>
      </w:r>
      <w:r>
        <w:rPr>
          <w:rFonts w:hint="eastAsia" w:ascii="宋体" w:hAnsi="宋体" w:cs="宋体"/>
          <w:sz w:val="24"/>
          <w:highlight w:val="none"/>
        </w:rPr>
        <w:t>。同时可依托云平台安全态势感知能力提供业务可视化、威胁可视化、攻击与可疑流量可视化服务，在系统存在弱口令或受到威胁入侵之后，损失发生之前及时发现威胁，可直观看到网络攻击情况，服务按月度产出服务报告。</w:t>
      </w:r>
    </w:p>
    <w:p w14:paraId="78A2965F">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3BB30616">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20分钟内响应，在4个小时之内使系统恢复正常，故障处理完毕后提供相关系统宕机报告。</w:t>
      </w:r>
    </w:p>
    <w:p w14:paraId="756A8331">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为保障业务高峰期内系统平稳运行，缓解系统高峰期内因业务发生量增大而带来系统压力风险，要求投标人根据业务周期性特点，加大运维保障力度，保证在业务高峰期内系统平稳运行。</w:t>
      </w:r>
    </w:p>
    <w:p w14:paraId="11E64BA5">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4C04F4A3">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投标人负责对云资源使用情况进行监控，发生云资源使用率过高情况时应及时通知采购人。每月提供政务云服务报告，需要涉及云资源使用情况，统计各信息系统云效率，针对云效率情况提供资源调整建议。</w:t>
      </w:r>
    </w:p>
    <w:p w14:paraId="61119C18">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按照国家、北京市相关规定和信息安全技术标准及规范要求，落实安全保障措施，通过信息安全测评机构的测评和政务云安全审查。</w:t>
      </w:r>
    </w:p>
    <w:p w14:paraId="71372692">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除不可抗力或计划内维护作业造成的政务云服务中断外,政务云实行24小时不间断运行。</w:t>
      </w:r>
    </w:p>
    <w:p w14:paraId="446BE9BB">
      <w:pPr>
        <w:numPr>
          <w:ilvl w:val="1"/>
          <w:numId w:val="1"/>
        </w:numPr>
        <w:spacing w:before="60" w:after="60" w:line="360" w:lineRule="auto"/>
        <w:outlineLvl w:val="1"/>
        <w:rPr>
          <w:rFonts w:ascii="宋体" w:hAnsi="宋体" w:cs="宋体"/>
          <w:b/>
          <w:bCs/>
          <w:sz w:val="24"/>
          <w:highlight w:val="none"/>
        </w:rPr>
      </w:pPr>
      <w:r>
        <w:rPr>
          <w:rFonts w:hint="eastAsia" w:ascii="宋体" w:hAnsi="宋体" w:cs="宋体"/>
          <w:b/>
          <w:bCs/>
          <w:sz w:val="24"/>
          <w:highlight w:val="none"/>
        </w:rPr>
        <w:t>迁移服务</w:t>
      </w:r>
    </w:p>
    <w:p w14:paraId="7962E4C9">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服务内容</w:t>
      </w:r>
    </w:p>
    <w:p w14:paraId="2BD78EA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投标人需提供整体的业务上云迁移服务，应支持云主机迁移、物理主机迁移、单机数据库迁移、高可用数据库迁移等迁移场景。负责需求调研、架构规划设计、应用迁移部署等工作。</w:t>
      </w:r>
    </w:p>
    <w:p w14:paraId="466FD7EF">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服务标准</w:t>
      </w:r>
    </w:p>
    <w:p w14:paraId="188D4D7A">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本项目涉及的业务系统为采购人在用的生产系统，目前在北京市政务云上平稳运行，因此业务连续性是首要的保障需求。迁移服务具体要求如下：</w:t>
      </w:r>
    </w:p>
    <w:p w14:paraId="453E34AF">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投标人需编制业务连续性服务方案。</w:t>
      </w:r>
    </w:p>
    <w:p w14:paraId="62C0BD39">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17BDE398">
      <w:pPr>
        <w:numPr>
          <w:ilvl w:val="3"/>
          <w:numId w:val="1"/>
        </w:numPr>
        <w:spacing w:line="360" w:lineRule="auto"/>
        <w:ind w:firstLine="482"/>
        <w:rPr>
          <w:rFonts w:ascii="宋体" w:hAnsi="宋体" w:cs="宋体"/>
          <w:sz w:val="24"/>
          <w:highlight w:val="none"/>
        </w:rPr>
      </w:pPr>
      <w:r>
        <w:rPr>
          <w:rFonts w:hint="eastAsia" w:ascii="宋体" w:hAnsi="宋体" w:cs="宋体"/>
          <w:sz w:val="24"/>
          <w:highlight w:val="none"/>
        </w:rPr>
        <w:t xml:space="preserve"> 本项目如涉及系统迁移，为保障业务系统的连续性，投标人应承诺自中标之日起，积极与原服务商对接，在5个工作日内，完成系统迁移平滑过渡，且因此产生的各项费用（包括但不限于测试阶段的云资源费用，系统开发商对业务系统的部署、调试费用等），应包含在投标人的报价中，提供“承诺函”并加盖投标人公章。</w:t>
      </w:r>
    </w:p>
    <w:p w14:paraId="679B6A5E">
      <w:pPr>
        <w:numPr>
          <w:ilvl w:val="0"/>
          <w:numId w:val="1"/>
        </w:numPr>
        <w:spacing w:before="60" w:after="60" w:line="360" w:lineRule="auto"/>
        <w:outlineLvl w:val="0"/>
        <w:rPr>
          <w:rFonts w:ascii="宋体" w:hAnsi="宋体" w:cs="宋体"/>
          <w:b/>
          <w:kern w:val="44"/>
          <w:sz w:val="24"/>
          <w:highlight w:val="none"/>
        </w:rPr>
      </w:pPr>
      <w:r>
        <w:rPr>
          <w:rFonts w:hint="eastAsia" w:ascii="宋体" w:hAnsi="宋体" w:cs="宋体"/>
          <w:b/>
          <w:kern w:val="44"/>
          <w:sz w:val="24"/>
          <w:highlight w:val="none"/>
        </w:rPr>
        <w:t>、运维团队要求</w:t>
      </w:r>
    </w:p>
    <w:p w14:paraId="6524EC9B">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投标人需针对本项目设立项目团队，项目团队人数应不少于10人，需提供团队组织架构、成员名单及职责（加盖投标人单位公章）。</w:t>
      </w:r>
    </w:p>
    <w:p w14:paraId="44AE24A4">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投标人承担该项目的项目经理应同时具有信息系统项目管理师证书（需提供证书扫描或复印件并加盖投标人公章）。</w:t>
      </w:r>
    </w:p>
    <w:p w14:paraId="76C52550">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投标人提供安全运维工程师不少于2名，具有五年及以上安全运维相关从业经验，提供个人简历、项目经历材料（加盖投标人单位公章）。</w:t>
      </w:r>
    </w:p>
    <w:p w14:paraId="00AF911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投标人提供数据库运维工程师不少于1名，具有五年及以上数据库运维相关从业经验，提供个人简历、项目经历材料（加盖投标人单位公章）。</w:t>
      </w:r>
    </w:p>
    <w:p w14:paraId="450DF90D">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投标人提供网络运维工程师不少于3名，具有五年及以上网络运维相关从业经验，提供个人简历、项目经历材料（加盖投标人单位公章）。</w:t>
      </w:r>
    </w:p>
    <w:p w14:paraId="0E73C5A9">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投标人提供平台运维工程师不少于2名，具有五年及以上云平台运维相关从业经验，提供个人简历、项目经历材料（加盖投标人单位公章）。</w:t>
      </w:r>
    </w:p>
    <w:p w14:paraId="6B67B215">
      <w:pPr>
        <w:numPr>
          <w:ilvl w:val="0"/>
          <w:numId w:val="1"/>
        </w:numPr>
        <w:spacing w:before="60" w:after="60" w:line="360" w:lineRule="auto"/>
        <w:ind w:left="482" w:hanging="482" w:hangingChars="200"/>
        <w:outlineLvl w:val="0"/>
        <w:rPr>
          <w:rFonts w:ascii="宋体" w:hAnsi="宋体" w:cs="宋体"/>
          <w:b/>
          <w:kern w:val="44"/>
          <w:sz w:val="24"/>
          <w:highlight w:val="none"/>
        </w:rPr>
      </w:pPr>
      <w:r>
        <w:rPr>
          <w:rFonts w:hint="eastAsia" w:ascii="宋体" w:hAnsi="宋体" w:cs="宋体"/>
          <w:b/>
          <w:kern w:val="44"/>
          <w:sz w:val="24"/>
          <w:highlight w:val="none"/>
        </w:rPr>
        <w:t>、商务要求</w:t>
      </w:r>
    </w:p>
    <w:p w14:paraId="61C01A8E">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服务地点</w:t>
      </w:r>
    </w:p>
    <w:p w14:paraId="664104B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采购人指定。</w:t>
      </w:r>
    </w:p>
    <w:p w14:paraId="3918D14F">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服务期限</w:t>
      </w:r>
    </w:p>
    <w:p w14:paraId="03EED5F8">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自合同签订之日起12个自然月。</w:t>
      </w:r>
    </w:p>
    <w:p w14:paraId="29E04813">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支付方式</w:t>
      </w:r>
    </w:p>
    <w:p w14:paraId="1D36B4B5">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合同签订之日起20个工作日内，支付服务费的80%；项目通过验收后20个工作日内，支付服务费的20%，支付方式详见合同。</w:t>
      </w:r>
    </w:p>
    <w:p w14:paraId="0D1F0758">
      <w:pPr>
        <w:numPr>
          <w:ilvl w:val="1"/>
          <w:numId w:val="1"/>
        </w:numPr>
        <w:spacing w:before="60" w:after="60" w:line="360" w:lineRule="auto"/>
        <w:ind w:left="0"/>
        <w:outlineLvl w:val="1"/>
        <w:rPr>
          <w:rFonts w:ascii="宋体" w:hAnsi="宋体" w:cs="宋体"/>
          <w:b/>
          <w:bCs/>
          <w:sz w:val="24"/>
          <w:highlight w:val="none"/>
        </w:rPr>
      </w:pPr>
      <w:r>
        <w:rPr>
          <w:rFonts w:hint="eastAsia" w:ascii="宋体" w:hAnsi="宋体" w:cs="宋体"/>
          <w:b/>
          <w:bCs/>
          <w:sz w:val="24"/>
          <w:highlight w:val="none"/>
        </w:rPr>
        <w:t>验收服务标准</w:t>
      </w:r>
    </w:p>
    <w:p w14:paraId="52CB092D">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服务绩效指标</w:t>
      </w:r>
    </w:p>
    <w:p w14:paraId="6316457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（1）云服务全年整体可用性≥99.9%；</w:t>
      </w:r>
    </w:p>
    <w:p w14:paraId="2C0BB46E">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（2）故障响应率100%；</w:t>
      </w:r>
    </w:p>
    <w:p w14:paraId="201BFFA0">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（3）应急响应时间≤5分钟（重大事件1分钟内响应）。</w:t>
      </w:r>
    </w:p>
    <w:p w14:paraId="5774810B">
      <w:pPr>
        <w:numPr>
          <w:ilvl w:val="2"/>
          <w:numId w:val="1"/>
        </w:num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 xml:space="preserve"> 项目验收要求</w:t>
      </w:r>
    </w:p>
    <w:p w14:paraId="5AD644D2">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（1）投标人所提供的北京市市级政务云服务应遵循客观、科学、合理的原则，符合《北京市市级政务云管理办法》的相关标准及要求。</w:t>
      </w:r>
    </w:p>
    <w:p w14:paraId="3AD9CF12">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（2）投标人所提供</w:t>
      </w:r>
      <w:r>
        <w:rPr>
          <w:rFonts w:ascii="宋体" w:hAnsi="宋体" w:cs="宋体"/>
          <w:color w:val="000000"/>
          <w:sz w:val="24"/>
          <w:highlight w:val="none"/>
        </w:rPr>
        <w:t>资源</w:t>
      </w:r>
      <w:r>
        <w:rPr>
          <w:rFonts w:hint="eastAsia" w:ascii="宋体" w:hAnsi="宋体" w:cs="宋体"/>
          <w:color w:val="000000"/>
          <w:sz w:val="24"/>
          <w:highlight w:val="none"/>
        </w:rPr>
        <w:t>应满足招标文件规定的要求。保证合同期内系统安全稳定运行，不因硬件故障导致服务中断12小时及以上。</w:t>
      </w:r>
    </w:p>
    <w:p w14:paraId="40463E6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（3）服务期满后30个工作日开始对合同项目进行验收。投标人应当在采购人指定的验收日前向采购人提交验收报告。验收报告的内容包括但不限于合同规定的各项服务清单，各系统设备运行情况。</w:t>
      </w:r>
    </w:p>
    <w:p w14:paraId="262F933F">
      <w:pPr>
        <w:numPr>
          <w:ilvl w:val="0"/>
          <w:numId w:val="1"/>
        </w:numPr>
        <w:spacing w:before="60" w:after="60" w:line="360" w:lineRule="auto"/>
        <w:ind w:left="482" w:hanging="482" w:hangingChars="200"/>
        <w:outlineLvl w:val="0"/>
        <w:rPr>
          <w:rFonts w:ascii="宋体" w:hAnsi="宋体" w:cs="宋体"/>
          <w:b/>
          <w:kern w:val="44"/>
          <w:sz w:val="24"/>
          <w:highlight w:val="none"/>
        </w:rPr>
      </w:pPr>
      <w:bookmarkStart w:id="3" w:name="_Toc15656"/>
      <w:r>
        <w:rPr>
          <w:rFonts w:hint="eastAsia" w:ascii="宋体" w:hAnsi="宋体" w:cs="宋体"/>
          <w:b/>
          <w:kern w:val="44"/>
          <w:sz w:val="24"/>
          <w:highlight w:val="none"/>
        </w:rPr>
        <w:t>、保密要求</w:t>
      </w:r>
      <w:bookmarkEnd w:id="3"/>
    </w:p>
    <w:p w14:paraId="35EB6753">
      <w:pPr>
        <w:spacing w:line="360" w:lineRule="auto"/>
        <w:ind w:firstLine="480" w:firstLineChars="200"/>
        <w:rPr>
          <w:rFonts w:ascii="宋体" w:hAnsi="宋体" w:cs="宋体"/>
          <w:sz w:val="24"/>
          <w:highlight w:val="none"/>
        </w:rPr>
      </w:pPr>
      <w:r>
        <w:rPr>
          <w:rFonts w:hint="eastAsia" w:ascii="宋体" w:hAnsi="宋体" w:cs="宋体"/>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404D9AB0">
      <w:pPr>
        <w:spacing w:line="360" w:lineRule="auto"/>
        <w:ind w:firstLine="480" w:firstLineChars="200"/>
        <w:rPr>
          <w:rFonts w:ascii="宋体" w:hAnsi="宋体" w:cs="宋体"/>
          <w:sz w:val="24"/>
          <w:highlight w:val="none"/>
        </w:rPr>
      </w:pPr>
      <w:r>
        <w:rPr>
          <w:rFonts w:hint="eastAsia" w:ascii="宋体" w:hAnsi="宋体" w:cs="宋体"/>
          <w:sz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752AE5F1">
      <w:pPr>
        <w:spacing w:line="360" w:lineRule="auto"/>
        <w:ind w:firstLine="480" w:firstLineChars="200"/>
        <w:rPr>
          <w:rFonts w:ascii="宋体" w:hAnsi="宋体" w:cs="宋体"/>
          <w:sz w:val="24"/>
          <w:highlight w:val="none"/>
        </w:rPr>
      </w:pPr>
      <w:r>
        <w:rPr>
          <w:rFonts w:hint="eastAsia" w:ascii="宋体" w:hAnsi="宋体" w:cs="宋体"/>
          <w:sz w:val="24"/>
          <w:highlight w:val="none"/>
        </w:rPr>
        <w:t>（3）投标人保证将保密信息的披露范围严格控制在直接从事该项目工作且因工作需要有必要知悉保密信息的工作人员范围内,对投标人非从事该项目的人员一律严格保密。</w:t>
      </w:r>
    </w:p>
    <w:p w14:paraId="194FF22C">
      <w:pPr>
        <w:spacing w:line="360" w:lineRule="auto"/>
        <w:ind w:firstLine="480" w:firstLineChars="200"/>
        <w:rPr>
          <w:rFonts w:ascii="宋体" w:hAnsi="宋体" w:cs="宋体"/>
          <w:sz w:val="24"/>
          <w:highlight w:val="none"/>
        </w:rPr>
      </w:pPr>
      <w:r>
        <w:rPr>
          <w:rFonts w:hint="eastAsia" w:ascii="宋体" w:hAnsi="宋体" w:cs="宋体"/>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4A8275F7">
      <w:pPr>
        <w:spacing w:line="360" w:lineRule="auto"/>
        <w:ind w:firstLine="480" w:firstLineChars="200"/>
        <w:rPr>
          <w:rFonts w:ascii="宋体" w:hAnsi="宋体" w:cs="宋体"/>
          <w:sz w:val="24"/>
          <w:highlight w:val="none"/>
        </w:rPr>
      </w:pPr>
      <w:r>
        <w:rPr>
          <w:rFonts w:hint="eastAsia" w:ascii="宋体" w:hAnsi="宋体" w:cs="宋体"/>
          <w:sz w:val="24"/>
          <w:highlight w:val="none"/>
        </w:rPr>
        <w:t>（5）任何时间内，一经采购人提出要求，投标人应按照采购人指示在收到采购人书面通知后5日内将含有保密信息的所有文件或其他资料归还采购人，且不得擅自复制留存。</w:t>
      </w:r>
    </w:p>
    <w:p w14:paraId="53FCF0FA">
      <w:pPr>
        <w:spacing w:line="360" w:lineRule="auto"/>
        <w:ind w:firstLine="480" w:firstLineChars="200"/>
        <w:rPr>
          <w:rFonts w:ascii="宋体" w:hAnsi="宋体" w:cs="宋体"/>
          <w:sz w:val="24"/>
          <w:highlight w:val="none"/>
        </w:rPr>
      </w:pPr>
      <w:r>
        <w:rPr>
          <w:rFonts w:hint="eastAsia" w:ascii="宋体" w:hAnsi="宋体" w:cs="宋体"/>
          <w:sz w:val="24"/>
          <w:highlight w:val="none"/>
        </w:rPr>
        <w:t>（6）非经采购人特别授权，采购人向投标人提供的任何保密信息并不包括授予投标人该保密信息包含的任何专利权、商标权、著作权、商业秘密或其它类型的知识产权。</w:t>
      </w:r>
    </w:p>
    <w:p w14:paraId="610242A9">
      <w:pPr>
        <w:spacing w:line="360" w:lineRule="auto"/>
        <w:ind w:firstLine="480" w:firstLineChars="200"/>
        <w:rPr>
          <w:rFonts w:ascii="宋体" w:hAnsi="宋体" w:cs="宋体"/>
          <w:sz w:val="24"/>
          <w:highlight w:val="none"/>
        </w:rPr>
      </w:pPr>
      <w:r>
        <w:rPr>
          <w:rFonts w:hint="eastAsia" w:ascii="宋体" w:hAnsi="宋体" w:cs="宋体"/>
          <w:sz w:val="24"/>
          <w:highlight w:val="none"/>
        </w:rPr>
        <w:t>（7）投标人承担上述保密义务的期限为从合同签订之日起永久有效，承担上述保密义务的责任主体为投标人（含投标人服务人员）。</w:t>
      </w:r>
    </w:p>
    <w:p w14:paraId="7BEEFA73">
      <w:pPr>
        <w:spacing w:line="360" w:lineRule="auto"/>
        <w:ind w:firstLine="480" w:firstLineChars="200"/>
        <w:rPr>
          <w:rFonts w:ascii="宋体" w:hAnsi="宋体" w:cs="宋体"/>
          <w:sz w:val="24"/>
          <w:highlight w:val="none"/>
        </w:rPr>
      </w:pPr>
      <w:r>
        <w:rPr>
          <w:rFonts w:hint="eastAsia" w:ascii="宋体" w:hAnsi="宋体" w:cs="宋体"/>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65C058AD">
      <w:pPr>
        <w:spacing w:line="360" w:lineRule="auto"/>
        <w:ind w:firstLine="480" w:firstLineChars="200"/>
        <w:rPr>
          <w:rFonts w:ascii="宋体" w:hAnsi="宋体" w:cs="宋体"/>
          <w:sz w:val="24"/>
          <w:highlight w:val="none"/>
        </w:rPr>
      </w:pPr>
      <w:r>
        <w:rPr>
          <w:rFonts w:hint="eastAsia" w:ascii="宋体" w:hAnsi="宋体" w:cs="宋体"/>
          <w:sz w:val="24"/>
          <w:highlight w:val="none"/>
        </w:rPr>
        <w:t>（9）投标人应当对获悉的政务数据、个人信息等予以保密，不得用于其他用途，不得泄露、出售或者非法向他人提供。</w:t>
      </w:r>
    </w:p>
    <w:p w14:paraId="53F2917A">
      <w:pPr>
        <w:numPr>
          <w:ilvl w:val="0"/>
          <w:numId w:val="1"/>
        </w:numPr>
        <w:spacing w:before="60" w:after="60" w:line="360" w:lineRule="auto"/>
        <w:ind w:left="482" w:hanging="482" w:hangingChars="200"/>
        <w:outlineLvl w:val="0"/>
        <w:rPr>
          <w:rFonts w:hint="eastAsia" w:ascii="宋体" w:hAnsi="宋体" w:cs="宋体"/>
          <w:b/>
          <w:kern w:val="44"/>
          <w:sz w:val="24"/>
          <w:highlight w:val="none"/>
        </w:rPr>
      </w:pPr>
      <w:r>
        <w:rPr>
          <w:rFonts w:hint="eastAsia" w:ascii="宋体" w:hAnsi="宋体" w:cs="宋体"/>
          <w:b/>
          <w:kern w:val="44"/>
          <w:sz w:val="24"/>
          <w:highlight w:val="none"/>
        </w:rPr>
        <w:t>、政策性采购需求</w:t>
      </w:r>
    </w:p>
    <w:p w14:paraId="3ABA1115">
      <w:pPr>
        <w:tabs>
          <w:tab w:val="left" w:pos="420"/>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w:t>
      </w:r>
      <w:r>
        <w:rPr>
          <w:rFonts w:ascii="宋体" w:hAnsi="宋体" w:cs="宋体"/>
          <w:color w:val="000000"/>
          <w:sz w:val="24"/>
          <w:highlight w:val="none"/>
        </w:rPr>
        <w:t>措施。</w:t>
      </w:r>
    </w:p>
    <w:p w14:paraId="6366C4F8">
      <w:pPr>
        <w:numPr>
          <w:ilvl w:val="0"/>
          <w:numId w:val="1"/>
        </w:numPr>
        <w:spacing w:before="60" w:after="60" w:line="360" w:lineRule="auto"/>
        <w:ind w:left="420" w:hanging="482" w:hangingChars="200"/>
        <w:outlineLvl w:val="0"/>
        <w:rPr>
          <w:rFonts w:ascii="宋体" w:hAnsi="宋体" w:cs="宋体"/>
          <w:b/>
          <w:kern w:val="44"/>
          <w:sz w:val="24"/>
          <w:highlight w:val="none"/>
        </w:rPr>
      </w:pPr>
      <w:r>
        <w:rPr>
          <w:rFonts w:hint="eastAsia" w:ascii="宋体" w:hAnsi="宋体" w:cs="宋体"/>
          <w:b/>
          <w:kern w:val="44"/>
          <w:sz w:val="24"/>
          <w:highlight w:val="none"/>
        </w:rPr>
        <w:t>、其他相关要求</w:t>
      </w:r>
    </w:p>
    <w:p w14:paraId="49F0CB42">
      <w:pPr>
        <w:tabs>
          <w:tab w:val="left" w:pos="42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（1）投标人在2022年7月至投标文件递交截止日应承担过与本项目类似的项目，并提供业绩证明材料。业绩证明材料指合同复印件，合同复印件至少包含首页、主要内容页、签字盖章页。</w:t>
      </w:r>
    </w:p>
    <w:p w14:paraId="6A50C5C6">
      <w:pPr>
        <w:tabs>
          <w:tab w:val="left" w:pos="420"/>
        </w:tabs>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（2）本项目所需政务云平台需通过网络安全等级保护三级测评、商用密码应用安全性评估及中央网信办云计算服务安全评估，能够提供相关证明并加盖投标人公章。</w:t>
      </w:r>
    </w:p>
    <w:p w14:paraId="1C9F2DC0">
      <w:pPr>
        <w:pStyle w:val="4"/>
        <w:ind w:firstLine="0"/>
        <w:rPr>
          <w:b/>
          <w:sz w:val="36"/>
          <w:szCs w:val="36"/>
          <w:highlight w:val="none"/>
        </w:rPr>
      </w:pPr>
    </w:p>
    <w:p w14:paraId="5E2F8BA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64CC6"/>
    <w:multiLevelType w:val="multilevel"/>
    <w:tmpl w:val="E2164CC6"/>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240" w:firstLine="0"/>
      </w:pPr>
      <w:rPr>
        <w:rFonts w:hint="eastAsia" w:ascii="宋体" w:hAnsi="宋体" w:eastAsia="宋体" w:cs="宋体"/>
      </w:rPr>
    </w:lvl>
    <w:lvl w:ilvl="2" w:tentative="0">
      <w:start w:val="1"/>
      <w:numFmt w:val="decimal"/>
      <w:isLgl/>
      <w:suff w:val="nothing"/>
      <w:lvlText w:val="%2.%3"/>
      <w:lvlJc w:val="left"/>
      <w:pPr>
        <w:tabs>
          <w:tab w:val="left" w:pos="0"/>
        </w:tabs>
        <w:ind w:left="0" w:firstLine="400"/>
      </w:pPr>
      <w:rPr>
        <w:rFonts w:hint="eastAsia" w:ascii="宋体" w:hAnsi="宋体" w:eastAsia="宋体" w:cs="宋体"/>
      </w:rPr>
    </w:lvl>
    <w:lvl w:ilvl="3" w:tentative="0">
      <w:start w:val="1"/>
      <w:numFmt w:val="decimal"/>
      <w:isLgl/>
      <w:suff w:val="nothing"/>
      <w:lvlText w:val="%2.%3.%4"/>
      <w:lvlJc w:val="left"/>
      <w:pPr>
        <w:ind w:left="0" w:firstLine="402"/>
      </w:pPr>
      <w:rPr>
        <w:rFonts w:hint="eastAsia" w:ascii="宋体" w:hAnsi="宋体" w:eastAsia="宋体" w:cs="宋体"/>
        <w:color w:val="auto"/>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F1EA8"/>
    <w:rsid w:val="7E5F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character" w:customStyle="1" w:styleId="7">
    <w:name w:val="font61"/>
    <w:basedOn w:val="6"/>
    <w:qFormat/>
    <w:uiPriority w:val="0"/>
    <w:rPr>
      <w:rFonts w:hint="eastAsia" w:ascii="宋体" w:hAnsi="宋体" w:eastAsia="宋体" w:cs="宋体"/>
      <w:color w:val="000000"/>
      <w:sz w:val="20"/>
      <w:szCs w:val="20"/>
      <w:u w:val="none"/>
    </w:rPr>
  </w:style>
  <w:style w:type="character" w:customStyle="1" w:styleId="8">
    <w:name w:val="font5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2025-08-12T03:09:00Z</dcterms:created>
  <dc:creator>卓</dc:creator>
  <cp:lastModifiedBy>卓</cp:lastModifiedBy>
  <dcterms:modified xsi:type="dcterms:W3CDTF">2025-08-12T03:09:49Z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8E93B62EB42A4245B6137D153511C69F_11</vt:lpwstr>
  </property>
  <property fmtid="{D5CDD505-2E9C-101B-9397-08002B2CF9AE}" pid="4" name="KSOTemplateDocerSaveRecord">
    <vt:lpwstr>eyJoZGlkIjoiNTQ2YWU4ZmVkMTg2MmRlOGU2ZWVkODQzZWU5OTBiZDAiLCJ1c2VySWQiOiI1NDQ3NjE0MjMifQ==</vt:lpwstr>
  </property>
</Properties>
</file>