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北京胸科医院2025年医用设备购置项目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2025年9月16日上午09时30分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35393790"/>
      <w:bookmarkStart w:id="3" w:name="_Toc28359079"/>
      <w:bookmarkStart w:id="4" w:name="_Toc35393621"/>
      <w:bookmarkStart w:id="5" w:name="_Toc28359002"/>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0686-2511BI042437Z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北京胸科医院2025年医用设备购置项目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590万元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1"/>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44"/>
        <w:gridCol w:w="1012"/>
        <w:gridCol w:w="2039"/>
        <w:gridCol w:w="1375"/>
        <w:gridCol w:w="2956"/>
      </w:tblGrid>
      <w:tr w14:paraId="3C8CA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713" w:type="dxa"/>
            <w:vAlign w:val="center"/>
          </w:tcPr>
          <w:p w14:paraId="409189A4">
            <w:pPr>
              <w:pStyle w:val="48"/>
              <w:jc w:val="center"/>
              <w:rPr>
                <w:sz w:val="24"/>
                <w:szCs w:val="24"/>
                <w:lang w:eastAsia="zh-CN"/>
              </w:rPr>
            </w:pPr>
            <w:r>
              <w:rPr>
                <w:rFonts w:hint="eastAsia"/>
                <w:sz w:val="24"/>
                <w:szCs w:val="24"/>
                <w:lang w:eastAsia="zh-CN"/>
              </w:rPr>
              <w:t>包号</w:t>
            </w:r>
          </w:p>
        </w:tc>
        <w:tc>
          <w:tcPr>
            <w:tcW w:w="1744" w:type="dxa"/>
            <w:vAlign w:val="center"/>
          </w:tcPr>
          <w:p w14:paraId="509EDC69">
            <w:pPr>
              <w:pStyle w:val="48"/>
              <w:jc w:val="center"/>
              <w:rPr>
                <w:sz w:val="24"/>
                <w:szCs w:val="24"/>
                <w:lang w:eastAsia="zh-CN"/>
              </w:rPr>
            </w:pPr>
            <w:r>
              <w:rPr>
                <w:rFonts w:hint="eastAsia"/>
                <w:sz w:val="24"/>
                <w:szCs w:val="24"/>
                <w:lang w:eastAsia="zh-CN"/>
              </w:rPr>
              <w:t>采购包预算金额</w:t>
            </w:r>
          </w:p>
          <w:p w14:paraId="7816BB2F">
            <w:pPr>
              <w:pStyle w:val="48"/>
              <w:jc w:val="center"/>
              <w:rPr>
                <w:sz w:val="24"/>
                <w:szCs w:val="24"/>
                <w:lang w:eastAsia="zh-CN"/>
              </w:rPr>
            </w:pPr>
            <w:r>
              <w:rPr>
                <w:rFonts w:hint="eastAsia"/>
                <w:sz w:val="24"/>
                <w:szCs w:val="24"/>
                <w:lang w:eastAsia="zh-CN"/>
              </w:rPr>
              <w:t>（万元）</w:t>
            </w:r>
          </w:p>
        </w:tc>
        <w:tc>
          <w:tcPr>
            <w:tcW w:w="1012" w:type="dxa"/>
            <w:vAlign w:val="center"/>
          </w:tcPr>
          <w:p w14:paraId="3D5388EA">
            <w:pPr>
              <w:pStyle w:val="48"/>
              <w:jc w:val="center"/>
              <w:rPr>
                <w:sz w:val="24"/>
                <w:szCs w:val="24"/>
                <w:lang w:eastAsia="zh-CN"/>
              </w:rPr>
            </w:pPr>
            <w:r>
              <w:rPr>
                <w:rFonts w:hint="eastAsia"/>
                <w:sz w:val="24"/>
                <w:szCs w:val="24"/>
                <w:lang w:eastAsia="zh-CN"/>
              </w:rPr>
              <w:t>品目号</w:t>
            </w:r>
          </w:p>
        </w:tc>
        <w:tc>
          <w:tcPr>
            <w:tcW w:w="2039" w:type="dxa"/>
            <w:vAlign w:val="center"/>
          </w:tcPr>
          <w:p w14:paraId="0F115CDF">
            <w:pPr>
              <w:pStyle w:val="48"/>
              <w:jc w:val="center"/>
              <w:rPr>
                <w:sz w:val="24"/>
                <w:szCs w:val="24"/>
                <w:lang w:eastAsia="zh-CN"/>
              </w:rPr>
            </w:pPr>
            <w:r>
              <w:rPr>
                <w:rFonts w:hint="eastAsia"/>
                <w:sz w:val="24"/>
                <w:szCs w:val="24"/>
                <w:lang w:eastAsia="zh-CN"/>
              </w:rPr>
              <w:t>标的名称</w:t>
            </w:r>
          </w:p>
        </w:tc>
        <w:tc>
          <w:tcPr>
            <w:tcW w:w="1375" w:type="dxa"/>
            <w:vAlign w:val="center"/>
          </w:tcPr>
          <w:p w14:paraId="06089CCB">
            <w:pPr>
              <w:pStyle w:val="48"/>
              <w:jc w:val="center"/>
              <w:rPr>
                <w:sz w:val="24"/>
                <w:szCs w:val="24"/>
                <w:lang w:eastAsia="zh-CN"/>
              </w:rPr>
            </w:pPr>
            <w:r>
              <w:rPr>
                <w:rFonts w:hint="eastAsia"/>
                <w:sz w:val="24"/>
                <w:szCs w:val="24"/>
                <w:lang w:eastAsia="zh-CN"/>
              </w:rPr>
              <w:t>数量</w:t>
            </w:r>
          </w:p>
          <w:p w14:paraId="0FBA67ED">
            <w:pPr>
              <w:pStyle w:val="48"/>
              <w:jc w:val="center"/>
              <w:rPr>
                <w:sz w:val="24"/>
                <w:szCs w:val="24"/>
                <w:lang w:eastAsia="zh-CN"/>
              </w:rPr>
            </w:pPr>
            <w:r>
              <w:rPr>
                <w:rFonts w:hint="eastAsia"/>
                <w:sz w:val="24"/>
                <w:szCs w:val="24"/>
                <w:lang w:eastAsia="zh-CN"/>
              </w:rPr>
              <w:t>（台/套）</w:t>
            </w:r>
          </w:p>
        </w:tc>
        <w:tc>
          <w:tcPr>
            <w:tcW w:w="2956" w:type="dxa"/>
            <w:vAlign w:val="center"/>
          </w:tcPr>
          <w:p w14:paraId="7E71AA44">
            <w:pPr>
              <w:pStyle w:val="48"/>
              <w:jc w:val="center"/>
              <w:rPr>
                <w:sz w:val="24"/>
                <w:szCs w:val="24"/>
                <w:lang w:eastAsia="zh-CN"/>
              </w:rPr>
            </w:pPr>
            <w:r>
              <w:rPr>
                <w:rFonts w:hint="eastAsia"/>
                <w:sz w:val="24"/>
                <w:szCs w:val="24"/>
                <w:lang w:eastAsia="zh-CN"/>
              </w:rPr>
              <w:t>简要技术需求或服务要求</w:t>
            </w:r>
          </w:p>
        </w:tc>
      </w:tr>
      <w:tr w14:paraId="216A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713" w:type="dxa"/>
            <w:vAlign w:val="center"/>
          </w:tcPr>
          <w:p w14:paraId="4EBD2A3E">
            <w:pPr>
              <w:pStyle w:val="48"/>
              <w:jc w:val="center"/>
              <w:rPr>
                <w:sz w:val="24"/>
                <w:szCs w:val="24"/>
                <w:lang w:eastAsia="zh-CN"/>
              </w:rPr>
            </w:pPr>
            <w:r>
              <w:rPr>
                <w:rFonts w:hint="eastAsia"/>
                <w:sz w:val="24"/>
                <w:szCs w:val="24"/>
                <w:lang w:eastAsia="zh-CN"/>
              </w:rPr>
              <w:t>1</w:t>
            </w:r>
          </w:p>
        </w:tc>
        <w:tc>
          <w:tcPr>
            <w:tcW w:w="1744" w:type="dxa"/>
            <w:shd w:val="clear" w:color="auto" w:fill="auto"/>
            <w:vAlign w:val="center"/>
          </w:tcPr>
          <w:p w14:paraId="44573427">
            <w:pPr>
              <w:pStyle w:val="48"/>
              <w:jc w:val="center"/>
              <w:rPr>
                <w:sz w:val="24"/>
                <w:szCs w:val="24"/>
              </w:rPr>
            </w:pPr>
            <w:r>
              <w:rPr>
                <w:rFonts w:hint="eastAsia"/>
                <w:sz w:val="24"/>
                <w:szCs w:val="24"/>
                <w:lang w:eastAsia="zh-CN"/>
              </w:rPr>
              <w:t>70</w:t>
            </w:r>
          </w:p>
        </w:tc>
        <w:tc>
          <w:tcPr>
            <w:tcW w:w="1012" w:type="dxa"/>
            <w:vAlign w:val="center"/>
          </w:tcPr>
          <w:p w14:paraId="4E735A3F">
            <w:pPr>
              <w:pStyle w:val="48"/>
              <w:jc w:val="center"/>
              <w:rPr>
                <w:sz w:val="24"/>
                <w:szCs w:val="24"/>
                <w:lang w:eastAsia="zh-CN"/>
              </w:rPr>
            </w:pPr>
            <w:r>
              <w:rPr>
                <w:rFonts w:hint="eastAsia"/>
                <w:sz w:val="24"/>
                <w:szCs w:val="24"/>
                <w:lang w:eastAsia="zh-CN"/>
              </w:rPr>
              <w:t>1-1</w:t>
            </w:r>
          </w:p>
        </w:tc>
        <w:tc>
          <w:tcPr>
            <w:tcW w:w="2039" w:type="dxa"/>
            <w:shd w:val="clear" w:color="auto" w:fill="auto"/>
            <w:vAlign w:val="center"/>
          </w:tcPr>
          <w:p w14:paraId="6276CC77">
            <w:pPr>
              <w:pStyle w:val="48"/>
              <w:jc w:val="center"/>
              <w:rPr>
                <w:sz w:val="24"/>
                <w:szCs w:val="24"/>
                <w:lang w:eastAsia="zh-CN"/>
              </w:rPr>
            </w:pPr>
            <w:r>
              <w:rPr>
                <w:rFonts w:hint="eastAsia"/>
                <w:sz w:val="24"/>
                <w:szCs w:val="24"/>
                <w:lang w:eastAsia="zh-CN"/>
              </w:rPr>
              <w:t>高频手术系统</w:t>
            </w:r>
          </w:p>
        </w:tc>
        <w:tc>
          <w:tcPr>
            <w:tcW w:w="1375" w:type="dxa"/>
            <w:vAlign w:val="center"/>
          </w:tcPr>
          <w:p w14:paraId="11A6825F">
            <w:pPr>
              <w:pStyle w:val="48"/>
              <w:jc w:val="center"/>
              <w:rPr>
                <w:sz w:val="24"/>
                <w:szCs w:val="24"/>
                <w:lang w:eastAsia="zh-CN"/>
              </w:rPr>
            </w:pPr>
            <w:r>
              <w:rPr>
                <w:rFonts w:hint="eastAsia"/>
                <w:sz w:val="24"/>
                <w:szCs w:val="24"/>
                <w:lang w:eastAsia="zh-CN"/>
              </w:rPr>
              <w:t>1</w:t>
            </w:r>
          </w:p>
        </w:tc>
        <w:tc>
          <w:tcPr>
            <w:tcW w:w="2956" w:type="dxa"/>
            <w:vAlign w:val="center"/>
          </w:tcPr>
          <w:p w14:paraId="7D5C3F55">
            <w:pPr>
              <w:pStyle w:val="48"/>
              <w:jc w:val="center"/>
              <w:rPr>
                <w:sz w:val="24"/>
                <w:szCs w:val="24"/>
                <w:lang w:eastAsia="zh-CN"/>
              </w:rPr>
            </w:pPr>
            <w:r>
              <w:rPr>
                <w:rFonts w:hint="eastAsia"/>
                <w:sz w:val="24"/>
                <w:szCs w:val="24"/>
                <w:lang w:eastAsia="zh-CN"/>
              </w:rPr>
              <w:t>具有单极和双极射频消融功能</w:t>
            </w:r>
          </w:p>
        </w:tc>
      </w:tr>
      <w:tr w14:paraId="3B01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487F2A04">
            <w:pPr>
              <w:pStyle w:val="48"/>
              <w:jc w:val="center"/>
              <w:rPr>
                <w:sz w:val="24"/>
                <w:szCs w:val="24"/>
                <w:lang w:eastAsia="zh-CN"/>
              </w:rPr>
            </w:pPr>
            <w:r>
              <w:rPr>
                <w:rFonts w:hint="eastAsia"/>
                <w:sz w:val="24"/>
                <w:szCs w:val="24"/>
                <w:lang w:eastAsia="zh-CN"/>
              </w:rPr>
              <w:t>2</w:t>
            </w:r>
          </w:p>
        </w:tc>
        <w:tc>
          <w:tcPr>
            <w:tcW w:w="1744" w:type="dxa"/>
            <w:shd w:val="clear" w:color="auto" w:fill="auto"/>
            <w:vAlign w:val="center"/>
          </w:tcPr>
          <w:p w14:paraId="0055DD15">
            <w:pPr>
              <w:pStyle w:val="48"/>
              <w:jc w:val="center"/>
              <w:rPr>
                <w:sz w:val="24"/>
                <w:szCs w:val="24"/>
                <w:lang w:eastAsia="zh-CN"/>
              </w:rPr>
            </w:pPr>
            <w:r>
              <w:rPr>
                <w:rFonts w:hint="eastAsia"/>
                <w:sz w:val="24"/>
                <w:szCs w:val="24"/>
                <w:lang w:eastAsia="zh-CN"/>
              </w:rPr>
              <w:t>50</w:t>
            </w:r>
          </w:p>
        </w:tc>
        <w:tc>
          <w:tcPr>
            <w:tcW w:w="1012" w:type="dxa"/>
            <w:vAlign w:val="center"/>
          </w:tcPr>
          <w:p w14:paraId="104D5875">
            <w:pPr>
              <w:pStyle w:val="48"/>
              <w:jc w:val="center"/>
              <w:rPr>
                <w:sz w:val="24"/>
                <w:szCs w:val="24"/>
                <w:lang w:eastAsia="zh-CN"/>
              </w:rPr>
            </w:pPr>
            <w:r>
              <w:rPr>
                <w:rFonts w:hint="eastAsia"/>
                <w:sz w:val="24"/>
                <w:szCs w:val="24"/>
                <w:lang w:eastAsia="zh-CN"/>
              </w:rPr>
              <w:t>2-1</w:t>
            </w:r>
          </w:p>
        </w:tc>
        <w:tc>
          <w:tcPr>
            <w:tcW w:w="2039" w:type="dxa"/>
            <w:shd w:val="clear" w:color="auto" w:fill="auto"/>
            <w:vAlign w:val="center"/>
          </w:tcPr>
          <w:p w14:paraId="25EA36A0">
            <w:pPr>
              <w:pStyle w:val="48"/>
              <w:jc w:val="center"/>
              <w:rPr>
                <w:sz w:val="24"/>
                <w:szCs w:val="24"/>
                <w:lang w:eastAsia="zh-CN"/>
              </w:rPr>
            </w:pPr>
            <w:r>
              <w:rPr>
                <w:rFonts w:hint="eastAsia"/>
                <w:sz w:val="24"/>
                <w:szCs w:val="24"/>
                <w:lang w:eastAsia="zh-CN"/>
              </w:rPr>
              <w:t>全自动生化分析仪</w:t>
            </w:r>
          </w:p>
        </w:tc>
        <w:tc>
          <w:tcPr>
            <w:tcW w:w="1375" w:type="dxa"/>
            <w:vAlign w:val="center"/>
          </w:tcPr>
          <w:p w14:paraId="4DCDF115">
            <w:pPr>
              <w:pStyle w:val="48"/>
              <w:jc w:val="center"/>
              <w:rPr>
                <w:sz w:val="24"/>
                <w:szCs w:val="24"/>
                <w:lang w:eastAsia="zh-CN"/>
              </w:rPr>
            </w:pPr>
            <w:r>
              <w:rPr>
                <w:rFonts w:hint="eastAsia"/>
                <w:sz w:val="24"/>
                <w:szCs w:val="24"/>
                <w:lang w:eastAsia="zh-CN"/>
              </w:rPr>
              <w:t>1</w:t>
            </w:r>
          </w:p>
        </w:tc>
        <w:tc>
          <w:tcPr>
            <w:tcW w:w="2956" w:type="dxa"/>
            <w:vAlign w:val="center"/>
          </w:tcPr>
          <w:p w14:paraId="7298C355">
            <w:pPr>
              <w:pStyle w:val="48"/>
              <w:jc w:val="center"/>
              <w:rPr>
                <w:sz w:val="24"/>
                <w:szCs w:val="24"/>
                <w:lang w:eastAsia="zh-CN"/>
              </w:rPr>
            </w:pPr>
            <w:r>
              <w:rPr>
                <w:rFonts w:hint="eastAsia"/>
                <w:sz w:val="24"/>
                <w:szCs w:val="24"/>
                <w:lang w:eastAsia="zh-CN"/>
              </w:rPr>
              <w:t>支持CCD视觉样本管类型识别</w:t>
            </w:r>
          </w:p>
        </w:tc>
      </w:tr>
      <w:tr w14:paraId="5070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7BD709BB">
            <w:pPr>
              <w:pStyle w:val="48"/>
              <w:jc w:val="center"/>
              <w:rPr>
                <w:sz w:val="24"/>
                <w:szCs w:val="24"/>
                <w:lang w:eastAsia="zh-CN"/>
              </w:rPr>
            </w:pPr>
          </w:p>
        </w:tc>
        <w:tc>
          <w:tcPr>
            <w:tcW w:w="1744" w:type="dxa"/>
            <w:shd w:val="clear" w:color="auto" w:fill="auto"/>
            <w:vAlign w:val="center"/>
          </w:tcPr>
          <w:p w14:paraId="6DBDCD0E">
            <w:pPr>
              <w:pStyle w:val="48"/>
              <w:jc w:val="center"/>
              <w:rPr>
                <w:sz w:val="24"/>
                <w:szCs w:val="24"/>
                <w:lang w:eastAsia="zh-CN"/>
              </w:rPr>
            </w:pPr>
            <w:r>
              <w:rPr>
                <w:rFonts w:hint="eastAsia"/>
                <w:sz w:val="24"/>
                <w:szCs w:val="24"/>
                <w:lang w:eastAsia="zh-CN"/>
              </w:rPr>
              <w:t>35</w:t>
            </w:r>
          </w:p>
        </w:tc>
        <w:tc>
          <w:tcPr>
            <w:tcW w:w="1012" w:type="dxa"/>
            <w:vAlign w:val="center"/>
          </w:tcPr>
          <w:p w14:paraId="65BE42E9">
            <w:pPr>
              <w:pStyle w:val="48"/>
              <w:jc w:val="center"/>
              <w:rPr>
                <w:sz w:val="24"/>
                <w:szCs w:val="24"/>
                <w:lang w:eastAsia="zh-CN"/>
              </w:rPr>
            </w:pPr>
            <w:r>
              <w:rPr>
                <w:rFonts w:hint="eastAsia"/>
                <w:sz w:val="24"/>
                <w:szCs w:val="24"/>
                <w:lang w:eastAsia="zh-CN"/>
              </w:rPr>
              <w:t>2-2</w:t>
            </w:r>
          </w:p>
        </w:tc>
        <w:tc>
          <w:tcPr>
            <w:tcW w:w="2039" w:type="dxa"/>
            <w:shd w:val="clear" w:color="auto" w:fill="auto"/>
            <w:vAlign w:val="center"/>
          </w:tcPr>
          <w:p w14:paraId="6A721CE3">
            <w:pPr>
              <w:pStyle w:val="48"/>
              <w:jc w:val="center"/>
              <w:rPr>
                <w:sz w:val="24"/>
                <w:szCs w:val="24"/>
                <w:lang w:eastAsia="zh-CN"/>
              </w:rPr>
            </w:pPr>
            <w:r>
              <w:rPr>
                <w:rFonts w:hint="eastAsia"/>
                <w:sz w:val="24"/>
                <w:szCs w:val="24"/>
                <w:lang w:eastAsia="zh-CN"/>
              </w:rPr>
              <w:t>压力蒸汽灭菌器</w:t>
            </w:r>
          </w:p>
        </w:tc>
        <w:tc>
          <w:tcPr>
            <w:tcW w:w="1375" w:type="dxa"/>
            <w:vAlign w:val="center"/>
          </w:tcPr>
          <w:p w14:paraId="3AF3F5A0">
            <w:pPr>
              <w:pStyle w:val="48"/>
              <w:jc w:val="center"/>
              <w:rPr>
                <w:sz w:val="24"/>
                <w:szCs w:val="24"/>
                <w:lang w:eastAsia="zh-CN"/>
              </w:rPr>
            </w:pPr>
            <w:r>
              <w:rPr>
                <w:rFonts w:hint="eastAsia"/>
                <w:sz w:val="24"/>
                <w:szCs w:val="24"/>
                <w:lang w:eastAsia="zh-CN"/>
              </w:rPr>
              <w:t>1</w:t>
            </w:r>
          </w:p>
        </w:tc>
        <w:tc>
          <w:tcPr>
            <w:tcW w:w="2956" w:type="dxa"/>
            <w:vAlign w:val="center"/>
          </w:tcPr>
          <w:p w14:paraId="6266B868">
            <w:pPr>
              <w:pStyle w:val="48"/>
              <w:jc w:val="center"/>
              <w:rPr>
                <w:sz w:val="24"/>
                <w:szCs w:val="24"/>
                <w:lang w:eastAsia="zh-CN"/>
              </w:rPr>
            </w:pPr>
            <w:r>
              <w:rPr>
                <w:rFonts w:hint="eastAsia"/>
                <w:sz w:val="24"/>
                <w:szCs w:val="24"/>
                <w:lang w:eastAsia="zh-CN"/>
              </w:rPr>
              <w:t>设计温度：≥144℃</w:t>
            </w:r>
          </w:p>
        </w:tc>
      </w:tr>
      <w:tr w14:paraId="5B2F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71221F9F">
            <w:pPr>
              <w:pStyle w:val="48"/>
              <w:jc w:val="center"/>
              <w:rPr>
                <w:sz w:val="24"/>
                <w:szCs w:val="24"/>
                <w:lang w:eastAsia="zh-CN"/>
              </w:rPr>
            </w:pPr>
          </w:p>
        </w:tc>
        <w:tc>
          <w:tcPr>
            <w:tcW w:w="1744" w:type="dxa"/>
            <w:shd w:val="clear" w:color="auto" w:fill="auto"/>
            <w:vAlign w:val="center"/>
          </w:tcPr>
          <w:p w14:paraId="37598B9D">
            <w:pPr>
              <w:pStyle w:val="48"/>
              <w:jc w:val="center"/>
              <w:rPr>
                <w:sz w:val="24"/>
                <w:szCs w:val="24"/>
                <w:lang w:eastAsia="zh-CN"/>
              </w:rPr>
            </w:pPr>
            <w:r>
              <w:rPr>
                <w:rFonts w:hint="eastAsia"/>
                <w:sz w:val="24"/>
                <w:szCs w:val="24"/>
                <w:lang w:eastAsia="zh-CN"/>
              </w:rPr>
              <w:t>100</w:t>
            </w:r>
          </w:p>
        </w:tc>
        <w:tc>
          <w:tcPr>
            <w:tcW w:w="1012" w:type="dxa"/>
            <w:vAlign w:val="center"/>
          </w:tcPr>
          <w:p w14:paraId="6CE7624D">
            <w:pPr>
              <w:pStyle w:val="48"/>
              <w:jc w:val="center"/>
              <w:rPr>
                <w:sz w:val="24"/>
                <w:szCs w:val="24"/>
                <w:lang w:eastAsia="zh-CN"/>
              </w:rPr>
            </w:pPr>
            <w:r>
              <w:rPr>
                <w:rFonts w:hint="eastAsia"/>
                <w:sz w:val="24"/>
                <w:szCs w:val="24"/>
                <w:lang w:eastAsia="zh-CN"/>
              </w:rPr>
              <w:t>2-3</w:t>
            </w:r>
          </w:p>
        </w:tc>
        <w:tc>
          <w:tcPr>
            <w:tcW w:w="2039" w:type="dxa"/>
            <w:shd w:val="clear" w:color="auto" w:fill="auto"/>
            <w:vAlign w:val="center"/>
          </w:tcPr>
          <w:p w14:paraId="0A802F4D">
            <w:pPr>
              <w:pStyle w:val="48"/>
              <w:jc w:val="center"/>
              <w:rPr>
                <w:sz w:val="24"/>
                <w:szCs w:val="24"/>
                <w:lang w:eastAsia="zh-CN"/>
              </w:rPr>
            </w:pPr>
            <w:r>
              <w:rPr>
                <w:rFonts w:hint="eastAsia"/>
                <w:sz w:val="24"/>
                <w:szCs w:val="24"/>
                <w:lang w:eastAsia="zh-CN"/>
              </w:rPr>
              <w:t>压力蒸汽灭菌器</w:t>
            </w:r>
          </w:p>
        </w:tc>
        <w:tc>
          <w:tcPr>
            <w:tcW w:w="1375" w:type="dxa"/>
            <w:vAlign w:val="center"/>
          </w:tcPr>
          <w:p w14:paraId="75A19CF7">
            <w:pPr>
              <w:pStyle w:val="48"/>
              <w:jc w:val="center"/>
              <w:rPr>
                <w:sz w:val="24"/>
                <w:szCs w:val="24"/>
                <w:lang w:eastAsia="zh-CN"/>
              </w:rPr>
            </w:pPr>
            <w:r>
              <w:rPr>
                <w:rFonts w:hint="eastAsia"/>
                <w:sz w:val="24"/>
                <w:szCs w:val="24"/>
                <w:lang w:eastAsia="zh-CN"/>
              </w:rPr>
              <w:t>1</w:t>
            </w:r>
          </w:p>
        </w:tc>
        <w:tc>
          <w:tcPr>
            <w:tcW w:w="2956" w:type="dxa"/>
            <w:vAlign w:val="center"/>
          </w:tcPr>
          <w:p w14:paraId="0D44B1D4">
            <w:pPr>
              <w:pStyle w:val="48"/>
              <w:jc w:val="center"/>
              <w:rPr>
                <w:sz w:val="24"/>
                <w:szCs w:val="24"/>
                <w:lang w:eastAsia="zh-CN"/>
              </w:rPr>
            </w:pPr>
            <w:r>
              <w:rPr>
                <w:rFonts w:hint="eastAsia"/>
                <w:sz w:val="24"/>
                <w:szCs w:val="24"/>
                <w:lang w:eastAsia="zh-CN"/>
              </w:rPr>
              <w:t>压力设计：-0.1-0.3Mpa</w:t>
            </w:r>
          </w:p>
        </w:tc>
      </w:tr>
      <w:tr w14:paraId="5350F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275EAA8D">
            <w:pPr>
              <w:pStyle w:val="48"/>
              <w:jc w:val="center"/>
              <w:rPr>
                <w:sz w:val="24"/>
                <w:szCs w:val="24"/>
                <w:lang w:eastAsia="zh-CN"/>
              </w:rPr>
            </w:pPr>
          </w:p>
        </w:tc>
        <w:tc>
          <w:tcPr>
            <w:tcW w:w="1744" w:type="dxa"/>
            <w:shd w:val="clear" w:color="auto" w:fill="auto"/>
            <w:vAlign w:val="center"/>
          </w:tcPr>
          <w:p w14:paraId="619CF0ED">
            <w:pPr>
              <w:pStyle w:val="48"/>
              <w:jc w:val="center"/>
              <w:rPr>
                <w:sz w:val="24"/>
                <w:szCs w:val="24"/>
                <w:lang w:eastAsia="zh-CN"/>
              </w:rPr>
            </w:pPr>
            <w:r>
              <w:rPr>
                <w:rFonts w:hint="eastAsia"/>
                <w:sz w:val="24"/>
                <w:szCs w:val="24"/>
                <w:lang w:eastAsia="zh-CN"/>
              </w:rPr>
              <w:t>275</w:t>
            </w:r>
          </w:p>
        </w:tc>
        <w:tc>
          <w:tcPr>
            <w:tcW w:w="1012" w:type="dxa"/>
            <w:vAlign w:val="center"/>
          </w:tcPr>
          <w:p w14:paraId="02BFAE89">
            <w:pPr>
              <w:pStyle w:val="48"/>
              <w:jc w:val="center"/>
              <w:rPr>
                <w:sz w:val="24"/>
                <w:szCs w:val="24"/>
                <w:lang w:eastAsia="zh-CN"/>
              </w:rPr>
            </w:pPr>
            <w:r>
              <w:rPr>
                <w:rFonts w:hint="eastAsia"/>
                <w:sz w:val="24"/>
                <w:szCs w:val="24"/>
                <w:lang w:eastAsia="zh-CN"/>
              </w:rPr>
              <w:t>2-4</w:t>
            </w:r>
          </w:p>
        </w:tc>
        <w:tc>
          <w:tcPr>
            <w:tcW w:w="2039" w:type="dxa"/>
            <w:shd w:val="clear" w:color="auto" w:fill="auto"/>
            <w:vAlign w:val="center"/>
          </w:tcPr>
          <w:p w14:paraId="3A552FDE">
            <w:pPr>
              <w:pStyle w:val="48"/>
              <w:jc w:val="center"/>
              <w:rPr>
                <w:sz w:val="24"/>
                <w:szCs w:val="24"/>
                <w:lang w:eastAsia="zh-CN"/>
              </w:rPr>
            </w:pPr>
            <w:r>
              <w:rPr>
                <w:rFonts w:hint="eastAsia"/>
                <w:sz w:val="24"/>
                <w:szCs w:val="24"/>
                <w:lang w:eastAsia="zh-CN"/>
              </w:rPr>
              <w:t>高效液相色谱串联质谱仪</w:t>
            </w:r>
          </w:p>
        </w:tc>
        <w:tc>
          <w:tcPr>
            <w:tcW w:w="1375" w:type="dxa"/>
            <w:vAlign w:val="center"/>
          </w:tcPr>
          <w:p w14:paraId="27B34CCD">
            <w:pPr>
              <w:pStyle w:val="48"/>
              <w:jc w:val="center"/>
              <w:rPr>
                <w:sz w:val="24"/>
                <w:szCs w:val="24"/>
                <w:lang w:eastAsia="zh-CN"/>
              </w:rPr>
            </w:pPr>
            <w:r>
              <w:rPr>
                <w:rFonts w:hint="eastAsia"/>
                <w:sz w:val="24"/>
                <w:szCs w:val="24"/>
                <w:lang w:eastAsia="zh-CN"/>
              </w:rPr>
              <w:t>1</w:t>
            </w:r>
          </w:p>
        </w:tc>
        <w:tc>
          <w:tcPr>
            <w:tcW w:w="2956" w:type="dxa"/>
            <w:vAlign w:val="center"/>
          </w:tcPr>
          <w:p w14:paraId="2A5C196F">
            <w:pPr>
              <w:pStyle w:val="48"/>
              <w:jc w:val="center"/>
              <w:rPr>
                <w:sz w:val="24"/>
                <w:szCs w:val="24"/>
                <w:lang w:eastAsia="zh-CN"/>
              </w:rPr>
            </w:pPr>
            <w:r>
              <w:rPr>
                <w:rFonts w:hint="eastAsia"/>
                <w:sz w:val="24"/>
                <w:szCs w:val="24"/>
                <w:lang w:eastAsia="zh-CN"/>
              </w:rPr>
              <w:t>二元高压梯度泵，非四元梯度泵</w:t>
            </w:r>
          </w:p>
        </w:tc>
      </w:tr>
      <w:tr w14:paraId="44F6D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6AFA7D59">
            <w:pPr>
              <w:pStyle w:val="48"/>
              <w:jc w:val="center"/>
              <w:rPr>
                <w:sz w:val="24"/>
                <w:szCs w:val="24"/>
                <w:lang w:eastAsia="zh-CN"/>
              </w:rPr>
            </w:pPr>
          </w:p>
        </w:tc>
        <w:tc>
          <w:tcPr>
            <w:tcW w:w="1744" w:type="dxa"/>
            <w:shd w:val="clear" w:color="auto" w:fill="auto"/>
            <w:vAlign w:val="center"/>
          </w:tcPr>
          <w:p w14:paraId="708F2C05">
            <w:pPr>
              <w:pStyle w:val="48"/>
              <w:jc w:val="center"/>
              <w:rPr>
                <w:sz w:val="24"/>
                <w:szCs w:val="24"/>
                <w:lang w:eastAsia="zh-CN"/>
              </w:rPr>
            </w:pPr>
            <w:r>
              <w:rPr>
                <w:rFonts w:hint="eastAsia"/>
                <w:sz w:val="24"/>
                <w:szCs w:val="24"/>
                <w:lang w:eastAsia="zh-CN"/>
              </w:rPr>
              <w:t>30</w:t>
            </w:r>
          </w:p>
        </w:tc>
        <w:tc>
          <w:tcPr>
            <w:tcW w:w="1012" w:type="dxa"/>
            <w:vAlign w:val="center"/>
          </w:tcPr>
          <w:p w14:paraId="7977B4B7">
            <w:pPr>
              <w:pStyle w:val="48"/>
              <w:jc w:val="center"/>
              <w:rPr>
                <w:sz w:val="24"/>
                <w:szCs w:val="24"/>
                <w:lang w:eastAsia="zh-CN"/>
              </w:rPr>
            </w:pPr>
            <w:r>
              <w:rPr>
                <w:rFonts w:hint="eastAsia"/>
                <w:sz w:val="24"/>
                <w:szCs w:val="24"/>
                <w:lang w:eastAsia="zh-CN"/>
              </w:rPr>
              <w:t>2-5</w:t>
            </w:r>
          </w:p>
        </w:tc>
        <w:tc>
          <w:tcPr>
            <w:tcW w:w="2039" w:type="dxa"/>
            <w:shd w:val="clear" w:color="auto" w:fill="auto"/>
            <w:vAlign w:val="center"/>
          </w:tcPr>
          <w:p w14:paraId="292FC581">
            <w:pPr>
              <w:pStyle w:val="48"/>
              <w:jc w:val="center"/>
              <w:rPr>
                <w:sz w:val="24"/>
                <w:szCs w:val="24"/>
                <w:lang w:eastAsia="zh-CN"/>
              </w:rPr>
            </w:pPr>
            <w:r>
              <w:rPr>
                <w:rFonts w:hint="eastAsia"/>
                <w:sz w:val="24"/>
                <w:szCs w:val="24"/>
                <w:lang w:eastAsia="zh-CN"/>
              </w:rPr>
              <w:t>焦磷酸测序仪</w:t>
            </w:r>
          </w:p>
        </w:tc>
        <w:tc>
          <w:tcPr>
            <w:tcW w:w="1375" w:type="dxa"/>
            <w:vAlign w:val="center"/>
          </w:tcPr>
          <w:p w14:paraId="00AA330E">
            <w:pPr>
              <w:pStyle w:val="48"/>
              <w:jc w:val="center"/>
              <w:rPr>
                <w:sz w:val="24"/>
                <w:szCs w:val="24"/>
                <w:lang w:eastAsia="zh-CN"/>
              </w:rPr>
            </w:pPr>
            <w:r>
              <w:rPr>
                <w:rFonts w:hint="eastAsia"/>
                <w:sz w:val="24"/>
                <w:szCs w:val="24"/>
                <w:lang w:eastAsia="zh-CN"/>
              </w:rPr>
              <w:t>1</w:t>
            </w:r>
          </w:p>
        </w:tc>
        <w:tc>
          <w:tcPr>
            <w:tcW w:w="2956" w:type="dxa"/>
            <w:vAlign w:val="center"/>
          </w:tcPr>
          <w:p w14:paraId="577A9D84">
            <w:pPr>
              <w:pStyle w:val="48"/>
              <w:jc w:val="center"/>
              <w:rPr>
                <w:sz w:val="24"/>
                <w:szCs w:val="24"/>
                <w:lang w:eastAsia="zh-CN"/>
              </w:rPr>
            </w:pPr>
            <w:r>
              <w:rPr>
                <w:rFonts w:hint="eastAsia"/>
                <w:sz w:val="24"/>
                <w:szCs w:val="24"/>
                <w:lang w:eastAsia="zh-CN"/>
              </w:rPr>
              <w:t>可同时进行多至 16 个样本的分析；完成一轮16 个样本检测≤ 10 分钟</w:t>
            </w:r>
          </w:p>
        </w:tc>
      </w:tr>
      <w:tr w14:paraId="293F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13" w:type="dxa"/>
            <w:vAlign w:val="center"/>
          </w:tcPr>
          <w:p w14:paraId="755835F2">
            <w:pPr>
              <w:pStyle w:val="48"/>
              <w:jc w:val="center"/>
              <w:rPr>
                <w:sz w:val="24"/>
                <w:szCs w:val="24"/>
                <w:lang w:eastAsia="zh-CN"/>
              </w:rPr>
            </w:pPr>
          </w:p>
        </w:tc>
        <w:tc>
          <w:tcPr>
            <w:tcW w:w="1744" w:type="dxa"/>
            <w:shd w:val="clear" w:color="auto" w:fill="auto"/>
            <w:vAlign w:val="center"/>
          </w:tcPr>
          <w:p w14:paraId="26F3F139">
            <w:pPr>
              <w:pStyle w:val="48"/>
              <w:jc w:val="center"/>
              <w:rPr>
                <w:sz w:val="24"/>
                <w:szCs w:val="24"/>
                <w:lang w:eastAsia="zh-CN"/>
              </w:rPr>
            </w:pPr>
            <w:r>
              <w:rPr>
                <w:rFonts w:hint="eastAsia"/>
                <w:sz w:val="24"/>
                <w:szCs w:val="24"/>
                <w:lang w:eastAsia="zh-CN"/>
              </w:rPr>
              <w:t>30</w:t>
            </w:r>
          </w:p>
        </w:tc>
        <w:tc>
          <w:tcPr>
            <w:tcW w:w="1012" w:type="dxa"/>
            <w:vAlign w:val="center"/>
          </w:tcPr>
          <w:p w14:paraId="4CA015CF">
            <w:pPr>
              <w:pStyle w:val="48"/>
              <w:jc w:val="center"/>
              <w:rPr>
                <w:sz w:val="24"/>
                <w:szCs w:val="24"/>
                <w:lang w:eastAsia="zh-CN"/>
              </w:rPr>
            </w:pPr>
            <w:r>
              <w:rPr>
                <w:rFonts w:hint="eastAsia"/>
                <w:sz w:val="24"/>
                <w:szCs w:val="24"/>
                <w:lang w:eastAsia="zh-CN"/>
              </w:rPr>
              <w:t>2-6</w:t>
            </w:r>
          </w:p>
        </w:tc>
        <w:tc>
          <w:tcPr>
            <w:tcW w:w="2039" w:type="dxa"/>
            <w:shd w:val="clear" w:color="auto" w:fill="auto"/>
            <w:vAlign w:val="center"/>
          </w:tcPr>
          <w:p w14:paraId="316F35A9">
            <w:pPr>
              <w:pStyle w:val="48"/>
              <w:jc w:val="center"/>
              <w:rPr>
                <w:sz w:val="24"/>
                <w:szCs w:val="24"/>
                <w:lang w:eastAsia="zh-CN"/>
              </w:rPr>
            </w:pPr>
            <w:r>
              <w:rPr>
                <w:rFonts w:hint="eastAsia"/>
                <w:sz w:val="24"/>
                <w:szCs w:val="24"/>
                <w:lang w:eastAsia="zh-CN"/>
              </w:rPr>
              <w:t>全自动细菌分枝杆菌培养监测系统</w:t>
            </w:r>
          </w:p>
        </w:tc>
        <w:tc>
          <w:tcPr>
            <w:tcW w:w="1375" w:type="dxa"/>
            <w:vAlign w:val="center"/>
          </w:tcPr>
          <w:p w14:paraId="11EC29AF">
            <w:pPr>
              <w:pStyle w:val="48"/>
              <w:jc w:val="center"/>
              <w:rPr>
                <w:sz w:val="24"/>
                <w:szCs w:val="24"/>
                <w:lang w:eastAsia="zh-CN"/>
              </w:rPr>
            </w:pPr>
            <w:r>
              <w:rPr>
                <w:rFonts w:hint="eastAsia"/>
                <w:sz w:val="24"/>
                <w:szCs w:val="24"/>
                <w:lang w:eastAsia="zh-CN"/>
              </w:rPr>
              <w:t>1</w:t>
            </w:r>
          </w:p>
        </w:tc>
        <w:tc>
          <w:tcPr>
            <w:tcW w:w="2956" w:type="dxa"/>
            <w:vAlign w:val="center"/>
          </w:tcPr>
          <w:p w14:paraId="5798E92B">
            <w:pPr>
              <w:pStyle w:val="48"/>
              <w:jc w:val="center"/>
              <w:rPr>
                <w:sz w:val="24"/>
                <w:szCs w:val="24"/>
                <w:lang w:eastAsia="zh-CN"/>
              </w:rPr>
            </w:pPr>
            <w:r>
              <w:rPr>
                <w:rFonts w:hint="eastAsia"/>
                <w:sz w:val="24"/>
                <w:szCs w:val="24"/>
                <w:lang w:eastAsia="zh-CN"/>
              </w:rPr>
              <w:t>采用显色测量技术，支持瓶外非侵入式微生物培养和检测</w:t>
            </w:r>
          </w:p>
        </w:tc>
      </w:tr>
    </w:tbl>
    <w:p w14:paraId="1BBCE01A">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28359080"/>
      <w:bookmarkStart w:id="8" w:name="_Toc28359003"/>
      <w:bookmarkStart w:id="9" w:name="_Toc35393791"/>
      <w:bookmarkStart w:id="10" w:name="_Toc35393622"/>
      <w:r>
        <w:rPr>
          <w:rFonts w:hint="eastAsia" w:ascii="仿宋" w:hAnsi="仿宋" w:eastAsia="仿宋" w:cs="仿宋"/>
          <w:b w:val="0"/>
          <w:sz w:val="28"/>
          <w:szCs w:val="28"/>
        </w:rPr>
        <w:t>二、申请人的资格要求：</w:t>
      </w:r>
      <w:bookmarkEnd w:id="7"/>
      <w:bookmarkEnd w:id="8"/>
      <w:bookmarkEnd w:id="9"/>
      <w:bookmarkEnd w:id="10"/>
    </w:p>
    <w:p w14:paraId="18258B52">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C231543">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19014F57">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5FDB1F74">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■本项目不专门面向中小企业采购。</w:t>
      </w:r>
    </w:p>
    <w:p w14:paraId="17A4877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2.2其它落实政府采购政策的资格要求：无。</w:t>
      </w:r>
    </w:p>
    <w:p w14:paraId="5B61BB84">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623"/>
      <w:bookmarkStart w:id="14" w:name="_Toc35393792"/>
    </w:p>
    <w:p w14:paraId="29D6F6D6">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3598BE9F">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67C3B05C">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221F4F5B">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738B6E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3.3其他特定资格要求：投标产品属于医疗器械的，供应商如为代理商，应具有合法的医疗器械经营资格；供应商如为制造商，使用自身生产的产品投标时，应具有合法的医疗器械生产资格。</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793"/>
      <w:bookmarkStart w:id="18" w:name="_Toc35393624"/>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8月26日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9月2日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3.方式：供应商持CA数字认证证书登录北京市政府采购电子交易平台（http://zbcg-bjzc.zhongcy.com/bjczj-portal-site/in</w:t>
      </w:r>
      <w:r>
        <w:rPr>
          <w:rFonts w:hint="eastAsia" w:ascii="仿宋" w:hAnsi="仿宋" w:eastAsia="仿宋" w:cs="仿宋"/>
          <w:sz w:val="28"/>
          <w:szCs w:val="28"/>
          <w:lang w:val="en-US" w:eastAsia="zh-CN"/>
        </w:rPr>
        <w:t>1</w:t>
      </w:r>
      <w:r>
        <w:rPr>
          <w:rFonts w:ascii="仿宋" w:hAnsi="仿宋" w:eastAsia="仿宋" w:cs="仿宋"/>
          <w:sz w:val="28"/>
          <w:szCs w:val="28"/>
        </w:rPr>
        <w:t>dex.html#/home）获取电子版招标文件</w:t>
      </w:r>
      <w:r>
        <w:rPr>
          <w:rFonts w:hint="eastAsia" w:ascii="仿宋" w:hAnsi="仿宋" w:eastAsia="仿宋"/>
          <w:sz w:val="28"/>
          <w:szCs w:val="28"/>
          <w:u w:val="none"/>
          <w:lang w:val="en-US" w:eastAsia="zh-CN"/>
        </w:rPr>
        <w:t>。</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07"/>
      <w:bookmarkStart w:id="20" w:name="_Toc28359084"/>
      <w:bookmarkStart w:id="21" w:name="_Toc35393794"/>
      <w:bookmarkStart w:id="22" w:name="_Toc35393625"/>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2025年9月16日上午09时30分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35393627"/>
      <w:bookmarkStart w:id="26" w:name="_Toc28359085"/>
      <w:bookmarkStart w:id="27" w:name="_Toc28359008"/>
      <w:bookmarkStart w:id="28" w:name="_Toc35393796"/>
    </w:p>
    <w:p w14:paraId="3DDDA678">
      <w:pPr>
        <w:pStyle w:val="5"/>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spacing w:before="154" w:line="360" w:lineRule="auto"/>
        <w:ind w:left="601"/>
        <w:rPr>
          <w:rFonts w:hint="eastAsia" w:ascii="仿宋" w:hAnsi="仿宋" w:eastAsia="仿宋" w:cs="仿宋"/>
          <w:sz w:val="28"/>
          <w:szCs w:val="28"/>
        </w:rPr>
      </w:pPr>
      <w:bookmarkStart w:id="33" w:name="_GoBack"/>
      <w:r>
        <w:rPr>
          <w:rFonts w:hint="eastAsia" w:ascii="仿宋" w:hAnsi="仿宋" w:eastAsia="仿宋" w:cs="仿宋"/>
          <w:sz w:val="28"/>
          <w:szCs w:val="28"/>
        </w:rPr>
        <w:t>1.本项目需要落实的政府采购政策：促进中小企业发展政策、监狱企业扶持政策、促进残疾人就业政府采购政策、鼓励节能、环保政策等。政府采购政策具体落实情况详见招标文件。</w:t>
      </w:r>
    </w:p>
    <w:p w14:paraId="06A43D14">
      <w:pPr>
        <w:tabs>
          <w:tab w:val="left" w:pos="3469"/>
          <w:tab w:val="left" w:pos="5579"/>
          <w:tab w:val="left" w:pos="8166"/>
        </w:tabs>
        <w:spacing w:before="139" w:line="324" w:lineRule="auto"/>
        <w:ind w:left="111" w:right="169" w:firstLine="490"/>
        <w:jc w:val="left"/>
        <w:rPr>
          <w:rFonts w:hint="eastAsia" w:ascii="仿宋" w:hAnsi="仿宋" w:eastAsia="仿宋" w:cs="仿宋"/>
          <w:i/>
          <w:sz w:val="28"/>
          <w:szCs w:val="28"/>
        </w:rPr>
      </w:pPr>
      <w:r>
        <w:rPr>
          <w:rFonts w:hint="eastAsia" w:ascii="仿宋" w:hAnsi="仿宋" w:eastAsia="仿宋" w:cs="仿宋"/>
          <w:sz w:val="28"/>
          <w:szCs w:val="28"/>
        </w:rPr>
        <w:t>2.本次招标供应商必须以包为单位进行投标响应，评标和合同授予也以包为单位</w:t>
      </w:r>
    </w:p>
    <w:p w14:paraId="32D4B184">
      <w:pPr>
        <w:pStyle w:val="5"/>
        <w:spacing w:before="65" w:line="360" w:lineRule="auto"/>
        <w:ind w:left="121" w:right="169" w:firstLine="48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color w:val="auto"/>
          <w:sz w:val="28"/>
          <w:szCs w:val="28"/>
          <w:highlight w:val="none"/>
          <w:lang w:bidi="ar"/>
        </w:rPr>
        <w:t>本项目采用电子化与线下流程结合招标方式</w:t>
      </w:r>
      <w:r>
        <w:rPr>
          <w:rFonts w:hint="eastAsia" w:ascii="仿宋" w:hAnsi="仿宋" w:eastAsia="仿宋" w:cs="仿宋"/>
          <w:spacing w:val="-3"/>
          <w:sz w:val="28"/>
          <w:szCs w:val="28"/>
        </w:rPr>
        <w:t>，请供应商认真学习北京市政府采购电子交易平台发布的相关操作手册（供应商可在交易平台下载相关手册</w:t>
      </w:r>
      <w:r>
        <w:rPr>
          <w:rFonts w:hint="eastAsia" w:ascii="仿宋" w:hAnsi="仿宋" w:eastAsia="仿宋" w:cs="仿宋"/>
          <w:spacing w:val="-121"/>
          <w:sz w:val="28"/>
          <w:szCs w:val="28"/>
        </w:rPr>
        <w:t>）</w:t>
      </w:r>
      <w:r>
        <w:rPr>
          <w:rFonts w:hint="eastAsia" w:ascii="仿宋" w:hAnsi="仿宋" w:eastAsia="仿宋" w:cs="仿宋"/>
          <w:spacing w:val="-16"/>
          <w:sz w:val="28"/>
          <w:szCs w:val="28"/>
        </w:rPr>
        <w:t xml:space="preserve">，办理 </w:t>
      </w:r>
      <w:r>
        <w:rPr>
          <w:rFonts w:hint="eastAsia" w:ascii="仿宋" w:hAnsi="仿宋" w:eastAsia="仿宋" w:cs="仿宋"/>
          <w:spacing w:val="-2"/>
          <w:w w:val="85"/>
          <w:sz w:val="28"/>
          <w:szCs w:val="28"/>
        </w:rPr>
        <w:t>C</w:t>
      </w:r>
      <w:r>
        <w:rPr>
          <w:rFonts w:hint="eastAsia" w:ascii="仿宋" w:hAnsi="仿宋" w:eastAsia="仿宋" w:cs="仿宋"/>
          <w:w w:val="92"/>
          <w:sz w:val="28"/>
          <w:szCs w:val="28"/>
        </w:rPr>
        <w:t>A</w:t>
      </w:r>
      <w:r>
        <w:rPr>
          <w:rFonts w:hint="eastAsia" w:ascii="仿宋" w:hAnsi="仿宋" w:eastAsia="仿宋" w:cs="仿宋"/>
          <w:sz w:val="28"/>
          <w:szCs w:val="28"/>
        </w:rPr>
        <w:t xml:space="preserve"> 数字证书或</w:t>
      </w:r>
      <w:r>
        <w:rPr>
          <w:rFonts w:hint="eastAsia" w:ascii="仿宋" w:hAnsi="仿宋" w:eastAsia="仿宋" w:cs="仿宋"/>
          <w:spacing w:val="-6"/>
          <w:sz w:val="28"/>
          <w:szCs w:val="28"/>
        </w:rPr>
        <w:t xml:space="preserve">电子营业执照、进行北京市政府采购电子交易平台注册绑定，并认真核实 </w:t>
      </w:r>
      <w:r>
        <w:rPr>
          <w:rFonts w:hint="eastAsia" w:ascii="仿宋" w:hAnsi="仿宋" w:eastAsia="仿宋" w:cs="仿宋"/>
          <w:sz w:val="28"/>
          <w:szCs w:val="28"/>
        </w:rPr>
        <w:t>CA 数字证书或电子营业执照情况确认是否符合本项目电子化采购流程要求。</w:t>
      </w:r>
    </w:p>
    <w:p w14:paraId="04310CD2">
      <w:pPr>
        <w:pStyle w:val="5"/>
        <w:spacing w:before="55" w:line="360" w:lineRule="auto"/>
        <w:ind w:left="601"/>
        <w:rPr>
          <w:rFonts w:hint="eastAsia" w:ascii="仿宋" w:hAnsi="仿宋" w:eastAsia="仿宋" w:cs="仿宋"/>
          <w:sz w:val="28"/>
          <w:szCs w:val="28"/>
        </w:rPr>
      </w:pPr>
      <w:r>
        <w:rPr>
          <w:rFonts w:hint="eastAsia" w:ascii="仿宋" w:hAnsi="仿宋" w:eastAsia="仿宋" w:cs="仿宋"/>
          <w:sz w:val="28"/>
          <w:szCs w:val="28"/>
        </w:rPr>
        <w:t>CA</w:t>
      </w:r>
      <w:r>
        <w:rPr>
          <w:rFonts w:hint="eastAsia" w:ascii="仿宋" w:hAnsi="仿宋" w:eastAsia="仿宋" w:cs="仿宋"/>
          <w:spacing w:val="50"/>
          <w:sz w:val="28"/>
          <w:szCs w:val="28"/>
        </w:rPr>
        <w:t xml:space="preserve"> </w:t>
      </w:r>
      <w:r>
        <w:rPr>
          <w:rFonts w:hint="eastAsia" w:ascii="仿宋" w:hAnsi="仿宋" w:eastAsia="仿宋" w:cs="仿宋"/>
          <w:spacing w:val="11"/>
          <w:sz w:val="28"/>
          <w:szCs w:val="28"/>
        </w:rPr>
        <w:t xml:space="preserve">数字证书服务热线 </w:t>
      </w:r>
      <w:r>
        <w:rPr>
          <w:rFonts w:hint="eastAsia" w:ascii="仿宋" w:hAnsi="仿宋" w:eastAsia="仿宋" w:cs="仿宋"/>
          <w:sz w:val="28"/>
          <w:szCs w:val="28"/>
        </w:rPr>
        <w:t>010-58511086</w:t>
      </w:r>
    </w:p>
    <w:p w14:paraId="08413080">
      <w:pPr>
        <w:pStyle w:val="5"/>
        <w:spacing w:before="134" w:line="360" w:lineRule="auto"/>
        <w:ind w:left="601"/>
        <w:rPr>
          <w:rFonts w:hint="eastAsia" w:ascii="仿宋" w:hAnsi="仿宋" w:eastAsia="仿宋" w:cs="仿宋"/>
          <w:sz w:val="28"/>
          <w:szCs w:val="28"/>
        </w:rPr>
      </w:pPr>
      <w:r>
        <w:rPr>
          <w:rFonts w:hint="eastAsia" w:ascii="仿宋" w:hAnsi="仿宋" w:eastAsia="仿宋" w:cs="仿宋"/>
          <w:sz w:val="28"/>
          <w:szCs w:val="28"/>
        </w:rPr>
        <w:t>电子营业执照服务热线  400-699-7000</w:t>
      </w:r>
    </w:p>
    <w:p w14:paraId="183D5CBE">
      <w:pPr>
        <w:pStyle w:val="5"/>
        <w:tabs>
          <w:tab w:val="left" w:pos="3001"/>
        </w:tabs>
        <w:spacing w:before="43" w:line="360" w:lineRule="auto"/>
        <w:ind w:left="601"/>
        <w:rPr>
          <w:rFonts w:hint="eastAsia" w:ascii="仿宋" w:hAnsi="仿宋" w:eastAsia="仿宋" w:cs="仿宋"/>
          <w:sz w:val="28"/>
          <w:szCs w:val="28"/>
        </w:rPr>
      </w:pPr>
      <w:r>
        <w:rPr>
          <w:rFonts w:hint="eastAsia" w:ascii="仿宋" w:hAnsi="仿宋" w:eastAsia="仿宋" w:cs="仿宋"/>
          <w:sz w:val="28"/>
          <w:szCs w:val="28"/>
        </w:rPr>
        <w:t>技术支持服务热线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010-86483801</w:t>
      </w:r>
    </w:p>
    <w:p w14:paraId="1F22E9F8">
      <w:pPr>
        <w:pStyle w:val="49"/>
        <w:numPr>
          <w:ilvl w:val="1"/>
          <w:numId w:val="0"/>
        </w:numPr>
        <w:tabs>
          <w:tab w:val="left" w:pos="1041"/>
        </w:tabs>
        <w:spacing w:before="134" w:after="0" w:line="360" w:lineRule="auto"/>
        <w:ind w:left="1040" w:leftChars="0" w:right="0" w:rightChars="0" w:hanging="439" w:firstLineChars="0"/>
        <w:jc w:val="left"/>
        <w:rPr>
          <w:rFonts w:hint="eastAsia" w:ascii="仿宋" w:hAnsi="仿宋" w:eastAsia="仿宋" w:cs="仿宋"/>
          <w:sz w:val="28"/>
          <w:szCs w:val="28"/>
        </w:rPr>
      </w:pPr>
      <w:r>
        <w:rPr>
          <w:rFonts w:hint="eastAsia" w:ascii="仿宋" w:hAnsi="仿宋" w:eastAsia="仿宋" w:cs="仿宋"/>
          <w:sz w:val="28"/>
          <w:szCs w:val="28"/>
          <w:lang w:val="en-US" w:eastAsia="en-US"/>
        </w:rPr>
        <w:t>3.1</w:t>
      </w:r>
      <w:r>
        <w:rPr>
          <w:rFonts w:hint="eastAsia" w:ascii="仿宋" w:hAnsi="仿宋" w:eastAsia="仿宋" w:cs="仿宋"/>
          <w:spacing w:val="-21"/>
          <w:sz w:val="28"/>
          <w:szCs w:val="28"/>
        </w:rPr>
        <w:t xml:space="preserve">办理 </w:t>
      </w:r>
      <w:r>
        <w:rPr>
          <w:rFonts w:hint="eastAsia" w:ascii="仿宋" w:hAnsi="仿宋" w:eastAsia="仿宋" w:cs="仿宋"/>
          <w:sz w:val="28"/>
          <w:szCs w:val="28"/>
        </w:rPr>
        <w:t>CA</w:t>
      </w:r>
      <w:r>
        <w:rPr>
          <w:rFonts w:hint="eastAsia" w:ascii="仿宋" w:hAnsi="仿宋" w:eastAsia="仿宋" w:cs="仿宋"/>
          <w:spacing w:val="-5"/>
          <w:sz w:val="28"/>
          <w:szCs w:val="28"/>
        </w:rPr>
        <w:t xml:space="preserve"> </w:t>
      </w:r>
      <w:r>
        <w:rPr>
          <w:rFonts w:hint="eastAsia" w:ascii="仿宋" w:hAnsi="仿宋" w:eastAsia="仿宋" w:cs="仿宋"/>
          <w:sz w:val="28"/>
          <w:szCs w:val="28"/>
        </w:rPr>
        <w:t>数字证书或电子营业执照</w:t>
      </w:r>
    </w:p>
    <w:p w14:paraId="18B65989">
      <w:pPr>
        <w:pStyle w:val="5"/>
        <w:spacing w:before="136" w:line="338" w:lineRule="auto"/>
        <w:ind w:left="121" w:right="464" w:firstLine="480"/>
        <w:rPr>
          <w:rFonts w:hint="eastAsia" w:ascii="仿宋" w:hAnsi="仿宋" w:eastAsia="仿宋" w:cs="仿宋"/>
          <w:sz w:val="28"/>
          <w:szCs w:val="28"/>
        </w:rPr>
      </w:pPr>
      <w:r>
        <w:rPr>
          <w:rFonts w:hint="eastAsia" w:ascii="仿宋" w:hAnsi="仿宋" w:eastAsia="仿宋" w:cs="仿宋"/>
          <w:spacing w:val="2"/>
          <w:sz w:val="28"/>
          <w:szCs w:val="28"/>
        </w:rPr>
        <w:t xml:space="preserve">供应商登录北京市政府采购电子交易平台查阅 </w:t>
      </w:r>
      <w:r>
        <w:rPr>
          <w:rFonts w:hint="eastAsia" w:ascii="仿宋" w:hAnsi="仿宋" w:eastAsia="仿宋" w:cs="仿宋"/>
          <w:sz w:val="28"/>
          <w:szCs w:val="28"/>
        </w:rPr>
        <w:t>“用户指南”—“操作指南”—“市场</w:t>
      </w:r>
      <w:r>
        <w:rPr>
          <w:rFonts w:hint="eastAsia" w:ascii="仿宋" w:hAnsi="仿宋" w:eastAsia="仿宋" w:cs="仿宋"/>
          <w:spacing w:val="1"/>
          <w:sz w:val="28"/>
          <w:szCs w:val="28"/>
        </w:rPr>
        <w:t xml:space="preserve">主体 </w:t>
      </w:r>
      <w:r>
        <w:rPr>
          <w:rFonts w:hint="eastAsia" w:ascii="仿宋" w:hAnsi="仿宋" w:eastAsia="仿宋" w:cs="仿宋"/>
          <w:sz w:val="28"/>
          <w:szCs w:val="28"/>
        </w:rPr>
        <w:t>CA</w:t>
      </w:r>
      <w:r>
        <w:rPr>
          <w:rFonts w:hint="eastAsia" w:ascii="仿宋" w:hAnsi="仿宋" w:eastAsia="仿宋" w:cs="仿宋"/>
          <w:spacing w:val="63"/>
          <w:sz w:val="28"/>
          <w:szCs w:val="28"/>
        </w:rPr>
        <w:t xml:space="preserve"> </w:t>
      </w:r>
      <w:r>
        <w:rPr>
          <w:rFonts w:hint="eastAsia" w:ascii="仿宋" w:hAnsi="仿宋" w:eastAsia="仿宋" w:cs="仿宋"/>
          <w:sz w:val="28"/>
          <w:szCs w:val="28"/>
        </w:rPr>
        <w:t>办理操作流程指引”/“电子营业执照使用指南”，按照程序要求办理。</w:t>
      </w:r>
    </w:p>
    <w:p w14:paraId="39C90ED4">
      <w:pPr>
        <w:pStyle w:val="49"/>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rPr>
      </w:pPr>
      <w:r>
        <w:rPr>
          <w:rFonts w:hint="eastAsia" w:ascii="仿宋" w:hAnsi="仿宋" w:eastAsia="仿宋" w:cs="仿宋"/>
          <w:sz w:val="28"/>
          <w:szCs w:val="28"/>
          <w:lang w:val="en-US" w:eastAsia="en-US"/>
        </w:rPr>
        <w:t>3.2注</w:t>
      </w:r>
      <w:r>
        <w:rPr>
          <w:rFonts w:hint="eastAsia" w:ascii="仿宋" w:hAnsi="仿宋" w:eastAsia="仿宋" w:cs="仿宋"/>
          <w:sz w:val="28"/>
          <w:szCs w:val="28"/>
        </w:rPr>
        <w:t>册</w:t>
      </w:r>
    </w:p>
    <w:p w14:paraId="5898B25F">
      <w:pPr>
        <w:pStyle w:val="5"/>
        <w:spacing w:before="136" w:line="338" w:lineRule="auto"/>
        <w:ind w:left="121" w:right="464" w:firstLine="479"/>
        <w:rPr>
          <w:rFonts w:hint="eastAsia" w:ascii="仿宋" w:hAnsi="仿宋" w:eastAsia="仿宋" w:cs="仿宋"/>
          <w:sz w:val="28"/>
          <w:szCs w:val="28"/>
        </w:rPr>
      </w:pPr>
      <w:r>
        <w:rPr>
          <w:rFonts w:hint="eastAsia" w:ascii="仿宋" w:hAnsi="仿宋" w:eastAsia="仿宋" w:cs="仿宋"/>
          <w:sz w:val="28"/>
          <w:szCs w:val="28"/>
        </w:rPr>
        <w:t xml:space="preserve">供应商登录北京市政府采购电子交易平台“用户指南”—“操作指南”—“市场主体注 </w:t>
      </w:r>
      <w:r>
        <w:rPr>
          <w:rFonts w:hint="eastAsia" w:ascii="仿宋" w:hAnsi="仿宋" w:eastAsia="仿宋" w:cs="仿宋"/>
          <w:spacing w:val="-1"/>
          <w:sz w:val="28"/>
          <w:szCs w:val="28"/>
        </w:rPr>
        <w:t>册入库操作流程指引</w:t>
      </w:r>
      <w:r>
        <w:rPr>
          <w:rFonts w:hint="eastAsia" w:ascii="仿宋" w:hAnsi="仿宋" w:eastAsia="仿宋" w:cs="仿宋"/>
          <w:sz w:val="28"/>
          <w:szCs w:val="28"/>
        </w:rPr>
        <w:t>”进行自助注册绑定。</w:t>
      </w:r>
    </w:p>
    <w:p w14:paraId="36DA7F47">
      <w:pPr>
        <w:pStyle w:val="49"/>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3.3驱动、客户端下载</w:t>
      </w:r>
    </w:p>
    <w:p w14:paraId="60A4E467">
      <w:pPr>
        <w:pStyle w:val="5"/>
        <w:spacing w:before="134" w:line="338" w:lineRule="auto"/>
        <w:ind w:left="121" w:right="464" w:firstLine="479"/>
        <w:rPr>
          <w:rFonts w:hint="eastAsia" w:ascii="仿宋" w:hAnsi="仿宋" w:eastAsia="仿宋" w:cs="仿宋"/>
          <w:sz w:val="28"/>
          <w:szCs w:val="28"/>
        </w:rPr>
      </w:pPr>
      <w:r>
        <w:rPr>
          <w:rFonts w:hint="eastAsia" w:ascii="仿宋" w:hAnsi="仿宋" w:eastAsia="仿宋" w:cs="仿宋"/>
          <w:spacing w:val="-2"/>
          <w:sz w:val="28"/>
          <w:szCs w:val="28"/>
        </w:rPr>
        <w:t>供应商登录北京市政府采购电子交易平台</w:t>
      </w:r>
      <w:r>
        <w:rPr>
          <w:rFonts w:hint="eastAsia" w:ascii="仿宋" w:hAnsi="仿宋" w:eastAsia="仿宋" w:cs="仿宋"/>
          <w:spacing w:val="-1"/>
          <w:sz w:val="28"/>
          <w:szCs w:val="28"/>
        </w:rPr>
        <w:t>“用户指南”—“工具下载”—“招标采购系 统文件驱动安装包</w:t>
      </w:r>
      <w:r>
        <w:rPr>
          <w:rFonts w:hint="eastAsia" w:ascii="仿宋" w:hAnsi="仿宋" w:eastAsia="仿宋" w:cs="仿宋"/>
          <w:sz w:val="28"/>
          <w:szCs w:val="28"/>
        </w:rPr>
        <w:t>”下载相关驱动。</w:t>
      </w:r>
    </w:p>
    <w:p w14:paraId="3B2E3F41">
      <w:pPr>
        <w:pStyle w:val="5"/>
        <w:spacing w:before="24" w:line="338" w:lineRule="auto"/>
        <w:ind w:left="121" w:right="464" w:firstLine="479"/>
        <w:rPr>
          <w:rFonts w:hint="eastAsia" w:ascii="仿宋" w:hAnsi="仿宋" w:eastAsia="仿宋" w:cs="仿宋"/>
          <w:sz w:val="28"/>
          <w:szCs w:val="28"/>
        </w:rPr>
      </w:pPr>
      <w:r>
        <w:rPr>
          <w:rFonts w:hint="eastAsia" w:ascii="仿宋" w:hAnsi="仿宋" w:eastAsia="仿宋" w:cs="仿宋"/>
          <w:sz w:val="28"/>
          <w:szCs w:val="28"/>
        </w:rPr>
        <w:t xml:space="preserve">供应商登录北京市政府采购电子交易平台“用户指南”—“工具下载”—“投标文件编 </w:t>
      </w:r>
      <w:r>
        <w:rPr>
          <w:rFonts w:hint="eastAsia" w:ascii="仿宋" w:hAnsi="仿宋" w:eastAsia="仿宋" w:cs="仿宋"/>
          <w:spacing w:val="-1"/>
          <w:sz w:val="28"/>
          <w:szCs w:val="28"/>
        </w:rPr>
        <w:t>制工具</w:t>
      </w:r>
      <w:r>
        <w:rPr>
          <w:rFonts w:hint="eastAsia" w:ascii="仿宋" w:hAnsi="仿宋" w:eastAsia="仿宋" w:cs="仿宋"/>
          <w:sz w:val="28"/>
          <w:szCs w:val="28"/>
        </w:rPr>
        <w:t>”下载相关客户端。</w:t>
      </w:r>
    </w:p>
    <w:p w14:paraId="4D3E48D1">
      <w:pPr>
        <w:pStyle w:val="49"/>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3.4获取电子招标文件</w:t>
      </w:r>
    </w:p>
    <w:p w14:paraId="0C7A1C18">
      <w:pPr>
        <w:pStyle w:val="5"/>
        <w:spacing w:before="136" w:line="338" w:lineRule="auto"/>
        <w:ind w:left="121" w:right="147" w:firstLine="48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 xml:space="preserve">供应商使用 </w:t>
      </w:r>
      <w:r>
        <w:rPr>
          <w:rFonts w:hint="eastAsia" w:ascii="仿宋" w:hAnsi="仿宋" w:eastAsia="仿宋" w:cs="仿宋"/>
          <w:sz w:val="28"/>
          <w:szCs w:val="28"/>
          <w:highlight w:val="none"/>
        </w:rPr>
        <w:t>CA 数字证书或电子营业执照登录北京市政府采购电子交易平台获取电子招标文件。</w:t>
      </w:r>
    </w:p>
    <w:p w14:paraId="0F7078A6">
      <w:pPr>
        <w:ind w:firstLine="560" w:firstLineChars="200"/>
        <w:rPr>
          <w:rFonts w:eastAsia="仿宋"/>
          <w:sz w:val="28"/>
          <w:szCs w:val="28"/>
        </w:rPr>
      </w:pPr>
      <w:r>
        <w:rPr>
          <w:rFonts w:hint="eastAsia" w:ascii="仿宋" w:hAnsi="仿宋" w:eastAsia="仿宋" w:cs="仿宋"/>
          <w:sz w:val="28"/>
          <w:szCs w:val="28"/>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仿宋" w:hAnsi="仿宋" w:eastAsia="仿宋" w:cs="仿宋"/>
          <w:b/>
          <w:bCs/>
          <w:sz w:val="28"/>
          <w:szCs w:val="28"/>
          <w:highlight w:val="none"/>
        </w:rPr>
        <w:t>投标无效</w:t>
      </w:r>
      <w:r>
        <w:rPr>
          <w:rFonts w:hint="eastAsia" w:ascii="仿宋" w:hAnsi="仿宋" w:eastAsia="仿宋" w:cs="仿宋"/>
          <w:sz w:val="28"/>
          <w:szCs w:val="28"/>
          <w:highlight w:val="none"/>
        </w:rPr>
        <w:t>。</w:t>
      </w:r>
    </w:p>
    <w:p w14:paraId="7B323575">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3.5编制电子投标文件</w:t>
      </w:r>
      <w:r>
        <w:rPr>
          <w:rFonts w:hint="eastAsia" w:ascii="仿宋" w:hAnsi="仿宋" w:eastAsia="仿宋" w:cs="仿宋"/>
          <w:b/>
          <w:bCs/>
          <w:sz w:val="28"/>
          <w:szCs w:val="28"/>
          <w:highlight w:val="none"/>
          <w:lang w:eastAsia="zh-CN"/>
        </w:rPr>
        <w:t>（本项目不适用）</w:t>
      </w:r>
    </w:p>
    <w:p w14:paraId="243D3EC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0000B9">
      <w:pPr>
        <w:ind w:firstLine="560" w:firstLineChars="200"/>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TW"/>
        </w:rPr>
        <w:t>3.6</w:t>
      </w:r>
      <w:r>
        <w:rPr>
          <w:rFonts w:hint="eastAsia" w:ascii="仿宋" w:hAnsi="仿宋" w:eastAsia="仿宋" w:cs="仿宋"/>
          <w:sz w:val="28"/>
          <w:szCs w:val="28"/>
          <w:highlight w:val="none"/>
          <w:lang w:val="zh-TW" w:eastAsia="zh-CN"/>
        </w:rPr>
        <w:t>提交电子投标文件</w:t>
      </w:r>
      <w:r>
        <w:rPr>
          <w:rFonts w:hint="eastAsia" w:ascii="仿宋" w:hAnsi="仿宋" w:eastAsia="仿宋" w:cs="仿宋"/>
          <w:b/>
          <w:bCs/>
          <w:sz w:val="28"/>
          <w:szCs w:val="28"/>
          <w:highlight w:val="none"/>
          <w:lang w:eastAsia="zh-CN"/>
        </w:rPr>
        <w:t>（本项目不适用）</w:t>
      </w:r>
    </w:p>
    <w:p w14:paraId="420160D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供应商应于投标截止时间前在北京市政府采购电子交易平台提交电子投标文件，上传电子投标文件过程中请保持与互联网的连接畅通。</w:t>
      </w:r>
    </w:p>
    <w:p w14:paraId="7CE2831A">
      <w:pPr>
        <w:ind w:firstLine="560" w:firstLineChars="200"/>
        <w:rPr>
          <w:rFonts w:hint="eastAsia" w:ascii="仿宋" w:hAnsi="仿宋" w:eastAsia="仿宋" w:cs="仿宋"/>
          <w:sz w:val="28"/>
          <w:szCs w:val="28"/>
          <w:highlight w:val="none"/>
          <w:lang w:eastAsia="zh-TW"/>
        </w:rPr>
      </w:pPr>
      <w:r>
        <w:rPr>
          <w:rFonts w:hint="eastAsia" w:ascii="仿宋" w:hAnsi="仿宋" w:eastAsia="仿宋" w:cs="仿宋"/>
          <w:sz w:val="28"/>
          <w:szCs w:val="28"/>
          <w:highlight w:val="none"/>
          <w:lang w:val="zh-TW" w:eastAsia="zh-CN"/>
        </w:rPr>
        <w:t>3.</w:t>
      </w:r>
      <w:r>
        <w:rPr>
          <w:rFonts w:hint="eastAsia" w:ascii="仿宋" w:hAnsi="仿宋" w:eastAsia="仿宋" w:cs="仿宋"/>
          <w:sz w:val="28"/>
          <w:szCs w:val="28"/>
          <w:highlight w:val="none"/>
          <w:lang w:val="zh-TW" w:eastAsia="zh-TW"/>
        </w:rPr>
        <w:t>7</w:t>
      </w:r>
      <w:r>
        <w:rPr>
          <w:rFonts w:hint="eastAsia" w:ascii="仿宋" w:hAnsi="仿宋" w:eastAsia="仿宋" w:cs="仿宋"/>
          <w:sz w:val="28"/>
          <w:szCs w:val="28"/>
          <w:highlight w:val="none"/>
          <w:lang w:val="zh-TW" w:eastAsia="zh-CN"/>
        </w:rPr>
        <w:t>电子开标</w:t>
      </w:r>
      <w:r>
        <w:rPr>
          <w:rFonts w:hint="eastAsia" w:ascii="仿宋" w:hAnsi="仿宋" w:eastAsia="仿宋" w:cs="仿宋"/>
          <w:b/>
          <w:bCs/>
          <w:sz w:val="28"/>
          <w:szCs w:val="28"/>
          <w:highlight w:val="none"/>
          <w:lang w:eastAsia="zh-CN"/>
        </w:rPr>
        <w:t>（本项目不适用）</w:t>
      </w:r>
    </w:p>
    <w:p w14:paraId="122BB98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zh-TW" w:eastAsia="zh-CN"/>
        </w:rPr>
        <w:t>供应商在开标地点使用</w:t>
      </w:r>
      <w:r>
        <w:rPr>
          <w:rFonts w:hint="eastAsia" w:ascii="仿宋" w:hAnsi="仿宋" w:eastAsia="仿宋" w:cs="仿宋"/>
          <w:sz w:val="28"/>
          <w:szCs w:val="28"/>
          <w:highlight w:val="none"/>
          <w:lang w:eastAsia="zh-CN"/>
        </w:rPr>
        <w:t>CA认证证书</w:t>
      </w:r>
      <w:r>
        <w:rPr>
          <w:rFonts w:hint="eastAsia" w:ascii="仿宋" w:hAnsi="仿宋" w:eastAsia="仿宋" w:cs="仿宋"/>
          <w:sz w:val="28"/>
          <w:szCs w:val="28"/>
          <w:highlight w:val="none"/>
          <w:lang w:val="zh-TW" w:eastAsia="zh-CN"/>
        </w:rPr>
        <w:t>登录</w:t>
      </w:r>
      <w:r>
        <w:rPr>
          <w:rFonts w:hint="eastAsia" w:ascii="仿宋" w:hAnsi="仿宋" w:eastAsia="仿宋" w:cs="仿宋"/>
          <w:sz w:val="28"/>
          <w:szCs w:val="28"/>
          <w:highlight w:val="none"/>
          <w:lang w:eastAsia="zh-CN"/>
        </w:rPr>
        <w:t>北京市政府采购电子交易平台进行电子开标</w:t>
      </w:r>
      <w:r>
        <w:rPr>
          <w:rFonts w:hint="eastAsia" w:ascii="仿宋" w:hAnsi="仿宋" w:eastAsia="仿宋" w:cs="仿宋"/>
          <w:sz w:val="28"/>
          <w:szCs w:val="28"/>
          <w:highlight w:val="none"/>
          <w:lang w:val="zh-TW" w:eastAsia="zh-CN"/>
        </w:rPr>
        <w:t>。</w:t>
      </w:r>
      <w:bookmarkEnd w:id="33"/>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111FD592">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1C997E74">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首都医科大学附属北京胸科医院</w:t>
      </w:r>
    </w:p>
    <w:p w14:paraId="54734CF4">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北京市通州区北关大街9号院</w:t>
      </w:r>
    </w:p>
    <w:p w14:paraId="1D4162C2">
      <w:pPr>
        <w:spacing w:line="360" w:lineRule="auto"/>
        <w:ind w:left="1129" w:leftChars="371" w:hanging="350" w:hangingChars="125"/>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bookmarkStart w:id="29" w:name="_Toc28359009"/>
      <w:bookmarkStart w:id="30" w:name="_Toc28359086"/>
      <w:r>
        <w:rPr>
          <w:rFonts w:hint="eastAsia" w:ascii="仿宋" w:hAnsi="仿宋" w:eastAsia="仿宋" w:cs="仿宋"/>
          <w:sz w:val="28"/>
          <w:szCs w:val="28"/>
          <w:u w:val="single"/>
          <w:lang w:eastAsia="zh-CN"/>
        </w:rPr>
        <w:t>010-89509596</w:t>
      </w:r>
    </w:p>
    <w:bookmarkEnd w:id="29"/>
    <w:bookmarkEnd w:id="30"/>
    <w:p w14:paraId="08AF82EC">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7870CD9A">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18689938">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4A2D0B4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57</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59</w:t>
      </w:r>
    </w:p>
    <w:p w14:paraId="512D5FA9">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0743DEAF">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王崴</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张珊、</w:t>
      </w:r>
      <w:r>
        <w:rPr>
          <w:rFonts w:hint="eastAsia" w:ascii="仿宋" w:hAnsi="仿宋" w:eastAsia="仿宋" w:cs="仿宋"/>
          <w:sz w:val="28"/>
          <w:szCs w:val="28"/>
          <w:u w:val="single"/>
          <w:lang w:eastAsia="zh-CN"/>
        </w:rPr>
        <w:t>梁潇</w:t>
      </w:r>
    </w:p>
    <w:p w14:paraId="1292A10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57</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59</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7A54001"/>
    <w:rsid w:val="07FC3326"/>
    <w:rsid w:val="0854278F"/>
    <w:rsid w:val="090D2269"/>
    <w:rsid w:val="0AF376E5"/>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1F9E2BED"/>
    <w:rsid w:val="205C14B5"/>
    <w:rsid w:val="2113111A"/>
    <w:rsid w:val="21457417"/>
    <w:rsid w:val="2224601B"/>
    <w:rsid w:val="230456A7"/>
    <w:rsid w:val="239B2179"/>
    <w:rsid w:val="243E0FE4"/>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AF7F09"/>
    <w:rsid w:val="46CA2B46"/>
    <w:rsid w:val="46D52298"/>
    <w:rsid w:val="48A87680"/>
    <w:rsid w:val="494E49AA"/>
    <w:rsid w:val="49D734B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814071D"/>
    <w:rsid w:val="59413C36"/>
    <w:rsid w:val="5A59165A"/>
    <w:rsid w:val="5B4857A8"/>
    <w:rsid w:val="5BC0634E"/>
    <w:rsid w:val="5C69757C"/>
    <w:rsid w:val="5D5B3753"/>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1EE7763"/>
    <w:rsid w:val="72F23D89"/>
    <w:rsid w:val="73723423"/>
    <w:rsid w:val="74057A00"/>
    <w:rsid w:val="74294E24"/>
    <w:rsid w:val="74AE2CAA"/>
    <w:rsid w:val="750652A7"/>
    <w:rsid w:val="7506570B"/>
    <w:rsid w:val="7522503C"/>
    <w:rsid w:val="76A9682B"/>
    <w:rsid w:val="7747264E"/>
    <w:rsid w:val="77C65F49"/>
    <w:rsid w:val="78B910A6"/>
    <w:rsid w:val="793730E3"/>
    <w:rsid w:val="798538CB"/>
    <w:rsid w:val="7A4A0D23"/>
    <w:rsid w:val="7AE57ADF"/>
    <w:rsid w:val="7BD323FA"/>
    <w:rsid w:val="7BFF4A28"/>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character" w:styleId="13">
    <w:name w:val="FollowedHyperlink"/>
    <w:basedOn w:val="12"/>
    <w:qFormat/>
    <w:uiPriority w:val="0"/>
    <w:rPr>
      <w:color w:val="2490F8"/>
      <w:u w:val="single"/>
    </w:rPr>
  </w:style>
  <w:style w:type="character" w:styleId="14">
    <w:name w:val="Hyperlink"/>
    <w:basedOn w:val="12"/>
    <w:qFormat/>
    <w:uiPriority w:val="0"/>
    <w:rPr>
      <w:color w:val="2490F8"/>
      <w:u w:val="single"/>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列表段落1"/>
    <w:basedOn w:val="1"/>
    <w:qFormat/>
    <w:uiPriority w:val="34"/>
    <w:pPr>
      <w:ind w:firstLine="420" w:firstLineChars="200"/>
    </w:pPr>
  </w:style>
  <w:style w:type="paragraph" w:customStyle="1" w:styleId="18">
    <w:name w:val="正文3"/>
    <w:qFormat/>
    <w:uiPriority w:val="0"/>
    <w:pPr>
      <w:jc w:val="both"/>
    </w:pPr>
    <w:rPr>
      <w:rFonts w:ascii="Calibri" w:hAnsi="Calibri" w:eastAsia="宋体" w:cs="Times New Roman"/>
      <w:kern w:val="2"/>
      <w:sz w:val="21"/>
      <w:szCs w:val="21"/>
      <w:lang w:val="en-US" w:eastAsia="zh-CN" w:bidi="ar-SA"/>
    </w:rPr>
  </w:style>
  <w:style w:type="character" w:customStyle="1" w:styleId="19">
    <w:name w:val="font21"/>
    <w:basedOn w:val="12"/>
    <w:qFormat/>
    <w:uiPriority w:val="0"/>
    <w:rPr>
      <w:rFonts w:ascii="Tahoma" w:hAnsi="Tahoma" w:eastAsia="Tahoma" w:cs="Tahoma"/>
      <w:color w:val="000000"/>
      <w:sz w:val="22"/>
      <w:szCs w:val="22"/>
      <w:u w:val="none"/>
    </w:rPr>
  </w:style>
  <w:style w:type="character" w:customStyle="1" w:styleId="20">
    <w:name w:val="drapbtn"/>
    <w:basedOn w:val="12"/>
    <w:qFormat/>
    <w:uiPriority w:val="0"/>
  </w:style>
  <w:style w:type="character" w:customStyle="1" w:styleId="21">
    <w:name w:val="button"/>
    <w:basedOn w:val="12"/>
    <w:qFormat/>
    <w:uiPriority w:val="0"/>
  </w:style>
  <w:style w:type="character" w:customStyle="1" w:styleId="22">
    <w:name w:val="iconline2"/>
    <w:basedOn w:val="12"/>
    <w:qFormat/>
    <w:uiPriority w:val="0"/>
  </w:style>
  <w:style w:type="character" w:customStyle="1" w:styleId="23">
    <w:name w:val="icontext3"/>
    <w:basedOn w:val="12"/>
    <w:qFormat/>
    <w:uiPriority w:val="0"/>
  </w:style>
  <w:style w:type="character" w:customStyle="1" w:styleId="24">
    <w:name w:val="after"/>
    <w:basedOn w:val="12"/>
    <w:qFormat/>
    <w:uiPriority w:val="0"/>
    <w:rPr>
      <w:sz w:val="0"/>
      <w:szCs w:val="0"/>
    </w:rPr>
  </w:style>
  <w:style w:type="character" w:customStyle="1" w:styleId="25">
    <w:name w:val="pagechatarealistclose_box"/>
    <w:basedOn w:val="12"/>
    <w:qFormat/>
    <w:uiPriority w:val="0"/>
  </w:style>
  <w:style w:type="character" w:customStyle="1" w:styleId="26">
    <w:name w:val="pagechatarealistclose_box1"/>
    <w:basedOn w:val="12"/>
    <w:qFormat/>
    <w:uiPriority w:val="0"/>
  </w:style>
  <w:style w:type="character" w:customStyle="1" w:styleId="27">
    <w:name w:val="cy"/>
    <w:basedOn w:val="12"/>
    <w:qFormat/>
    <w:uiPriority w:val="0"/>
  </w:style>
  <w:style w:type="character" w:customStyle="1" w:styleId="28">
    <w:name w:val="hilite5"/>
    <w:basedOn w:val="12"/>
    <w:qFormat/>
    <w:uiPriority w:val="0"/>
    <w:rPr>
      <w:color w:val="FFFFFF"/>
      <w:shd w:val="clear" w:fill="666666"/>
    </w:rPr>
  </w:style>
  <w:style w:type="character" w:customStyle="1" w:styleId="29">
    <w:name w:val="layui-layer-tabnow"/>
    <w:basedOn w:val="12"/>
    <w:qFormat/>
    <w:uiPriority w:val="0"/>
    <w:rPr>
      <w:bdr w:val="single" w:color="CCCCCC" w:sz="6" w:space="0"/>
      <w:shd w:val="clear" w:fill="FFFFFF"/>
    </w:rPr>
  </w:style>
  <w:style w:type="character" w:customStyle="1" w:styleId="30">
    <w:name w:val="cdropright"/>
    <w:basedOn w:val="12"/>
    <w:qFormat/>
    <w:uiPriority w:val="0"/>
  </w:style>
  <w:style w:type="character" w:customStyle="1" w:styleId="31">
    <w:name w:val="ico1651"/>
    <w:basedOn w:val="12"/>
    <w:qFormat/>
    <w:uiPriority w:val="0"/>
  </w:style>
  <w:style w:type="character" w:customStyle="1" w:styleId="32">
    <w:name w:val="ico1652"/>
    <w:basedOn w:val="12"/>
    <w:qFormat/>
    <w:uiPriority w:val="0"/>
  </w:style>
  <w:style w:type="character" w:customStyle="1" w:styleId="33">
    <w:name w:val="associateddata"/>
    <w:basedOn w:val="12"/>
    <w:qFormat/>
    <w:uiPriority w:val="0"/>
    <w:rPr>
      <w:shd w:val="clear" w:fill="50A6F9"/>
    </w:rPr>
  </w:style>
  <w:style w:type="character" w:customStyle="1" w:styleId="34">
    <w:name w:val="cdropleft"/>
    <w:basedOn w:val="12"/>
    <w:qFormat/>
    <w:uiPriority w:val="0"/>
  </w:style>
  <w:style w:type="character" w:customStyle="1" w:styleId="35">
    <w:name w:val="active7"/>
    <w:basedOn w:val="12"/>
    <w:qFormat/>
    <w:uiPriority w:val="0"/>
    <w:rPr>
      <w:shd w:val="clear" w:fill="EC3535"/>
    </w:rPr>
  </w:style>
  <w:style w:type="character" w:customStyle="1" w:styleId="36">
    <w:name w:val="active8"/>
    <w:basedOn w:val="12"/>
    <w:qFormat/>
    <w:uiPriority w:val="0"/>
    <w:rPr>
      <w:color w:val="00FF00"/>
      <w:shd w:val="clear" w:fill="111111"/>
    </w:rPr>
  </w:style>
  <w:style w:type="character" w:customStyle="1" w:styleId="37">
    <w:name w:val="icontext2"/>
    <w:basedOn w:val="12"/>
    <w:qFormat/>
    <w:uiPriority w:val="0"/>
  </w:style>
  <w:style w:type="character" w:customStyle="1" w:styleId="38">
    <w:name w:val="tmpztreemove_arrow"/>
    <w:basedOn w:val="12"/>
    <w:qFormat/>
    <w:uiPriority w:val="0"/>
  </w:style>
  <w:style w:type="character" w:customStyle="1" w:styleId="39">
    <w:name w:val="icontext1"/>
    <w:basedOn w:val="12"/>
    <w:qFormat/>
    <w:uiPriority w:val="0"/>
  </w:style>
  <w:style w:type="character" w:customStyle="1" w:styleId="40">
    <w:name w:val="icontext11"/>
    <w:basedOn w:val="12"/>
    <w:qFormat/>
    <w:uiPriority w:val="0"/>
  </w:style>
  <w:style w:type="character" w:customStyle="1" w:styleId="41">
    <w:name w:val="icontext12"/>
    <w:basedOn w:val="12"/>
    <w:qFormat/>
    <w:uiPriority w:val="0"/>
  </w:style>
  <w:style w:type="character" w:customStyle="1" w:styleId="42">
    <w:name w:val="w32"/>
    <w:basedOn w:val="12"/>
    <w:qFormat/>
    <w:uiPriority w:val="0"/>
  </w:style>
  <w:style w:type="character" w:customStyle="1" w:styleId="43">
    <w:name w:val="first-child"/>
    <w:basedOn w:val="12"/>
    <w:qFormat/>
    <w:uiPriority w:val="0"/>
  </w:style>
  <w:style w:type="character" w:customStyle="1" w:styleId="44">
    <w:name w:val="ico1654"/>
    <w:basedOn w:val="12"/>
    <w:qFormat/>
    <w:uiPriority w:val="0"/>
  </w:style>
  <w:style w:type="character" w:customStyle="1" w:styleId="45">
    <w:name w:val="active"/>
    <w:basedOn w:val="12"/>
    <w:qFormat/>
    <w:uiPriority w:val="0"/>
    <w:rPr>
      <w:color w:val="00FF00"/>
      <w:shd w:val="clear" w:fill="111111"/>
    </w:rPr>
  </w:style>
  <w:style w:type="character" w:customStyle="1" w:styleId="46">
    <w:name w:val="active1"/>
    <w:basedOn w:val="12"/>
    <w:qFormat/>
    <w:uiPriority w:val="0"/>
    <w:rPr>
      <w:shd w:val="clear" w:fill="EC3535"/>
    </w:rPr>
  </w:style>
  <w:style w:type="character" w:customStyle="1" w:styleId="47">
    <w:name w:val="hilite6"/>
    <w:basedOn w:val="12"/>
    <w:qFormat/>
    <w:uiPriority w:val="0"/>
    <w:rPr>
      <w:color w:val="FFFFFF"/>
      <w:shd w:val="clear" w:fill="666666"/>
    </w:rPr>
  </w:style>
  <w:style w:type="paragraph" w:customStyle="1" w:styleId="48">
    <w:name w:val="Table Paragraph"/>
    <w:basedOn w:val="1"/>
    <w:qFormat/>
    <w:uiPriority w:val="1"/>
    <w:rPr>
      <w:rFonts w:ascii="宋体" w:hAnsi="宋体" w:eastAsia="宋体" w:cs="宋体"/>
    </w:rPr>
  </w:style>
  <w:style w:type="paragraph" w:customStyle="1" w:styleId="49">
    <w:name w:val="List Paragraph"/>
    <w:basedOn w:val="1"/>
    <w:qFormat/>
    <w:uiPriority w:val="1"/>
    <w:pPr>
      <w:spacing w:before="134"/>
      <w:ind w:left="1196" w:hanging="720"/>
    </w:pPr>
    <w:rPr>
      <w:rFonts w:ascii="宋体" w:hAnsi="宋体" w:eastAsia="宋体"/>
      <w:sz w:val="20"/>
    </w:rPr>
  </w:style>
  <w:style w:type="character" w:customStyle="1" w:styleId="50">
    <w:name w:val="font11"/>
    <w:basedOn w:val="12"/>
    <w:qFormat/>
    <w:uiPriority w:val="0"/>
    <w:rPr>
      <w:rFonts w:hint="eastAsia" w:ascii="宋体" w:hAnsi="宋体" w:eastAsia="宋体" w:cs="宋体"/>
      <w:color w:val="000000"/>
      <w:sz w:val="21"/>
      <w:szCs w:val="21"/>
      <w:u w:val="none"/>
    </w:rPr>
  </w:style>
  <w:style w:type="paragraph" w:customStyle="1" w:styleId="5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2028</Words>
  <Characters>2376</Characters>
  <Lines>18</Lines>
  <Paragraphs>5</Paragraphs>
  <TotalTime>23</TotalTime>
  <ScaleCrop>false</ScaleCrop>
  <LinksUpToDate>false</LinksUpToDate>
  <CharactersWithSpaces>2403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2025-08-26T07:46:33Z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85F3E1CD7E7F4B559119305EF1AA3DA2_13</vt:lpwstr>
  </property>
  <property fmtid="{D5CDD505-2E9C-101B-9397-08002B2CF9AE}" pid="4" name="KSOTemplateDocerSaveRecord">
    <vt:lpwstr>eyJoZGlkIjoiMDcyMmFjNmZjM2U5ODcyZjQ5NTE0NjNjMjU2OTE5OTIiLCJ1c2VySWQiOiI4NDYxOTIwMTUifQ==</vt:lpwstr>
  </property>
</Properties>
</file>