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8D9CD">
      <w:pPr>
        <w:spacing w:line="360" w:lineRule="auto"/>
        <w:jc w:val="center"/>
        <w:outlineLvl w:val="0"/>
        <w:rPr>
          <w:b/>
          <w:sz w:val="36"/>
          <w:szCs w:val="36"/>
        </w:rPr>
      </w:pPr>
      <w:bookmarkStart w:id="0" w:name="_Toc99301424"/>
      <w:r>
        <w:rPr>
          <w:b/>
          <w:sz w:val="36"/>
          <w:szCs w:val="36"/>
        </w:rPr>
        <w:t>第五章   采购需求</w:t>
      </w:r>
      <w:bookmarkEnd w:id="0"/>
    </w:p>
    <w:p w14:paraId="7064EDE8">
      <w:pPr>
        <w:pStyle w:val="2"/>
        <w:spacing w:before="0" w:line="360" w:lineRule="auto"/>
        <w:ind w:firstLine="482" w:firstLineChars="200"/>
        <w:jc w:val="left"/>
        <w:rPr>
          <w:rFonts w:hint="eastAsia" w:ascii="宋体" w:hAnsi="宋体" w:eastAsia="宋体"/>
          <w:color w:val="000000"/>
          <w:sz w:val="24"/>
          <w:szCs w:val="24"/>
        </w:rPr>
      </w:pPr>
      <w:r>
        <w:rPr>
          <w:rFonts w:hint="eastAsia" w:ascii="宋体" w:hAnsi="宋体" w:eastAsia="宋体"/>
          <w:color w:val="000000"/>
          <w:sz w:val="24"/>
          <w:szCs w:val="24"/>
        </w:rPr>
        <w:t>一、采购项目情况</w:t>
      </w:r>
    </w:p>
    <w:p w14:paraId="4DA497F4">
      <w:pPr>
        <w:pStyle w:val="3"/>
        <w:spacing w:before="0" w:after="0" w:line="360" w:lineRule="auto"/>
        <w:ind w:firstLine="482" w:firstLineChars="200"/>
        <w:rPr>
          <w:rFonts w:hint="eastAsia" w:hAnsi="宋体"/>
          <w:color w:val="000000"/>
          <w:szCs w:val="24"/>
        </w:rPr>
      </w:pPr>
      <w:r>
        <w:rPr>
          <w:rFonts w:hint="eastAsia" w:hAnsi="宋体"/>
          <w:color w:val="000000"/>
          <w:szCs w:val="24"/>
        </w:rPr>
        <w:t>1. 采购标的</w:t>
      </w:r>
    </w:p>
    <w:p w14:paraId="059F3BCF">
      <w:pPr>
        <w:spacing w:line="360" w:lineRule="auto"/>
        <w:ind w:firstLine="480" w:firstLineChars="200"/>
        <w:rPr>
          <w:rFonts w:hint="eastAsia" w:ascii="宋体" w:hAnsi="宋体"/>
          <w:color w:val="000000"/>
          <w:sz w:val="24"/>
        </w:rPr>
      </w:pPr>
      <w:r>
        <w:rPr>
          <w:rFonts w:hint="eastAsia" w:ascii="宋体" w:hAnsi="宋体"/>
          <w:color w:val="000000"/>
          <w:sz w:val="24"/>
        </w:rPr>
        <w:t>项目名称：中共北京市委宣传部综合事务中心2025年度政务云租用项目</w:t>
      </w:r>
    </w:p>
    <w:p w14:paraId="780E7D2F">
      <w:pPr>
        <w:spacing w:line="360" w:lineRule="auto"/>
        <w:ind w:firstLine="480" w:firstLineChars="200"/>
        <w:rPr>
          <w:rFonts w:hint="eastAsia" w:ascii="宋体" w:hAnsi="宋体"/>
          <w:color w:val="000000"/>
          <w:sz w:val="24"/>
        </w:rPr>
      </w:pPr>
      <w:r>
        <w:rPr>
          <w:rFonts w:hint="eastAsia" w:ascii="宋体" w:hAnsi="宋体"/>
          <w:color w:val="000000"/>
          <w:sz w:val="24"/>
        </w:rPr>
        <w:t>标的名称：中共北京市委宣传部综合事务中心2025年度政务云租用项目，项目预算金额：</w:t>
      </w:r>
      <w:r>
        <w:rPr>
          <w:rFonts w:ascii="宋体" w:hAnsi="宋体"/>
          <w:color w:val="000000"/>
          <w:sz w:val="24"/>
        </w:rPr>
        <w:t>186.22</w:t>
      </w:r>
      <w:r>
        <w:rPr>
          <w:rFonts w:hint="eastAsia" w:ascii="宋体" w:hAnsi="宋体"/>
          <w:color w:val="000000"/>
          <w:sz w:val="24"/>
        </w:rPr>
        <w:t>万元。</w:t>
      </w:r>
    </w:p>
    <w:p w14:paraId="6FF432C7">
      <w:pPr>
        <w:spacing w:line="360" w:lineRule="auto"/>
        <w:ind w:firstLine="480" w:firstLineChars="200"/>
        <w:rPr>
          <w:rFonts w:ascii="宋体" w:hAnsi="宋体"/>
          <w:color w:val="000000"/>
          <w:sz w:val="24"/>
        </w:rPr>
      </w:pPr>
      <w:r>
        <w:rPr>
          <w:rFonts w:hint="eastAsia" w:ascii="宋体" w:hAnsi="宋体"/>
          <w:color w:val="000000"/>
          <w:sz w:val="24"/>
        </w:rPr>
        <w:t>合同履行期限：自合同签订起5个月</w:t>
      </w:r>
    </w:p>
    <w:p w14:paraId="0EB8232D">
      <w:pPr>
        <w:spacing w:line="360" w:lineRule="auto"/>
        <w:ind w:firstLine="480" w:firstLineChars="200"/>
        <w:rPr>
          <w:rFonts w:hint="eastAsia" w:ascii="宋体" w:hAnsi="宋体"/>
          <w:color w:val="000000"/>
          <w:sz w:val="24"/>
        </w:rPr>
      </w:pPr>
      <w:r>
        <w:rPr>
          <w:rFonts w:hint="eastAsia" w:ascii="宋体" w:hAnsi="宋体"/>
          <w:color w:val="000000"/>
          <w:sz w:val="24"/>
        </w:rPr>
        <w:t>本项目是否接受联合体投标：□是</w:t>
      </w:r>
      <w:r>
        <w:rPr>
          <w:rFonts w:ascii="宋体" w:hAnsi="宋体"/>
          <w:color w:val="000000"/>
          <w:sz w:val="24"/>
        </w:rPr>
        <w:t xml:space="preserve">  </w:t>
      </w:r>
      <w:r>
        <w:rPr>
          <w:rFonts w:ascii="Segoe UI Symbol" w:hAnsi="Segoe UI Symbol" w:cs="Segoe UI Symbol"/>
          <w:color w:val="000000"/>
          <w:sz w:val="24"/>
        </w:rPr>
        <w:t>☑</w:t>
      </w:r>
      <w:r>
        <w:rPr>
          <w:rFonts w:ascii="宋体" w:hAnsi="宋体"/>
          <w:color w:val="000000"/>
          <w:sz w:val="24"/>
        </w:rPr>
        <w:t>否。</w:t>
      </w:r>
    </w:p>
    <w:p w14:paraId="726ABD89">
      <w:pPr>
        <w:pStyle w:val="3"/>
        <w:spacing w:before="0" w:after="0" w:line="360" w:lineRule="auto"/>
        <w:ind w:firstLine="482" w:firstLineChars="200"/>
        <w:rPr>
          <w:rFonts w:hint="eastAsia" w:hAnsi="宋体"/>
          <w:color w:val="000000"/>
          <w:szCs w:val="24"/>
        </w:rPr>
      </w:pPr>
      <w:r>
        <w:rPr>
          <w:rFonts w:hint="eastAsia" w:hAnsi="宋体"/>
          <w:color w:val="000000"/>
          <w:szCs w:val="24"/>
        </w:rPr>
        <w:t>2. 项目概述</w:t>
      </w:r>
    </w:p>
    <w:p w14:paraId="100CEF1E">
      <w:pPr>
        <w:spacing w:line="360" w:lineRule="auto"/>
        <w:ind w:firstLine="480" w:firstLineChars="200"/>
        <w:rPr>
          <w:rFonts w:hint="eastAsia" w:ascii="宋体" w:hAnsi="宋体"/>
          <w:color w:val="000000"/>
          <w:sz w:val="24"/>
        </w:rPr>
      </w:pPr>
      <w:r>
        <w:rPr>
          <w:rFonts w:hint="eastAsia" w:ascii="宋体" w:hAnsi="宋体"/>
          <w:color w:val="000000"/>
          <w:sz w:val="24"/>
        </w:rPr>
        <w:t>根据《北京市经济和信息化局关于加快政务信息系统入云工作的函》、《北京市市级政务云管理办法》等文件要求，中共北京市委宣传部相关信息系统于2018年迁入市级政务云平台。现有信息系统情况如下：</w:t>
      </w:r>
    </w:p>
    <w:p w14:paraId="718374EE">
      <w:pPr>
        <w:spacing w:line="360" w:lineRule="auto"/>
        <w:ind w:firstLine="480" w:firstLineChars="200"/>
        <w:rPr>
          <w:rFonts w:hint="eastAsia" w:ascii="宋体" w:hAnsi="宋体"/>
          <w:color w:val="000000"/>
          <w:sz w:val="24"/>
        </w:rPr>
      </w:pPr>
      <w:r>
        <w:rPr>
          <w:rFonts w:hint="eastAsia" w:ascii="宋体" w:hAnsi="宋体"/>
          <w:color w:val="000000"/>
          <w:sz w:val="24"/>
        </w:rPr>
        <w:t>中共北京市委宣传部相关信息系统包括：农村公益放映监控平台、北京市软件正版化检查服务系统、首都精神文明网、北京地区著作权登记管理平台、北京市新闻出版局（北京市版权局）北京市电影局网站、新闻出版业务应用系统、印刷产业促进平台、北京地区报刊管理综合服务平台、数字编辑管理网等信息系统。根据《北京市市级政务云管理办法》并结合市宣传部对云服务需求统一筹划的实际情况，现向具备提供北京市政务云服务的云服务商，采购市级政务云基础服务部分、扩展服务部分及相关配套保障服务，以确保2025年度已上云的信息系统在市级政务云上能够继续安全平稳运行。</w:t>
      </w:r>
    </w:p>
    <w:p w14:paraId="1CF4F2F5">
      <w:pPr>
        <w:pStyle w:val="2"/>
        <w:spacing w:before="0" w:line="360" w:lineRule="auto"/>
        <w:ind w:firstLine="482" w:firstLineChars="200"/>
        <w:jc w:val="left"/>
        <w:rPr>
          <w:rFonts w:hint="eastAsia" w:ascii="宋体" w:hAnsi="宋体" w:eastAsia="宋体"/>
          <w:color w:val="000000"/>
          <w:sz w:val="24"/>
          <w:szCs w:val="24"/>
        </w:rPr>
      </w:pPr>
      <w:r>
        <w:rPr>
          <w:rFonts w:hint="eastAsia" w:ascii="宋体" w:hAnsi="宋体" w:eastAsia="宋体"/>
          <w:color w:val="000000"/>
          <w:sz w:val="24"/>
          <w:szCs w:val="24"/>
        </w:rPr>
        <w:t>二、 商务要求</w:t>
      </w:r>
    </w:p>
    <w:p w14:paraId="6027A14C">
      <w:pPr>
        <w:pStyle w:val="3"/>
        <w:spacing w:before="0" w:after="0" w:line="360" w:lineRule="auto"/>
        <w:ind w:firstLine="482" w:firstLineChars="200"/>
        <w:rPr>
          <w:rFonts w:hint="eastAsia" w:hAnsi="宋体"/>
          <w:color w:val="000000"/>
          <w:szCs w:val="24"/>
        </w:rPr>
      </w:pPr>
      <w:r>
        <w:rPr>
          <w:rFonts w:hint="eastAsia" w:hAnsi="宋体"/>
          <w:color w:val="000000"/>
          <w:szCs w:val="24"/>
        </w:rPr>
        <w:t>1. 交付（实施）的时间（期限）和地点（范围）</w:t>
      </w:r>
    </w:p>
    <w:p w14:paraId="55AC52FC">
      <w:pPr>
        <w:spacing w:line="360" w:lineRule="auto"/>
        <w:ind w:firstLine="480" w:firstLineChars="200"/>
        <w:rPr>
          <w:rFonts w:hint="eastAsia" w:ascii="宋体" w:hAnsi="宋体"/>
          <w:color w:val="000000"/>
          <w:sz w:val="24"/>
        </w:rPr>
      </w:pPr>
      <w:r>
        <w:rPr>
          <w:rFonts w:hint="eastAsia" w:ascii="宋体" w:hAnsi="宋体"/>
          <w:color w:val="000000"/>
          <w:sz w:val="24"/>
        </w:rPr>
        <w:t>服务地点：北京市</w:t>
      </w:r>
    </w:p>
    <w:p w14:paraId="6D9953D2">
      <w:pPr>
        <w:spacing w:line="360" w:lineRule="auto"/>
        <w:ind w:firstLine="480" w:firstLineChars="200"/>
        <w:rPr>
          <w:rFonts w:hint="eastAsia" w:ascii="宋体" w:hAnsi="宋体"/>
          <w:color w:val="000000"/>
          <w:sz w:val="24"/>
        </w:rPr>
      </w:pPr>
      <w:r>
        <w:rPr>
          <w:rFonts w:hint="eastAsia" w:ascii="宋体" w:hAnsi="宋体"/>
          <w:color w:val="000000"/>
          <w:sz w:val="24"/>
        </w:rPr>
        <w:t>服务期限：自合同签订起5个月</w:t>
      </w:r>
    </w:p>
    <w:p w14:paraId="43889C3D">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2. 付款条件（进度和方式）</w:t>
      </w:r>
    </w:p>
    <w:p w14:paraId="470DF1BE">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2.1采购人在本合同签订后且项目经费经采购人主管财政部门预算通过并拨付至采购人账户后30个工作日内，向中标人支付本合同金额的80%，即人民币：</w:t>
      </w:r>
    </w:p>
    <w:p w14:paraId="361AB6D5">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大写：</w:t>
      </w:r>
    </w:p>
    <w:p w14:paraId="6DD2469C">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小写：</w:t>
      </w:r>
    </w:p>
    <w:p w14:paraId="63DEBD7C">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2.2中标人在合同签订后15个工作日内，按合同金额的10%去银行办理《履约保函》业务，中标人在收到银行签发的《履约保函》后5个工作日内把单据原件交给采购人，作为履约担保。</w:t>
      </w:r>
    </w:p>
    <w:p w14:paraId="6F0C358C">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担保金额：</w:t>
      </w:r>
    </w:p>
    <w:p w14:paraId="65CA87F1">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 xml:space="preserve">大写： </w:t>
      </w:r>
    </w:p>
    <w:p w14:paraId="229A438C">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小写：</w:t>
      </w:r>
    </w:p>
    <w:p w14:paraId="2386657B">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2.3如中标人按照合同约定为采购人提供服务，采购人在2025年12月10日之前，向中标人支付本合同金额的20%，即人民币：</w:t>
      </w:r>
    </w:p>
    <w:p w14:paraId="50C4120C">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 xml:space="preserve">大写： </w:t>
      </w:r>
    </w:p>
    <w:p w14:paraId="14D6037D">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 xml:space="preserve">小写： </w:t>
      </w:r>
    </w:p>
    <w:p w14:paraId="32D6776F">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三、 技术要求</w:t>
      </w:r>
    </w:p>
    <w:p w14:paraId="34CAB93D">
      <w:pPr>
        <w:pStyle w:val="3"/>
        <w:spacing w:before="0" w:after="0" w:line="360" w:lineRule="auto"/>
        <w:ind w:firstLine="482" w:firstLineChars="200"/>
        <w:rPr>
          <w:rFonts w:hint="eastAsia" w:hAnsi="宋体"/>
          <w:color w:val="000000"/>
          <w:szCs w:val="24"/>
        </w:rPr>
      </w:pPr>
      <w:r>
        <w:rPr>
          <w:rFonts w:hint="eastAsia" w:hAnsi="宋体"/>
          <w:color w:val="000000"/>
          <w:szCs w:val="24"/>
        </w:rPr>
        <w:t>1. 基本要求</w:t>
      </w:r>
    </w:p>
    <w:p w14:paraId="15556DAD">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1.1 采购标的需实现的功能或者目标</w:t>
      </w:r>
    </w:p>
    <w:p w14:paraId="13E002E4">
      <w:pPr>
        <w:spacing w:line="360" w:lineRule="auto"/>
        <w:ind w:firstLine="480" w:firstLineChars="200"/>
        <w:rPr>
          <w:rFonts w:hint="eastAsia" w:ascii="宋体" w:hAnsi="宋体"/>
          <w:color w:val="000000"/>
          <w:sz w:val="24"/>
        </w:rPr>
      </w:pPr>
      <w:r>
        <w:rPr>
          <w:rFonts w:hint="eastAsia" w:ascii="宋体" w:hAnsi="宋体"/>
          <w:color w:val="000000"/>
          <w:sz w:val="24"/>
        </w:rPr>
        <w:t>本项目的总体目标是通过租用政务云平台基础服务，对中共北京市委宣传部信息系统的运行环境进行持续优化，提供可靠、稳定、安全的政务云服务，具体包括：</w:t>
      </w:r>
    </w:p>
    <w:p w14:paraId="4B841490">
      <w:pPr>
        <w:spacing w:line="360" w:lineRule="auto"/>
        <w:ind w:firstLine="480" w:firstLineChars="200"/>
        <w:rPr>
          <w:rFonts w:hint="eastAsia" w:ascii="宋体" w:hAnsi="宋体"/>
          <w:color w:val="000000"/>
          <w:sz w:val="24"/>
        </w:rPr>
      </w:pPr>
      <w:r>
        <w:rPr>
          <w:rFonts w:hint="eastAsia" w:ascii="宋体" w:hAnsi="宋体"/>
          <w:color w:val="000000"/>
          <w:sz w:val="24"/>
        </w:rPr>
        <w:t>（1）提供政务云基础服务，包括计算服务、存储服务、网络服务、云主机深度监控服务。</w:t>
      </w:r>
    </w:p>
    <w:p w14:paraId="6165920E">
      <w:pPr>
        <w:spacing w:line="360" w:lineRule="auto"/>
        <w:ind w:firstLine="480" w:firstLineChars="200"/>
        <w:rPr>
          <w:rFonts w:hint="eastAsia" w:ascii="宋体" w:hAnsi="宋体"/>
          <w:color w:val="000000"/>
          <w:sz w:val="24"/>
        </w:rPr>
      </w:pPr>
      <w:r>
        <w:rPr>
          <w:rFonts w:hint="eastAsia" w:ascii="宋体" w:hAnsi="宋体"/>
          <w:color w:val="000000"/>
          <w:sz w:val="24"/>
        </w:rPr>
        <w:t>（2）提供政务云扩展服务，包括基础软件支撑服务、安全服务、安全检测监测审计服务、其他服务。</w:t>
      </w:r>
    </w:p>
    <w:p w14:paraId="13E08CC2">
      <w:pPr>
        <w:spacing w:line="360" w:lineRule="auto"/>
        <w:ind w:firstLine="480" w:firstLineChars="200"/>
        <w:rPr>
          <w:rFonts w:hint="eastAsia" w:ascii="宋体" w:hAnsi="宋体"/>
          <w:color w:val="000000"/>
          <w:sz w:val="24"/>
        </w:rPr>
      </w:pPr>
      <w:r>
        <w:rPr>
          <w:rFonts w:hint="eastAsia" w:ascii="宋体" w:hAnsi="宋体"/>
          <w:color w:val="000000"/>
          <w:sz w:val="24"/>
        </w:rPr>
        <w:t>（3）提供7*24运维保障，做好重大活动和节假日应急值守保障服务，确保各系统在政务云环境中可靠稳定运行。</w:t>
      </w:r>
    </w:p>
    <w:p w14:paraId="23F73DFC">
      <w:pPr>
        <w:spacing w:line="360" w:lineRule="auto"/>
        <w:ind w:firstLine="480" w:firstLineChars="200"/>
        <w:rPr>
          <w:rFonts w:hint="eastAsia" w:ascii="宋体" w:hAnsi="宋体"/>
          <w:color w:val="000000"/>
          <w:sz w:val="24"/>
        </w:rPr>
      </w:pPr>
      <w:r>
        <w:rPr>
          <w:rFonts w:hint="eastAsia" w:ascii="宋体" w:hAnsi="宋体"/>
          <w:color w:val="000000"/>
          <w:sz w:val="24"/>
        </w:rPr>
        <w:t>（4）服务期内，投标人须完成信息系统的日常运维和安全运维服务工作（包括但不限于：日常技术支持、服务规范、安全及保密要求、响应的及时性），确保入云系统安全、稳定的运行。</w:t>
      </w:r>
    </w:p>
    <w:p w14:paraId="4FF73959">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1.2 需执行的国家相关标准、行业标准、地方标准或者其他标准、规范</w:t>
      </w:r>
    </w:p>
    <w:p w14:paraId="7976A17A">
      <w:pPr>
        <w:spacing w:line="360" w:lineRule="auto"/>
        <w:ind w:firstLine="480" w:firstLineChars="200"/>
        <w:rPr>
          <w:rFonts w:hint="eastAsia" w:ascii="宋体" w:hAnsi="宋体"/>
          <w:color w:val="000000"/>
          <w:sz w:val="24"/>
        </w:rPr>
      </w:pPr>
      <w:r>
        <w:rPr>
          <w:rFonts w:hint="eastAsia" w:ascii="宋体" w:hAnsi="宋体"/>
          <w:color w:val="000000"/>
          <w:sz w:val="24"/>
        </w:rPr>
        <w:t>（1）国家及北京市有关政策</w:t>
      </w:r>
    </w:p>
    <w:p w14:paraId="605977C0">
      <w:pPr>
        <w:spacing w:line="360" w:lineRule="auto"/>
        <w:ind w:firstLine="480" w:firstLineChars="200"/>
        <w:rPr>
          <w:rFonts w:hint="eastAsia" w:ascii="宋体" w:hAnsi="宋体"/>
          <w:color w:val="000000"/>
          <w:sz w:val="24"/>
        </w:rPr>
      </w:pPr>
      <w:r>
        <w:rPr>
          <w:rFonts w:hint="eastAsia" w:ascii="宋体" w:hAnsi="宋体"/>
          <w:color w:val="000000"/>
          <w:sz w:val="24"/>
        </w:rPr>
        <w:t>《关键信息基础设施安全保护条例》（中华人民共和国国务院令第745号）</w:t>
      </w:r>
    </w:p>
    <w:p w14:paraId="1E4BD3CD">
      <w:pPr>
        <w:spacing w:line="360" w:lineRule="auto"/>
        <w:ind w:firstLine="480" w:firstLineChars="200"/>
        <w:rPr>
          <w:rFonts w:hint="eastAsia" w:ascii="宋体" w:hAnsi="宋体"/>
          <w:color w:val="000000"/>
          <w:sz w:val="24"/>
        </w:rPr>
      </w:pPr>
      <w:r>
        <w:rPr>
          <w:rFonts w:hint="eastAsia" w:ascii="宋体" w:hAnsi="宋体"/>
          <w:color w:val="000000"/>
          <w:sz w:val="24"/>
        </w:rPr>
        <w:t>《国家政务信息化项目建设管理办法》（国办发〔2019〕57号）</w:t>
      </w:r>
    </w:p>
    <w:p w14:paraId="4D454819">
      <w:pPr>
        <w:spacing w:line="360" w:lineRule="auto"/>
        <w:ind w:firstLine="480" w:firstLineChars="200"/>
        <w:rPr>
          <w:rFonts w:hint="eastAsia" w:ascii="宋体" w:hAnsi="宋体"/>
          <w:color w:val="000000"/>
          <w:sz w:val="24"/>
        </w:rPr>
      </w:pPr>
      <w:r>
        <w:rPr>
          <w:rFonts w:hint="eastAsia" w:ascii="宋体" w:hAnsi="宋体"/>
          <w:color w:val="000000"/>
          <w:sz w:val="24"/>
        </w:rPr>
        <w:t>《政府采购需求管理办法》(财库〔2021〕22号)</w:t>
      </w:r>
    </w:p>
    <w:p w14:paraId="324A0A3B">
      <w:pPr>
        <w:spacing w:line="360" w:lineRule="auto"/>
        <w:ind w:firstLine="480" w:firstLineChars="200"/>
        <w:rPr>
          <w:rFonts w:hint="eastAsia" w:ascii="宋体" w:hAnsi="宋体"/>
          <w:color w:val="000000"/>
          <w:sz w:val="24"/>
        </w:rPr>
      </w:pPr>
      <w:r>
        <w:rPr>
          <w:rFonts w:hint="eastAsia" w:ascii="宋体" w:hAnsi="宋体"/>
          <w:color w:val="000000"/>
          <w:sz w:val="24"/>
        </w:rPr>
        <w:t>《关于促进政府采购公平竞争优化营商环境的通知》（财库〔2019〕38号）</w:t>
      </w:r>
    </w:p>
    <w:p w14:paraId="0BFE722A">
      <w:pPr>
        <w:spacing w:line="360" w:lineRule="auto"/>
        <w:ind w:firstLine="480" w:firstLineChars="200"/>
        <w:rPr>
          <w:rFonts w:hint="eastAsia" w:ascii="宋体" w:hAnsi="宋体"/>
          <w:color w:val="000000"/>
          <w:sz w:val="24"/>
        </w:rPr>
      </w:pPr>
      <w:r>
        <w:rPr>
          <w:rFonts w:hint="eastAsia" w:ascii="宋体" w:hAnsi="宋体"/>
          <w:color w:val="000000"/>
          <w:sz w:val="24"/>
        </w:rPr>
        <w:t>《关于进一步提高政府采购透明度和采购效率相关事项的通知》（财办库〔2023〕243号）</w:t>
      </w:r>
    </w:p>
    <w:p w14:paraId="53C7B462">
      <w:pPr>
        <w:spacing w:line="360" w:lineRule="auto"/>
        <w:ind w:firstLine="480" w:firstLineChars="200"/>
        <w:rPr>
          <w:rFonts w:hint="eastAsia" w:ascii="宋体" w:hAnsi="宋体"/>
          <w:color w:val="000000"/>
          <w:sz w:val="24"/>
        </w:rPr>
      </w:pPr>
      <w:r>
        <w:rPr>
          <w:rFonts w:hint="eastAsia" w:ascii="宋体" w:hAnsi="宋体"/>
          <w:color w:val="000000"/>
          <w:sz w:val="24"/>
        </w:rPr>
        <w:t>《工业和信息化部信息通信管理局关于督促互联网网络接入服务企业依法持证经营的通知》（工信管函〔2018〕84号）</w:t>
      </w:r>
    </w:p>
    <w:p w14:paraId="5A8F3159">
      <w:pPr>
        <w:spacing w:line="360" w:lineRule="auto"/>
        <w:ind w:firstLine="480" w:firstLineChars="200"/>
        <w:rPr>
          <w:rFonts w:hint="eastAsia" w:ascii="宋体" w:hAnsi="宋体"/>
          <w:color w:val="000000"/>
          <w:sz w:val="24"/>
        </w:rPr>
      </w:pPr>
      <w:r>
        <w:rPr>
          <w:rFonts w:hint="eastAsia" w:ascii="宋体" w:hAnsi="宋体"/>
          <w:color w:val="000000"/>
          <w:sz w:val="24"/>
        </w:rPr>
        <w:t>《云计算服务安全评估办法》（国家互联网信息办公室、国家发展和改革委员会、工业和信息化部、财政部公告2019年2号）</w:t>
      </w:r>
    </w:p>
    <w:p w14:paraId="39EDFE0A">
      <w:pPr>
        <w:spacing w:line="360" w:lineRule="auto"/>
        <w:ind w:firstLine="480" w:firstLineChars="200"/>
        <w:rPr>
          <w:rFonts w:hint="eastAsia" w:ascii="宋体" w:hAnsi="宋体"/>
          <w:color w:val="000000"/>
          <w:sz w:val="24"/>
        </w:rPr>
      </w:pPr>
      <w:r>
        <w:rPr>
          <w:rFonts w:hint="eastAsia" w:ascii="宋体" w:hAnsi="宋体"/>
          <w:color w:val="000000"/>
          <w:sz w:val="24"/>
        </w:rPr>
        <w:t>《关于加强党政部门云计算服务网络安全管理的意见》（中网办发文〔2014〕14号）</w:t>
      </w:r>
    </w:p>
    <w:p w14:paraId="4CBEBB82">
      <w:pPr>
        <w:spacing w:line="360" w:lineRule="auto"/>
        <w:ind w:firstLine="480" w:firstLineChars="200"/>
        <w:rPr>
          <w:rFonts w:hint="eastAsia" w:ascii="宋体" w:hAnsi="宋体"/>
          <w:color w:val="000000"/>
          <w:sz w:val="24"/>
        </w:rPr>
      </w:pPr>
      <w:r>
        <w:rPr>
          <w:rFonts w:hint="eastAsia" w:ascii="宋体" w:hAnsi="宋体"/>
          <w:color w:val="000000"/>
          <w:sz w:val="24"/>
        </w:rPr>
        <w:t>《基于云计算的电子政务公共平台顶层设计指南》</w:t>
      </w:r>
    </w:p>
    <w:p w14:paraId="02D4A397">
      <w:pPr>
        <w:spacing w:line="360" w:lineRule="auto"/>
        <w:ind w:firstLine="480" w:firstLineChars="200"/>
        <w:rPr>
          <w:rFonts w:hint="eastAsia" w:ascii="宋体" w:hAnsi="宋体"/>
          <w:color w:val="000000"/>
          <w:sz w:val="24"/>
        </w:rPr>
      </w:pPr>
      <w:r>
        <w:rPr>
          <w:rFonts w:hint="eastAsia" w:ascii="宋体" w:hAnsi="宋体"/>
          <w:color w:val="000000"/>
          <w:sz w:val="24"/>
        </w:rPr>
        <w:t>《北京市财政局关于印发&lt;北京市政府采购负面清单&gt;的通知》（京财采购〔2020〕1345号）</w:t>
      </w:r>
    </w:p>
    <w:p w14:paraId="5292BB57">
      <w:pPr>
        <w:spacing w:line="360" w:lineRule="auto"/>
        <w:ind w:firstLine="480" w:firstLineChars="200"/>
        <w:rPr>
          <w:rFonts w:hint="eastAsia" w:ascii="宋体" w:hAnsi="宋体"/>
          <w:color w:val="000000"/>
          <w:sz w:val="24"/>
        </w:rPr>
      </w:pPr>
      <w:r>
        <w:rPr>
          <w:rFonts w:hint="eastAsia" w:ascii="宋体" w:hAnsi="宋体"/>
          <w:color w:val="000000"/>
          <w:sz w:val="24"/>
        </w:rPr>
        <w:t>《北京市财政局关于落实好政府采购支持中小企业发展的通知（京财采购〔2022〕1143号）</w:t>
      </w:r>
    </w:p>
    <w:p w14:paraId="19860A9D">
      <w:pPr>
        <w:spacing w:line="360" w:lineRule="auto"/>
        <w:ind w:firstLine="480" w:firstLineChars="200"/>
        <w:rPr>
          <w:rFonts w:hint="eastAsia" w:ascii="宋体" w:hAnsi="宋体"/>
          <w:color w:val="000000"/>
          <w:sz w:val="24"/>
        </w:rPr>
      </w:pPr>
      <w:r>
        <w:rPr>
          <w:rFonts w:hint="eastAsia" w:ascii="宋体" w:hAnsi="宋体"/>
          <w:color w:val="000000"/>
          <w:sz w:val="24"/>
        </w:rPr>
        <w:t>《关于印发&lt;关于推进我市政务信息系统整合共享的实施方案&gt;的通知》（京经信委发〔2017〕89号）</w:t>
      </w:r>
    </w:p>
    <w:p w14:paraId="7430AEE0">
      <w:pPr>
        <w:spacing w:line="360" w:lineRule="auto"/>
        <w:ind w:firstLine="480" w:firstLineChars="200"/>
        <w:rPr>
          <w:rFonts w:hint="eastAsia" w:ascii="宋体" w:hAnsi="宋体"/>
          <w:color w:val="000000"/>
          <w:sz w:val="24"/>
        </w:rPr>
      </w:pPr>
      <w:r>
        <w:rPr>
          <w:rFonts w:hint="eastAsia" w:ascii="宋体" w:hAnsi="宋体"/>
          <w:color w:val="000000"/>
          <w:sz w:val="24"/>
        </w:rPr>
        <w:t>《北京市人民政府关于印发&lt;北京市政务信息资源管理办法（试行）&gt;的通知》（京政发〔2017〕37号）</w:t>
      </w:r>
    </w:p>
    <w:p w14:paraId="103C3494">
      <w:pPr>
        <w:spacing w:line="360" w:lineRule="auto"/>
        <w:ind w:firstLine="480" w:firstLineChars="200"/>
        <w:rPr>
          <w:rFonts w:hint="eastAsia" w:ascii="宋体" w:hAnsi="宋体"/>
          <w:color w:val="000000"/>
          <w:sz w:val="24"/>
        </w:rPr>
      </w:pPr>
      <w:r>
        <w:rPr>
          <w:rFonts w:hint="eastAsia" w:ascii="宋体" w:hAnsi="宋体"/>
          <w:color w:val="000000"/>
          <w:sz w:val="24"/>
        </w:rPr>
        <w:t>《关于印发&lt;北京市市级政务云管理办法&gt;的通知》（京经信函〔2019〕150号）</w:t>
      </w:r>
    </w:p>
    <w:p w14:paraId="65C2BCE3">
      <w:pPr>
        <w:spacing w:line="360" w:lineRule="auto"/>
        <w:ind w:firstLine="480" w:firstLineChars="200"/>
        <w:rPr>
          <w:rFonts w:hint="eastAsia" w:ascii="宋体" w:hAnsi="宋体"/>
          <w:color w:val="000000"/>
          <w:sz w:val="24"/>
        </w:rPr>
      </w:pPr>
      <w:r>
        <w:rPr>
          <w:rFonts w:hint="eastAsia" w:ascii="宋体" w:hAnsi="宋体"/>
          <w:color w:val="000000"/>
          <w:sz w:val="24"/>
        </w:rPr>
        <w:t>《北京市政务网络和数据安全管理办法》（京经信发〔2023〕57号）</w:t>
      </w:r>
    </w:p>
    <w:p w14:paraId="0BE01A66">
      <w:pPr>
        <w:spacing w:line="360" w:lineRule="auto"/>
        <w:ind w:firstLine="480" w:firstLineChars="200"/>
        <w:rPr>
          <w:rFonts w:hint="eastAsia" w:ascii="宋体" w:hAnsi="宋体"/>
          <w:color w:val="000000"/>
          <w:sz w:val="24"/>
        </w:rPr>
      </w:pPr>
      <w:r>
        <w:rPr>
          <w:rFonts w:hint="eastAsia" w:ascii="宋体" w:hAnsi="宋体"/>
          <w:color w:val="000000"/>
          <w:sz w:val="24"/>
        </w:rPr>
        <w:t>《北京市“十四五”时期智慧城市建设控制性规划要求（试行）》（京大数据发〔2021〕2号）</w:t>
      </w:r>
    </w:p>
    <w:p w14:paraId="21E644DC">
      <w:pPr>
        <w:spacing w:line="360" w:lineRule="auto"/>
        <w:ind w:firstLine="480" w:firstLineChars="200"/>
        <w:rPr>
          <w:rFonts w:hint="eastAsia" w:ascii="宋体" w:hAnsi="宋体"/>
          <w:color w:val="000000"/>
          <w:sz w:val="24"/>
        </w:rPr>
      </w:pPr>
      <w:r>
        <w:rPr>
          <w:rFonts w:hint="eastAsia" w:ascii="宋体" w:hAnsi="宋体"/>
          <w:color w:val="000000"/>
          <w:sz w:val="24"/>
        </w:rPr>
        <w:t>（2）国家相关标准</w:t>
      </w:r>
    </w:p>
    <w:p w14:paraId="1AF2DFE6">
      <w:pPr>
        <w:spacing w:line="360" w:lineRule="auto"/>
        <w:ind w:firstLine="480" w:firstLineChars="200"/>
        <w:rPr>
          <w:rFonts w:hint="eastAsia" w:ascii="宋体" w:hAnsi="宋体"/>
          <w:color w:val="000000"/>
          <w:sz w:val="24"/>
        </w:rPr>
      </w:pPr>
      <w:r>
        <w:rPr>
          <w:rFonts w:hint="eastAsia" w:ascii="宋体" w:hAnsi="宋体"/>
          <w:color w:val="000000"/>
          <w:sz w:val="24"/>
        </w:rPr>
        <w:t>《国家电子政务外网安全接入平台技术规范》</w:t>
      </w:r>
    </w:p>
    <w:p w14:paraId="6E43496D">
      <w:pPr>
        <w:spacing w:line="360" w:lineRule="auto"/>
        <w:ind w:firstLine="480" w:firstLineChars="200"/>
        <w:rPr>
          <w:rFonts w:hint="eastAsia" w:ascii="宋体" w:hAnsi="宋体"/>
          <w:color w:val="000000"/>
          <w:sz w:val="24"/>
        </w:rPr>
      </w:pPr>
      <w:r>
        <w:rPr>
          <w:rFonts w:hint="eastAsia" w:ascii="宋体" w:hAnsi="宋体"/>
          <w:color w:val="000000"/>
          <w:sz w:val="24"/>
        </w:rPr>
        <w:t>《信息技术—云计算—云服务质量评价指标》（GB/T 37738-2019）</w:t>
      </w:r>
    </w:p>
    <w:p w14:paraId="456115A5">
      <w:pPr>
        <w:spacing w:line="360" w:lineRule="auto"/>
        <w:ind w:firstLine="480" w:firstLineChars="200"/>
        <w:rPr>
          <w:rFonts w:hint="eastAsia" w:ascii="宋体" w:hAnsi="宋体"/>
          <w:color w:val="000000"/>
          <w:sz w:val="24"/>
        </w:rPr>
      </w:pPr>
      <w:r>
        <w:rPr>
          <w:rFonts w:hint="eastAsia" w:ascii="宋体" w:hAnsi="宋体"/>
          <w:color w:val="000000"/>
          <w:sz w:val="24"/>
        </w:rPr>
        <w:t>《信息技术—云计算—云服务计量指标》（GB/T 37735-2019）</w:t>
      </w:r>
    </w:p>
    <w:p w14:paraId="22A702CF">
      <w:pPr>
        <w:spacing w:line="360" w:lineRule="auto"/>
        <w:ind w:firstLine="480" w:firstLineChars="200"/>
        <w:rPr>
          <w:rFonts w:hint="eastAsia" w:ascii="宋体" w:hAnsi="宋体"/>
          <w:color w:val="000000"/>
          <w:sz w:val="24"/>
        </w:rPr>
      </w:pPr>
      <w:r>
        <w:rPr>
          <w:rFonts w:hint="eastAsia" w:ascii="宋体" w:hAnsi="宋体"/>
          <w:color w:val="000000"/>
          <w:sz w:val="24"/>
        </w:rPr>
        <w:t>《信息技术—云计算—云服务采购指南》（GB/T 37734-2019）</w:t>
      </w:r>
    </w:p>
    <w:p w14:paraId="7F5BC694">
      <w:pPr>
        <w:spacing w:line="360" w:lineRule="auto"/>
        <w:ind w:firstLine="480" w:firstLineChars="200"/>
        <w:rPr>
          <w:rFonts w:hint="eastAsia" w:ascii="宋体" w:hAnsi="宋体"/>
          <w:color w:val="000000"/>
          <w:sz w:val="24"/>
        </w:rPr>
      </w:pPr>
      <w:r>
        <w:rPr>
          <w:rFonts w:hint="eastAsia" w:ascii="宋体" w:hAnsi="宋体"/>
          <w:color w:val="000000"/>
          <w:sz w:val="24"/>
        </w:rPr>
        <w:t>《信息技术—云计算—云存储系统服务接口功能》（GB/T 37732-2019）</w:t>
      </w:r>
    </w:p>
    <w:p w14:paraId="039E64CA">
      <w:pPr>
        <w:spacing w:line="360" w:lineRule="auto"/>
        <w:ind w:firstLine="480" w:firstLineChars="200"/>
        <w:rPr>
          <w:rFonts w:hint="eastAsia" w:ascii="宋体" w:hAnsi="宋体"/>
          <w:color w:val="000000"/>
          <w:sz w:val="24"/>
        </w:rPr>
      </w:pPr>
      <w:r>
        <w:rPr>
          <w:rFonts w:hint="eastAsia" w:ascii="宋体" w:hAnsi="宋体"/>
          <w:color w:val="000000"/>
          <w:sz w:val="24"/>
        </w:rPr>
        <w:t>《信息技术—云计算—云资源监控通用要求》（GB/T 37736-2019）</w:t>
      </w:r>
    </w:p>
    <w:p w14:paraId="1829209E">
      <w:pPr>
        <w:spacing w:line="360" w:lineRule="auto"/>
        <w:ind w:firstLine="480" w:firstLineChars="200"/>
        <w:rPr>
          <w:rFonts w:hint="eastAsia" w:ascii="宋体" w:hAnsi="宋体"/>
          <w:color w:val="000000"/>
          <w:sz w:val="24"/>
        </w:rPr>
      </w:pPr>
      <w:r>
        <w:rPr>
          <w:rFonts w:hint="eastAsia" w:ascii="宋体" w:hAnsi="宋体"/>
          <w:color w:val="000000"/>
          <w:sz w:val="24"/>
        </w:rPr>
        <w:t>《信息技术—云计算—云平台间应用和数据迁移指南》（GB/T 37740-2019）</w:t>
      </w:r>
    </w:p>
    <w:p w14:paraId="0F3C3279">
      <w:pPr>
        <w:spacing w:line="360" w:lineRule="auto"/>
        <w:ind w:firstLine="480" w:firstLineChars="200"/>
        <w:rPr>
          <w:rFonts w:hint="eastAsia" w:ascii="宋体" w:hAnsi="宋体"/>
          <w:color w:val="000000"/>
          <w:sz w:val="24"/>
        </w:rPr>
      </w:pPr>
      <w:r>
        <w:rPr>
          <w:rFonts w:hint="eastAsia" w:ascii="宋体" w:hAnsi="宋体"/>
          <w:color w:val="000000"/>
          <w:sz w:val="24"/>
        </w:rPr>
        <w:t>《信息技术—云计算—云服务交付要求》（GB/T 37741-2019）</w:t>
      </w:r>
    </w:p>
    <w:p w14:paraId="3B1263C8">
      <w:pPr>
        <w:spacing w:line="360" w:lineRule="auto"/>
        <w:ind w:firstLine="480" w:firstLineChars="200"/>
        <w:rPr>
          <w:rFonts w:hint="eastAsia" w:ascii="宋体" w:hAnsi="宋体"/>
          <w:color w:val="000000"/>
          <w:sz w:val="24"/>
        </w:rPr>
      </w:pPr>
      <w:r>
        <w:rPr>
          <w:rFonts w:hint="eastAsia" w:ascii="宋体" w:hAnsi="宋体"/>
          <w:color w:val="000000"/>
          <w:sz w:val="24"/>
        </w:rPr>
        <w:t>《信息系统灾难恢复规范》（GB/T 20988-2007）</w:t>
      </w:r>
    </w:p>
    <w:p w14:paraId="74A70656">
      <w:pPr>
        <w:spacing w:line="360" w:lineRule="auto"/>
        <w:ind w:firstLine="480" w:firstLineChars="200"/>
        <w:rPr>
          <w:rFonts w:hint="eastAsia" w:ascii="宋体" w:hAnsi="宋体"/>
          <w:color w:val="000000"/>
          <w:sz w:val="24"/>
        </w:rPr>
      </w:pPr>
      <w:r>
        <w:rPr>
          <w:rFonts w:hint="eastAsia" w:ascii="宋体" w:hAnsi="宋体"/>
          <w:color w:val="000000"/>
          <w:sz w:val="24"/>
        </w:rPr>
        <w:t>《信息安全技术 云计算服务安全能力要求》（GB/T 31168-2014）</w:t>
      </w:r>
    </w:p>
    <w:p w14:paraId="3F2CDC69">
      <w:pPr>
        <w:spacing w:line="360" w:lineRule="auto"/>
        <w:ind w:firstLine="480" w:firstLineChars="200"/>
        <w:rPr>
          <w:rFonts w:hint="eastAsia" w:ascii="宋体" w:hAnsi="宋体"/>
          <w:color w:val="000000"/>
          <w:sz w:val="24"/>
        </w:rPr>
      </w:pPr>
      <w:r>
        <w:rPr>
          <w:rFonts w:hint="eastAsia" w:ascii="宋体" w:hAnsi="宋体"/>
          <w:color w:val="000000"/>
          <w:sz w:val="24"/>
        </w:rPr>
        <w:t>《信息安全技术 网络安全等级保护定级指南》（GB/T 22240-2020）</w:t>
      </w:r>
    </w:p>
    <w:p w14:paraId="5F38FFB1">
      <w:pPr>
        <w:spacing w:line="360" w:lineRule="auto"/>
        <w:ind w:firstLine="480" w:firstLineChars="200"/>
        <w:rPr>
          <w:rFonts w:hint="eastAsia" w:ascii="宋体" w:hAnsi="宋体"/>
          <w:color w:val="000000"/>
          <w:sz w:val="24"/>
        </w:rPr>
      </w:pPr>
      <w:r>
        <w:rPr>
          <w:rFonts w:hint="eastAsia" w:ascii="宋体" w:hAnsi="宋体"/>
          <w:color w:val="000000"/>
          <w:sz w:val="24"/>
        </w:rPr>
        <w:t>《信息安全技术 网络安全等级保护基本要求》（GB/T 22239-2019）</w:t>
      </w:r>
    </w:p>
    <w:p w14:paraId="1E951C5D">
      <w:pPr>
        <w:spacing w:line="360" w:lineRule="auto"/>
        <w:ind w:firstLine="480" w:firstLineChars="200"/>
        <w:rPr>
          <w:rFonts w:hint="eastAsia" w:ascii="宋体" w:hAnsi="宋体"/>
          <w:color w:val="000000"/>
          <w:sz w:val="24"/>
        </w:rPr>
      </w:pPr>
      <w:r>
        <w:rPr>
          <w:rFonts w:hint="eastAsia" w:ascii="宋体" w:hAnsi="宋体"/>
          <w:color w:val="000000"/>
          <w:sz w:val="24"/>
        </w:rPr>
        <w:t>《信息安全技术 网络安全等级保护测评要求》（GB/T 28448-2019）</w:t>
      </w:r>
    </w:p>
    <w:p w14:paraId="6335293D">
      <w:pPr>
        <w:spacing w:line="360" w:lineRule="auto"/>
        <w:ind w:firstLine="480" w:firstLineChars="200"/>
        <w:rPr>
          <w:rFonts w:hint="eastAsia" w:ascii="宋体" w:hAnsi="宋体"/>
          <w:color w:val="000000"/>
          <w:sz w:val="24"/>
        </w:rPr>
      </w:pPr>
      <w:r>
        <w:rPr>
          <w:rFonts w:hint="eastAsia" w:ascii="宋体" w:hAnsi="宋体"/>
          <w:color w:val="000000"/>
          <w:sz w:val="24"/>
        </w:rPr>
        <w:t>《信息安全技术 信息系统密码应用基本要求》（GB/T39786-2021）</w:t>
      </w:r>
    </w:p>
    <w:p w14:paraId="6BA2E62B">
      <w:pPr>
        <w:spacing w:line="360" w:lineRule="auto"/>
        <w:ind w:firstLine="480" w:firstLineChars="200"/>
        <w:rPr>
          <w:rFonts w:hint="eastAsia" w:ascii="宋体" w:hAnsi="宋体"/>
          <w:color w:val="000000"/>
          <w:sz w:val="24"/>
        </w:rPr>
      </w:pPr>
      <w:r>
        <w:rPr>
          <w:rFonts w:hint="eastAsia" w:ascii="宋体" w:hAnsi="宋体"/>
          <w:color w:val="000000"/>
          <w:sz w:val="24"/>
        </w:rPr>
        <w:t>《信息安全技术 信息安全风险评估方法》（GB/T 20984-2022）</w:t>
      </w:r>
    </w:p>
    <w:p w14:paraId="4E8CCFCF">
      <w:pPr>
        <w:spacing w:line="360" w:lineRule="auto"/>
        <w:ind w:firstLine="480" w:firstLineChars="200"/>
        <w:rPr>
          <w:rFonts w:hint="eastAsia" w:ascii="宋体" w:hAnsi="宋体"/>
          <w:color w:val="000000"/>
          <w:sz w:val="24"/>
        </w:rPr>
      </w:pPr>
      <w:r>
        <w:rPr>
          <w:rFonts w:hint="eastAsia" w:ascii="宋体" w:hAnsi="宋体"/>
          <w:color w:val="000000"/>
          <w:sz w:val="24"/>
        </w:rPr>
        <w:t>《信息安全技术 云计算服务安全指南》（GB/T 31167-2014）</w:t>
      </w:r>
    </w:p>
    <w:p w14:paraId="5ACF4630">
      <w:pPr>
        <w:spacing w:line="360" w:lineRule="auto"/>
        <w:ind w:firstLine="480" w:firstLineChars="200"/>
        <w:rPr>
          <w:rFonts w:hint="eastAsia" w:ascii="宋体" w:hAnsi="宋体"/>
          <w:color w:val="000000"/>
          <w:sz w:val="24"/>
        </w:rPr>
      </w:pPr>
      <w:r>
        <w:rPr>
          <w:rFonts w:hint="eastAsia" w:ascii="宋体" w:hAnsi="宋体"/>
          <w:color w:val="000000"/>
          <w:sz w:val="24"/>
        </w:rPr>
        <w:t>《信息安全技术 政府网站云计算服务安全指南》（GB/T 38249—2019）</w:t>
      </w:r>
    </w:p>
    <w:p w14:paraId="7847E295">
      <w:pPr>
        <w:spacing w:line="360" w:lineRule="auto"/>
        <w:ind w:firstLine="480" w:firstLineChars="200"/>
        <w:rPr>
          <w:rFonts w:hint="eastAsia" w:ascii="宋体" w:hAnsi="宋体"/>
          <w:color w:val="000000"/>
          <w:sz w:val="24"/>
        </w:rPr>
      </w:pPr>
      <w:r>
        <w:rPr>
          <w:rFonts w:hint="eastAsia" w:ascii="宋体" w:hAnsi="宋体"/>
          <w:color w:val="000000"/>
          <w:sz w:val="24"/>
        </w:rPr>
        <w:t>《信息安全技术 云计算安全参考架构》（GB/T 35279—2017）</w:t>
      </w:r>
    </w:p>
    <w:p w14:paraId="2009DF1F">
      <w:pPr>
        <w:spacing w:line="360" w:lineRule="auto"/>
        <w:ind w:firstLine="480" w:firstLineChars="200"/>
        <w:rPr>
          <w:rFonts w:hint="eastAsia" w:ascii="宋体" w:hAnsi="宋体"/>
          <w:color w:val="000000"/>
          <w:sz w:val="24"/>
        </w:rPr>
      </w:pPr>
      <w:r>
        <w:rPr>
          <w:rFonts w:hint="eastAsia" w:ascii="宋体" w:hAnsi="宋体"/>
          <w:color w:val="000000"/>
          <w:sz w:val="24"/>
        </w:rPr>
        <w:t>《信息安全技术 云计算服务安全能力评估方法》GB/T 34942—2017</w:t>
      </w:r>
    </w:p>
    <w:p w14:paraId="7111E2CC">
      <w:pPr>
        <w:spacing w:line="360" w:lineRule="auto"/>
        <w:ind w:firstLine="480" w:firstLineChars="200"/>
        <w:rPr>
          <w:rFonts w:hint="eastAsia" w:ascii="宋体" w:hAnsi="宋体"/>
          <w:color w:val="000000"/>
          <w:sz w:val="24"/>
        </w:rPr>
      </w:pPr>
      <w:r>
        <w:rPr>
          <w:rFonts w:hint="eastAsia" w:ascii="宋体" w:hAnsi="宋体"/>
          <w:color w:val="000000"/>
          <w:sz w:val="24"/>
        </w:rPr>
        <w:t>《信息安全技术 云计算服务运行监管框架》（GB/T 37972—2019）</w:t>
      </w:r>
    </w:p>
    <w:p w14:paraId="099E49D3">
      <w:pPr>
        <w:spacing w:line="360" w:lineRule="auto"/>
        <w:ind w:firstLine="480" w:firstLineChars="200"/>
        <w:rPr>
          <w:rFonts w:hint="eastAsia" w:ascii="宋体" w:hAnsi="宋体"/>
          <w:color w:val="000000"/>
          <w:sz w:val="24"/>
        </w:rPr>
      </w:pPr>
      <w:r>
        <w:rPr>
          <w:rFonts w:hint="eastAsia" w:ascii="宋体" w:hAnsi="宋体"/>
          <w:color w:val="000000"/>
          <w:sz w:val="24"/>
        </w:rPr>
        <w:t>《信息技术 云资源监控指标体系》（GB/T 37938-2019）</w:t>
      </w:r>
    </w:p>
    <w:p w14:paraId="392BE4C4">
      <w:pPr>
        <w:spacing w:line="360" w:lineRule="auto"/>
        <w:ind w:firstLine="480" w:firstLineChars="200"/>
        <w:rPr>
          <w:rFonts w:hint="eastAsia" w:ascii="宋体" w:hAnsi="宋体"/>
          <w:color w:val="000000"/>
          <w:sz w:val="24"/>
        </w:rPr>
      </w:pPr>
      <w:r>
        <w:rPr>
          <w:rFonts w:hint="eastAsia" w:ascii="宋体" w:hAnsi="宋体"/>
          <w:color w:val="000000"/>
          <w:sz w:val="24"/>
        </w:rPr>
        <w:t>《电子信息系统机房设计规范》（GB50174-2017）</w:t>
      </w:r>
    </w:p>
    <w:p w14:paraId="4F0D8D27">
      <w:pPr>
        <w:spacing w:line="360" w:lineRule="auto"/>
        <w:ind w:firstLine="480" w:firstLineChars="200"/>
        <w:rPr>
          <w:rFonts w:hint="eastAsia" w:ascii="宋体" w:hAnsi="宋体"/>
          <w:color w:val="000000"/>
          <w:sz w:val="24"/>
        </w:rPr>
      </w:pPr>
      <w:r>
        <w:rPr>
          <w:rFonts w:hint="eastAsia" w:ascii="宋体" w:hAnsi="宋体"/>
          <w:color w:val="000000"/>
          <w:sz w:val="24"/>
        </w:rPr>
        <w:t>《数据中心电信基础设施标准》（ANSI/TIA-942）</w:t>
      </w:r>
    </w:p>
    <w:p w14:paraId="10D8DF62">
      <w:pPr>
        <w:spacing w:line="360" w:lineRule="auto"/>
        <w:ind w:firstLine="480" w:firstLineChars="200"/>
        <w:rPr>
          <w:rFonts w:hint="eastAsia" w:ascii="宋体" w:hAnsi="宋体"/>
          <w:color w:val="000000"/>
          <w:sz w:val="24"/>
        </w:rPr>
      </w:pPr>
      <w:r>
        <w:rPr>
          <w:rFonts w:hint="eastAsia" w:ascii="宋体" w:hAnsi="宋体"/>
          <w:color w:val="000000"/>
          <w:sz w:val="24"/>
        </w:rPr>
        <w:t>《综合布线系统工程设计规范》（GB 50311—2016）</w:t>
      </w:r>
    </w:p>
    <w:p w14:paraId="62C8184C">
      <w:pPr>
        <w:spacing w:line="360" w:lineRule="auto"/>
        <w:ind w:firstLine="480" w:firstLineChars="200"/>
        <w:rPr>
          <w:rFonts w:hint="eastAsia" w:ascii="宋体" w:hAnsi="宋体"/>
          <w:color w:val="000000"/>
          <w:sz w:val="24"/>
        </w:rPr>
      </w:pPr>
      <w:r>
        <w:rPr>
          <w:rFonts w:hint="eastAsia" w:ascii="宋体" w:hAnsi="宋体"/>
          <w:color w:val="000000"/>
          <w:sz w:val="24"/>
        </w:rPr>
        <w:t>《云计算关键领域安全指南V4.0》</w:t>
      </w:r>
    </w:p>
    <w:p w14:paraId="5EC86965">
      <w:pPr>
        <w:spacing w:line="360" w:lineRule="auto"/>
        <w:ind w:firstLine="480" w:firstLineChars="200"/>
        <w:rPr>
          <w:rFonts w:hint="eastAsia" w:ascii="宋体" w:hAnsi="宋体"/>
          <w:color w:val="000000"/>
          <w:sz w:val="24"/>
        </w:rPr>
      </w:pPr>
      <w:r>
        <w:rPr>
          <w:rFonts w:hint="eastAsia" w:ascii="宋体" w:hAnsi="宋体"/>
          <w:color w:val="000000"/>
          <w:sz w:val="24"/>
        </w:rPr>
        <w:t>（3）北京市相关标准</w:t>
      </w:r>
    </w:p>
    <w:p w14:paraId="14D0CC6D">
      <w:pPr>
        <w:spacing w:line="360" w:lineRule="auto"/>
        <w:ind w:firstLine="480" w:firstLineChars="200"/>
        <w:rPr>
          <w:rFonts w:hint="eastAsia" w:ascii="宋体" w:hAnsi="宋体"/>
          <w:color w:val="000000"/>
          <w:sz w:val="24"/>
        </w:rPr>
      </w:pPr>
      <w:r>
        <w:rPr>
          <w:rFonts w:hint="eastAsia" w:ascii="宋体" w:hAnsi="宋体"/>
          <w:color w:val="000000"/>
          <w:sz w:val="24"/>
        </w:rPr>
        <w:t>《政务云平台建设技术要求》（DB11/T 2169-2023）</w:t>
      </w:r>
    </w:p>
    <w:p w14:paraId="5C0759FD">
      <w:pPr>
        <w:spacing w:line="360" w:lineRule="auto"/>
        <w:ind w:firstLine="480" w:firstLineChars="200"/>
        <w:rPr>
          <w:rFonts w:hint="eastAsia" w:ascii="宋体" w:hAnsi="宋体"/>
          <w:color w:val="000000"/>
          <w:sz w:val="24"/>
        </w:rPr>
      </w:pPr>
      <w:r>
        <w:rPr>
          <w:rFonts w:hint="eastAsia" w:ascii="宋体" w:hAnsi="宋体"/>
          <w:color w:val="000000"/>
          <w:sz w:val="24"/>
        </w:rPr>
        <w:t>《北京市政务云安全技术规范 IaaS云计算平台分册》</w:t>
      </w:r>
    </w:p>
    <w:p w14:paraId="2B8B3B50">
      <w:pPr>
        <w:spacing w:line="360" w:lineRule="auto"/>
        <w:ind w:firstLine="480" w:firstLineChars="200"/>
        <w:rPr>
          <w:rFonts w:hint="eastAsia" w:ascii="宋体" w:hAnsi="宋体"/>
          <w:color w:val="000000"/>
          <w:sz w:val="24"/>
        </w:rPr>
      </w:pPr>
      <w:r>
        <w:rPr>
          <w:rFonts w:hint="eastAsia" w:ascii="宋体" w:hAnsi="宋体"/>
          <w:color w:val="000000"/>
          <w:sz w:val="24"/>
        </w:rPr>
        <w:t>《北京市政务云安全技术规范 IaaS云计算平台安全监管接口分册》</w:t>
      </w:r>
    </w:p>
    <w:p w14:paraId="0DB2725A">
      <w:pPr>
        <w:spacing w:line="360" w:lineRule="auto"/>
        <w:ind w:firstLine="480" w:firstLineChars="200"/>
        <w:rPr>
          <w:rFonts w:hint="eastAsia" w:ascii="宋体" w:hAnsi="宋体"/>
          <w:color w:val="000000"/>
          <w:sz w:val="24"/>
        </w:rPr>
      </w:pPr>
      <w:r>
        <w:rPr>
          <w:rFonts w:hint="eastAsia" w:ascii="宋体" w:hAnsi="宋体"/>
          <w:color w:val="000000"/>
          <w:sz w:val="24"/>
        </w:rPr>
        <w:t>《北京市政务云安全技术规范 信息安全服务接口分册》</w:t>
      </w:r>
    </w:p>
    <w:p w14:paraId="5FA661A1">
      <w:pPr>
        <w:spacing w:line="360" w:lineRule="auto"/>
        <w:ind w:firstLine="480" w:firstLineChars="200"/>
        <w:rPr>
          <w:rFonts w:hint="eastAsia" w:ascii="宋体" w:hAnsi="宋体"/>
          <w:color w:val="000000"/>
          <w:sz w:val="24"/>
        </w:rPr>
      </w:pPr>
      <w:r>
        <w:rPr>
          <w:rFonts w:hint="eastAsia" w:ascii="宋体" w:hAnsi="宋体"/>
          <w:color w:val="000000"/>
          <w:sz w:val="24"/>
        </w:rPr>
        <w:t>注：服务标准涉及的国家标准及北京市标准有更新的，执行最新标准。</w:t>
      </w:r>
    </w:p>
    <w:p w14:paraId="365F8DFE">
      <w:pPr>
        <w:pStyle w:val="3"/>
        <w:spacing w:before="0" w:after="0" w:line="360" w:lineRule="auto"/>
        <w:ind w:firstLine="482" w:firstLineChars="200"/>
        <w:rPr>
          <w:rFonts w:hint="eastAsia" w:hAnsi="宋体"/>
          <w:color w:val="000000"/>
          <w:szCs w:val="24"/>
        </w:rPr>
      </w:pPr>
      <w:r>
        <w:rPr>
          <w:rFonts w:hint="eastAsia" w:hAnsi="宋体"/>
          <w:color w:val="000000"/>
          <w:szCs w:val="24"/>
        </w:rPr>
        <w:t>2. 服务内容及要求</w:t>
      </w:r>
    </w:p>
    <w:p w14:paraId="74DF4D66">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2.1采购服务清单</w:t>
      </w:r>
    </w:p>
    <w:p w14:paraId="49B8C71B">
      <w:pPr>
        <w:spacing w:line="360" w:lineRule="auto"/>
        <w:ind w:firstLine="480" w:firstLineChars="200"/>
        <w:rPr>
          <w:rFonts w:hint="eastAsia" w:ascii="宋体" w:hAnsi="宋体"/>
          <w:color w:val="000000"/>
          <w:sz w:val="24"/>
        </w:rPr>
      </w:pPr>
      <w:r>
        <w:rPr>
          <w:rFonts w:hint="eastAsia" w:ascii="宋体" w:hAnsi="宋体"/>
          <w:color w:val="000000"/>
          <w:sz w:val="24"/>
        </w:rPr>
        <w:t>（1）政务云基础服务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848"/>
        <w:gridCol w:w="1691"/>
        <w:gridCol w:w="1962"/>
        <w:gridCol w:w="899"/>
        <w:gridCol w:w="833"/>
        <w:gridCol w:w="768"/>
        <w:gridCol w:w="975"/>
      </w:tblGrid>
      <w:tr w14:paraId="342D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6" w:type="dxa"/>
            <w:shd w:val="clear" w:color="auto" w:fill="D9D9D9"/>
            <w:noWrap w:val="0"/>
            <w:vAlign w:val="center"/>
          </w:tcPr>
          <w:p w14:paraId="2843C8E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848" w:type="dxa"/>
            <w:shd w:val="clear" w:color="auto" w:fill="D9D9D9"/>
            <w:noWrap w:val="0"/>
            <w:vAlign w:val="center"/>
          </w:tcPr>
          <w:p w14:paraId="39C8889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服务类别</w:t>
            </w:r>
          </w:p>
        </w:tc>
        <w:tc>
          <w:tcPr>
            <w:tcW w:w="1691" w:type="dxa"/>
            <w:shd w:val="clear" w:color="auto" w:fill="D9D9D9"/>
            <w:noWrap w:val="0"/>
            <w:vAlign w:val="center"/>
          </w:tcPr>
          <w:p w14:paraId="140E5D7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服务子类</w:t>
            </w:r>
          </w:p>
        </w:tc>
        <w:tc>
          <w:tcPr>
            <w:tcW w:w="1962" w:type="dxa"/>
            <w:shd w:val="clear" w:color="auto" w:fill="D9D9D9"/>
            <w:noWrap w:val="0"/>
            <w:vAlign w:val="center"/>
          </w:tcPr>
          <w:p w14:paraId="55B59BE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服务项</w:t>
            </w:r>
          </w:p>
        </w:tc>
        <w:tc>
          <w:tcPr>
            <w:tcW w:w="899" w:type="dxa"/>
            <w:shd w:val="clear" w:color="auto" w:fill="D9D9D9"/>
            <w:noWrap w:val="0"/>
            <w:vAlign w:val="center"/>
          </w:tcPr>
          <w:p w14:paraId="2B60C5F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计价单位</w:t>
            </w:r>
          </w:p>
        </w:tc>
        <w:tc>
          <w:tcPr>
            <w:tcW w:w="833" w:type="dxa"/>
            <w:shd w:val="clear" w:color="auto" w:fill="D9D9D9"/>
            <w:noWrap w:val="0"/>
            <w:vAlign w:val="center"/>
          </w:tcPr>
          <w:p w14:paraId="42D1934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报价单位</w:t>
            </w:r>
          </w:p>
        </w:tc>
        <w:tc>
          <w:tcPr>
            <w:tcW w:w="768" w:type="dxa"/>
            <w:shd w:val="clear" w:color="auto" w:fill="D9D9D9"/>
            <w:noWrap w:val="0"/>
            <w:vAlign w:val="center"/>
          </w:tcPr>
          <w:p w14:paraId="629E999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975" w:type="dxa"/>
            <w:shd w:val="clear" w:color="auto" w:fill="D9D9D9"/>
            <w:noWrap w:val="0"/>
            <w:vAlign w:val="center"/>
          </w:tcPr>
          <w:p w14:paraId="1932238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服务期限</w:t>
            </w:r>
          </w:p>
        </w:tc>
      </w:tr>
      <w:tr w14:paraId="61DA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6" w:type="dxa"/>
            <w:shd w:val="clear" w:color="auto" w:fill="FFFFFF"/>
            <w:noWrap w:val="0"/>
            <w:vAlign w:val="center"/>
          </w:tcPr>
          <w:p w14:paraId="6AC4D47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848" w:type="dxa"/>
            <w:vMerge w:val="restart"/>
            <w:shd w:val="clear" w:color="auto" w:fill="FFFFFF"/>
            <w:noWrap w:val="0"/>
            <w:vAlign w:val="center"/>
          </w:tcPr>
          <w:p w14:paraId="39F0758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计算服务</w:t>
            </w:r>
          </w:p>
        </w:tc>
        <w:tc>
          <w:tcPr>
            <w:tcW w:w="1691" w:type="dxa"/>
            <w:vMerge w:val="restart"/>
            <w:shd w:val="clear" w:color="auto" w:fill="FFFFFF"/>
            <w:noWrap w:val="0"/>
            <w:vAlign w:val="center"/>
          </w:tcPr>
          <w:p w14:paraId="39E5B19A">
            <w:pPr>
              <w:widowControl/>
              <w:jc w:val="center"/>
              <w:rPr>
                <w:rFonts w:hint="eastAsia" w:ascii="宋体" w:hAnsi="宋体" w:cs="宋体"/>
                <w:color w:val="000000"/>
                <w:kern w:val="0"/>
                <w:szCs w:val="21"/>
              </w:rPr>
            </w:pPr>
            <w:r>
              <w:rPr>
                <w:rFonts w:hint="eastAsia" w:ascii="宋体" w:hAnsi="宋体" w:cs="宋体"/>
                <w:color w:val="000000"/>
                <w:kern w:val="0"/>
                <w:szCs w:val="21"/>
              </w:rPr>
              <w:t>x86平台云主机服务</w:t>
            </w:r>
          </w:p>
        </w:tc>
        <w:tc>
          <w:tcPr>
            <w:tcW w:w="1962" w:type="dxa"/>
            <w:shd w:val="clear" w:color="auto" w:fill="FFFFFF"/>
            <w:noWrap w:val="0"/>
            <w:vAlign w:val="center"/>
          </w:tcPr>
          <w:p w14:paraId="41612BC9">
            <w:pPr>
              <w:widowControl/>
              <w:jc w:val="left"/>
              <w:rPr>
                <w:rFonts w:hint="eastAsia" w:ascii="宋体" w:hAnsi="宋体" w:cs="宋体"/>
                <w:color w:val="000000"/>
                <w:kern w:val="0"/>
                <w:szCs w:val="21"/>
              </w:rPr>
            </w:pPr>
            <w:r>
              <w:rPr>
                <w:rFonts w:hint="eastAsia" w:ascii="宋体" w:hAnsi="宋体" w:cs="宋体"/>
                <w:color w:val="000000"/>
                <w:kern w:val="0"/>
                <w:szCs w:val="21"/>
              </w:rPr>
              <w:t>vCPU(主频不低于2.4GHz，平均利用率不低于20%）</w:t>
            </w:r>
          </w:p>
        </w:tc>
        <w:tc>
          <w:tcPr>
            <w:tcW w:w="899" w:type="dxa"/>
            <w:shd w:val="clear" w:color="auto" w:fill="FFFFFF"/>
            <w:noWrap w:val="0"/>
            <w:vAlign w:val="center"/>
          </w:tcPr>
          <w:p w14:paraId="7221D1E2">
            <w:pPr>
              <w:widowControl/>
              <w:jc w:val="center"/>
              <w:rPr>
                <w:rFonts w:hint="eastAsia" w:ascii="宋体" w:hAnsi="宋体" w:cs="宋体"/>
                <w:color w:val="000000"/>
                <w:kern w:val="0"/>
                <w:szCs w:val="21"/>
              </w:rPr>
            </w:pPr>
            <w:r>
              <w:rPr>
                <w:rFonts w:hint="eastAsia" w:ascii="宋体" w:hAnsi="宋体" w:cs="宋体"/>
                <w:color w:val="000000"/>
                <w:kern w:val="0"/>
                <w:szCs w:val="21"/>
              </w:rPr>
              <w:t>1CPU</w:t>
            </w:r>
          </w:p>
        </w:tc>
        <w:tc>
          <w:tcPr>
            <w:tcW w:w="833" w:type="dxa"/>
            <w:shd w:val="clear" w:color="auto" w:fill="FFFFFF"/>
            <w:noWrap w:val="0"/>
            <w:vAlign w:val="center"/>
          </w:tcPr>
          <w:p w14:paraId="6BC76D11">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0C1090DB">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632</w:t>
            </w:r>
          </w:p>
        </w:tc>
        <w:tc>
          <w:tcPr>
            <w:tcW w:w="975" w:type="dxa"/>
            <w:vMerge w:val="restart"/>
            <w:shd w:val="clear" w:color="auto" w:fill="FFFFFF"/>
            <w:noWrap w:val="0"/>
            <w:vAlign w:val="center"/>
          </w:tcPr>
          <w:p w14:paraId="3E6BE6D3">
            <w:pPr>
              <w:jc w:val="center"/>
              <w:rPr>
                <w:rFonts w:hint="eastAsia" w:ascii="宋体" w:hAnsi="宋体" w:cs="宋体"/>
                <w:color w:val="000000"/>
                <w:kern w:val="0"/>
                <w:szCs w:val="21"/>
              </w:rPr>
            </w:pPr>
            <w:r>
              <w:rPr>
                <w:rFonts w:hint="eastAsia" w:ascii="宋体" w:hAnsi="宋体"/>
                <w:color w:val="000000"/>
                <w:sz w:val="24"/>
              </w:rPr>
              <w:t>自合同签订起5个月</w:t>
            </w:r>
          </w:p>
        </w:tc>
      </w:tr>
      <w:tr w14:paraId="5909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56" w:type="dxa"/>
            <w:shd w:val="clear" w:color="auto" w:fill="FFFFFF"/>
            <w:noWrap w:val="0"/>
            <w:vAlign w:val="center"/>
          </w:tcPr>
          <w:p w14:paraId="2949CACF">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848" w:type="dxa"/>
            <w:vMerge w:val="continue"/>
            <w:shd w:val="clear" w:color="auto" w:fill="auto"/>
            <w:noWrap w:val="0"/>
            <w:vAlign w:val="center"/>
          </w:tcPr>
          <w:p w14:paraId="332CC17D">
            <w:pPr>
              <w:widowControl/>
              <w:jc w:val="left"/>
              <w:rPr>
                <w:rFonts w:hint="eastAsia" w:ascii="宋体" w:hAnsi="宋体" w:cs="宋体"/>
                <w:b/>
                <w:bCs/>
                <w:color w:val="000000"/>
                <w:kern w:val="0"/>
                <w:szCs w:val="21"/>
              </w:rPr>
            </w:pPr>
          </w:p>
        </w:tc>
        <w:tc>
          <w:tcPr>
            <w:tcW w:w="1691" w:type="dxa"/>
            <w:vMerge w:val="continue"/>
            <w:shd w:val="clear" w:color="auto" w:fill="auto"/>
            <w:noWrap w:val="0"/>
            <w:vAlign w:val="center"/>
          </w:tcPr>
          <w:p w14:paraId="10160447">
            <w:pPr>
              <w:widowControl/>
              <w:jc w:val="left"/>
              <w:rPr>
                <w:rFonts w:hint="eastAsia" w:ascii="宋体" w:hAnsi="宋体" w:cs="宋体"/>
                <w:color w:val="000000"/>
                <w:kern w:val="0"/>
                <w:szCs w:val="21"/>
              </w:rPr>
            </w:pPr>
          </w:p>
        </w:tc>
        <w:tc>
          <w:tcPr>
            <w:tcW w:w="1962" w:type="dxa"/>
            <w:shd w:val="clear" w:color="auto" w:fill="FFFFFF"/>
            <w:noWrap w:val="0"/>
            <w:vAlign w:val="center"/>
          </w:tcPr>
          <w:p w14:paraId="5531E7BC">
            <w:pPr>
              <w:widowControl/>
              <w:jc w:val="left"/>
              <w:rPr>
                <w:rFonts w:hint="eastAsia" w:ascii="宋体" w:hAnsi="宋体" w:cs="宋体"/>
                <w:color w:val="000000"/>
                <w:kern w:val="0"/>
                <w:szCs w:val="21"/>
              </w:rPr>
            </w:pPr>
            <w:r>
              <w:rPr>
                <w:rFonts w:hint="eastAsia" w:ascii="宋体" w:hAnsi="宋体" w:cs="宋体"/>
                <w:color w:val="000000"/>
                <w:kern w:val="0"/>
                <w:szCs w:val="21"/>
              </w:rPr>
              <w:t>内存</w:t>
            </w:r>
          </w:p>
        </w:tc>
        <w:tc>
          <w:tcPr>
            <w:tcW w:w="899" w:type="dxa"/>
            <w:shd w:val="clear" w:color="auto" w:fill="FFFFFF"/>
            <w:noWrap w:val="0"/>
            <w:vAlign w:val="center"/>
          </w:tcPr>
          <w:p w14:paraId="689F127A">
            <w:pPr>
              <w:widowControl/>
              <w:jc w:val="center"/>
              <w:rPr>
                <w:rFonts w:hint="eastAsia" w:ascii="宋体" w:hAnsi="宋体" w:cs="宋体"/>
                <w:color w:val="000000"/>
                <w:kern w:val="0"/>
                <w:szCs w:val="21"/>
              </w:rPr>
            </w:pPr>
            <w:r>
              <w:rPr>
                <w:rFonts w:hint="eastAsia" w:ascii="宋体" w:hAnsi="宋体" w:cs="宋体"/>
                <w:color w:val="000000"/>
                <w:kern w:val="0"/>
                <w:szCs w:val="21"/>
              </w:rPr>
              <w:t>1GB</w:t>
            </w:r>
          </w:p>
        </w:tc>
        <w:tc>
          <w:tcPr>
            <w:tcW w:w="833" w:type="dxa"/>
            <w:shd w:val="clear" w:color="auto" w:fill="FFFFFF"/>
            <w:noWrap w:val="0"/>
            <w:vAlign w:val="center"/>
          </w:tcPr>
          <w:p w14:paraId="380CB518">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28185D42">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2962</w:t>
            </w:r>
          </w:p>
        </w:tc>
        <w:tc>
          <w:tcPr>
            <w:tcW w:w="975" w:type="dxa"/>
            <w:vMerge w:val="continue"/>
            <w:shd w:val="clear" w:color="auto" w:fill="FFFFFF"/>
            <w:noWrap w:val="0"/>
            <w:vAlign w:val="center"/>
          </w:tcPr>
          <w:p w14:paraId="263B355F">
            <w:pPr>
              <w:jc w:val="center"/>
              <w:rPr>
                <w:rFonts w:hint="eastAsia" w:ascii="宋体" w:hAnsi="宋体" w:cs="宋体"/>
                <w:color w:val="000000"/>
                <w:kern w:val="0"/>
                <w:szCs w:val="21"/>
              </w:rPr>
            </w:pPr>
          </w:p>
        </w:tc>
      </w:tr>
      <w:tr w14:paraId="5258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6" w:type="dxa"/>
            <w:shd w:val="clear" w:color="auto" w:fill="FFFFFF"/>
            <w:noWrap w:val="0"/>
            <w:vAlign w:val="center"/>
          </w:tcPr>
          <w:p w14:paraId="60388DBA">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848" w:type="dxa"/>
            <w:vMerge w:val="restart"/>
            <w:shd w:val="clear" w:color="auto" w:fill="FFFFFF"/>
            <w:noWrap w:val="0"/>
            <w:vAlign w:val="center"/>
          </w:tcPr>
          <w:p w14:paraId="4574A403">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存储服务</w:t>
            </w:r>
          </w:p>
        </w:tc>
        <w:tc>
          <w:tcPr>
            <w:tcW w:w="1691" w:type="dxa"/>
            <w:shd w:val="clear" w:color="auto" w:fill="FFFFFF"/>
            <w:noWrap w:val="0"/>
            <w:vAlign w:val="center"/>
          </w:tcPr>
          <w:p w14:paraId="43B0172F">
            <w:pPr>
              <w:widowControl/>
              <w:jc w:val="center"/>
              <w:rPr>
                <w:rFonts w:hint="eastAsia" w:ascii="宋体" w:hAnsi="宋体" w:cs="宋体"/>
                <w:color w:val="000000"/>
                <w:kern w:val="0"/>
                <w:szCs w:val="21"/>
              </w:rPr>
            </w:pPr>
            <w:r>
              <w:rPr>
                <w:rFonts w:hint="eastAsia" w:ascii="宋体" w:hAnsi="宋体" w:cs="宋体"/>
                <w:color w:val="000000"/>
                <w:kern w:val="0"/>
                <w:szCs w:val="21"/>
              </w:rPr>
              <w:t>普通性能存储</w:t>
            </w:r>
          </w:p>
        </w:tc>
        <w:tc>
          <w:tcPr>
            <w:tcW w:w="1962" w:type="dxa"/>
            <w:shd w:val="clear" w:color="auto" w:fill="FFFFFF"/>
            <w:noWrap w:val="0"/>
            <w:vAlign w:val="center"/>
          </w:tcPr>
          <w:p w14:paraId="2D0AD8FA">
            <w:pPr>
              <w:widowControl/>
              <w:jc w:val="left"/>
              <w:rPr>
                <w:rFonts w:hint="eastAsia" w:ascii="宋体" w:hAnsi="宋体" w:cs="宋体"/>
                <w:color w:val="000000"/>
                <w:kern w:val="0"/>
                <w:szCs w:val="21"/>
              </w:rPr>
            </w:pPr>
            <w:r>
              <w:rPr>
                <w:rFonts w:hint="eastAsia" w:ascii="宋体" w:hAnsi="宋体" w:cs="宋体"/>
                <w:color w:val="000000"/>
                <w:kern w:val="0"/>
                <w:szCs w:val="21"/>
              </w:rPr>
              <w:t>普通存储（单盘技术指标：单盘IOPS 2000-5000）</w:t>
            </w:r>
          </w:p>
        </w:tc>
        <w:tc>
          <w:tcPr>
            <w:tcW w:w="899" w:type="dxa"/>
            <w:shd w:val="clear" w:color="auto" w:fill="FFFFFF"/>
            <w:noWrap w:val="0"/>
            <w:vAlign w:val="center"/>
          </w:tcPr>
          <w:p w14:paraId="163BC336">
            <w:pPr>
              <w:widowControl/>
              <w:jc w:val="center"/>
              <w:rPr>
                <w:rFonts w:hint="eastAsia" w:ascii="宋体" w:hAnsi="宋体" w:cs="宋体"/>
                <w:color w:val="000000"/>
                <w:kern w:val="0"/>
                <w:szCs w:val="21"/>
              </w:rPr>
            </w:pPr>
            <w:r>
              <w:rPr>
                <w:rFonts w:hint="eastAsia" w:ascii="宋体" w:hAnsi="宋体" w:cs="宋体"/>
                <w:color w:val="000000"/>
                <w:kern w:val="0"/>
                <w:szCs w:val="21"/>
              </w:rPr>
              <w:t>1GB</w:t>
            </w:r>
          </w:p>
        </w:tc>
        <w:tc>
          <w:tcPr>
            <w:tcW w:w="833" w:type="dxa"/>
            <w:shd w:val="clear" w:color="auto" w:fill="FFFFFF"/>
            <w:noWrap w:val="0"/>
            <w:vAlign w:val="center"/>
          </w:tcPr>
          <w:p w14:paraId="2B14193F">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105DADE7">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79248</w:t>
            </w:r>
          </w:p>
        </w:tc>
        <w:tc>
          <w:tcPr>
            <w:tcW w:w="975" w:type="dxa"/>
            <w:vMerge w:val="continue"/>
            <w:shd w:val="clear" w:color="auto" w:fill="FFFFFF"/>
            <w:noWrap w:val="0"/>
            <w:vAlign w:val="center"/>
          </w:tcPr>
          <w:p w14:paraId="44479542">
            <w:pPr>
              <w:jc w:val="center"/>
              <w:rPr>
                <w:rFonts w:hint="eastAsia" w:ascii="宋体" w:hAnsi="宋体" w:cs="宋体"/>
                <w:color w:val="000000"/>
                <w:kern w:val="0"/>
                <w:szCs w:val="21"/>
              </w:rPr>
            </w:pPr>
          </w:p>
        </w:tc>
      </w:tr>
      <w:tr w14:paraId="0391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56" w:type="dxa"/>
            <w:shd w:val="clear" w:color="auto" w:fill="FFFFFF"/>
            <w:noWrap w:val="0"/>
            <w:vAlign w:val="center"/>
          </w:tcPr>
          <w:p w14:paraId="66362B66">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848" w:type="dxa"/>
            <w:vMerge w:val="continue"/>
            <w:shd w:val="clear" w:color="auto" w:fill="auto"/>
            <w:noWrap w:val="0"/>
            <w:vAlign w:val="center"/>
          </w:tcPr>
          <w:p w14:paraId="17956BF6">
            <w:pPr>
              <w:widowControl/>
              <w:jc w:val="left"/>
              <w:rPr>
                <w:rFonts w:hint="eastAsia" w:ascii="宋体" w:hAnsi="宋体" w:cs="宋体"/>
                <w:b/>
                <w:bCs/>
                <w:color w:val="000000"/>
                <w:kern w:val="0"/>
                <w:szCs w:val="21"/>
              </w:rPr>
            </w:pPr>
          </w:p>
        </w:tc>
        <w:tc>
          <w:tcPr>
            <w:tcW w:w="1691" w:type="dxa"/>
            <w:shd w:val="clear" w:color="auto" w:fill="FFFFFF"/>
            <w:noWrap w:val="0"/>
            <w:vAlign w:val="center"/>
          </w:tcPr>
          <w:p w14:paraId="40221A50">
            <w:pPr>
              <w:widowControl/>
              <w:jc w:val="center"/>
              <w:rPr>
                <w:rFonts w:hint="eastAsia" w:ascii="宋体" w:hAnsi="宋体" w:cs="宋体"/>
                <w:color w:val="000000"/>
                <w:kern w:val="0"/>
                <w:szCs w:val="21"/>
              </w:rPr>
            </w:pPr>
            <w:r>
              <w:rPr>
                <w:rFonts w:hint="eastAsia" w:ascii="宋体" w:hAnsi="宋体" w:cs="宋体"/>
                <w:color w:val="000000"/>
                <w:kern w:val="0"/>
                <w:szCs w:val="21"/>
              </w:rPr>
              <w:t>高性能存储</w:t>
            </w:r>
          </w:p>
        </w:tc>
        <w:tc>
          <w:tcPr>
            <w:tcW w:w="1962" w:type="dxa"/>
            <w:shd w:val="clear" w:color="auto" w:fill="FFFFFF"/>
            <w:noWrap w:val="0"/>
            <w:vAlign w:val="center"/>
          </w:tcPr>
          <w:p w14:paraId="234947DF">
            <w:pPr>
              <w:widowControl/>
              <w:jc w:val="left"/>
              <w:rPr>
                <w:rFonts w:hint="eastAsia" w:ascii="宋体" w:hAnsi="宋体" w:cs="宋体"/>
                <w:color w:val="000000"/>
                <w:kern w:val="0"/>
                <w:szCs w:val="21"/>
              </w:rPr>
            </w:pPr>
            <w:r>
              <w:rPr>
                <w:rFonts w:hint="eastAsia" w:ascii="宋体" w:hAnsi="宋体" w:cs="宋体"/>
                <w:color w:val="000000"/>
                <w:kern w:val="0"/>
                <w:szCs w:val="21"/>
              </w:rPr>
              <w:t>高性能存储（单盘技术指标：单盘IOPS 10000-25000）</w:t>
            </w:r>
          </w:p>
        </w:tc>
        <w:tc>
          <w:tcPr>
            <w:tcW w:w="899" w:type="dxa"/>
            <w:shd w:val="clear" w:color="auto" w:fill="FFFFFF"/>
            <w:noWrap w:val="0"/>
            <w:vAlign w:val="center"/>
          </w:tcPr>
          <w:p w14:paraId="09E36E7C">
            <w:pPr>
              <w:widowControl/>
              <w:jc w:val="center"/>
              <w:rPr>
                <w:rFonts w:hint="eastAsia" w:ascii="宋体" w:hAnsi="宋体" w:cs="宋体"/>
                <w:color w:val="000000"/>
                <w:kern w:val="0"/>
                <w:szCs w:val="21"/>
              </w:rPr>
            </w:pPr>
            <w:r>
              <w:rPr>
                <w:rFonts w:hint="eastAsia" w:ascii="宋体" w:hAnsi="宋体" w:cs="宋体"/>
                <w:color w:val="000000"/>
                <w:kern w:val="0"/>
                <w:szCs w:val="21"/>
              </w:rPr>
              <w:t>1GB</w:t>
            </w:r>
          </w:p>
        </w:tc>
        <w:tc>
          <w:tcPr>
            <w:tcW w:w="833" w:type="dxa"/>
            <w:shd w:val="clear" w:color="auto" w:fill="FFFFFF"/>
            <w:noWrap w:val="0"/>
            <w:vAlign w:val="center"/>
          </w:tcPr>
          <w:p w14:paraId="56A7C6BE">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04D2ACBC">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52648</w:t>
            </w:r>
          </w:p>
        </w:tc>
        <w:tc>
          <w:tcPr>
            <w:tcW w:w="975" w:type="dxa"/>
            <w:vMerge w:val="continue"/>
            <w:shd w:val="clear" w:color="auto" w:fill="FFFFFF"/>
            <w:noWrap w:val="0"/>
            <w:vAlign w:val="center"/>
          </w:tcPr>
          <w:p w14:paraId="7A7D135C">
            <w:pPr>
              <w:jc w:val="center"/>
              <w:rPr>
                <w:rFonts w:hint="eastAsia" w:ascii="宋体" w:hAnsi="宋体" w:cs="宋体"/>
                <w:color w:val="000000"/>
                <w:kern w:val="0"/>
                <w:szCs w:val="21"/>
              </w:rPr>
            </w:pPr>
          </w:p>
        </w:tc>
      </w:tr>
      <w:tr w14:paraId="30FE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56" w:type="dxa"/>
            <w:shd w:val="clear" w:color="auto" w:fill="FFFFFF"/>
            <w:noWrap w:val="0"/>
            <w:vAlign w:val="center"/>
          </w:tcPr>
          <w:p w14:paraId="3FC99998">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848" w:type="dxa"/>
            <w:vMerge w:val="continue"/>
            <w:shd w:val="clear" w:color="auto" w:fill="auto"/>
            <w:noWrap w:val="0"/>
            <w:vAlign w:val="center"/>
          </w:tcPr>
          <w:p w14:paraId="444B2C6C">
            <w:pPr>
              <w:widowControl/>
              <w:jc w:val="left"/>
              <w:rPr>
                <w:rFonts w:hint="eastAsia" w:ascii="宋体" w:hAnsi="宋体" w:cs="宋体"/>
                <w:b/>
                <w:bCs/>
                <w:color w:val="000000"/>
                <w:kern w:val="0"/>
                <w:szCs w:val="21"/>
              </w:rPr>
            </w:pPr>
          </w:p>
        </w:tc>
        <w:tc>
          <w:tcPr>
            <w:tcW w:w="1691" w:type="dxa"/>
            <w:shd w:val="clear" w:color="auto" w:fill="auto"/>
            <w:noWrap w:val="0"/>
            <w:vAlign w:val="center"/>
          </w:tcPr>
          <w:p w14:paraId="02916534">
            <w:pPr>
              <w:widowControl/>
              <w:jc w:val="center"/>
              <w:rPr>
                <w:rFonts w:hint="eastAsia" w:ascii="宋体" w:hAnsi="宋体" w:cs="宋体"/>
                <w:color w:val="000000"/>
                <w:kern w:val="0"/>
                <w:szCs w:val="21"/>
              </w:rPr>
            </w:pPr>
            <w:r>
              <w:rPr>
                <w:rFonts w:hint="eastAsia" w:ascii="宋体" w:hAnsi="宋体" w:cs="宋体"/>
                <w:color w:val="000000"/>
                <w:kern w:val="0"/>
                <w:szCs w:val="21"/>
              </w:rPr>
              <w:t>静态存储</w:t>
            </w:r>
          </w:p>
        </w:tc>
        <w:tc>
          <w:tcPr>
            <w:tcW w:w="1962" w:type="dxa"/>
            <w:shd w:val="clear" w:color="auto" w:fill="auto"/>
            <w:noWrap w:val="0"/>
            <w:vAlign w:val="center"/>
          </w:tcPr>
          <w:p w14:paraId="6C1BE7EE">
            <w:pPr>
              <w:widowControl/>
              <w:jc w:val="left"/>
              <w:rPr>
                <w:rFonts w:hint="eastAsia" w:ascii="宋体" w:hAnsi="宋体" w:cs="宋体"/>
                <w:color w:val="000000"/>
                <w:kern w:val="0"/>
                <w:szCs w:val="21"/>
              </w:rPr>
            </w:pPr>
            <w:r>
              <w:rPr>
                <w:rFonts w:hint="eastAsia" w:ascii="宋体" w:hAnsi="宋体" w:cs="宋体"/>
                <w:color w:val="000000"/>
                <w:kern w:val="0"/>
                <w:szCs w:val="21"/>
              </w:rPr>
              <w:t>大容量、高可靠的数据存储服务，具备PB级线性扩展能力</w:t>
            </w:r>
          </w:p>
        </w:tc>
        <w:tc>
          <w:tcPr>
            <w:tcW w:w="899" w:type="dxa"/>
            <w:shd w:val="clear" w:color="auto" w:fill="auto"/>
            <w:noWrap w:val="0"/>
            <w:vAlign w:val="center"/>
          </w:tcPr>
          <w:p w14:paraId="24C357EC">
            <w:pPr>
              <w:widowControl/>
              <w:jc w:val="center"/>
              <w:rPr>
                <w:rFonts w:hint="eastAsia" w:ascii="宋体" w:hAnsi="宋体" w:cs="宋体"/>
                <w:color w:val="000000"/>
                <w:kern w:val="0"/>
                <w:szCs w:val="21"/>
              </w:rPr>
            </w:pPr>
            <w:r>
              <w:rPr>
                <w:rFonts w:hint="eastAsia" w:ascii="宋体" w:hAnsi="宋体" w:cs="宋体"/>
                <w:color w:val="000000"/>
                <w:kern w:val="0"/>
                <w:szCs w:val="21"/>
              </w:rPr>
              <w:t>1TB</w:t>
            </w:r>
          </w:p>
        </w:tc>
        <w:tc>
          <w:tcPr>
            <w:tcW w:w="833" w:type="dxa"/>
            <w:shd w:val="clear" w:color="auto" w:fill="auto"/>
            <w:noWrap w:val="0"/>
            <w:vAlign w:val="center"/>
          </w:tcPr>
          <w:p w14:paraId="1349C98C">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1CBED861">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11</w:t>
            </w:r>
          </w:p>
        </w:tc>
        <w:tc>
          <w:tcPr>
            <w:tcW w:w="975" w:type="dxa"/>
            <w:vMerge w:val="continue"/>
            <w:shd w:val="clear" w:color="auto" w:fill="FFFFFF"/>
            <w:noWrap w:val="0"/>
            <w:vAlign w:val="center"/>
          </w:tcPr>
          <w:p w14:paraId="0F4480B0">
            <w:pPr>
              <w:jc w:val="center"/>
              <w:rPr>
                <w:rFonts w:hint="eastAsia" w:ascii="宋体" w:hAnsi="宋体" w:cs="宋体"/>
                <w:color w:val="000000"/>
                <w:kern w:val="0"/>
                <w:szCs w:val="21"/>
              </w:rPr>
            </w:pPr>
          </w:p>
        </w:tc>
      </w:tr>
      <w:tr w14:paraId="60EE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56" w:type="dxa"/>
            <w:shd w:val="clear" w:color="auto" w:fill="FFFFFF"/>
            <w:noWrap w:val="0"/>
            <w:vAlign w:val="center"/>
          </w:tcPr>
          <w:p w14:paraId="6EC1B527">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848" w:type="dxa"/>
            <w:vMerge w:val="continue"/>
            <w:shd w:val="clear" w:color="auto" w:fill="auto"/>
            <w:noWrap w:val="0"/>
            <w:vAlign w:val="center"/>
          </w:tcPr>
          <w:p w14:paraId="5DA2C384">
            <w:pPr>
              <w:widowControl/>
              <w:jc w:val="left"/>
              <w:rPr>
                <w:rFonts w:hint="eastAsia" w:ascii="宋体" w:hAnsi="宋体" w:cs="宋体"/>
                <w:b/>
                <w:bCs/>
                <w:color w:val="000000"/>
                <w:kern w:val="0"/>
                <w:szCs w:val="21"/>
              </w:rPr>
            </w:pPr>
          </w:p>
        </w:tc>
        <w:tc>
          <w:tcPr>
            <w:tcW w:w="1691" w:type="dxa"/>
            <w:shd w:val="clear" w:color="auto" w:fill="FFFFFF"/>
            <w:noWrap w:val="0"/>
            <w:vAlign w:val="center"/>
          </w:tcPr>
          <w:p w14:paraId="6A8E0A6D">
            <w:pPr>
              <w:widowControl/>
              <w:jc w:val="center"/>
              <w:rPr>
                <w:rFonts w:hint="eastAsia" w:ascii="宋体" w:hAnsi="宋体" w:cs="宋体"/>
                <w:color w:val="000000"/>
                <w:kern w:val="0"/>
                <w:szCs w:val="21"/>
              </w:rPr>
            </w:pPr>
            <w:r>
              <w:rPr>
                <w:rFonts w:hint="eastAsia" w:ascii="宋体" w:hAnsi="宋体" w:cs="宋体"/>
                <w:color w:val="000000"/>
                <w:kern w:val="0"/>
                <w:szCs w:val="21"/>
              </w:rPr>
              <w:t>本地备份服务</w:t>
            </w:r>
          </w:p>
        </w:tc>
        <w:tc>
          <w:tcPr>
            <w:tcW w:w="1962" w:type="dxa"/>
            <w:shd w:val="clear" w:color="auto" w:fill="FFFFFF"/>
            <w:noWrap w:val="0"/>
            <w:vAlign w:val="center"/>
          </w:tcPr>
          <w:p w14:paraId="7325EF13">
            <w:pPr>
              <w:widowControl/>
              <w:jc w:val="left"/>
              <w:rPr>
                <w:rFonts w:hint="eastAsia" w:ascii="宋体" w:hAnsi="宋体" w:cs="宋体"/>
                <w:color w:val="000000"/>
                <w:kern w:val="0"/>
                <w:szCs w:val="21"/>
              </w:rPr>
            </w:pPr>
            <w:r>
              <w:rPr>
                <w:rFonts w:hint="eastAsia" w:ascii="宋体" w:hAnsi="宋体" w:cs="宋体"/>
                <w:color w:val="000000"/>
                <w:kern w:val="0"/>
                <w:szCs w:val="21"/>
              </w:rPr>
              <w:t>本地备份服务</w:t>
            </w:r>
          </w:p>
        </w:tc>
        <w:tc>
          <w:tcPr>
            <w:tcW w:w="899" w:type="dxa"/>
            <w:shd w:val="clear" w:color="auto" w:fill="FFFFFF"/>
            <w:noWrap w:val="0"/>
            <w:vAlign w:val="center"/>
          </w:tcPr>
          <w:p w14:paraId="73698238">
            <w:pPr>
              <w:widowControl/>
              <w:jc w:val="center"/>
              <w:rPr>
                <w:rFonts w:hint="eastAsia" w:ascii="宋体" w:hAnsi="宋体" w:cs="宋体"/>
                <w:color w:val="000000"/>
                <w:kern w:val="0"/>
                <w:szCs w:val="21"/>
              </w:rPr>
            </w:pPr>
            <w:r>
              <w:rPr>
                <w:rFonts w:hint="eastAsia" w:ascii="宋体" w:hAnsi="宋体" w:cs="宋体"/>
                <w:color w:val="000000"/>
                <w:kern w:val="0"/>
                <w:szCs w:val="21"/>
              </w:rPr>
              <w:t>GB</w:t>
            </w:r>
          </w:p>
        </w:tc>
        <w:tc>
          <w:tcPr>
            <w:tcW w:w="833" w:type="dxa"/>
            <w:shd w:val="clear" w:color="auto" w:fill="FFFFFF"/>
            <w:noWrap w:val="0"/>
            <w:vAlign w:val="center"/>
          </w:tcPr>
          <w:p w14:paraId="31FF392E">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4B2D13A2">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61744</w:t>
            </w:r>
          </w:p>
        </w:tc>
        <w:tc>
          <w:tcPr>
            <w:tcW w:w="975" w:type="dxa"/>
            <w:vMerge w:val="continue"/>
            <w:shd w:val="clear" w:color="auto" w:fill="FFFFFF"/>
            <w:noWrap w:val="0"/>
            <w:vAlign w:val="center"/>
          </w:tcPr>
          <w:p w14:paraId="16167E7F">
            <w:pPr>
              <w:jc w:val="center"/>
              <w:rPr>
                <w:rFonts w:hint="eastAsia" w:ascii="宋体" w:hAnsi="宋体" w:cs="宋体"/>
                <w:color w:val="000000"/>
                <w:kern w:val="0"/>
                <w:szCs w:val="21"/>
              </w:rPr>
            </w:pPr>
          </w:p>
        </w:tc>
      </w:tr>
      <w:tr w14:paraId="5FE1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56" w:type="dxa"/>
            <w:shd w:val="clear" w:color="auto" w:fill="FFFFFF"/>
            <w:noWrap w:val="0"/>
            <w:vAlign w:val="center"/>
          </w:tcPr>
          <w:p w14:paraId="032B842D">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848" w:type="dxa"/>
            <w:vMerge w:val="restart"/>
            <w:shd w:val="clear" w:color="auto" w:fill="FFFFFF"/>
            <w:noWrap w:val="0"/>
            <w:vAlign w:val="center"/>
          </w:tcPr>
          <w:p w14:paraId="5CA6B33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网络服务</w:t>
            </w:r>
          </w:p>
        </w:tc>
        <w:tc>
          <w:tcPr>
            <w:tcW w:w="1691" w:type="dxa"/>
            <w:vMerge w:val="restart"/>
            <w:shd w:val="clear" w:color="auto" w:fill="FFFFFF"/>
            <w:noWrap w:val="0"/>
            <w:vAlign w:val="center"/>
          </w:tcPr>
          <w:p w14:paraId="571B4A23">
            <w:pPr>
              <w:widowControl/>
              <w:jc w:val="center"/>
              <w:rPr>
                <w:rFonts w:hint="eastAsia" w:ascii="宋体" w:hAnsi="宋体" w:cs="宋体"/>
                <w:color w:val="000000"/>
                <w:kern w:val="0"/>
                <w:szCs w:val="21"/>
              </w:rPr>
            </w:pPr>
            <w:r>
              <w:rPr>
                <w:rFonts w:hint="eastAsia" w:ascii="宋体" w:hAnsi="宋体" w:cs="宋体"/>
                <w:color w:val="000000"/>
                <w:kern w:val="0"/>
                <w:szCs w:val="21"/>
              </w:rPr>
              <w:t>互联网链路服务</w:t>
            </w:r>
          </w:p>
        </w:tc>
        <w:tc>
          <w:tcPr>
            <w:tcW w:w="1962" w:type="dxa"/>
            <w:shd w:val="clear" w:color="auto" w:fill="FFFFFF"/>
            <w:noWrap w:val="0"/>
            <w:vAlign w:val="center"/>
          </w:tcPr>
          <w:p w14:paraId="0E121409">
            <w:pPr>
              <w:widowControl/>
              <w:jc w:val="left"/>
              <w:rPr>
                <w:rFonts w:hint="eastAsia" w:ascii="宋体" w:hAnsi="宋体" w:cs="宋体"/>
                <w:color w:val="000000"/>
                <w:kern w:val="0"/>
                <w:szCs w:val="21"/>
              </w:rPr>
            </w:pPr>
            <w:r>
              <w:rPr>
                <w:rFonts w:hint="eastAsia" w:ascii="宋体" w:hAnsi="宋体" w:cs="宋体"/>
                <w:color w:val="000000"/>
                <w:kern w:val="0"/>
                <w:szCs w:val="21"/>
              </w:rPr>
              <w:t>互联网链路带宽</w:t>
            </w:r>
          </w:p>
        </w:tc>
        <w:tc>
          <w:tcPr>
            <w:tcW w:w="899" w:type="dxa"/>
            <w:shd w:val="clear" w:color="auto" w:fill="FFFFFF"/>
            <w:noWrap w:val="0"/>
            <w:vAlign w:val="center"/>
          </w:tcPr>
          <w:p w14:paraId="66D648B7">
            <w:pPr>
              <w:widowControl/>
              <w:jc w:val="center"/>
              <w:rPr>
                <w:rFonts w:hint="eastAsia" w:ascii="宋体" w:hAnsi="宋体" w:cs="宋体"/>
                <w:color w:val="000000"/>
                <w:kern w:val="0"/>
                <w:szCs w:val="21"/>
              </w:rPr>
            </w:pPr>
            <w:r>
              <w:rPr>
                <w:rFonts w:hint="eastAsia" w:ascii="宋体" w:hAnsi="宋体" w:cs="宋体"/>
                <w:color w:val="000000"/>
                <w:kern w:val="0"/>
                <w:szCs w:val="21"/>
              </w:rPr>
              <w:t>1Mb</w:t>
            </w:r>
          </w:p>
        </w:tc>
        <w:tc>
          <w:tcPr>
            <w:tcW w:w="833" w:type="dxa"/>
            <w:shd w:val="clear" w:color="auto" w:fill="FFFFFF"/>
            <w:noWrap w:val="0"/>
            <w:vAlign w:val="center"/>
          </w:tcPr>
          <w:p w14:paraId="2666F468">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21E4C3A6">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1245</w:t>
            </w:r>
          </w:p>
        </w:tc>
        <w:tc>
          <w:tcPr>
            <w:tcW w:w="975" w:type="dxa"/>
            <w:vMerge w:val="continue"/>
            <w:shd w:val="clear" w:color="auto" w:fill="FFFFFF"/>
            <w:noWrap w:val="0"/>
            <w:vAlign w:val="center"/>
          </w:tcPr>
          <w:p w14:paraId="79365CB1">
            <w:pPr>
              <w:jc w:val="center"/>
              <w:rPr>
                <w:rFonts w:hint="eastAsia" w:ascii="宋体" w:hAnsi="宋体" w:cs="宋体"/>
                <w:color w:val="000000"/>
                <w:kern w:val="0"/>
                <w:szCs w:val="21"/>
              </w:rPr>
            </w:pPr>
          </w:p>
        </w:tc>
      </w:tr>
      <w:tr w14:paraId="1E0F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6" w:type="dxa"/>
            <w:shd w:val="clear" w:color="auto" w:fill="FFFFFF"/>
            <w:noWrap w:val="0"/>
            <w:vAlign w:val="center"/>
          </w:tcPr>
          <w:p w14:paraId="0C71C5C1">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848" w:type="dxa"/>
            <w:vMerge w:val="continue"/>
            <w:shd w:val="clear" w:color="auto" w:fill="auto"/>
            <w:noWrap w:val="0"/>
            <w:vAlign w:val="center"/>
          </w:tcPr>
          <w:p w14:paraId="67FEAE18">
            <w:pPr>
              <w:widowControl/>
              <w:jc w:val="left"/>
              <w:rPr>
                <w:rFonts w:hint="eastAsia" w:ascii="宋体" w:hAnsi="宋体" w:cs="宋体"/>
                <w:b/>
                <w:bCs/>
                <w:color w:val="000000"/>
                <w:kern w:val="0"/>
                <w:szCs w:val="21"/>
              </w:rPr>
            </w:pPr>
          </w:p>
        </w:tc>
        <w:tc>
          <w:tcPr>
            <w:tcW w:w="1691" w:type="dxa"/>
            <w:vMerge w:val="continue"/>
            <w:shd w:val="clear" w:color="auto" w:fill="auto"/>
            <w:noWrap w:val="0"/>
            <w:vAlign w:val="center"/>
          </w:tcPr>
          <w:p w14:paraId="2931436B">
            <w:pPr>
              <w:widowControl/>
              <w:jc w:val="left"/>
              <w:rPr>
                <w:rFonts w:hint="eastAsia" w:ascii="宋体" w:hAnsi="宋体" w:cs="宋体"/>
                <w:color w:val="000000"/>
                <w:kern w:val="0"/>
                <w:szCs w:val="21"/>
              </w:rPr>
            </w:pPr>
          </w:p>
        </w:tc>
        <w:tc>
          <w:tcPr>
            <w:tcW w:w="1962" w:type="dxa"/>
            <w:shd w:val="clear" w:color="auto" w:fill="FFFFFF"/>
            <w:noWrap w:val="0"/>
            <w:vAlign w:val="center"/>
          </w:tcPr>
          <w:p w14:paraId="7396A11D">
            <w:pPr>
              <w:widowControl/>
              <w:jc w:val="left"/>
              <w:rPr>
                <w:rFonts w:hint="eastAsia" w:ascii="宋体" w:hAnsi="宋体" w:cs="宋体"/>
                <w:color w:val="000000"/>
                <w:kern w:val="0"/>
                <w:szCs w:val="21"/>
              </w:rPr>
            </w:pPr>
            <w:r>
              <w:rPr>
                <w:rFonts w:hint="eastAsia" w:ascii="宋体" w:hAnsi="宋体" w:cs="宋体"/>
                <w:color w:val="000000"/>
                <w:kern w:val="0"/>
                <w:szCs w:val="21"/>
              </w:rPr>
              <w:t>互联网IP地址租用服务、并提供备案服务</w:t>
            </w:r>
          </w:p>
        </w:tc>
        <w:tc>
          <w:tcPr>
            <w:tcW w:w="899" w:type="dxa"/>
            <w:shd w:val="clear" w:color="auto" w:fill="FFFFFF"/>
            <w:noWrap w:val="0"/>
            <w:vAlign w:val="center"/>
          </w:tcPr>
          <w:p w14:paraId="507ECFFD">
            <w:pPr>
              <w:widowControl/>
              <w:jc w:val="center"/>
              <w:rPr>
                <w:rFonts w:hint="eastAsia" w:ascii="宋体" w:hAnsi="宋体" w:cs="宋体"/>
                <w:color w:val="000000"/>
                <w:kern w:val="0"/>
                <w:szCs w:val="21"/>
              </w:rPr>
            </w:pPr>
            <w:r>
              <w:rPr>
                <w:rFonts w:hint="eastAsia" w:ascii="宋体" w:hAnsi="宋体" w:cs="宋体"/>
                <w:color w:val="000000"/>
                <w:kern w:val="0"/>
                <w:szCs w:val="21"/>
              </w:rPr>
              <w:t>1IP</w:t>
            </w:r>
          </w:p>
        </w:tc>
        <w:tc>
          <w:tcPr>
            <w:tcW w:w="833" w:type="dxa"/>
            <w:shd w:val="clear" w:color="auto" w:fill="FFFFFF"/>
            <w:noWrap w:val="0"/>
            <w:vAlign w:val="center"/>
          </w:tcPr>
          <w:p w14:paraId="4FCAA734">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6C3E3E1C">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20</w:t>
            </w:r>
          </w:p>
        </w:tc>
        <w:tc>
          <w:tcPr>
            <w:tcW w:w="975" w:type="dxa"/>
            <w:vMerge w:val="continue"/>
            <w:shd w:val="clear" w:color="auto" w:fill="FFFFFF"/>
            <w:noWrap w:val="0"/>
            <w:vAlign w:val="center"/>
          </w:tcPr>
          <w:p w14:paraId="7132BC96">
            <w:pPr>
              <w:jc w:val="center"/>
              <w:rPr>
                <w:rFonts w:hint="eastAsia" w:ascii="宋体" w:hAnsi="宋体" w:cs="宋体"/>
                <w:color w:val="000000"/>
                <w:kern w:val="0"/>
                <w:szCs w:val="21"/>
              </w:rPr>
            </w:pPr>
          </w:p>
        </w:tc>
      </w:tr>
      <w:tr w14:paraId="7582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6" w:type="dxa"/>
            <w:shd w:val="clear" w:color="auto" w:fill="FFFFFF"/>
            <w:noWrap w:val="0"/>
            <w:vAlign w:val="center"/>
          </w:tcPr>
          <w:p w14:paraId="46FC62B3">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848" w:type="dxa"/>
            <w:vMerge w:val="continue"/>
            <w:shd w:val="clear" w:color="auto" w:fill="auto"/>
            <w:noWrap w:val="0"/>
            <w:vAlign w:val="center"/>
          </w:tcPr>
          <w:p w14:paraId="209993CF">
            <w:pPr>
              <w:widowControl/>
              <w:jc w:val="left"/>
              <w:rPr>
                <w:rFonts w:hint="eastAsia" w:ascii="宋体" w:hAnsi="宋体" w:cs="宋体"/>
                <w:b/>
                <w:bCs/>
                <w:color w:val="000000"/>
                <w:kern w:val="0"/>
                <w:szCs w:val="21"/>
              </w:rPr>
            </w:pPr>
          </w:p>
        </w:tc>
        <w:tc>
          <w:tcPr>
            <w:tcW w:w="1691" w:type="dxa"/>
            <w:shd w:val="clear" w:color="auto" w:fill="FFFFFF"/>
            <w:noWrap w:val="0"/>
            <w:vAlign w:val="center"/>
          </w:tcPr>
          <w:p w14:paraId="52BB493D">
            <w:pPr>
              <w:widowControl/>
              <w:jc w:val="center"/>
              <w:rPr>
                <w:rFonts w:hint="eastAsia" w:ascii="宋体" w:hAnsi="宋体" w:cs="宋体"/>
                <w:color w:val="000000"/>
                <w:kern w:val="0"/>
                <w:szCs w:val="21"/>
              </w:rPr>
            </w:pPr>
            <w:r>
              <w:rPr>
                <w:rFonts w:hint="eastAsia" w:ascii="宋体" w:hAnsi="宋体" w:cs="宋体"/>
                <w:color w:val="000000"/>
                <w:kern w:val="0"/>
                <w:szCs w:val="21"/>
              </w:rPr>
              <w:t>主机负载均衡服务</w:t>
            </w:r>
          </w:p>
        </w:tc>
        <w:tc>
          <w:tcPr>
            <w:tcW w:w="1962" w:type="dxa"/>
            <w:shd w:val="clear" w:color="auto" w:fill="FFFFFF"/>
            <w:noWrap w:val="0"/>
            <w:vAlign w:val="center"/>
          </w:tcPr>
          <w:p w14:paraId="36F538D2">
            <w:pPr>
              <w:widowControl/>
              <w:jc w:val="left"/>
              <w:rPr>
                <w:rFonts w:hint="eastAsia" w:ascii="宋体" w:hAnsi="宋体" w:cs="宋体"/>
                <w:color w:val="000000"/>
                <w:kern w:val="0"/>
                <w:szCs w:val="21"/>
              </w:rPr>
            </w:pPr>
            <w:r>
              <w:rPr>
                <w:rFonts w:hint="eastAsia" w:ascii="宋体" w:hAnsi="宋体" w:cs="宋体"/>
                <w:color w:val="000000"/>
                <w:kern w:val="0"/>
                <w:szCs w:val="21"/>
              </w:rPr>
              <w:t>主机负载均衡服务</w:t>
            </w:r>
          </w:p>
        </w:tc>
        <w:tc>
          <w:tcPr>
            <w:tcW w:w="899" w:type="dxa"/>
            <w:shd w:val="clear" w:color="auto" w:fill="FFFFFF"/>
            <w:noWrap w:val="0"/>
            <w:vAlign w:val="center"/>
          </w:tcPr>
          <w:p w14:paraId="58174C1B">
            <w:pPr>
              <w:widowControl/>
              <w:jc w:val="center"/>
              <w:rPr>
                <w:rFonts w:hint="eastAsia" w:ascii="宋体" w:hAnsi="宋体" w:cs="宋体"/>
                <w:color w:val="000000"/>
                <w:kern w:val="0"/>
                <w:szCs w:val="21"/>
              </w:rPr>
            </w:pPr>
            <w:r>
              <w:rPr>
                <w:rFonts w:hint="eastAsia" w:ascii="宋体" w:hAnsi="宋体" w:cs="宋体"/>
                <w:color w:val="000000"/>
                <w:kern w:val="0"/>
                <w:szCs w:val="21"/>
              </w:rPr>
              <w:t>1IP（内网）</w:t>
            </w:r>
          </w:p>
        </w:tc>
        <w:tc>
          <w:tcPr>
            <w:tcW w:w="833" w:type="dxa"/>
            <w:shd w:val="clear" w:color="auto" w:fill="FFFFFF"/>
            <w:noWrap w:val="0"/>
            <w:vAlign w:val="center"/>
          </w:tcPr>
          <w:p w14:paraId="44C0B4DA">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01A44A7B">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24</w:t>
            </w:r>
          </w:p>
        </w:tc>
        <w:tc>
          <w:tcPr>
            <w:tcW w:w="975" w:type="dxa"/>
            <w:vMerge w:val="continue"/>
            <w:shd w:val="clear" w:color="auto" w:fill="FFFFFF"/>
            <w:noWrap w:val="0"/>
            <w:vAlign w:val="center"/>
          </w:tcPr>
          <w:p w14:paraId="49718BEC">
            <w:pPr>
              <w:jc w:val="center"/>
              <w:rPr>
                <w:rFonts w:hint="eastAsia" w:ascii="宋体" w:hAnsi="宋体" w:cs="宋体"/>
                <w:color w:val="000000"/>
                <w:kern w:val="0"/>
                <w:szCs w:val="21"/>
              </w:rPr>
            </w:pPr>
          </w:p>
        </w:tc>
      </w:tr>
      <w:tr w14:paraId="2800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6" w:type="dxa"/>
            <w:shd w:val="clear" w:color="auto" w:fill="FFFFFF"/>
            <w:noWrap w:val="0"/>
            <w:vAlign w:val="center"/>
          </w:tcPr>
          <w:p w14:paraId="09C64C85">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848" w:type="dxa"/>
            <w:vMerge w:val="continue"/>
            <w:shd w:val="clear" w:color="auto" w:fill="auto"/>
            <w:noWrap w:val="0"/>
            <w:vAlign w:val="center"/>
          </w:tcPr>
          <w:p w14:paraId="488A6447">
            <w:pPr>
              <w:widowControl/>
              <w:jc w:val="left"/>
              <w:rPr>
                <w:rFonts w:hint="eastAsia" w:ascii="宋体" w:hAnsi="宋体" w:cs="宋体"/>
                <w:b/>
                <w:bCs/>
                <w:color w:val="000000"/>
                <w:kern w:val="0"/>
                <w:szCs w:val="21"/>
              </w:rPr>
            </w:pPr>
          </w:p>
        </w:tc>
        <w:tc>
          <w:tcPr>
            <w:tcW w:w="1691" w:type="dxa"/>
            <w:shd w:val="clear" w:color="auto" w:fill="FFFFFF"/>
            <w:noWrap w:val="0"/>
            <w:vAlign w:val="center"/>
          </w:tcPr>
          <w:p w14:paraId="6430F631">
            <w:pPr>
              <w:widowControl/>
              <w:jc w:val="center"/>
              <w:rPr>
                <w:rFonts w:hint="eastAsia" w:ascii="宋体" w:hAnsi="宋体" w:cs="宋体"/>
                <w:color w:val="000000"/>
                <w:kern w:val="0"/>
                <w:szCs w:val="21"/>
              </w:rPr>
            </w:pPr>
            <w:r>
              <w:rPr>
                <w:rFonts w:hint="eastAsia" w:ascii="宋体" w:hAnsi="宋体" w:cs="宋体"/>
                <w:color w:val="000000"/>
                <w:kern w:val="0"/>
                <w:szCs w:val="21"/>
              </w:rPr>
              <w:t>远程接入服务</w:t>
            </w:r>
          </w:p>
        </w:tc>
        <w:tc>
          <w:tcPr>
            <w:tcW w:w="1962" w:type="dxa"/>
            <w:shd w:val="clear" w:color="auto" w:fill="FFFFFF"/>
            <w:noWrap w:val="0"/>
            <w:vAlign w:val="center"/>
          </w:tcPr>
          <w:p w14:paraId="27D6B85F">
            <w:pPr>
              <w:widowControl/>
              <w:jc w:val="left"/>
              <w:rPr>
                <w:rFonts w:hint="eastAsia" w:ascii="宋体" w:hAnsi="宋体" w:cs="宋体"/>
                <w:color w:val="000000"/>
                <w:kern w:val="0"/>
                <w:szCs w:val="21"/>
              </w:rPr>
            </w:pPr>
            <w:r>
              <w:rPr>
                <w:rFonts w:hint="eastAsia" w:ascii="宋体" w:hAnsi="宋体" w:cs="宋体"/>
                <w:color w:val="000000"/>
                <w:kern w:val="0"/>
                <w:szCs w:val="21"/>
              </w:rPr>
              <w:t>远程接入服务</w:t>
            </w:r>
          </w:p>
        </w:tc>
        <w:tc>
          <w:tcPr>
            <w:tcW w:w="899" w:type="dxa"/>
            <w:shd w:val="clear" w:color="auto" w:fill="FFFFFF"/>
            <w:noWrap w:val="0"/>
            <w:vAlign w:val="center"/>
          </w:tcPr>
          <w:p w14:paraId="62D765C9">
            <w:pPr>
              <w:widowControl/>
              <w:jc w:val="center"/>
              <w:rPr>
                <w:rFonts w:hint="eastAsia" w:ascii="宋体" w:hAnsi="宋体" w:cs="宋体"/>
                <w:color w:val="000000"/>
                <w:kern w:val="0"/>
                <w:szCs w:val="21"/>
              </w:rPr>
            </w:pPr>
            <w:r>
              <w:rPr>
                <w:rFonts w:hint="eastAsia" w:ascii="宋体" w:hAnsi="宋体" w:cs="宋体"/>
                <w:color w:val="000000"/>
                <w:kern w:val="0"/>
                <w:szCs w:val="21"/>
              </w:rPr>
              <w:t>1账号</w:t>
            </w:r>
          </w:p>
        </w:tc>
        <w:tc>
          <w:tcPr>
            <w:tcW w:w="833" w:type="dxa"/>
            <w:shd w:val="clear" w:color="auto" w:fill="FFFFFF"/>
            <w:noWrap w:val="0"/>
            <w:vAlign w:val="center"/>
          </w:tcPr>
          <w:p w14:paraId="52719D56">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auto"/>
            <w:noWrap w:val="0"/>
            <w:vAlign w:val="center"/>
          </w:tcPr>
          <w:p w14:paraId="125EC8A8">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18</w:t>
            </w:r>
          </w:p>
        </w:tc>
        <w:tc>
          <w:tcPr>
            <w:tcW w:w="975" w:type="dxa"/>
            <w:vMerge w:val="continue"/>
            <w:shd w:val="clear" w:color="auto" w:fill="FFFFFF"/>
            <w:noWrap w:val="0"/>
            <w:vAlign w:val="center"/>
          </w:tcPr>
          <w:p w14:paraId="3C6516AA">
            <w:pPr>
              <w:jc w:val="center"/>
              <w:rPr>
                <w:rFonts w:hint="eastAsia" w:ascii="宋体" w:hAnsi="宋体" w:cs="宋体"/>
                <w:color w:val="000000"/>
                <w:kern w:val="0"/>
                <w:szCs w:val="21"/>
              </w:rPr>
            </w:pPr>
          </w:p>
        </w:tc>
      </w:tr>
      <w:tr w14:paraId="50E7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56" w:type="dxa"/>
            <w:shd w:val="clear" w:color="auto" w:fill="FFFFFF"/>
            <w:noWrap w:val="0"/>
            <w:vAlign w:val="center"/>
          </w:tcPr>
          <w:p w14:paraId="54B25901">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848" w:type="dxa"/>
            <w:vMerge w:val="continue"/>
            <w:shd w:val="clear" w:color="auto" w:fill="auto"/>
            <w:noWrap w:val="0"/>
            <w:vAlign w:val="center"/>
          </w:tcPr>
          <w:p w14:paraId="6DD2D785">
            <w:pPr>
              <w:widowControl/>
              <w:jc w:val="left"/>
              <w:rPr>
                <w:rFonts w:hint="eastAsia" w:ascii="宋体" w:hAnsi="宋体" w:cs="宋体"/>
                <w:b/>
                <w:bCs/>
                <w:color w:val="000000"/>
                <w:kern w:val="0"/>
                <w:szCs w:val="21"/>
              </w:rPr>
            </w:pPr>
          </w:p>
        </w:tc>
        <w:tc>
          <w:tcPr>
            <w:tcW w:w="1691" w:type="dxa"/>
            <w:shd w:val="clear" w:color="auto" w:fill="FFFFFF"/>
            <w:noWrap w:val="0"/>
            <w:vAlign w:val="center"/>
          </w:tcPr>
          <w:p w14:paraId="793F03E4">
            <w:pPr>
              <w:widowControl/>
              <w:jc w:val="center"/>
              <w:rPr>
                <w:rFonts w:hint="eastAsia" w:ascii="宋体" w:hAnsi="宋体" w:cs="宋体"/>
                <w:color w:val="000000"/>
                <w:kern w:val="0"/>
                <w:szCs w:val="21"/>
              </w:rPr>
            </w:pPr>
            <w:r>
              <w:rPr>
                <w:rFonts w:hint="eastAsia" w:ascii="宋体" w:hAnsi="宋体" w:cs="宋体"/>
                <w:color w:val="000000"/>
                <w:kern w:val="0"/>
                <w:szCs w:val="21"/>
              </w:rPr>
              <w:t>VPN服务</w:t>
            </w:r>
          </w:p>
        </w:tc>
        <w:tc>
          <w:tcPr>
            <w:tcW w:w="1962" w:type="dxa"/>
            <w:shd w:val="clear" w:color="auto" w:fill="FFFFFF"/>
            <w:noWrap w:val="0"/>
            <w:vAlign w:val="center"/>
          </w:tcPr>
          <w:p w14:paraId="35045DB1">
            <w:pPr>
              <w:widowControl/>
              <w:jc w:val="left"/>
              <w:rPr>
                <w:rFonts w:hint="eastAsia" w:ascii="宋体" w:hAnsi="宋体" w:cs="宋体"/>
                <w:color w:val="000000"/>
                <w:kern w:val="0"/>
                <w:szCs w:val="21"/>
              </w:rPr>
            </w:pPr>
            <w:r>
              <w:rPr>
                <w:rFonts w:hint="eastAsia" w:ascii="宋体" w:hAnsi="宋体" w:cs="宋体"/>
                <w:color w:val="000000"/>
                <w:kern w:val="0"/>
                <w:szCs w:val="21"/>
              </w:rPr>
              <w:t>SSL VPN 接入</w:t>
            </w:r>
          </w:p>
        </w:tc>
        <w:tc>
          <w:tcPr>
            <w:tcW w:w="899" w:type="dxa"/>
            <w:shd w:val="clear" w:color="auto" w:fill="FFFFFF"/>
            <w:noWrap w:val="0"/>
            <w:vAlign w:val="center"/>
          </w:tcPr>
          <w:p w14:paraId="1019090D">
            <w:pPr>
              <w:widowControl/>
              <w:jc w:val="center"/>
              <w:rPr>
                <w:rFonts w:hint="eastAsia" w:ascii="宋体" w:hAnsi="宋体" w:cs="宋体"/>
                <w:color w:val="000000"/>
                <w:kern w:val="0"/>
                <w:szCs w:val="21"/>
              </w:rPr>
            </w:pPr>
            <w:r>
              <w:rPr>
                <w:rFonts w:hint="eastAsia" w:ascii="宋体" w:hAnsi="宋体" w:cs="宋体"/>
                <w:color w:val="000000"/>
                <w:kern w:val="0"/>
                <w:szCs w:val="21"/>
              </w:rPr>
              <w:t>1套</w:t>
            </w:r>
          </w:p>
        </w:tc>
        <w:tc>
          <w:tcPr>
            <w:tcW w:w="833" w:type="dxa"/>
            <w:shd w:val="clear" w:color="auto" w:fill="FFFFFF"/>
            <w:noWrap w:val="0"/>
            <w:vAlign w:val="center"/>
          </w:tcPr>
          <w:p w14:paraId="02E66EA4">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352CA2F8">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18</w:t>
            </w:r>
          </w:p>
        </w:tc>
        <w:tc>
          <w:tcPr>
            <w:tcW w:w="975" w:type="dxa"/>
            <w:vMerge w:val="continue"/>
            <w:shd w:val="clear" w:color="auto" w:fill="FFFFFF"/>
            <w:noWrap w:val="0"/>
            <w:vAlign w:val="center"/>
          </w:tcPr>
          <w:p w14:paraId="677BBB82">
            <w:pPr>
              <w:jc w:val="center"/>
              <w:rPr>
                <w:rFonts w:hint="eastAsia" w:ascii="宋体" w:hAnsi="宋体" w:cs="宋体"/>
                <w:color w:val="000000"/>
                <w:kern w:val="0"/>
                <w:szCs w:val="21"/>
              </w:rPr>
            </w:pPr>
          </w:p>
        </w:tc>
      </w:tr>
      <w:tr w14:paraId="0304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56" w:type="dxa"/>
            <w:shd w:val="clear" w:color="auto" w:fill="FFFFFF"/>
            <w:noWrap w:val="0"/>
            <w:vAlign w:val="center"/>
          </w:tcPr>
          <w:p w14:paraId="173A18A9">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848" w:type="dxa"/>
            <w:vMerge w:val="continue"/>
            <w:shd w:val="clear" w:color="auto" w:fill="auto"/>
            <w:noWrap w:val="0"/>
            <w:vAlign w:val="center"/>
          </w:tcPr>
          <w:p w14:paraId="025784F6">
            <w:pPr>
              <w:widowControl/>
              <w:jc w:val="left"/>
              <w:rPr>
                <w:rFonts w:hint="eastAsia" w:ascii="宋体" w:hAnsi="宋体" w:cs="宋体"/>
                <w:b/>
                <w:bCs/>
                <w:color w:val="000000"/>
                <w:kern w:val="0"/>
                <w:szCs w:val="21"/>
              </w:rPr>
            </w:pPr>
          </w:p>
        </w:tc>
        <w:tc>
          <w:tcPr>
            <w:tcW w:w="1691" w:type="dxa"/>
            <w:shd w:val="clear" w:color="auto" w:fill="FFFFFF"/>
            <w:noWrap w:val="0"/>
            <w:vAlign w:val="center"/>
          </w:tcPr>
          <w:p w14:paraId="6184CA7D">
            <w:pPr>
              <w:widowControl/>
              <w:jc w:val="center"/>
              <w:rPr>
                <w:rFonts w:hint="eastAsia" w:ascii="宋体" w:hAnsi="宋体" w:cs="宋体"/>
                <w:color w:val="000000"/>
                <w:kern w:val="0"/>
                <w:szCs w:val="21"/>
              </w:rPr>
            </w:pPr>
            <w:r>
              <w:rPr>
                <w:rFonts w:hint="eastAsia" w:ascii="宋体" w:hAnsi="宋体" w:cs="宋体"/>
                <w:color w:val="000000"/>
                <w:kern w:val="0"/>
                <w:szCs w:val="21"/>
              </w:rPr>
              <w:t>WAF防护</w:t>
            </w:r>
          </w:p>
        </w:tc>
        <w:tc>
          <w:tcPr>
            <w:tcW w:w="1962" w:type="dxa"/>
            <w:shd w:val="clear" w:color="auto" w:fill="FFFFFF"/>
            <w:noWrap w:val="0"/>
            <w:vAlign w:val="center"/>
          </w:tcPr>
          <w:p w14:paraId="47889213">
            <w:pPr>
              <w:widowControl/>
              <w:jc w:val="left"/>
              <w:rPr>
                <w:rFonts w:hint="eastAsia" w:ascii="宋体" w:hAnsi="宋体" w:cs="宋体"/>
                <w:color w:val="000000"/>
                <w:kern w:val="0"/>
                <w:szCs w:val="21"/>
              </w:rPr>
            </w:pPr>
            <w:r>
              <w:rPr>
                <w:rFonts w:hint="eastAsia" w:ascii="宋体" w:hAnsi="宋体" w:cs="宋体"/>
                <w:color w:val="000000"/>
                <w:kern w:val="0"/>
                <w:szCs w:val="21"/>
              </w:rPr>
              <w:t>web应用防火墙服务</w:t>
            </w:r>
          </w:p>
        </w:tc>
        <w:tc>
          <w:tcPr>
            <w:tcW w:w="899" w:type="dxa"/>
            <w:shd w:val="clear" w:color="auto" w:fill="FFFFFF"/>
            <w:noWrap w:val="0"/>
            <w:vAlign w:val="center"/>
          </w:tcPr>
          <w:p w14:paraId="70DE8DD2">
            <w:pPr>
              <w:widowControl/>
              <w:jc w:val="center"/>
              <w:rPr>
                <w:rFonts w:hint="eastAsia" w:ascii="宋体" w:hAnsi="宋体" w:cs="宋体"/>
                <w:color w:val="000000"/>
                <w:kern w:val="0"/>
                <w:szCs w:val="21"/>
              </w:rPr>
            </w:pPr>
            <w:r>
              <w:rPr>
                <w:rFonts w:hint="eastAsia" w:ascii="宋体" w:hAnsi="宋体" w:cs="宋体"/>
                <w:color w:val="000000"/>
                <w:kern w:val="0"/>
                <w:szCs w:val="21"/>
              </w:rPr>
              <w:t>1IP（互联网）</w:t>
            </w:r>
          </w:p>
        </w:tc>
        <w:tc>
          <w:tcPr>
            <w:tcW w:w="833" w:type="dxa"/>
            <w:shd w:val="clear" w:color="auto" w:fill="FFFFFF"/>
            <w:noWrap w:val="0"/>
            <w:vAlign w:val="center"/>
          </w:tcPr>
          <w:p w14:paraId="315D3E99">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7C797C33">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24</w:t>
            </w:r>
          </w:p>
        </w:tc>
        <w:tc>
          <w:tcPr>
            <w:tcW w:w="975" w:type="dxa"/>
            <w:vMerge w:val="continue"/>
            <w:shd w:val="clear" w:color="auto" w:fill="FFFFFF"/>
            <w:noWrap w:val="0"/>
            <w:vAlign w:val="center"/>
          </w:tcPr>
          <w:p w14:paraId="31CED02F">
            <w:pPr>
              <w:jc w:val="center"/>
              <w:rPr>
                <w:rFonts w:hint="eastAsia" w:ascii="宋体" w:hAnsi="宋体" w:cs="宋体"/>
                <w:color w:val="000000"/>
                <w:kern w:val="0"/>
                <w:szCs w:val="21"/>
              </w:rPr>
            </w:pPr>
          </w:p>
        </w:tc>
      </w:tr>
      <w:tr w14:paraId="3D46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6" w:type="dxa"/>
            <w:shd w:val="clear" w:color="auto" w:fill="FFFFFF"/>
            <w:noWrap w:val="0"/>
            <w:vAlign w:val="center"/>
          </w:tcPr>
          <w:p w14:paraId="6EFBA3AE">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848" w:type="dxa"/>
            <w:shd w:val="clear" w:color="auto" w:fill="FFFFFF"/>
            <w:noWrap w:val="0"/>
            <w:vAlign w:val="center"/>
          </w:tcPr>
          <w:p w14:paraId="55C9279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云主机深度监控服务</w:t>
            </w:r>
          </w:p>
        </w:tc>
        <w:tc>
          <w:tcPr>
            <w:tcW w:w="1691" w:type="dxa"/>
            <w:shd w:val="clear" w:color="auto" w:fill="FFFFFF"/>
            <w:noWrap w:val="0"/>
            <w:vAlign w:val="center"/>
          </w:tcPr>
          <w:p w14:paraId="4CBE44B8">
            <w:pPr>
              <w:widowControl/>
              <w:jc w:val="center"/>
              <w:rPr>
                <w:rFonts w:hint="eastAsia" w:ascii="宋体" w:hAnsi="宋体" w:cs="宋体"/>
                <w:color w:val="000000"/>
                <w:kern w:val="0"/>
                <w:szCs w:val="21"/>
              </w:rPr>
            </w:pPr>
            <w:r>
              <w:rPr>
                <w:rFonts w:hint="eastAsia" w:ascii="宋体" w:hAnsi="宋体" w:cs="宋体"/>
                <w:color w:val="000000"/>
                <w:kern w:val="0"/>
                <w:szCs w:val="21"/>
              </w:rPr>
              <w:t>特定云主机深度监控及运维保障服务（7*24小时值守）</w:t>
            </w:r>
          </w:p>
        </w:tc>
        <w:tc>
          <w:tcPr>
            <w:tcW w:w="1962" w:type="dxa"/>
            <w:shd w:val="clear" w:color="auto" w:fill="FFFFFF"/>
            <w:noWrap w:val="0"/>
            <w:vAlign w:val="center"/>
          </w:tcPr>
          <w:p w14:paraId="52F6B12F">
            <w:pPr>
              <w:widowControl/>
              <w:jc w:val="left"/>
              <w:rPr>
                <w:rFonts w:hint="eastAsia" w:ascii="宋体" w:hAnsi="宋体" w:cs="宋体"/>
                <w:color w:val="000000"/>
                <w:kern w:val="0"/>
                <w:szCs w:val="21"/>
              </w:rPr>
            </w:pPr>
            <w:r>
              <w:rPr>
                <w:rFonts w:hint="eastAsia" w:ascii="宋体" w:hAnsi="宋体" w:cs="宋体"/>
                <w:color w:val="000000"/>
                <w:kern w:val="0"/>
                <w:szCs w:val="21"/>
              </w:rPr>
              <w:t>7*24小时深度监测云主机资源、硬件设备监控、云平台层应急处置等内容</w:t>
            </w:r>
          </w:p>
        </w:tc>
        <w:tc>
          <w:tcPr>
            <w:tcW w:w="899" w:type="dxa"/>
            <w:shd w:val="clear" w:color="auto" w:fill="FFFFFF"/>
            <w:noWrap w:val="0"/>
            <w:vAlign w:val="center"/>
          </w:tcPr>
          <w:p w14:paraId="0AA8C9F7">
            <w:pPr>
              <w:widowControl/>
              <w:jc w:val="center"/>
              <w:rPr>
                <w:rFonts w:hint="eastAsia" w:ascii="宋体" w:hAnsi="宋体" w:cs="宋体"/>
                <w:color w:val="000000"/>
                <w:kern w:val="0"/>
                <w:szCs w:val="21"/>
              </w:rPr>
            </w:pPr>
            <w:r>
              <w:rPr>
                <w:rFonts w:hint="eastAsia" w:ascii="宋体" w:hAnsi="宋体" w:cs="宋体"/>
                <w:color w:val="000000"/>
                <w:kern w:val="0"/>
                <w:szCs w:val="21"/>
              </w:rPr>
              <w:t>1主机</w:t>
            </w:r>
          </w:p>
        </w:tc>
        <w:tc>
          <w:tcPr>
            <w:tcW w:w="833" w:type="dxa"/>
            <w:shd w:val="clear" w:color="auto" w:fill="FFFFFF"/>
            <w:noWrap w:val="0"/>
            <w:vAlign w:val="center"/>
          </w:tcPr>
          <w:p w14:paraId="40AA333C">
            <w:pPr>
              <w:widowControl/>
              <w:jc w:val="center"/>
              <w:rPr>
                <w:rFonts w:hint="eastAsia" w:ascii="宋体" w:hAnsi="宋体" w:cs="宋体"/>
                <w:color w:val="000000"/>
                <w:kern w:val="0"/>
                <w:szCs w:val="21"/>
              </w:rPr>
            </w:pPr>
            <w:r>
              <w:rPr>
                <w:rFonts w:hint="eastAsia" w:ascii="宋体" w:hAnsi="宋体" w:cs="宋体"/>
                <w:color w:val="000000"/>
                <w:kern w:val="0"/>
                <w:szCs w:val="21"/>
              </w:rPr>
              <w:t>元/月</w:t>
            </w:r>
          </w:p>
        </w:tc>
        <w:tc>
          <w:tcPr>
            <w:tcW w:w="768" w:type="dxa"/>
            <w:shd w:val="clear" w:color="auto" w:fill="FFFFFF"/>
            <w:noWrap w:val="0"/>
            <w:vAlign w:val="center"/>
          </w:tcPr>
          <w:p w14:paraId="7EF3CD94">
            <w:pPr>
              <w:widowControl/>
              <w:jc w:val="right"/>
              <w:rPr>
                <w:rFonts w:hint="eastAsia" w:ascii="宋体" w:hAnsi="宋体" w:cs="宋体"/>
                <w:b/>
                <w:bCs/>
                <w:color w:val="000000"/>
                <w:kern w:val="0"/>
                <w:szCs w:val="21"/>
              </w:rPr>
            </w:pPr>
            <w:r>
              <w:rPr>
                <w:rFonts w:hint="eastAsia" w:ascii="宋体" w:hAnsi="宋体" w:cs="宋体"/>
                <w:b/>
                <w:bCs/>
                <w:color w:val="000000"/>
                <w:kern w:val="0"/>
                <w:szCs w:val="21"/>
              </w:rPr>
              <w:t>73</w:t>
            </w:r>
          </w:p>
        </w:tc>
        <w:tc>
          <w:tcPr>
            <w:tcW w:w="975" w:type="dxa"/>
            <w:vMerge w:val="continue"/>
            <w:shd w:val="clear" w:color="auto" w:fill="FFFFFF"/>
            <w:noWrap w:val="0"/>
            <w:vAlign w:val="center"/>
          </w:tcPr>
          <w:p w14:paraId="36E1C0A2">
            <w:pPr>
              <w:widowControl/>
              <w:jc w:val="center"/>
              <w:rPr>
                <w:rFonts w:hint="eastAsia" w:ascii="宋体" w:hAnsi="宋体" w:cs="宋体"/>
                <w:color w:val="000000"/>
                <w:kern w:val="0"/>
                <w:szCs w:val="21"/>
              </w:rPr>
            </w:pPr>
          </w:p>
        </w:tc>
      </w:tr>
    </w:tbl>
    <w:p w14:paraId="266797CA">
      <w:pPr>
        <w:spacing w:line="360" w:lineRule="auto"/>
        <w:ind w:firstLine="480" w:firstLineChars="200"/>
        <w:rPr>
          <w:rFonts w:hint="eastAsia" w:ascii="宋体" w:hAnsi="宋体"/>
          <w:color w:val="000000"/>
          <w:sz w:val="24"/>
        </w:rPr>
      </w:pPr>
    </w:p>
    <w:p w14:paraId="1719FD2C">
      <w:pPr>
        <w:spacing w:line="360" w:lineRule="auto"/>
        <w:ind w:firstLine="480" w:firstLineChars="200"/>
        <w:rPr>
          <w:rFonts w:hint="eastAsia" w:ascii="宋体" w:hAnsi="宋体"/>
          <w:color w:val="000000"/>
          <w:sz w:val="24"/>
        </w:rPr>
      </w:pPr>
      <w:r>
        <w:rPr>
          <w:rFonts w:hint="eastAsia" w:ascii="宋体" w:hAnsi="宋体"/>
          <w:color w:val="000000"/>
          <w:sz w:val="24"/>
        </w:rPr>
        <w:t>（2）政务云扩展服务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34"/>
        <w:gridCol w:w="1677"/>
        <w:gridCol w:w="1949"/>
        <w:gridCol w:w="887"/>
        <w:gridCol w:w="819"/>
        <w:gridCol w:w="857"/>
        <w:gridCol w:w="966"/>
      </w:tblGrid>
      <w:tr w14:paraId="5E69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3" w:type="dxa"/>
            <w:shd w:val="clear" w:color="auto" w:fill="D9D9D9"/>
            <w:noWrap w:val="0"/>
            <w:vAlign w:val="center"/>
          </w:tcPr>
          <w:p w14:paraId="115DE84F">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834" w:type="dxa"/>
            <w:shd w:val="clear" w:color="auto" w:fill="D9D9D9"/>
            <w:noWrap w:val="0"/>
            <w:vAlign w:val="center"/>
          </w:tcPr>
          <w:p w14:paraId="07C66548">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服务类别</w:t>
            </w:r>
          </w:p>
        </w:tc>
        <w:tc>
          <w:tcPr>
            <w:tcW w:w="1677" w:type="dxa"/>
            <w:shd w:val="clear" w:color="auto" w:fill="D9D9D9"/>
            <w:noWrap w:val="0"/>
            <w:vAlign w:val="center"/>
          </w:tcPr>
          <w:p w14:paraId="7CD1B62B">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服务子类</w:t>
            </w:r>
          </w:p>
        </w:tc>
        <w:tc>
          <w:tcPr>
            <w:tcW w:w="1949" w:type="dxa"/>
            <w:shd w:val="clear" w:color="auto" w:fill="D9D9D9"/>
            <w:noWrap w:val="0"/>
            <w:vAlign w:val="center"/>
          </w:tcPr>
          <w:p w14:paraId="2A55E805">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服务项</w:t>
            </w:r>
          </w:p>
        </w:tc>
        <w:tc>
          <w:tcPr>
            <w:tcW w:w="887" w:type="dxa"/>
            <w:shd w:val="clear" w:color="auto" w:fill="D9D9D9"/>
            <w:noWrap w:val="0"/>
            <w:vAlign w:val="center"/>
          </w:tcPr>
          <w:p w14:paraId="7ABB1283">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计价单位</w:t>
            </w:r>
          </w:p>
        </w:tc>
        <w:tc>
          <w:tcPr>
            <w:tcW w:w="819" w:type="dxa"/>
            <w:shd w:val="clear" w:color="auto" w:fill="D9D9D9"/>
            <w:noWrap w:val="0"/>
            <w:vAlign w:val="center"/>
          </w:tcPr>
          <w:p w14:paraId="7D139E06">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报价单位</w:t>
            </w:r>
          </w:p>
        </w:tc>
        <w:tc>
          <w:tcPr>
            <w:tcW w:w="857" w:type="dxa"/>
            <w:shd w:val="clear" w:color="auto" w:fill="D9D9D9"/>
            <w:noWrap w:val="0"/>
            <w:vAlign w:val="center"/>
          </w:tcPr>
          <w:p w14:paraId="61E2C71E">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966" w:type="dxa"/>
            <w:shd w:val="clear" w:color="auto" w:fill="D9D9D9"/>
            <w:noWrap w:val="0"/>
            <w:vAlign w:val="center"/>
          </w:tcPr>
          <w:p w14:paraId="4C4C0B79">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服务期限</w:t>
            </w:r>
          </w:p>
        </w:tc>
      </w:tr>
      <w:tr w14:paraId="1FA9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43" w:type="dxa"/>
            <w:shd w:val="clear" w:color="auto" w:fill="FFFFFF"/>
            <w:noWrap w:val="0"/>
            <w:vAlign w:val="center"/>
          </w:tcPr>
          <w:p w14:paraId="46DCC2FB">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834" w:type="dxa"/>
            <w:vMerge w:val="restart"/>
            <w:shd w:val="clear" w:color="auto" w:fill="FFFFFF"/>
            <w:noWrap w:val="0"/>
            <w:vAlign w:val="center"/>
          </w:tcPr>
          <w:p w14:paraId="7EC94139">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基础软件支撑服务</w:t>
            </w:r>
          </w:p>
        </w:tc>
        <w:tc>
          <w:tcPr>
            <w:tcW w:w="1677" w:type="dxa"/>
            <w:vMerge w:val="restart"/>
            <w:shd w:val="clear" w:color="auto" w:fill="FFFFFF"/>
            <w:noWrap w:val="0"/>
            <w:vAlign w:val="center"/>
          </w:tcPr>
          <w:p w14:paraId="0E82D890">
            <w:pPr>
              <w:widowControl/>
              <w:jc w:val="center"/>
              <w:rPr>
                <w:rFonts w:hint="eastAsia" w:ascii="宋体" w:hAnsi="宋体" w:cs="宋体"/>
                <w:color w:val="000000"/>
                <w:kern w:val="0"/>
                <w:sz w:val="24"/>
              </w:rPr>
            </w:pPr>
            <w:r>
              <w:rPr>
                <w:rFonts w:hint="eastAsia" w:ascii="宋体" w:hAnsi="宋体" w:cs="宋体"/>
                <w:color w:val="000000"/>
                <w:kern w:val="0"/>
                <w:sz w:val="24"/>
              </w:rPr>
              <w:t>商用操作系统套餐</w:t>
            </w:r>
          </w:p>
        </w:tc>
        <w:tc>
          <w:tcPr>
            <w:tcW w:w="1949" w:type="dxa"/>
            <w:shd w:val="clear" w:color="auto" w:fill="FFFFFF"/>
            <w:noWrap w:val="0"/>
            <w:vAlign w:val="center"/>
          </w:tcPr>
          <w:p w14:paraId="08E8E3EA">
            <w:pPr>
              <w:widowControl/>
              <w:jc w:val="left"/>
              <w:rPr>
                <w:rFonts w:hint="eastAsia" w:ascii="宋体" w:hAnsi="宋体" w:cs="宋体"/>
                <w:color w:val="000000"/>
                <w:kern w:val="0"/>
                <w:sz w:val="24"/>
              </w:rPr>
            </w:pPr>
            <w:r>
              <w:rPr>
                <w:rFonts w:hint="eastAsia" w:ascii="宋体" w:hAnsi="宋体" w:cs="宋体"/>
                <w:color w:val="000000"/>
                <w:kern w:val="0"/>
                <w:sz w:val="24"/>
              </w:rPr>
              <w:t>Windows Server套餐：Windows Server租用、安装及维护。</w:t>
            </w:r>
          </w:p>
        </w:tc>
        <w:tc>
          <w:tcPr>
            <w:tcW w:w="887" w:type="dxa"/>
            <w:shd w:val="clear" w:color="auto" w:fill="FFFFFF"/>
            <w:noWrap w:val="0"/>
            <w:vAlign w:val="center"/>
          </w:tcPr>
          <w:p w14:paraId="19E9BFC3">
            <w:pPr>
              <w:widowControl/>
              <w:jc w:val="center"/>
              <w:rPr>
                <w:rFonts w:hint="eastAsia" w:ascii="宋体" w:hAnsi="宋体" w:cs="宋体"/>
                <w:color w:val="000000"/>
                <w:kern w:val="0"/>
                <w:sz w:val="24"/>
              </w:rPr>
            </w:pPr>
            <w:r>
              <w:rPr>
                <w:rFonts w:hint="eastAsia" w:ascii="宋体" w:hAnsi="宋体" w:cs="宋体"/>
                <w:color w:val="000000"/>
                <w:kern w:val="0"/>
                <w:sz w:val="24"/>
              </w:rPr>
              <w:t>1个云主机</w:t>
            </w:r>
          </w:p>
        </w:tc>
        <w:tc>
          <w:tcPr>
            <w:tcW w:w="819" w:type="dxa"/>
            <w:shd w:val="clear" w:color="auto" w:fill="FFFFFF"/>
            <w:noWrap w:val="0"/>
            <w:vAlign w:val="center"/>
          </w:tcPr>
          <w:p w14:paraId="1029BD73">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FFFFFF"/>
            <w:noWrap w:val="0"/>
            <w:vAlign w:val="center"/>
          </w:tcPr>
          <w:p w14:paraId="19FBD41D">
            <w:pPr>
              <w:widowControl/>
              <w:jc w:val="right"/>
              <w:rPr>
                <w:rFonts w:hint="eastAsia" w:ascii="宋体" w:hAnsi="宋体" w:cs="宋体"/>
                <w:b/>
                <w:bCs/>
                <w:color w:val="000000"/>
                <w:kern w:val="0"/>
                <w:sz w:val="24"/>
              </w:rPr>
            </w:pPr>
            <w:r>
              <w:rPr>
                <w:rFonts w:hint="eastAsia" w:ascii="宋体" w:hAnsi="宋体" w:cs="宋体"/>
                <w:b/>
                <w:bCs/>
                <w:color w:val="000000"/>
                <w:kern w:val="0"/>
                <w:sz w:val="24"/>
              </w:rPr>
              <w:t>17</w:t>
            </w:r>
          </w:p>
        </w:tc>
        <w:tc>
          <w:tcPr>
            <w:tcW w:w="966" w:type="dxa"/>
            <w:vMerge w:val="restart"/>
            <w:shd w:val="clear" w:color="auto" w:fill="FFFFFF"/>
            <w:noWrap w:val="0"/>
            <w:vAlign w:val="center"/>
          </w:tcPr>
          <w:p w14:paraId="60F2F409">
            <w:pPr>
              <w:jc w:val="center"/>
              <w:rPr>
                <w:rFonts w:hint="eastAsia" w:ascii="宋体" w:hAnsi="宋体" w:cs="宋体"/>
                <w:color w:val="000000"/>
                <w:kern w:val="0"/>
                <w:sz w:val="24"/>
              </w:rPr>
            </w:pPr>
            <w:r>
              <w:rPr>
                <w:rFonts w:hint="eastAsia" w:ascii="宋体" w:hAnsi="宋体"/>
                <w:color w:val="000000"/>
                <w:sz w:val="24"/>
              </w:rPr>
              <w:t>自合同签订起5个月</w:t>
            </w:r>
          </w:p>
        </w:tc>
      </w:tr>
      <w:tr w14:paraId="0FD9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43" w:type="dxa"/>
            <w:shd w:val="clear" w:color="auto" w:fill="auto"/>
            <w:noWrap w:val="0"/>
            <w:vAlign w:val="center"/>
          </w:tcPr>
          <w:p w14:paraId="3861845B">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834" w:type="dxa"/>
            <w:vMerge w:val="continue"/>
            <w:shd w:val="clear" w:color="auto" w:fill="auto"/>
            <w:noWrap w:val="0"/>
            <w:vAlign w:val="center"/>
          </w:tcPr>
          <w:p w14:paraId="420C976C">
            <w:pPr>
              <w:widowControl/>
              <w:jc w:val="left"/>
              <w:rPr>
                <w:rFonts w:hint="eastAsia" w:ascii="宋体" w:hAnsi="宋体" w:cs="宋体"/>
                <w:b/>
                <w:bCs/>
                <w:color w:val="000000"/>
                <w:kern w:val="0"/>
                <w:sz w:val="24"/>
              </w:rPr>
            </w:pPr>
          </w:p>
        </w:tc>
        <w:tc>
          <w:tcPr>
            <w:tcW w:w="1677" w:type="dxa"/>
            <w:vMerge w:val="continue"/>
            <w:shd w:val="clear" w:color="auto" w:fill="auto"/>
            <w:noWrap w:val="0"/>
            <w:vAlign w:val="center"/>
          </w:tcPr>
          <w:p w14:paraId="5563225D">
            <w:pPr>
              <w:widowControl/>
              <w:jc w:val="center"/>
              <w:rPr>
                <w:rFonts w:hint="eastAsia" w:ascii="宋体" w:hAnsi="宋体" w:cs="宋体"/>
                <w:color w:val="000000"/>
                <w:kern w:val="0"/>
                <w:sz w:val="24"/>
              </w:rPr>
            </w:pPr>
          </w:p>
        </w:tc>
        <w:tc>
          <w:tcPr>
            <w:tcW w:w="1949" w:type="dxa"/>
            <w:shd w:val="clear" w:color="auto" w:fill="auto"/>
            <w:noWrap w:val="0"/>
            <w:vAlign w:val="center"/>
          </w:tcPr>
          <w:p w14:paraId="25D893EC">
            <w:pPr>
              <w:widowControl/>
              <w:jc w:val="left"/>
              <w:rPr>
                <w:rFonts w:hint="eastAsia" w:ascii="宋体" w:hAnsi="宋体" w:cs="宋体"/>
                <w:color w:val="000000"/>
                <w:kern w:val="0"/>
                <w:sz w:val="24"/>
              </w:rPr>
            </w:pPr>
            <w:r>
              <w:rPr>
                <w:rFonts w:hint="eastAsia" w:ascii="宋体" w:hAnsi="宋体" w:cs="宋体"/>
                <w:color w:val="000000"/>
                <w:kern w:val="0"/>
                <w:sz w:val="24"/>
              </w:rPr>
              <w:t>国产商用操作系统服务租用、安装及维护。</w:t>
            </w:r>
          </w:p>
        </w:tc>
        <w:tc>
          <w:tcPr>
            <w:tcW w:w="887" w:type="dxa"/>
            <w:shd w:val="clear" w:color="auto" w:fill="auto"/>
            <w:noWrap w:val="0"/>
            <w:vAlign w:val="center"/>
          </w:tcPr>
          <w:p w14:paraId="21C2F83E">
            <w:pPr>
              <w:widowControl/>
              <w:jc w:val="center"/>
              <w:rPr>
                <w:rFonts w:hint="eastAsia" w:ascii="宋体" w:hAnsi="宋体" w:cs="宋体"/>
                <w:color w:val="000000"/>
                <w:kern w:val="0"/>
                <w:sz w:val="24"/>
              </w:rPr>
            </w:pPr>
            <w:r>
              <w:rPr>
                <w:rFonts w:hint="eastAsia" w:ascii="宋体" w:hAnsi="宋体" w:cs="宋体"/>
                <w:color w:val="000000"/>
                <w:kern w:val="0"/>
                <w:sz w:val="24"/>
              </w:rPr>
              <w:t>1个云主机</w:t>
            </w:r>
          </w:p>
        </w:tc>
        <w:tc>
          <w:tcPr>
            <w:tcW w:w="819" w:type="dxa"/>
            <w:shd w:val="clear" w:color="auto" w:fill="auto"/>
            <w:noWrap w:val="0"/>
            <w:vAlign w:val="center"/>
          </w:tcPr>
          <w:p w14:paraId="322068F9">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auto"/>
            <w:noWrap w:val="0"/>
            <w:vAlign w:val="center"/>
          </w:tcPr>
          <w:p w14:paraId="79A80754">
            <w:pPr>
              <w:widowControl/>
              <w:jc w:val="right"/>
              <w:rPr>
                <w:rFonts w:hint="eastAsia" w:ascii="宋体" w:hAnsi="宋体" w:cs="宋体"/>
                <w:b/>
                <w:bCs/>
                <w:color w:val="000000"/>
                <w:kern w:val="0"/>
                <w:sz w:val="24"/>
              </w:rPr>
            </w:pPr>
            <w:r>
              <w:rPr>
                <w:rFonts w:hint="eastAsia" w:ascii="宋体" w:hAnsi="宋体" w:cs="宋体"/>
                <w:b/>
                <w:bCs/>
                <w:color w:val="000000"/>
                <w:kern w:val="0"/>
                <w:sz w:val="24"/>
              </w:rPr>
              <w:t>34</w:t>
            </w:r>
          </w:p>
        </w:tc>
        <w:tc>
          <w:tcPr>
            <w:tcW w:w="966" w:type="dxa"/>
            <w:vMerge w:val="continue"/>
            <w:shd w:val="clear" w:color="auto" w:fill="FFFFFF"/>
            <w:noWrap w:val="0"/>
            <w:vAlign w:val="center"/>
          </w:tcPr>
          <w:p w14:paraId="3F5EAE88">
            <w:pPr>
              <w:jc w:val="center"/>
              <w:rPr>
                <w:rFonts w:hint="eastAsia" w:ascii="宋体" w:hAnsi="宋体" w:cs="宋体"/>
                <w:color w:val="000000"/>
                <w:kern w:val="0"/>
                <w:sz w:val="24"/>
              </w:rPr>
            </w:pPr>
          </w:p>
        </w:tc>
      </w:tr>
      <w:tr w14:paraId="325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3" w:type="dxa"/>
            <w:shd w:val="clear" w:color="auto" w:fill="FFFFFF"/>
            <w:noWrap w:val="0"/>
            <w:vAlign w:val="center"/>
          </w:tcPr>
          <w:p w14:paraId="31057D33">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834" w:type="dxa"/>
            <w:vMerge w:val="continue"/>
            <w:shd w:val="clear" w:color="auto" w:fill="auto"/>
            <w:noWrap w:val="0"/>
            <w:vAlign w:val="center"/>
          </w:tcPr>
          <w:p w14:paraId="26869E7B">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6B028593">
            <w:pPr>
              <w:widowControl/>
              <w:jc w:val="center"/>
              <w:rPr>
                <w:rFonts w:hint="eastAsia" w:ascii="宋体" w:hAnsi="宋体" w:cs="宋体"/>
                <w:color w:val="000000"/>
                <w:kern w:val="0"/>
                <w:sz w:val="24"/>
              </w:rPr>
            </w:pPr>
            <w:r>
              <w:rPr>
                <w:rFonts w:hint="eastAsia" w:ascii="宋体" w:hAnsi="宋体" w:cs="宋体"/>
                <w:color w:val="000000"/>
                <w:kern w:val="0"/>
                <w:sz w:val="24"/>
              </w:rPr>
              <w:t>国产商用应用中间件套餐</w:t>
            </w:r>
          </w:p>
        </w:tc>
        <w:tc>
          <w:tcPr>
            <w:tcW w:w="1949" w:type="dxa"/>
            <w:shd w:val="clear" w:color="auto" w:fill="FFFFFF"/>
            <w:noWrap w:val="0"/>
            <w:vAlign w:val="center"/>
          </w:tcPr>
          <w:p w14:paraId="35E6D9E7">
            <w:pPr>
              <w:widowControl/>
              <w:jc w:val="left"/>
              <w:rPr>
                <w:rFonts w:hint="eastAsia" w:ascii="宋体" w:hAnsi="宋体" w:cs="宋体"/>
                <w:color w:val="000000"/>
                <w:kern w:val="0"/>
                <w:sz w:val="24"/>
              </w:rPr>
            </w:pPr>
            <w:r>
              <w:rPr>
                <w:rFonts w:hint="eastAsia" w:ascii="宋体" w:hAnsi="宋体" w:cs="宋体"/>
                <w:color w:val="000000"/>
                <w:kern w:val="0"/>
                <w:sz w:val="24"/>
              </w:rPr>
              <w:t>国产商用应用中间件租用、安装及维护</w:t>
            </w:r>
          </w:p>
        </w:tc>
        <w:tc>
          <w:tcPr>
            <w:tcW w:w="887" w:type="dxa"/>
            <w:shd w:val="clear" w:color="auto" w:fill="FFFFFF"/>
            <w:noWrap w:val="0"/>
            <w:vAlign w:val="center"/>
          </w:tcPr>
          <w:p w14:paraId="7844DB3A">
            <w:pPr>
              <w:widowControl/>
              <w:jc w:val="center"/>
              <w:rPr>
                <w:rFonts w:hint="eastAsia" w:ascii="宋体" w:hAnsi="宋体" w:cs="宋体"/>
                <w:color w:val="000000"/>
                <w:kern w:val="0"/>
                <w:sz w:val="24"/>
              </w:rPr>
            </w:pPr>
            <w:r>
              <w:rPr>
                <w:rFonts w:hint="eastAsia" w:ascii="宋体" w:hAnsi="宋体" w:cs="宋体"/>
                <w:color w:val="000000"/>
                <w:kern w:val="0"/>
                <w:sz w:val="24"/>
              </w:rPr>
              <w:t>1CPU</w:t>
            </w:r>
          </w:p>
        </w:tc>
        <w:tc>
          <w:tcPr>
            <w:tcW w:w="819" w:type="dxa"/>
            <w:shd w:val="clear" w:color="auto" w:fill="FFFFFF"/>
            <w:noWrap w:val="0"/>
            <w:vAlign w:val="center"/>
          </w:tcPr>
          <w:p w14:paraId="1DF79B6E">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auto"/>
            <w:noWrap w:val="0"/>
            <w:vAlign w:val="center"/>
          </w:tcPr>
          <w:p w14:paraId="5513A92F">
            <w:pPr>
              <w:widowControl/>
              <w:jc w:val="right"/>
              <w:rPr>
                <w:rFonts w:hint="eastAsia" w:ascii="宋体" w:hAnsi="宋体" w:cs="宋体"/>
                <w:b/>
                <w:bCs/>
                <w:color w:val="000000"/>
                <w:kern w:val="0"/>
                <w:sz w:val="24"/>
              </w:rPr>
            </w:pPr>
            <w:r>
              <w:rPr>
                <w:rFonts w:hint="eastAsia" w:ascii="宋体" w:hAnsi="宋体" w:cs="宋体"/>
                <w:b/>
                <w:bCs/>
                <w:color w:val="000000"/>
                <w:kern w:val="0"/>
                <w:sz w:val="24"/>
              </w:rPr>
              <w:t>6</w:t>
            </w:r>
          </w:p>
        </w:tc>
        <w:tc>
          <w:tcPr>
            <w:tcW w:w="966" w:type="dxa"/>
            <w:vMerge w:val="continue"/>
            <w:shd w:val="clear" w:color="auto" w:fill="FFFFFF"/>
            <w:noWrap w:val="0"/>
            <w:vAlign w:val="center"/>
          </w:tcPr>
          <w:p w14:paraId="46AA1B7C">
            <w:pPr>
              <w:jc w:val="center"/>
              <w:rPr>
                <w:rFonts w:hint="eastAsia" w:ascii="宋体" w:hAnsi="宋体" w:cs="宋体"/>
                <w:color w:val="000000"/>
                <w:kern w:val="0"/>
                <w:sz w:val="24"/>
              </w:rPr>
            </w:pPr>
          </w:p>
        </w:tc>
      </w:tr>
      <w:tr w14:paraId="79C3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43" w:type="dxa"/>
            <w:shd w:val="clear" w:color="auto" w:fill="FFFFFF"/>
            <w:noWrap w:val="0"/>
            <w:vAlign w:val="center"/>
          </w:tcPr>
          <w:p w14:paraId="571B9426">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834" w:type="dxa"/>
            <w:vMerge w:val="continue"/>
            <w:shd w:val="clear" w:color="auto" w:fill="auto"/>
            <w:noWrap w:val="0"/>
            <w:vAlign w:val="center"/>
          </w:tcPr>
          <w:p w14:paraId="061A4600">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4F85EAE9">
            <w:pPr>
              <w:widowControl/>
              <w:jc w:val="center"/>
              <w:rPr>
                <w:rFonts w:hint="eastAsia" w:ascii="宋体" w:hAnsi="宋体" w:cs="宋体"/>
                <w:color w:val="000000"/>
                <w:kern w:val="0"/>
                <w:sz w:val="24"/>
              </w:rPr>
            </w:pPr>
            <w:r>
              <w:rPr>
                <w:rFonts w:hint="eastAsia" w:ascii="宋体" w:hAnsi="宋体" w:cs="宋体"/>
                <w:color w:val="000000"/>
                <w:kern w:val="0"/>
                <w:sz w:val="24"/>
              </w:rPr>
              <w:t>开源应用中间件套餐</w:t>
            </w:r>
          </w:p>
        </w:tc>
        <w:tc>
          <w:tcPr>
            <w:tcW w:w="1949" w:type="dxa"/>
            <w:shd w:val="clear" w:color="auto" w:fill="FFFFFF"/>
            <w:noWrap w:val="0"/>
            <w:vAlign w:val="center"/>
          </w:tcPr>
          <w:p w14:paraId="013177EB">
            <w:pPr>
              <w:widowControl/>
              <w:jc w:val="left"/>
              <w:rPr>
                <w:rFonts w:hint="eastAsia" w:ascii="宋体" w:hAnsi="宋体" w:cs="宋体"/>
                <w:color w:val="000000"/>
                <w:kern w:val="0"/>
                <w:sz w:val="24"/>
              </w:rPr>
            </w:pPr>
            <w:r>
              <w:rPr>
                <w:rFonts w:hint="eastAsia" w:ascii="宋体" w:hAnsi="宋体" w:cs="宋体"/>
                <w:color w:val="000000"/>
                <w:kern w:val="0"/>
                <w:sz w:val="24"/>
              </w:rPr>
              <w:t>主流开源应用中间件安装及维护服务（3种以上开源中间件）</w:t>
            </w:r>
          </w:p>
        </w:tc>
        <w:tc>
          <w:tcPr>
            <w:tcW w:w="887" w:type="dxa"/>
            <w:shd w:val="clear" w:color="auto" w:fill="FFFFFF"/>
            <w:noWrap w:val="0"/>
            <w:vAlign w:val="center"/>
          </w:tcPr>
          <w:p w14:paraId="0E627FB3">
            <w:pPr>
              <w:widowControl/>
              <w:jc w:val="center"/>
              <w:rPr>
                <w:rFonts w:hint="eastAsia" w:ascii="宋体" w:hAnsi="宋体" w:cs="宋体"/>
                <w:color w:val="000000"/>
                <w:kern w:val="0"/>
                <w:sz w:val="24"/>
              </w:rPr>
            </w:pPr>
            <w:r>
              <w:rPr>
                <w:rFonts w:hint="eastAsia" w:ascii="宋体" w:hAnsi="宋体" w:cs="宋体"/>
                <w:color w:val="000000"/>
                <w:kern w:val="0"/>
                <w:sz w:val="24"/>
              </w:rPr>
              <w:t>1套</w:t>
            </w:r>
          </w:p>
        </w:tc>
        <w:tc>
          <w:tcPr>
            <w:tcW w:w="819" w:type="dxa"/>
            <w:shd w:val="clear" w:color="auto" w:fill="FFFFFF"/>
            <w:noWrap w:val="0"/>
            <w:vAlign w:val="center"/>
          </w:tcPr>
          <w:p w14:paraId="2F305B4C">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auto"/>
            <w:noWrap w:val="0"/>
            <w:vAlign w:val="center"/>
          </w:tcPr>
          <w:p w14:paraId="1ABB12BD">
            <w:pPr>
              <w:widowControl/>
              <w:jc w:val="right"/>
              <w:rPr>
                <w:rFonts w:hint="eastAsia" w:ascii="宋体" w:hAnsi="宋体" w:cs="宋体"/>
                <w:b/>
                <w:bCs/>
                <w:color w:val="000000"/>
                <w:kern w:val="0"/>
                <w:sz w:val="24"/>
              </w:rPr>
            </w:pPr>
            <w:r>
              <w:rPr>
                <w:rFonts w:hint="eastAsia" w:ascii="宋体" w:hAnsi="宋体" w:cs="宋体"/>
                <w:b/>
                <w:bCs/>
                <w:color w:val="000000"/>
                <w:kern w:val="0"/>
                <w:sz w:val="24"/>
              </w:rPr>
              <w:t>8</w:t>
            </w:r>
          </w:p>
        </w:tc>
        <w:tc>
          <w:tcPr>
            <w:tcW w:w="966" w:type="dxa"/>
            <w:vMerge w:val="continue"/>
            <w:shd w:val="clear" w:color="auto" w:fill="FFFFFF"/>
            <w:noWrap w:val="0"/>
            <w:vAlign w:val="center"/>
          </w:tcPr>
          <w:p w14:paraId="4C544439">
            <w:pPr>
              <w:jc w:val="center"/>
              <w:rPr>
                <w:rFonts w:hint="eastAsia" w:ascii="宋体" w:hAnsi="宋体" w:cs="宋体"/>
                <w:color w:val="000000"/>
                <w:kern w:val="0"/>
                <w:sz w:val="24"/>
              </w:rPr>
            </w:pPr>
          </w:p>
        </w:tc>
      </w:tr>
      <w:tr w14:paraId="4735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3" w:type="dxa"/>
            <w:shd w:val="clear" w:color="auto" w:fill="FFFFFF"/>
            <w:noWrap w:val="0"/>
            <w:vAlign w:val="center"/>
          </w:tcPr>
          <w:p w14:paraId="2544D9D8">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834" w:type="dxa"/>
            <w:vMerge w:val="continue"/>
            <w:shd w:val="clear" w:color="auto" w:fill="auto"/>
            <w:noWrap w:val="0"/>
            <w:vAlign w:val="center"/>
          </w:tcPr>
          <w:p w14:paraId="13257357">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782F8847">
            <w:pPr>
              <w:widowControl/>
              <w:jc w:val="center"/>
              <w:rPr>
                <w:rFonts w:hint="eastAsia" w:ascii="宋体" w:hAnsi="宋体" w:cs="宋体"/>
                <w:color w:val="000000"/>
                <w:kern w:val="0"/>
                <w:sz w:val="24"/>
              </w:rPr>
            </w:pPr>
            <w:r>
              <w:rPr>
                <w:rFonts w:hint="eastAsia" w:ascii="宋体" w:hAnsi="宋体" w:cs="宋体"/>
                <w:color w:val="000000"/>
                <w:kern w:val="0"/>
                <w:sz w:val="24"/>
              </w:rPr>
              <w:t>商用数据库套餐</w:t>
            </w:r>
          </w:p>
        </w:tc>
        <w:tc>
          <w:tcPr>
            <w:tcW w:w="1949" w:type="dxa"/>
            <w:shd w:val="clear" w:color="auto" w:fill="FFFFFF"/>
            <w:noWrap w:val="0"/>
            <w:vAlign w:val="center"/>
          </w:tcPr>
          <w:p w14:paraId="5589EC96">
            <w:pPr>
              <w:widowControl/>
              <w:jc w:val="left"/>
              <w:rPr>
                <w:rFonts w:hint="eastAsia" w:ascii="宋体" w:hAnsi="宋体" w:cs="宋体"/>
                <w:color w:val="000000"/>
                <w:kern w:val="0"/>
                <w:sz w:val="24"/>
              </w:rPr>
            </w:pPr>
            <w:r>
              <w:rPr>
                <w:rFonts w:hint="eastAsia" w:ascii="宋体" w:hAnsi="宋体" w:cs="宋体"/>
                <w:color w:val="000000"/>
                <w:kern w:val="0"/>
                <w:sz w:val="24"/>
              </w:rPr>
              <w:t>国产商用数据库租用、安装及维护（至少支持3种国产数据库）</w:t>
            </w:r>
          </w:p>
        </w:tc>
        <w:tc>
          <w:tcPr>
            <w:tcW w:w="887" w:type="dxa"/>
            <w:shd w:val="clear" w:color="auto" w:fill="FFFFFF"/>
            <w:noWrap w:val="0"/>
            <w:vAlign w:val="center"/>
          </w:tcPr>
          <w:p w14:paraId="06A09CBC">
            <w:pPr>
              <w:widowControl/>
              <w:jc w:val="center"/>
              <w:rPr>
                <w:rFonts w:hint="eastAsia" w:ascii="宋体" w:hAnsi="宋体" w:cs="宋体"/>
                <w:color w:val="000000"/>
                <w:kern w:val="0"/>
                <w:sz w:val="24"/>
              </w:rPr>
            </w:pPr>
            <w:r>
              <w:rPr>
                <w:rFonts w:hint="eastAsia" w:ascii="宋体" w:hAnsi="宋体" w:cs="宋体"/>
                <w:color w:val="000000"/>
                <w:kern w:val="0"/>
                <w:sz w:val="24"/>
              </w:rPr>
              <w:t>1CPU</w:t>
            </w:r>
          </w:p>
        </w:tc>
        <w:tc>
          <w:tcPr>
            <w:tcW w:w="819" w:type="dxa"/>
            <w:shd w:val="clear" w:color="auto" w:fill="FFFFFF"/>
            <w:noWrap w:val="0"/>
            <w:vAlign w:val="center"/>
          </w:tcPr>
          <w:p w14:paraId="1784FE2F">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auto"/>
            <w:noWrap w:val="0"/>
            <w:vAlign w:val="center"/>
          </w:tcPr>
          <w:p w14:paraId="6A31E5D8">
            <w:pPr>
              <w:widowControl/>
              <w:jc w:val="right"/>
              <w:rPr>
                <w:rFonts w:hint="eastAsia" w:ascii="宋体" w:hAnsi="宋体" w:cs="宋体"/>
                <w:b/>
                <w:bCs/>
                <w:color w:val="000000"/>
                <w:kern w:val="0"/>
                <w:sz w:val="24"/>
              </w:rPr>
            </w:pPr>
            <w:r>
              <w:rPr>
                <w:rFonts w:hint="eastAsia" w:ascii="宋体" w:hAnsi="宋体" w:cs="宋体"/>
                <w:b/>
                <w:bCs/>
                <w:color w:val="000000"/>
                <w:kern w:val="0"/>
                <w:sz w:val="24"/>
              </w:rPr>
              <w:t>48</w:t>
            </w:r>
          </w:p>
        </w:tc>
        <w:tc>
          <w:tcPr>
            <w:tcW w:w="966" w:type="dxa"/>
            <w:vMerge w:val="continue"/>
            <w:shd w:val="clear" w:color="auto" w:fill="FFFFFF"/>
            <w:noWrap w:val="0"/>
            <w:vAlign w:val="center"/>
          </w:tcPr>
          <w:p w14:paraId="1FF360B4">
            <w:pPr>
              <w:jc w:val="center"/>
              <w:rPr>
                <w:rFonts w:hint="eastAsia" w:ascii="宋体" w:hAnsi="宋体" w:cs="宋体"/>
                <w:color w:val="000000"/>
                <w:kern w:val="0"/>
                <w:sz w:val="24"/>
              </w:rPr>
            </w:pPr>
          </w:p>
        </w:tc>
      </w:tr>
      <w:tr w14:paraId="5C2F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43" w:type="dxa"/>
            <w:shd w:val="clear" w:color="auto" w:fill="FFFFFF"/>
            <w:noWrap w:val="0"/>
            <w:vAlign w:val="center"/>
          </w:tcPr>
          <w:p w14:paraId="1634F21E">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834" w:type="dxa"/>
            <w:vMerge w:val="continue"/>
            <w:shd w:val="clear" w:color="auto" w:fill="auto"/>
            <w:noWrap w:val="0"/>
            <w:vAlign w:val="center"/>
          </w:tcPr>
          <w:p w14:paraId="7B5588B6">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678E5F5B">
            <w:pPr>
              <w:widowControl/>
              <w:jc w:val="center"/>
              <w:rPr>
                <w:rFonts w:hint="eastAsia" w:ascii="宋体" w:hAnsi="宋体" w:cs="宋体"/>
                <w:color w:val="000000"/>
                <w:kern w:val="0"/>
                <w:sz w:val="24"/>
              </w:rPr>
            </w:pPr>
            <w:r>
              <w:rPr>
                <w:rFonts w:hint="eastAsia" w:ascii="宋体" w:hAnsi="宋体" w:cs="宋体"/>
                <w:color w:val="000000"/>
                <w:kern w:val="0"/>
                <w:sz w:val="24"/>
              </w:rPr>
              <w:t>开源数据库套餐</w:t>
            </w:r>
          </w:p>
        </w:tc>
        <w:tc>
          <w:tcPr>
            <w:tcW w:w="1949" w:type="dxa"/>
            <w:shd w:val="clear" w:color="auto" w:fill="FFFFFF"/>
            <w:noWrap w:val="0"/>
            <w:vAlign w:val="center"/>
          </w:tcPr>
          <w:p w14:paraId="0D96E90C">
            <w:pPr>
              <w:widowControl/>
              <w:jc w:val="left"/>
              <w:rPr>
                <w:rFonts w:hint="eastAsia" w:ascii="宋体" w:hAnsi="宋体" w:cs="宋体"/>
                <w:color w:val="000000"/>
                <w:kern w:val="0"/>
                <w:sz w:val="24"/>
              </w:rPr>
            </w:pPr>
            <w:r>
              <w:rPr>
                <w:rFonts w:hint="eastAsia" w:ascii="宋体" w:hAnsi="宋体" w:cs="宋体"/>
                <w:color w:val="000000"/>
                <w:kern w:val="0"/>
                <w:sz w:val="24"/>
              </w:rPr>
              <w:t>开源数据库安装及维护服务</w:t>
            </w:r>
          </w:p>
        </w:tc>
        <w:tc>
          <w:tcPr>
            <w:tcW w:w="887" w:type="dxa"/>
            <w:shd w:val="clear" w:color="auto" w:fill="FFFFFF"/>
            <w:noWrap w:val="0"/>
            <w:vAlign w:val="center"/>
          </w:tcPr>
          <w:p w14:paraId="04853165">
            <w:pPr>
              <w:widowControl/>
              <w:jc w:val="center"/>
              <w:rPr>
                <w:rFonts w:hint="eastAsia" w:ascii="宋体" w:hAnsi="宋体" w:cs="宋体"/>
                <w:color w:val="000000"/>
                <w:kern w:val="0"/>
                <w:sz w:val="24"/>
              </w:rPr>
            </w:pPr>
            <w:r>
              <w:rPr>
                <w:rFonts w:hint="eastAsia" w:ascii="宋体" w:hAnsi="宋体" w:cs="宋体"/>
                <w:color w:val="000000"/>
                <w:kern w:val="0"/>
                <w:sz w:val="24"/>
              </w:rPr>
              <w:t>1套</w:t>
            </w:r>
          </w:p>
        </w:tc>
        <w:tc>
          <w:tcPr>
            <w:tcW w:w="819" w:type="dxa"/>
            <w:shd w:val="clear" w:color="auto" w:fill="FFFFFF"/>
            <w:noWrap w:val="0"/>
            <w:vAlign w:val="center"/>
          </w:tcPr>
          <w:p w14:paraId="1C09A6A3">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auto"/>
            <w:noWrap w:val="0"/>
            <w:vAlign w:val="center"/>
          </w:tcPr>
          <w:p w14:paraId="0831710D">
            <w:pPr>
              <w:widowControl/>
              <w:jc w:val="right"/>
              <w:rPr>
                <w:rFonts w:hint="eastAsia" w:ascii="宋体" w:hAnsi="宋体" w:cs="宋体"/>
                <w:b/>
                <w:bCs/>
                <w:color w:val="000000"/>
                <w:kern w:val="0"/>
                <w:sz w:val="24"/>
              </w:rPr>
            </w:pPr>
            <w:r>
              <w:rPr>
                <w:rFonts w:hint="eastAsia" w:ascii="宋体" w:hAnsi="宋体" w:cs="宋体"/>
                <w:b/>
                <w:bCs/>
                <w:color w:val="000000"/>
                <w:kern w:val="0"/>
                <w:sz w:val="24"/>
              </w:rPr>
              <w:t>4</w:t>
            </w:r>
          </w:p>
        </w:tc>
        <w:tc>
          <w:tcPr>
            <w:tcW w:w="966" w:type="dxa"/>
            <w:vMerge w:val="continue"/>
            <w:shd w:val="clear" w:color="auto" w:fill="FFFFFF"/>
            <w:noWrap w:val="0"/>
            <w:vAlign w:val="center"/>
          </w:tcPr>
          <w:p w14:paraId="2AE258D6">
            <w:pPr>
              <w:jc w:val="center"/>
              <w:rPr>
                <w:rFonts w:hint="eastAsia" w:ascii="宋体" w:hAnsi="宋体" w:cs="宋体"/>
                <w:color w:val="000000"/>
                <w:kern w:val="0"/>
                <w:sz w:val="24"/>
              </w:rPr>
            </w:pPr>
          </w:p>
        </w:tc>
      </w:tr>
      <w:tr w14:paraId="7831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43" w:type="dxa"/>
            <w:shd w:val="clear" w:color="auto" w:fill="FFFFFF"/>
            <w:noWrap w:val="0"/>
            <w:vAlign w:val="center"/>
          </w:tcPr>
          <w:p w14:paraId="0E3144D0">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834" w:type="dxa"/>
            <w:vMerge w:val="restart"/>
            <w:shd w:val="clear" w:color="auto" w:fill="FFFFFF"/>
            <w:noWrap w:val="0"/>
            <w:vAlign w:val="center"/>
          </w:tcPr>
          <w:p w14:paraId="15B6A8F2">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安全服务</w:t>
            </w:r>
          </w:p>
        </w:tc>
        <w:tc>
          <w:tcPr>
            <w:tcW w:w="1677" w:type="dxa"/>
            <w:shd w:val="clear" w:color="auto" w:fill="FFFFFF"/>
            <w:noWrap w:val="0"/>
            <w:vAlign w:val="center"/>
          </w:tcPr>
          <w:p w14:paraId="3047A715">
            <w:pPr>
              <w:widowControl/>
              <w:jc w:val="center"/>
              <w:rPr>
                <w:rFonts w:hint="eastAsia" w:ascii="宋体" w:hAnsi="宋体" w:cs="宋体"/>
                <w:color w:val="000000"/>
                <w:kern w:val="0"/>
                <w:sz w:val="24"/>
              </w:rPr>
            </w:pPr>
            <w:r>
              <w:rPr>
                <w:rFonts w:hint="eastAsia" w:ascii="宋体" w:hAnsi="宋体" w:cs="宋体"/>
                <w:color w:val="000000"/>
                <w:kern w:val="0"/>
                <w:sz w:val="24"/>
              </w:rPr>
              <w:t>云端抗DDOS服务</w:t>
            </w:r>
          </w:p>
        </w:tc>
        <w:tc>
          <w:tcPr>
            <w:tcW w:w="1949" w:type="dxa"/>
            <w:shd w:val="clear" w:color="auto" w:fill="FFFFFF"/>
            <w:noWrap w:val="0"/>
            <w:vAlign w:val="center"/>
          </w:tcPr>
          <w:p w14:paraId="7B355171">
            <w:pPr>
              <w:widowControl/>
              <w:jc w:val="left"/>
              <w:rPr>
                <w:rFonts w:hint="eastAsia" w:ascii="宋体" w:hAnsi="宋体" w:cs="宋体"/>
                <w:color w:val="000000"/>
                <w:kern w:val="0"/>
                <w:sz w:val="24"/>
              </w:rPr>
            </w:pPr>
            <w:r>
              <w:rPr>
                <w:rFonts w:hint="eastAsia" w:ascii="宋体" w:hAnsi="宋体" w:cs="宋体"/>
                <w:color w:val="000000"/>
                <w:kern w:val="0"/>
                <w:sz w:val="24"/>
              </w:rPr>
              <w:t>云端抗DDOS服务</w:t>
            </w:r>
          </w:p>
        </w:tc>
        <w:tc>
          <w:tcPr>
            <w:tcW w:w="887" w:type="dxa"/>
            <w:shd w:val="clear" w:color="auto" w:fill="FFFFFF"/>
            <w:noWrap w:val="0"/>
            <w:vAlign w:val="center"/>
          </w:tcPr>
          <w:p w14:paraId="4A97A33E">
            <w:pPr>
              <w:widowControl/>
              <w:jc w:val="center"/>
              <w:rPr>
                <w:rFonts w:hint="eastAsia" w:ascii="宋体" w:hAnsi="宋体" w:cs="宋体"/>
                <w:color w:val="000000"/>
                <w:kern w:val="0"/>
                <w:sz w:val="24"/>
              </w:rPr>
            </w:pPr>
            <w:r>
              <w:rPr>
                <w:rFonts w:hint="eastAsia" w:ascii="宋体" w:hAnsi="宋体" w:cs="宋体"/>
                <w:color w:val="000000"/>
                <w:kern w:val="0"/>
                <w:sz w:val="24"/>
              </w:rPr>
              <w:t>1站点</w:t>
            </w:r>
          </w:p>
        </w:tc>
        <w:tc>
          <w:tcPr>
            <w:tcW w:w="819" w:type="dxa"/>
            <w:shd w:val="clear" w:color="auto" w:fill="FFFFFF"/>
            <w:noWrap w:val="0"/>
            <w:vAlign w:val="center"/>
          </w:tcPr>
          <w:p w14:paraId="255721B7">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FFFFFF"/>
            <w:noWrap w:val="0"/>
            <w:vAlign w:val="center"/>
          </w:tcPr>
          <w:p w14:paraId="3ABFA6BE">
            <w:pPr>
              <w:widowControl/>
              <w:jc w:val="right"/>
              <w:rPr>
                <w:rFonts w:hint="eastAsia" w:ascii="宋体" w:hAnsi="宋体" w:cs="宋体"/>
                <w:b/>
                <w:bCs/>
                <w:color w:val="000000"/>
                <w:kern w:val="0"/>
                <w:sz w:val="24"/>
              </w:rPr>
            </w:pPr>
            <w:r>
              <w:rPr>
                <w:rFonts w:hint="eastAsia" w:ascii="宋体" w:hAnsi="宋体" w:cs="宋体"/>
                <w:b/>
                <w:bCs/>
                <w:color w:val="000000"/>
                <w:kern w:val="0"/>
                <w:sz w:val="24"/>
              </w:rPr>
              <w:t>3</w:t>
            </w:r>
          </w:p>
        </w:tc>
        <w:tc>
          <w:tcPr>
            <w:tcW w:w="966" w:type="dxa"/>
            <w:vMerge w:val="continue"/>
            <w:shd w:val="clear" w:color="auto" w:fill="FFFFFF"/>
            <w:noWrap w:val="0"/>
            <w:vAlign w:val="center"/>
          </w:tcPr>
          <w:p w14:paraId="1EBFE832">
            <w:pPr>
              <w:jc w:val="center"/>
              <w:rPr>
                <w:rFonts w:hint="eastAsia" w:ascii="宋体" w:hAnsi="宋体" w:cs="宋体"/>
                <w:color w:val="000000"/>
                <w:kern w:val="0"/>
                <w:sz w:val="24"/>
              </w:rPr>
            </w:pPr>
          </w:p>
        </w:tc>
      </w:tr>
      <w:tr w14:paraId="5A2B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3" w:type="dxa"/>
            <w:shd w:val="clear" w:color="auto" w:fill="FFFFFF"/>
            <w:noWrap w:val="0"/>
            <w:vAlign w:val="center"/>
          </w:tcPr>
          <w:p w14:paraId="40CA60AB">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834" w:type="dxa"/>
            <w:vMerge w:val="continue"/>
            <w:shd w:val="clear" w:color="auto" w:fill="auto"/>
            <w:noWrap w:val="0"/>
            <w:vAlign w:val="center"/>
          </w:tcPr>
          <w:p w14:paraId="461F85F5">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3F7BE6C5">
            <w:pPr>
              <w:widowControl/>
              <w:jc w:val="center"/>
              <w:rPr>
                <w:rFonts w:hint="eastAsia" w:ascii="宋体" w:hAnsi="宋体" w:cs="宋体"/>
                <w:color w:val="000000"/>
                <w:kern w:val="0"/>
                <w:sz w:val="24"/>
              </w:rPr>
            </w:pPr>
            <w:r>
              <w:rPr>
                <w:rFonts w:hint="eastAsia" w:ascii="宋体" w:hAnsi="宋体" w:cs="宋体"/>
                <w:color w:val="000000"/>
                <w:kern w:val="0"/>
                <w:sz w:val="24"/>
              </w:rPr>
              <w:t>云端APT防护服务</w:t>
            </w:r>
          </w:p>
        </w:tc>
        <w:tc>
          <w:tcPr>
            <w:tcW w:w="1949" w:type="dxa"/>
            <w:shd w:val="clear" w:color="auto" w:fill="FFFFFF"/>
            <w:noWrap w:val="0"/>
            <w:vAlign w:val="center"/>
          </w:tcPr>
          <w:p w14:paraId="21F93D68">
            <w:pPr>
              <w:widowControl/>
              <w:jc w:val="left"/>
              <w:rPr>
                <w:rFonts w:hint="eastAsia" w:ascii="宋体" w:hAnsi="宋体" w:cs="宋体"/>
                <w:color w:val="000000"/>
                <w:kern w:val="0"/>
                <w:sz w:val="24"/>
              </w:rPr>
            </w:pPr>
            <w:r>
              <w:rPr>
                <w:rFonts w:hint="eastAsia" w:ascii="宋体" w:hAnsi="宋体" w:cs="宋体"/>
                <w:color w:val="000000"/>
                <w:kern w:val="0"/>
                <w:sz w:val="24"/>
              </w:rPr>
              <w:t>云端APT防护服务</w:t>
            </w:r>
          </w:p>
        </w:tc>
        <w:tc>
          <w:tcPr>
            <w:tcW w:w="887" w:type="dxa"/>
            <w:shd w:val="clear" w:color="auto" w:fill="FFFFFF"/>
            <w:noWrap w:val="0"/>
            <w:vAlign w:val="center"/>
          </w:tcPr>
          <w:p w14:paraId="30A19DAA">
            <w:pPr>
              <w:widowControl/>
              <w:jc w:val="center"/>
              <w:rPr>
                <w:rFonts w:hint="eastAsia" w:ascii="宋体" w:hAnsi="宋体" w:cs="宋体"/>
                <w:color w:val="000000"/>
                <w:kern w:val="0"/>
                <w:sz w:val="24"/>
              </w:rPr>
            </w:pPr>
            <w:r>
              <w:rPr>
                <w:rFonts w:hint="eastAsia" w:ascii="宋体" w:hAnsi="宋体" w:cs="宋体"/>
                <w:color w:val="000000"/>
                <w:kern w:val="0"/>
                <w:sz w:val="24"/>
              </w:rPr>
              <w:t>1套</w:t>
            </w:r>
          </w:p>
        </w:tc>
        <w:tc>
          <w:tcPr>
            <w:tcW w:w="819" w:type="dxa"/>
            <w:shd w:val="clear" w:color="auto" w:fill="FFFFFF"/>
            <w:noWrap w:val="0"/>
            <w:vAlign w:val="center"/>
          </w:tcPr>
          <w:p w14:paraId="701FA719">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FFFFFF"/>
            <w:noWrap w:val="0"/>
            <w:vAlign w:val="center"/>
          </w:tcPr>
          <w:p w14:paraId="5215D9C8">
            <w:pPr>
              <w:widowControl/>
              <w:jc w:val="right"/>
              <w:rPr>
                <w:rFonts w:hint="eastAsia" w:ascii="宋体" w:hAnsi="宋体" w:cs="宋体"/>
                <w:b/>
                <w:bCs/>
                <w:color w:val="000000"/>
                <w:kern w:val="0"/>
                <w:sz w:val="24"/>
              </w:rPr>
            </w:pPr>
            <w:r>
              <w:rPr>
                <w:rFonts w:hint="eastAsia" w:ascii="宋体" w:hAnsi="宋体" w:cs="宋体"/>
                <w:b/>
                <w:bCs/>
                <w:color w:val="000000"/>
                <w:kern w:val="0"/>
                <w:sz w:val="24"/>
              </w:rPr>
              <w:t>6</w:t>
            </w:r>
          </w:p>
        </w:tc>
        <w:tc>
          <w:tcPr>
            <w:tcW w:w="966" w:type="dxa"/>
            <w:vMerge w:val="continue"/>
            <w:shd w:val="clear" w:color="auto" w:fill="FFFFFF"/>
            <w:noWrap w:val="0"/>
            <w:vAlign w:val="center"/>
          </w:tcPr>
          <w:p w14:paraId="5C12CA96">
            <w:pPr>
              <w:jc w:val="center"/>
              <w:rPr>
                <w:rFonts w:hint="eastAsia" w:ascii="宋体" w:hAnsi="宋体" w:cs="宋体"/>
                <w:color w:val="000000"/>
                <w:kern w:val="0"/>
                <w:sz w:val="24"/>
              </w:rPr>
            </w:pPr>
          </w:p>
        </w:tc>
      </w:tr>
      <w:tr w14:paraId="7DD6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3" w:type="dxa"/>
            <w:shd w:val="clear" w:color="auto" w:fill="FFFFFF"/>
            <w:noWrap w:val="0"/>
            <w:vAlign w:val="center"/>
          </w:tcPr>
          <w:p w14:paraId="39EFE1A2">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834" w:type="dxa"/>
            <w:vMerge w:val="continue"/>
            <w:shd w:val="clear" w:color="auto" w:fill="auto"/>
            <w:noWrap w:val="0"/>
            <w:vAlign w:val="center"/>
          </w:tcPr>
          <w:p w14:paraId="3C6DB3E9">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4E85BC98">
            <w:pPr>
              <w:widowControl/>
              <w:jc w:val="center"/>
              <w:rPr>
                <w:rFonts w:hint="eastAsia" w:ascii="宋体" w:hAnsi="宋体" w:cs="宋体"/>
                <w:color w:val="000000"/>
                <w:kern w:val="0"/>
                <w:sz w:val="24"/>
              </w:rPr>
            </w:pPr>
            <w:r>
              <w:rPr>
                <w:rFonts w:hint="eastAsia" w:ascii="宋体" w:hAnsi="宋体" w:cs="宋体"/>
                <w:color w:val="000000"/>
                <w:kern w:val="0"/>
                <w:sz w:val="24"/>
              </w:rPr>
              <w:t>主机杀毒服务</w:t>
            </w:r>
          </w:p>
        </w:tc>
        <w:tc>
          <w:tcPr>
            <w:tcW w:w="1949" w:type="dxa"/>
            <w:shd w:val="clear" w:color="auto" w:fill="FFFFFF"/>
            <w:noWrap w:val="0"/>
            <w:vAlign w:val="center"/>
          </w:tcPr>
          <w:p w14:paraId="6E2CC196">
            <w:pPr>
              <w:widowControl/>
              <w:jc w:val="left"/>
              <w:rPr>
                <w:rFonts w:hint="eastAsia" w:ascii="宋体" w:hAnsi="宋体" w:cs="宋体"/>
                <w:color w:val="000000"/>
                <w:kern w:val="0"/>
                <w:sz w:val="24"/>
              </w:rPr>
            </w:pPr>
            <w:r>
              <w:rPr>
                <w:rFonts w:hint="eastAsia" w:ascii="宋体" w:hAnsi="宋体" w:cs="宋体"/>
                <w:color w:val="000000"/>
                <w:kern w:val="0"/>
                <w:sz w:val="24"/>
              </w:rPr>
              <w:t>主机杀毒服务</w:t>
            </w:r>
          </w:p>
        </w:tc>
        <w:tc>
          <w:tcPr>
            <w:tcW w:w="887" w:type="dxa"/>
            <w:shd w:val="clear" w:color="auto" w:fill="FFFFFF"/>
            <w:noWrap w:val="0"/>
            <w:vAlign w:val="center"/>
          </w:tcPr>
          <w:p w14:paraId="3F25132B">
            <w:pPr>
              <w:widowControl/>
              <w:jc w:val="center"/>
              <w:rPr>
                <w:rFonts w:hint="eastAsia" w:ascii="宋体" w:hAnsi="宋体" w:cs="宋体"/>
                <w:color w:val="000000"/>
                <w:kern w:val="0"/>
                <w:sz w:val="24"/>
              </w:rPr>
            </w:pPr>
            <w:r>
              <w:rPr>
                <w:rFonts w:hint="eastAsia" w:ascii="宋体" w:hAnsi="宋体" w:cs="宋体"/>
                <w:color w:val="000000"/>
                <w:kern w:val="0"/>
                <w:sz w:val="24"/>
              </w:rPr>
              <w:t>1台</w:t>
            </w:r>
          </w:p>
        </w:tc>
        <w:tc>
          <w:tcPr>
            <w:tcW w:w="819" w:type="dxa"/>
            <w:shd w:val="clear" w:color="auto" w:fill="FFFFFF"/>
            <w:noWrap w:val="0"/>
            <w:vAlign w:val="center"/>
          </w:tcPr>
          <w:p w14:paraId="5A718ED7">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FFFFFF"/>
            <w:noWrap w:val="0"/>
            <w:vAlign w:val="center"/>
          </w:tcPr>
          <w:p w14:paraId="04DBBC11">
            <w:pPr>
              <w:widowControl/>
              <w:jc w:val="right"/>
              <w:rPr>
                <w:rFonts w:hint="eastAsia" w:ascii="宋体" w:hAnsi="宋体" w:cs="宋体"/>
                <w:b/>
                <w:bCs/>
                <w:color w:val="000000"/>
                <w:kern w:val="0"/>
                <w:sz w:val="24"/>
              </w:rPr>
            </w:pPr>
            <w:r>
              <w:rPr>
                <w:rFonts w:hint="eastAsia" w:ascii="宋体" w:hAnsi="宋体" w:cs="宋体"/>
                <w:b/>
                <w:bCs/>
                <w:color w:val="000000"/>
                <w:kern w:val="0"/>
                <w:sz w:val="24"/>
              </w:rPr>
              <w:t>52</w:t>
            </w:r>
          </w:p>
        </w:tc>
        <w:tc>
          <w:tcPr>
            <w:tcW w:w="966" w:type="dxa"/>
            <w:vMerge w:val="continue"/>
            <w:shd w:val="clear" w:color="auto" w:fill="FFFFFF"/>
            <w:noWrap w:val="0"/>
            <w:vAlign w:val="center"/>
          </w:tcPr>
          <w:p w14:paraId="10A45637">
            <w:pPr>
              <w:jc w:val="center"/>
              <w:rPr>
                <w:rFonts w:hint="eastAsia" w:ascii="宋体" w:hAnsi="宋体" w:cs="宋体"/>
                <w:color w:val="000000"/>
                <w:kern w:val="0"/>
                <w:sz w:val="24"/>
              </w:rPr>
            </w:pPr>
          </w:p>
        </w:tc>
      </w:tr>
      <w:tr w14:paraId="59F9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3" w:type="dxa"/>
            <w:shd w:val="clear" w:color="auto" w:fill="FFFFFF"/>
            <w:noWrap w:val="0"/>
            <w:vAlign w:val="center"/>
          </w:tcPr>
          <w:p w14:paraId="0A015DF0">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834" w:type="dxa"/>
            <w:vMerge w:val="continue"/>
            <w:shd w:val="clear" w:color="auto" w:fill="auto"/>
            <w:noWrap w:val="0"/>
            <w:vAlign w:val="center"/>
          </w:tcPr>
          <w:p w14:paraId="1FA9391C">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571D8150">
            <w:pPr>
              <w:widowControl/>
              <w:jc w:val="center"/>
              <w:rPr>
                <w:rFonts w:hint="eastAsia" w:ascii="宋体" w:hAnsi="宋体" w:cs="宋体"/>
                <w:color w:val="000000"/>
                <w:kern w:val="0"/>
                <w:sz w:val="24"/>
              </w:rPr>
            </w:pPr>
            <w:r>
              <w:rPr>
                <w:rFonts w:hint="eastAsia" w:ascii="宋体" w:hAnsi="宋体" w:cs="宋体"/>
                <w:color w:val="000000"/>
                <w:kern w:val="0"/>
                <w:sz w:val="24"/>
              </w:rPr>
              <w:t>主机防护</w:t>
            </w:r>
          </w:p>
        </w:tc>
        <w:tc>
          <w:tcPr>
            <w:tcW w:w="1949" w:type="dxa"/>
            <w:shd w:val="clear" w:color="auto" w:fill="FFFFFF"/>
            <w:noWrap w:val="0"/>
            <w:vAlign w:val="center"/>
          </w:tcPr>
          <w:p w14:paraId="18002C48">
            <w:pPr>
              <w:widowControl/>
              <w:jc w:val="left"/>
              <w:rPr>
                <w:rFonts w:hint="eastAsia" w:ascii="宋体" w:hAnsi="宋体" w:cs="宋体"/>
                <w:color w:val="000000"/>
                <w:kern w:val="0"/>
                <w:sz w:val="24"/>
              </w:rPr>
            </w:pPr>
            <w:r>
              <w:rPr>
                <w:rFonts w:hint="eastAsia" w:ascii="宋体" w:hAnsi="宋体" w:cs="宋体"/>
                <w:color w:val="000000"/>
                <w:kern w:val="0"/>
                <w:sz w:val="24"/>
              </w:rPr>
              <w:t>主机防护</w:t>
            </w:r>
          </w:p>
        </w:tc>
        <w:tc>
          <w:tcPr>
            <w:tcW w:w="887" w:type="dxa"/>
            <w:shd w:val="clear" w:color="auto" w:fill="FFFFFF"/>
            <w:noWrap w:val="0"/>
            <w:vAlign w:val="center"/>
          </w:tcPr>
          <w:p w14:paraId="4EB2B952">
            <w:pPr>
              <w:widowControl/>
              <w:jc w:val="center"/>
              <w:rPr>
                <w:rFonts w:hint="eastAsia" w:ascii="宋体" w:hAnsi="宋体" w:cs="宋体"/>
                <w:color w:val="000000"/>
                <w:kern w:val="0"/>
                <w:sz w:val="24"/>
              </w:rPr>
            </w:pPr>
            <w:r>
              <w:rPr>
                <w:rFonts w:hint="eastAsia" w:ascii="宋体" w:hAnsi="宋体" w:cs="宋体"/>
                <w:color w:val="000000"/>
                <w:kern w:val="0"/>
                <w:sz w:val="24"/>
              </w:rPr>
              <w:t>1台</w:t>
            </w:r>
          </w:p>
        </w:tc>
        <w:tc>
          <w:tcPr>
            <w:tcW w:w="819" w:type="dxa"/>
            <w:shd w:val="clear" w:color="auto" w:fill="FFFFFF"/>
            <w:noWrap w:val="0"/>
            <w:vAlign w:val="center"/>
          </w:tcPr>
          <w:p w14:paraId="29EAE600">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FFFFFF"/>
            <w:noWrap w:val="0"/>
            <w:vAlign w:val="center"/>
          </w:tcPr>
          <w:p w14:paraId="0BBC8EA7">
            <w:pPr>
              <w:widowControl/>
              <w:jc w:val="right"/>
              <w:rPr>
                <w:rFonts w:hint="eastAsia" w:ascii="宋体" w:hAnsi="宋体" w:cs="宋体"/>
                <w:b/>
                <w:bCs/>
                <w:color w:val="000000"/>
                <w:kern w:val="0"/>
                <w:sz w:val="24"/>
              </w:rPr>
            </w:pPr>
            <w:r>
              <w:rPr>
                <w:rFonts w:hint="eastAsia" w:ascii="宋体" w:hAnsi="宋体" w:cs="宋体"/>
                <w:b/>
                <w:bCs/>
                <w:color w:val="000000"/>
                <w:kern w:val="0"/>
                <w:sz w:val="24"/>
              </w:rPr>
              <w:t>61</w:t>
            </w:r>
          </w:p>
        </w:tc>
        <w:tc>
          <w:tcPr>
            <w:tcW w:w="966" w:type="dxa"/>
            <w:vMerge w:val="continue"/>
            <w:shd w:val="clear" w:color="auto" w:fill="FFFFFF"/>
            <w:noWrap w:val="0"/>
            <w:vAlign w:val="center"/>
          </w:tcPr>
          <w:p w14:paraId="5E8D6184">
            <w:pPr>
              <w:jc w:val="center"/>
              <w:rPr>
                <w:rFonts w:hint="eastAsia" w:ascii="宋体" w:hAnsi="宋体" w:cs="宋体"/>
                <w:color w:val="000000"/>
                <w:kern w:val="0"/>
                <w:sz w:val="24"/>
              </w:rPr>
            </w:pPr>
          </w:p>
        </w:tc>
      </w:tr>
      <w:tr w14:paraId="17BB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43" w:type="dxa"/>
            <w:shd w:val="clear" w:color="auto" w:fill="FFFFFF"/>
            <w:noWrap w:val="0"/>
            <w:vAlign w:val="center"/>
          </w:tcPr>
          <w:p w14:paraId="38F34692">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834" w:type="dxa"/>
            <w:vMerge w:val="continue"/>
            <w:shd w:val="clear" w:color="auto" w:fill="auto"/>
            <w:noWrap w:val="0"/>
            <w:vAlign w:val="center"/>
          </w:tcPr>
          <w:p w14:paraId="32FB7124">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39016767">
            <w:pPr>
              <w:widowControl/>
              <w:jc w:val="center"/>
              <w:rPr>
                <w:rFonts w:hint="eastAsia" w:ascii="宋体" w:hAnsi="宋体" w:cs="宋体"/>
                <w:color w:val="000000"/>
                <w:kern w:val="0"/>
                <w:sz w:val="24"/>
              </w:rPr>
            </w:pPr>
            <w:r>
              <w:rPr>
                <w:rFonts w:hint="eastAsia" w:ascii="宋体" w:hAnsi="宋体" w:cs="宋体"/>
                <w:color w:val="000000"/>
                <w:kern w:val="0"/>
                <w:sz w:val="24"/>
              </w:rPr>
              <w:t>主机安全加固</w:t>
            </w:r>
          </w:p>
        </w:tc>
        <w:tc>
          <w:tcPr>
            <w:tcW w:w="1949" w:type="dxa"/>
            <w:shd w:val="clear" w:color="auto" w:fill="FFFFFF"/>
            <w:noWrap w:val="0"/>
            <w:vAlign w:val="center"/>
          </w:tcPr>
          <w:p w14:paraId="3A870243">
            <w:pPr>
              <w:widowControl/>
              <w:jc w:val="left"/>
              <w:rPr>
                <w:rFonts w:hint="eastAsia" w:ascii="宋体" w:hAnsi="宋体" w:cs="宋体"/>
                <w:color w:val="000000"/>
                <w:kern w:val="0"/>
                <w:sz w:val="24"/>
              </w:rPr>
            </w:pPr>
            <w:r>
              <w:rPr>
                <w:rFonts w:hint="eastAsia" w:ascii="宋体" w:hAnsi="宋体" w:cs="宋体"/>
                <w:color w:val="000000"/>
                <w:kern w:val="0"/>
                <w:sz w:val="24"/>
              </w:rPr>
              <w:t>主机安全加固</w:t>
            </w:r>
          </w:p>
        </w:tc>
        <w:tc>
          <w:tcPr>
            <w:tcW w:w="887" w:type="dxa"/>
            <w:shd w:val="clear" w:color="auto" w:fill="FFFFFF"/>
            <w:noWrap w:val="0"/>
            <w:vAlign w:val="center"/>
          </w:tcPr>
          <w:p w14:paraId="7CD8F1C8">
            <w:pPr>
              <w:widowControl/>
              <w:jc w:val="center"/>
              <w:rPr>
                <w:rFonts w:hint="eastAsia" w:ascii="宋体" w:hAnsi="宋体" w:cs="宋体"/>
                <w:color w:val="000000"/>
                <w:kern w:val="0"/>
                <w:sz w:val="24"/>
              </w:rPr>
            </w:pPr>
            <w:r>
              <w:rPr>
                <w:rFonts w:hint="eastAsia" w:ascii="宋体" w:hAnsi="宋体" w:cs="宋体"/>
                <w:color w:val="000000"/>
                <w:kern w:val="0"/>
                <w:sz w:val="24"/>
              </w:rPr>
              <w:t>1台</w:t>
            </w:r>
          </w:p>
        </w:tc>
        <w:tc>
          <w:tcPr>
            <w:tcW w:w="819" w:type="dxa"/>
            <w:shd w:val="clear" w:color="auto" w:fill="FFFFFF"/>
            <w:noWrap w:val="0"/>
            <w:vAlign w:val="center"/>
          </w:tcPr>
          <w:p w14:paraId="79F39FD3">
            <w:pPr>
              <w:widowControl/>
              <w:jc w:val="center"/>
              <w:rPr>
                <w:rFonts w:hint="eastAsia" w:ascii="宋体" w:hAnsi="宋体" w:cs="宋体"/>
                <w:color w:val="000000"/>
                <w:kern w:val="0"/>
                <w:sz w:val="24"/>
              </w:rPr>
            </w:pPr>
            <w:r>
              <w:rPr>
                <w:rFonts w:hint="eastAsia" w:ascii="宋体" w:hAnsi="宋体" w:cs="宋体"/>
                <w:color w:val="000000"/>
                <w:kern w:val="0"/>
                <w:sz w:val="24"/>
              </w:rPr>
              <w:t>元/次</w:t>
            </w:r>
          </w:p>
        </w:tc>
        <w:tc>
          <w:tcPr>
            <w:tcW w:w="857" w:type="dxa"/>
            <w:shd w:val="clear" w:color="auto" w:fill="FFFFFF"/>
            <w:noWrap w:val="0"/>
            <w:vAlign w:val="center"/>
          </w:tcPr>
          <w:p w14:paraId="3E501764">
            <w:pPr>
              <w:widowControl/>
              <w:jc w:val="right"/>
              <w:rPr>
                <w:rFonts w:hint="eastAsia" w:ascii="宋体" w:hAnsi="宋体" w:cs="宋体"/>
                <w:b/>
                <w:bCs/>
                <w:color w:val="000000"/>
                <w:kern w:val="0"/>
                <w:sz w:val="24"/>
              </w:rPr>
            </w:pPr>
            <w:r>
              <w:rPr>
                <w:rFonts w:hint="eastAsia" w:ascii="宋体" w:hAnsi="宋体" w:cs="宋体"/>
                <w:b/>
                <w:bCs/>
                <w:color w:val="000000"/>
                <w:kern w:val="0"/>
                <w:sz w:val="24"/>
              </w:rPr>
              <w:t>51</w:t>
            </w:r>
          </w:p>
        </w:tc>
        <w:tc>
          <w:tcPr>
            <w:tcW w:w="966" w:type="dxa"/>
            <w:vMerge w:val="continue"/>
            <w:shd w:val="clear" w:color="auto" w:fill="FFFFFF"/>
            <w:noWrap w:val="0"/>
            <w:vAlign w:val="center"/>
          </w:tcPr>
          <w:p w14:paraId="18343512">
            <w:pPr>
              <w:jc w:val="center"/>
              <w:rPr>
                <w:rFonts w:hint="eastAsia" w:ascii="宋体" w:hAnsi="宋体" w:cs="宋体"/>
                <w:color w:val="000000"/>
                <w:kern w:val="0"/>
                <w:sz w:val="24"/>
              </w:rPr>
            </w:pPr>
          </w:p>
        </w:tc>
      </w:tr>
      <w:tr w14:paraId="12CD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43" w:type="dxa"/>
            <w:shd w:val="clear" w:color="auto" w:fill="FFFFFF"/>
            <w:noWrap w:val="0"/>
            <w:vAlign w:val="center"/>
          </w:tcPr>
          <w:p w14:paraId="1655C29A">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834" w:type="dxa"/>
            <w:vMerge w:val="continue"/>
            <w:shd w:val="clear" w:color="auto" w:fill="auto"/>
            <w:noWrap w:val="0"/>
            <w:vAlign w:val="center"/>
          </w:tcPr>
          <w:p w14:paraId="4A1A8DAD">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20C7A329">
            <w:pPr>
              <w:widowControl/>
              <w:jc w:val="center"/>
              <w:rPr>
                <w:rFonts w:hint="eastAsia" w:ascii="宋体" w:hAnsi="宋体" w:cs="宋体"/>
                <w:color w:val="000000"/>
                <w:kern w:val="0"/>
                <w:sz w:val="24"/>
              </w:rPr>
            </w:pPr>
            <w:r>
              <w:rPr>
                <w:rFonts w:hint="eastAsia" w:ascii="宋体" w:hAnsi="宋体" w:cs="宋体"/>
                <w:color w:val="000000"/>
                <w:kern w:val="0"/>
                <w:sz w:val="24"/>
              </w:rPr>
              <w:t>网页防篡改服务</w:t>
            </w:r>
          </w:p>
        </w:tc>
        <w:tc>
          <w:tcPr>
            <w:tcW w:w="1949" w:type="dxa"/>
            <w:shd w:val="clear" w:color="auto" w:fill="FFFFFF"/>
            <w:noWrap w:val="0"/>
            <w:vAlign w:val="center"/>
          </w:tcPr>
          <w:p w14:paraId="0911E781">
            <w:pPr>
              <w:widowControl/>
              <w:jc w:val="left"/>
              <w:rPr>
                <w:rFonts w:hint="eastAsia" w:ascii="宋体" w:hAnsi="宋体" w:cs="宋体"/>
                <w:color w:val="000000"/>
                <w:kern w:val="0"/>
                <w:sz w:val="24"/>
              </w:rPr>
            </w:pPr>
            <w:r>
              <w:rPr>
                <w:rFonts w:hint="eastAsia" w:ascii="宋体" w:hAnsi="宋体" w:cs="宋体"/>
                <w:color w:val="000000"/>
                <w:kern w:val="0"/>
                <w:sz w:val="24"/>
              </w:rPr>
              <w:t>网页防篡改服务</w:t>
            </w:r>
          </w:p>
        </w:tc>
        <w:tc>
          <w:tcPr>
            <w:tcW w:w="887" w:type="dxa"/>
            <w:shd w:val="clear" w:color="auto" w:fill="FFFFFF"/>
            <w:noWrap w:val="0"/>
            <w:vAlign w:val="center"/>
          </w:tcPr>
          <w:p w14:paraId="4234176C">
            <w:pPr>
              <w:widowControl/>
              <w:jc w:val="center"/>
              <w:rPr>
                <w:rFonts w:hint="eastAsia" w:ascii="宋体" w:hAnsi="宋体" w:cs="宋体"/>
                <w:color w:val="000000"/>
                <w:kern w:val="0"/>
                <w:sz w:val="24"/>
              </w:rPr>
            </w:pPr>
            <w:r>
              <w:rPr>
                <w:rFonts w:hint="eastAsia" w:ascii="宋体" w:hAnsi="宋体" w:cs="宋体"/>
                <w:color w:val="000000"/>
                <w:kern w:val="0"/>
                <w:sz w:val="24"/>
              </w:rPr>
              <w:t>1监控点</w:t>
            </w:r>
          </w:p>
        </w:tc>
        <w:tc>
          <w:tcPr>
            <w:tcW w:w="819" w:type="dxa"/>
            <w:shd w:val="clear" w:color="auto" w:fill="FFFFFF"/>
            <w:noWrap w:val="0"/>
            <w:vAlign w:val="center"/>
          </w:tcPr>
          <w:p w14:paraId="7F9DE7EA">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FFFFFF"/>
            <w:noWrap w:val="0"/>
            <w:vAlign w:val="center"/>
          </w:tcPr>
          <w:p w14:paraId="14FAFD5C">
            <w:pPr>
              <w:widowControl/>
              <w:jc w:val="right"/>
              <w:rPr>
                <w:rFonts w:hint="eastAsia" w:ascii="宋体" w:hAnsi="宋体" w:cs="宋体"/>
                <w:b/>
                <w:bCs/>
                <w:color w:val="000000"/>
                <w:kern w:val="0"/>
                <w:sz w:val="24"/>
              </w:rPr>
            </w:pPr>
            <w:r>
              <w:rPr>
                <w:rFonts w:hint="eastAsia" w:ascii="宋体" w:hAnsi="宋体" w:cs="宋体"/>
                <w:b/>
                <w:bCs/>
                <w:color w:val="000000"/>
                <w:kern w:val="0"/>
                <w:sz w:val="24"/>
              </w:rPr>
              <w:t>8</w:t>
            </w:r>
          </w:p>
        </w:tc>
        <w:tc>
          <w:tcPr>
            <w:tcW w:w="966" w:type="dxa"/>
            <w:vMerge w:val="continue"/>
            <w:shd w:val="clear" w:color="auto" w:fill="FFFFFF"/>
            <w:noWrap w:val="0"/>
            <w:vAlign w:val="center"/>
          </w:tcPr>
          <w:p w14:paraId="3A7A35D4">
            <w:pPr>
              <w:jc w:val="center"/>
              <w:rPr>
                <w:rFonts w:hint="eastAsia" w:ascii="宋体" w:hAnsi="宋体" w:cs="宋体"/>
                <w:color w:val="000000"/>
                <w:kern w:val="0"/>
                <w:sz w:val="24"/>
              </w:rPr>
            </w:pPr>
          </w:p>
        </w:tc>
      </w:tr>
      <w:tr w14:paraId="16A1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43" w:type="dxa"/>
            <w:shd w:val="clear" w:color="auto" w:fill="FFFFFF"/>
            <w:noWrap w:val="0"/>
            <w:vAlign w:val="center"/>
          </w:tcPr>
          <w:p w14:paraId="786C0348">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834" w:type="dxa"/>
            <w:vMerge w:val="restart"/>
            <w:shd w:val="clear" w:color="auto" w:fill="FFFFFF"/>
            <w:noWrap w:val="0"/>
            <w:vAlign w:val="center"/>
          </w:tcPr>
          <w:p w14:paraId="0FD7704A">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安全检测监测、审计服务</w:t>
            </w:r>
          </w:p>
        </w:tc>
        <w:tc>
          <w:tcPr>
            <w:tcW w:w="1677" w:type="dxa"/>
            <w:shd w:val="clear" w:color="auto" w:fill="FFFFFF"/>
            <w:noWrap w:val="0"/>
            <w:vAlign w:val="center"/>
          </w:tcPr>
          <w:p w14:paraId="155BA970">
            <w:pPr>
              <w:widowControl/>
              <w:jc w:val="center"/>
              <w:rPr>
                <w:rFonts w:hint="eastAsia" w:ascii="宋体" w:hAnsi="宋体" w:cs="宋体"/>
                <w:color w:val="000000"/>
                <w:kern w:val="0"/>
                <w:sz w:val="24"/>
              </w:rPr>
            </w:pPr>
            <w:r>
              <w:rPr>
                <w:rFonts w:hint="eastAsia" w:ascii="宋体" w:hAnsi="宋体" w:cs="宋体"/>
                <w:color w:val="000000"/>
                <w:kern w:val="0"/>
                <w:sz w:val="24"/>
              </w:rPr>
              <w:t>主机漏洞扫描</w:t>
            </w:r>
          </w:p>
        </w:tc>
        <w:tc>
          <w:tcPr>
            <w:tcW w:w="1949" w:type="dxa"/>
            <w:shd w:val="clear" w:color="auto" w:fill="FFFFFF"/>
            <w:noWrap w:val="0"/>
            <w:vAlign w:val="center"/>
          </w:tcPr>
          <w:p w14:paraId="0862C328">
            <w:pPr>
              <w:widowControl/>
              <w:jc w:val="left"/>
              <w:rPr>
                <w:rFonts w:hint="eastAsia" w:ascii="宋体" w:hAnsi="宋体" w:cs="宋体"/>
                <w:color w:val="000000"/>
                <w:kern w:val="0"/>
                <w:sz w:val="24"/>
              </w:rPr>
            </w:pPr>
            <w:r>
              <w:rPr>
                <w:rFonts w:hint="eastAsia" w:ascii="宋体" w:hAnsi="宋体" w:cs="宋体"/>
                <w:color w:val="000000"/>
                <w:kern w:val="0"/>
                <w:sz w:val="24"/>
              </w:rPr>
              <w:t>主机漏洞扫描</w:t>
            </w:r>
          </w:p>
        </w:tc>
        <w:tc>
          <w:tcPr>
            <w:tcW w:w="887" w:type="dxa"/>
            <w:shd w:val="clear" w:color="auto" w:fill="FFFFFF"/>
            <w:noWrap w:val="0"/>
            <w:vAlign w:val="center"/>
          </w:tcPr>
          <w:p w14:paraId="36019D32">
            <w:pPr>
              <w:widowControl/>
              <w:jc w:val="center"/>
              <w:rPr>
                <w:rFonts w:hint="eastAsia" w:ascii="宋体" w:hAnsi="宋体" w:cs="宋体"/>
                <w:color w:val="000000"/>
                <w:kern w:val="0"/>
                <w:sz w:val="24"/>
              </w:rPr>
            </w:pPr>
            <w:r>
              <w:rPr>
                <w:rFonts w:hint="eastAsia" w:ascii="宋体" w:hAnsi="宋体" w:cs="宋体"/>
                <w:color w:val="000000"/>
                <w:kern w:val="0"/>
                <w:sz w:val="24"/>
              </w:rPr>
              <w:t>1台</w:t>
            </w:r>
          </w:p>
        </w:tc>
        <w:tc>
          <w:tcPr>
            <w:tcW w:w="819" w:type="dxa"/>
            <w:shd w:val="clear" w:color="auto" w:fill="FFFFFF"/>
            <w:noWrap w:val="0"/>
            <w:vAlign w:val="center"/>
          </w:tcPr>
          <w:p w14:paraId="537133F3">
            <w:pPr>
              <w:widowControl/>
              <w:jc w:val="center"/>
              <w:rPr>
                <w:rFonts w:hint="eastAsia" w:ascii="宋体" w:hAnsi="宋体" w:cs="宋体"/>
                <w:color w:val="000000"/>
                <w:kern w:val="0"/>
                <w:sz w:val="24"/>
              </w:rPr>
            </w:pPr>
            <w:r>
              <w:rPr>
                <w:rFonts w:hint="eastAsia" w:ascii="宋体" w:hAnsi="宋体" w:cs="宋体"/>
                <w:color w:val="000000"/>
                <w:kern w:val="0"/>
                <w:sz w:val="24"/>
              </w:rPr>
              <w:t>元/次</w:t>
            </w:r>
          </w:p>
        </w:tc>
        <w:tc>
          <w:tcPr>
            <w:tcW w:w="857" w:type="dxa"/>
            <w:shd w:val="clear" w:color="auto" w:fill="FFFFFF"/>
            <w:noWrap w:val="0"/>
            <w:vAlign w:val="center"/>
          </w:tcPr>
          <w:p w14:paraId="1FB12185">
            <w:pPr>
              <w:widowControl/>
              <w:jc w:val="right"/>
              <w:rPr>
                <w:rFonts w:hint="eastAsia" w:ascii="宋体" w:hAnsi="宋体" w:cs="宋体"/>
                <w:b/>
                <w:bCs/>
                <w:color w:val="000000"/>
                <w:kern w:val="0"/>
                <w:sz w:val="24"/>
              </w:rPr>
            </w:pPr>
            <w:r>
              <w:rPr>
                <w:rFonts w:hint="eastAsia" w:ascii="宋体" w:hAnsi="宋体" w:cs="宋体"/>
                <w:b/>
                <w:bCs/>
                <w:color w:val="000000"/>
                <w:kern w:val="0"/>
                <w:sz w:val="24"/>
              </w:rPr>
              <w:t>93</w:t>
            </w:r>
          </w:p>
        </w:tc>
        <w:tc>
          <w:tcPr>
            <w:tcW w:w="966" w:type="dxa"/>
            <w:vMerge w:val="continue"/>
            <w:shd w:val="clear" w:color="auto" w:fill="FFFFFF"/>
            <w:noWrap w:val="0"/>
            <w:vAlign w:val="center"/>
          </w:tcPr>
          <w:p w14:paraId="019F17D7">
            <w:pPr>
              <w:jc w:val="center"/>
              <w:rPr>
                <w:rFonts w:hint="eastAsia" w:ascii="宋体" w:hAnsi="宋体" w:cs="宋体"/>
                <w:color w:val="000000"/>
                <w:kern w:val="0"/>
                <w:sz w:val="24"/>
              </w:rPr>
            </w:pPr>
          </w:p>
        </w:tc>
      </w:tr>
      <w:tr w14:paraId="0077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3" w:type="dxa"/>
            <w:shd w:val="clear" w:color="auto" w:fill="FFFFFF"/>
            <w:noWrap w:val="0"/>
            <w:vAlign w:val="center"/>
          </w:tcPr>
          <w:p w14:paraId="064399EC">
            <w:pPr>
              <w:widowControl/>
              <w:jc w:val="center"/>
              <w:rPr>
                <w:rFonts w:hint="eastAsia" w:ascii="宋体" w:hAnsi="宋体" w:cs="宋体"/>
                <w:color w:val="000000"/>
                <w:kern w:val="0"/>
                <w:sz w:val="24"/>
              </w:rPr>
            </w:pPr>
            <w:r>
              <w:rPr>
                <w:rFonts w:hint="eastAsia" w:ascii="宋体" w:hAnsi="宋体" w:cs="宋体"/>
                <w:color w:val="000000"/>
                <w:kern w:val="0"/>
                <w:sz w:val="24"/>
              </w:rPr>
              <w:t>14</w:t>
            </w:r>
          </w:p>
        </w:tc>
        <w:tc>
          <w:tcPr>
            <w:tcW w:w="834" w:type="dxa"/>
            <w:vMerge w:val="continue"/>
            <w:shd w:val="clear" w:color="auto" w:fill="auto"/>
            <w:noWrap w:val="0"/>
            <w:vAlign w:val="center"/>
          </w:tcPr>
          <w:p w14:paraId="0BA565F1">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113C6A3F">
            <w:pPr>
              <w:widowControl/>
              <w:jc w:val="center"/>
              <w:rPr>
                <w:rFonts w:hint="eastAsia" w:ascii="宋体" w:hAnsi="宋体" w:cs="宋体"/>
                <w:color w:val="000000"/>
                <w:kern w:val="0"/>
                <w:sz w:val="24"/>
              </w:rPr>
            </w:pPr>
            <w:r>
              <w:rPr>
                <w:rFonts w:hint="eastAsia" w:ascii="宋体" w:hAnsi="宋体" w:cs="宋体"/>
                <w:color w:val="000000"/>
                <w:kern w:val="0"/>
                <w:sz w:val="24"/>
              </w:rPr>
              <w:t>主机日志分析</w:t>
            </w:r>
          </w:p>
        </w:tc>
        <w:tc>
          <w:tcPr>
            <w:tcW w:w="1949" w:type="dxa"/>
            <w:shd w:val="clear" w:color="auto" w:fill="FFFFFF"/>
            <w:noWrap w:val="0"/>
            <w:vAlign w:val="center"/>
          </w:tcPr>
          <w:p w14:paraId="6B564BB0">
            <w:pPr>
              <w:widowControl/>
              <w:jc w:val="left"/>
              <w:rPr>
                <w:rFonts w:hint="eastAsia" w:ascii="宋体" w:hAnsi="宋体" w:cs="宋体"/>
                <w:color w:val="000000"/>
                <w:kern w:val="0"/>
                <w:sz w:val="24"/>
              </w:rPr>
            </w:pPr>
            <w:r>
              <w:rPr>
                <w:rFonts w:hint="eastAsia" w:ascii="宋体" w:hAnsi="宋体" w:cs="宋体"/>
                <w:color w:val="000000"/>
                <w:kern w:val="0"/>
                <w:sz w:val="24"/>
              </w:rPr>
              <w:t>主机日志分析</w:t>
            </w:r>
          </w:p>
        </w:tc>
        <w:tc>
          <w:tcPr>
            <w:tcW w:w="887" w:type="dxa"/>
            <w:shd w:val="clear" w:color="auto" w:fill="FFFFFF"/>
            <w:noWrap w:val="0"/>
            <w:vAlign w:val="center"/>
          </w:tcPr>
          <w:p w14:paraId="06D7E94D">
            <w:pPr>
              <w:widowControl/>
              <w:jc w:val="center"/>
              <w:rPr>
                <w:rFonts w:hint="eastAsia" w:ascii="宋体" w:hAnsi="宋体" w:cs="宋体"/>
                <w:color w:val="000000"/>
                <w:kern w:val="0"/>
                <w:sz w:val="24"/>
              </w:rPr>
            </w:pPr>
            <w:r>
              <w:rPr>
                <w:rFonts w:hint="eastAsia" w:ascii="宋体" w:hAnsi="宋体" w:cs="宋体"/>
                <w:color w:val="000000"/>
                <w:kern w:val="0"/>
                <w:sz w:val="24"/>
              </w:rPr>
              <w:t>1台</w:t>
            </w:r>
          </w:p>
        </w:tc>
        <w:tc>
          <w:tcPr>
            <w:tcW w:w="819" w:type="dxa"/>
            <w:shd w:val="clear" w:color="auto" w:fill="FFFFFF"/>
            <w:noWrap w:val="0"/>
            <w:vAlign w:val="center"/>
          </w:tcPr>
          <w:p w14:paraId="18D03A31">
            <w:pPr>
              <w:widowControl/>
              <w:jc w:val="center"/>
              <w:rPr>
                <w:rFonts w:hint="eastAsia" w:ascii="宋体" w:hAnsi="宋体" w:cs="宋体"/>
                <w:color w:val="000000"/>
                <w:kern w:val="0"/>
                <w:sz w:val="24"/>
              </w:rPr>
            </w:pPr>
            <w:r>
              <w:rPr>
                <w:rFonts w:hint="eastAsia" w:ascii="宋体" w:hAnsi="宋体" w:cs="宋体"/>
                <w:color w:val="000000"/>
                <w:kern w:val="0"/>
                <w:sz w:val="24"/>
              </w:rPr>
              <w:t>元/次</w:t>
            </w:r>
          </w:p>
        </w:tc>
        <w:tc>
          <w:tcPr>
            <w:tcW w:w="857" w:type="dxa"/>
            <w:shd w:val="clear" w:color="auto" w:fill="FFFFFF"/>
            <w:noWrap w:val="0"/>
            <w:vAlign w:val="center"/>
          </w:tcPr>
          <w:p w14:paraId="3AF36869">
            <w:pPr>
              <w:widowControl/>
              <w:jc w:val="right"/>
              <w:rPr>
                <w:rFonts w:hint="eastAsia" w:ascii="宋体" w:hAnsi="宋体" w:cs="宋体"/>
                <w:b/>
                <w:bCs/>
                <w:color w:val="000000"/>
                <w:kern w:val="0"/>
                <w:sz w:val="24"/>
              </w:rPr>
            </w:pPr>
            <w:r>
              <w:rPr>
                <w:rFonts w:hint="eastAsia" w:ascii="宋体" w:hAnsi="宋体" w:cs="宋体"/>
                <w:b/>
                <w:bCs/>
                <w:color w:val="000000"/>
                <w:kern w:val="0"/>
                <w:sz w:val="24"/>
              </w:rPr>
              <w:t>35</w:t>
            </w:r>
          </w:p>
        </w:tc>
        <w:tc>
          <w:tcPr>
            <w:tcW w:w="966" w:type="dxa"/>
            <w:vMerge w:val="continue"/>
            <w:shd w:val="clear" w:color="auto" w:fill="FFFFFF"/>
            <w:noWrap w:val="0"/>
            <w:vAlign w:val="center"/>
          </w:tcPr>
          <w:p w14:paraId="54D13E47">
            <w:pPr>
              <w:jc w:val="center"/>
              <w:rPr>
                <w:rFonts w:hint="eastAsia" w:ascii="宋体" w:hAnsi="宋体" w:cs="宋体"/>
                <w:color w:val="000000"/>
                <w:kern w:val="0"/>
                <w:sz w:val="24"/>
              </w:rPr>
            </w:pPr>
          </w:p>
        </w:tc>
      </w:tr>
      <w:tr w14:paraId="299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3" w:type="dxa"/>
            <w:shd w:val="clear" w:color="auto" w:fill="FFFFFF"/>
            <w:noWrap w:val="0"/>
            <w:vAlign w:val="center"/>
          </w:tcPr>
          <w:p w14:paraId="37D280D0">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834" w:type="dxa"/>
            <w:vMerge w:val="continue"/>
            <w:shd w:val="clear" w:color="auto" w:fill="auto"/>
            <w:noWrap w:val="0"/>
            <w:vAlign w:val="center"/>
          </w:tcPr>
          <w:p w14:paraId="44266AFD">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197C3BE0">
            <w:pPr>
              <w:widowControl/>
              <w:jc w:val="center"/>
              <w:rPr>
                <w:rFonts w:hint="eastAsia" w:ascii="宋体" w:hAnsi="宋体" w:cs="宋体"/>
                <w:color w:val="000000"/>
                <w:kern w:val="0"/>
                <w:sz w:val="24"/>
              </w:rPr>
            </w:pPr>
            <w:r>
              <w:rPr>
                <w:rFonts w:hint="eastAsia" w:ascii="宋体" w:hAnsi="宋体" w:cs="宋体"/>
                <w:color w:val="000000"/>
                <w:kern w:val="0"/>
                <w:sz w:val="24"/>
              </w:rPr>
              <w:t>数据库审计服务</w:t>
            </w:r>
          </w:p>
        </w:tc>
        <w:tc>
          <w:tcPr>
            <w:tcW w:w="1949" w:type="dxa"/>
            <w:shd w:val="clear" w:color="auto" w:fill="FFFFFF"/>
            <w:noWrap w:val="0"/>
            <w:vAlign w:val="center"/>
          </w:tcPr>
          <w:p w14:paraId="1586CAA8">
            <w:pPr>
              <w:widowControl/>
              <w:jc w:val="left"/>
              <w:rPr>
                <w:rFonts w:hint="eastAsia" w:ascii="宋体" w:hAnsi="宋体" w:cs="宋体"/>
                <w:color w:val="000000"/>
                <w:kern w:val="0"/>
                <w:sz w:val="24"/>
              </w:rPr>
            </w:pPr>
            <w:r>
              <w:rPr>
                <w:rFonts w:hint="eastAsia" w:ascii="宋体" w:hAnsi="宋体" w:cs="宋体"/>
                <w:color w:val="000000"/>
                <w:kern w:val="0"/>
                <w:sz w:val="24"/>
              </w:rPr>
              <w:t>数据库审计服务</w:t>
            </w:r>
          </w:p>
        </w:tc>
        <w:tc>
          <w:tcPr>
            <w:tcW w:w="887" w:type="dxa"/>
            <w:shd w:val="clear" w:color="auto" w:fill="FFFFFF"/>
            <w:noWrap w:val="0"/>
            <w:vAlign w:val="center"/>
          </w:tcPr>
          <w:p w14:paraId="2F8A1BD2">
            <w:pPr>
              <w:widowControl/>
              <w:jc w:val="center"/>
              <w:rPr>
                <w:rFonts w:hint="eastAsia" w:ascii="宋体" w:hAnsi="宋体" w:cs="宋体"/>
                <w:color w:val="000000"/>
                <w:kern w:val="0"/>
                <w:sz w:val="24"/>
              </w:rPr>
            </w:pPr>
            <w:r>
              <w:rPr>
                <w:rFonts w:hint="eastAsia" w:ascii="宋体" w:hAnsi="宋体" w:cs="宋体"/>
                <w:color w:val="000000"/>
                <w:kern w:val="0"/>
                <w:sz w:val="24"/>
              </w:rPr>
              <w:t>1套</w:t>
            </w:r>
          </w:p>
        </w:tc>
        <w:tc>
          <w:tcPr>
            <w:tcW w:w="819" w:type="dxa"/>
            <w:shd w:val="clear" w:color="auto" w:fill="FFFFFF"/>
            <w:noWrap w:val="0"/>
            <w:vAlign w:val="center"/>
          </w:tcPr>
          <w:p w14:paraId="15C469D4">
            <w:pPr>
              <w:widowControl/>
              <w:jc w:val="center"/>
              <w:rPr>
                <w:rFonts w:hint="eastAsia" w:ascii="宋体" w:hAnsi="宋体" w:cs="宋体"/>
                <w:color w:val="000000"/>
                <w:kern w:val="0"/>
                <w:sz w:val="24"/>
              </w:rPr>
            </w:pPr>
            <w:r>
              <w:rPr>
                <w:rFonts w:hint="eastAsia" w:ascii="宋体" w:hAnsi="宋体" w:cs="宋体"/>
                <w:color w:val="000000"/>
                <w:kern w:val="0"/>
                <w:sz w:val="24"/>
              </w:rPr>
              <w:t>元/月</w:t>
            </w:r>
          </w:p>
        </w:tc>
        <w:tc>
          <w:tcPr>
            <w:tcW w:w="857" w:type="dxa"/>
            <w:shd w:val="clear" w:color="auto" w:fill="FFFFFF"/>
            <w:noWrap w:val="0"/>
            <w:vAlign w:val="center"/>
          </w:tcPr>
          <w:p w14:paraId="12CB7861">
            <w:pPr>
              <w:widowControl/>
              <w:jc w:val="right"/>
              <w:rPr>
                <w:rFonts w:hint="eastAsia" w:ascii="宋体" w:hAnsi="宋体" w:cs="宋体"/>
                <w:b/>
                <w:bCs/>
                <w:color w:val="000000"/>
                <w:kern w:val="0"/>
                <w:sz w:val="24"/>
              </w:rPr>
            </w:pPr>
            <w:r>
              <w:rPr>
                <w:rFonts w:hint="eastAsia" w:ascii="宋体" w:hAnsi="宋体" w:cs="宋体"/>
                <w:b/>
                <w:bCs/>
                <w:color w:val="000000"/>
                <w:kern w:val="0"/>
                <w:sz w:val="24"/>
              </w:rPr>
              <w:t>9</w:t>
            </w:r>
          </w:p>
        </w:tc>
        <w:tc>
          <w:tcPr>
            <w:tcW w:w="966" w:type="dxa"/>
            <w:vMerge w:val="continue"/>
            <w:shd w:val="clear" w:color="auto" w:fill="FFFFFF"/>
            <w:noWrap w:val="0"/>
            <w:vAlign w:val="center"/>
          </w:tcPr>
          <w:p w14:paraId="574AC99E">
            <w:pPr>
              <w:jc w:val="center"/>
              <w:rPr>
                <w:rFonts w:hint="eastAsia" w:ascii="宋体" w:hAnsi="宋体" w:cs="宋体"/>
                <w:color w:val="000000"/>
                <w:kern w:val="0"/>
                <w:sz w:val="24"/>
              </w:rPr>
            </w:pPr>
          </w:p>
        </w:tc>
      </w:tr>
      <w:tr w14:paraId="13AC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543" w:type="dxa"/>
            <w:shd w:val="clear" w:color="auto" w:fill="FFFFFF"/>
            <w:noWrap w:val="0"/>
            <w:vAlign w:val="center"/>
          </w:tcPr>
          <w:p w14:paraId="5AAFC8A9">
            <w:pPr>
              <w:widowControl/>
              <w:jc w:val="center"/>
              <w:rPr>
                <w:rFonts w:hint="eastAsia" w:ascii="宋体" w:hAnsi="宋体" w:cs="宋体"/>
                <w:color w:val="000000"/>
                <w:kern w:val="0"/>
                <w:sz w:val="24"/>
              </w:rPr>
            </w:pPr>
            <w:r>
              <w:rPr>
                <w:rFonts w:hint="eastAsia" w:ascii="宋体" w:hAnsi="宋体" w:cs="宋体"/>
                <w:color w:val="000000"/>
                <w:kern w:val="0"/>
                <w:sz w:val="24"/>
              </w:rPr>
              <w:t>16</w:t>
            </w:r>
          </w:p>
        </w:tc>
        <w:tc>
          <w:tcPr>
            <w:tcW w:w="834" w:type="dxa"/>
            <w:vMerge w:val="restart"/>
            <w:shd w:val="clear" w:color="auto" w:fill="FFFFFF"/>
            <w:noWrap w:val="0"/>
            <w:vAlign w:val="center"/>
          </w:tcPr>
          <w:p w14:paraId="303EC381">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其他服务</w:t>
            </w:r>
          </w:p>
        </w:tc>
        <w:tc>
          <w:tcPr>
            <w:tcW w:w="1677" w:type="dxa"/>
            <w:shd w:val="clear" w:color="auto" w:fill="FFFFFF"/>
            <w:noWrap w:val="0"/>
            <w:vAlign w:val="center"/>
          </w:tcPr>
          <w:p w14:paraId="45850A06">
            <w:pPr>
              <w:widowControl/>
              <w:jc w:val="center"/>
              <w:rPr>
                <w:rFonts w:hint="eastAsia" w:ascii="宋体" w:hAnsi="宋体" w:cs="宋体"/>
                <w:color w:val="000000"/>
                <w:kern w:val="0"/>
                <w:sz w:val="24"/>
              </w:rPr>
            </w:pPr>
            <w:r>
              <w:rPr>
                <w:rFonts w:hint="eastAsia" w:ascii="宋体" w:hAnsi="宋体" w:cs="宋体"/>
                <w:color w:val="000000"/>
                <w:kern w:val="0"/>
                <w:sz w:val="24"/>
              </w:rPr>
              <w:t>重点保障时期应急值守服务</w:t>
            </w:r>
          </w:p>
        </w:tc>
        <w:tc>
          <w:tcPr>
            <w:tcW w:w="1949" w:type="dxa"/>
            <w:shd w:val="clear" w:color="auto" w:fill="FFFFFF"/>
            <w:noWrap w:val="0"/>
            <w:vAlign w:val="center"/>
          </w:tcPr>
          <w:p w14:paraId="1AB4363C">
            <w:pPr>
              <w:widowControl/>
              <w:jc w:val="left"/>
              <w:rPr>
                <w:rFonts w:hint="eastAsia" w:ascii="宋体" w:hAnsi="宋体" w:cs="宋体"/>
                <w:color w:val="000000"/>
                <w:kern w:val="0"/>
                <w:sz w:val="24"/>
              </w:rPr>
            </w:pPr>
            <w:r>
              <w:rPr>
                <w:rFonts w:hint="eastAsia" w:ascii="宋体" w:hAnsi="宋体" w:cs="宋体"/>
                <w:color w:val="000000"/>
                <w:kern w:val="0"/>
                <w:sz w:val="24"/>
              </w:rPr>
              <w:t>包括护网行动、春节、两会、五一、国庆、党代会等重要重大节日及重要活动期间保障值守服务，提供7*24小时安全重点保障防护服务。</w:t>
            </w:r>
          </w:p>
        </w:tc>
        <w:tc>
          <w:tcPr>
            <w:tcW w:w="887" w:type="dxa"/>
            <w:shd w:val="clear" w:color="auto" w:fill="auto"/>
            <w:noWrap w:val="0"/>
            <w:vAlign w:val="center"/>
          </w:tcPr>
          <w:p w14:paraId="733B68A0">
            <w:pPr>
              <w:widowControl/>
              <w:jc w:val="center"/>
              <w:rPr>
                <w:rFonts w:hint="eastAsia" w:ascii="宋体" w:hAnsi="宋体" w:cs="宋体"/>
                <w:color w:val="000000"/>
                <w:kern w:val="0"/>
                <w:sz w:val="24"/>
              </w:rPr>
            </w:pPr>
            <w:r>
              <w:rPr>
                <w:rFonts w:hint="eastAsia" w:ascii="宋体" w:hAnsi="宋体" w:cs="宋体"/>
                <w:color w:val="000000"/>
                <w:kern w:val="0"/>
                <w:sz w:val="24"/>
              </w:rPr>
              <w:t>1人天</w:t>
            </w:r>
          </w:p>
        </w:tc>
        <w:tc>
          <w:tcPr>
            <w:tcW w:w="819" w:type="dxa"/>
            <w:shd w:val="clear" w:color="auto" w:fill="auto"/>
            <w:noWrap w:val="0"/>
            <w:vAlign w:val="center"/>
          </w:tcPr>
          <w:p w14:paraId="3C7278EF">
            <w:pPr>
              <w:widowControl/>
              <w:jc w:val="center"/>
              <w:rPr>
                <w:rFonts w:hint="eastAsia" w:ascii="宋体" w:hAnsi="宋体" w:cs="宋体"/>
                <w:color w:val="000000"/>
                <w:kern w:val="0"/>
                <w:sz w:val="24"/>
              </w:rPr>
            </w:pPr>
            <w:r>
              <w:rPr>
                <w:rFonts w:hint="eastAsia" w:ascii="宋体" w:hAnsi="宋体" w:cs="宋体"/>
                <w:color w:val="000000"/>
                <w:kern w:val="0"/>
                <w:sz w:val="24"/>
              </w:rPr>
              <w:t>元/人天</w:t>
            </w:r>
          </w:p>
        </w:tc>
        <w:tc>
          <w:tcPr>
            <w:tcW w:w="857" w:type="dxa"/>
            <w:shd w:val="clear" w:color="auto" w:fill="auto"/>
            <w:noWrap w:val="0"/>
            <w:vAlign w:val="center"/>
          </w:tcPr>
          <w:p w14:paraId="64ACE44A">
            <w:pPr>
              <w:widowControl/>
              <w:jc w:val="right"/>
              <w:rPr>
                <w:rFonts w:hint="eastAsia" w:ascii="宋体" w:hAnsi="宋体" w:cs="宋体"/>
                <w:b/>
                <w:bCs/>
                <w:color w:val="000000"/>
                <w:kern w:val="0"/>
                <w:sz w:val="24"/>
              </w:rPr>
            </w:pPr>
            <w:r>
              <w:rPr>
                <w:rFonts w:hint="eastAsia" w:ascii="宋体" w:hAnsi="宋体" w:cs="宋体"/>
                <w:b/>
                <w:bCs/>
                <w:color w:val="000000"/>
                <w:kern w:val="0"/>
                <w:sz w:val="24"/>
              </w:rPr>
              <w:t>30</w:t>
            </w:r>
          </w:p>
        </w:tc>
        <w:tc>
          <w:tcPr>
            <w:tcW w:w="966" w:type="dxa"/>
            <w:vMerge w:val="continue"/>
            <w:shd w:val="clear" w:color="auto" w:fill="FFFFFF"/>
            <w:noWrap w:val="0"/>
            <w:vAlign w:val="center"/>
          </w:tcPr>
          <w:p w14:paraId="6339FA29">
            <w:pPr>
              <w:jc w:val="center"/>
              <w:rPr>
                <w:rFonts w:hint="eastAsia" w:ascii="宋体" w:hAnsi="宋体" w:cs="宋体"/>
                <w:color w:val="000000"/>
                <w:kern w:val="0"/>
                <w:sz w:val="24"/>
              </w:rPr>
            </w:pPr>
          </w:p>
        </w:tc>
      </w:tr>
      <w:tr w14:paraId="49AF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43" w:type="dxa"/>
            <w:shd w:val="clear" w:color="auto" w:fill="FFFFFF"/>
            <w:noWrap w:val="0"/>
            <w:vAlign w:val="center"/>
          </w:tcPr>
          <w:p w14:paraId="5D00A059">
            <w:pPr>
              <w:widowControl/>
              <w:jc w:val="center"/>
              <w:rPr>
                <w:rFonts w:hint="eastAsia" w:ascii="宋体" w:hAnsi="宋体" w:cs="宋体"/>
                <w:color w:val="000000"/>
                <w:kern w:val="0"/>
                <w:sz w:val="24"/>
              </w:rPr>
            </w:pPr>
            <w:r>
              <w:rPr>
                <w:rFonts w:hint="eastAsia" w:ascii="宋体" w:hAnsi="宋体" w:cs="宋体"/>
                <w:color w:val="000000"/>
                <w:kern w:val="0"/>
                <w:sz w:val="24"/>
              </w:rPr>
              <w:t>17</w:t>
            </w:r>
          </w:p>
        </w:tc>
        <w:tc>
          <w:tcPr>
            <w:tcW w:w="834" w:type="dxa"/>
            <w:vMerge w:val="continue"/>
            <w:shd w:val="clear" w:color="auto" w:fill="auto"/>
            <w:noWrap w:val="0"/>
            <w:vAlign w:val="center"/>
          </w:tcPr>
          <w:p w14:paraId="3BB6E873">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54A17DBB">
            <w:pPr>
              <w:widowControl/>
              <w:jc w:val="center"/>
              <w:rPr>
                <w:rFonts w:hint="eastAsia" w:ascii="宋体" w:hAnsi="宋体" w:cs="宋体"/>
                <w:color w:val="000000"/>
                <w:kern w:val="0"/>
                <w:sz w:val="24"/>
              </w:rPr>
            </w:pPr>
            <w:r>
              <w:rPr>
                <w:rFonts w:hint="eastAsia" w:ascii="宋体" w:hAnsi="宋体" w:cs="宋体"/>
                <w:color w:val="000000"/>
                <w:kern w:val="0"/>
                <w:sz w:val="24"/>
              </w:rPr>
              <w:t>网站安全防护服务及CDN加速</w:t>
            </w:r>
          </w:p>
        </w:tc>
        <w:tc>
          <w:tcPr>
            <w:tcW w:w="1949" w:type="dxa"/>
            <w:shd w:val="clear" w:color="auto" w:fill="FFFFFF"/>
            <w:noWrap w:val="0"/>
            <w:vAlign w:val="center"/>
          </w:tcPr>
          <w:p w14:paraId="1347536D">
            <w:pPr>
              <w:widowControl/>
              <w:jc w:val="left"/>
              <w:rPr>
                <w:rFonts w:hint="eastAsia" w:ascii="宋体" w:hAnsi="宋体" w:cs="宋体"/>
                <w:color w:val="000000"/>
                <w:kern w:val="0"/>
                <w:sz w:val="24"/>
              </w:rPr>
            </w:pPr>
            <w:r>
              <w:rPr>
                <w:rFonts w:hint="eastAsia" w:ascii="宋体" w:hAnsi="宋体" w:cs="宋体"/>
                <w:color w:val="000000"/>
                <w:kern w:val="0"/>
                <w:sz w:val="24"/>
              </w:rPr>
              <w:t>网站安全防护服务及CDN加速服务</w:t>
            </w:r>
          </w:p>
        </w:tc>
        <w:tc>
          <w:tcPr>
            <w:tcW w:w="887" w:type="dxa"/>
            <w:shd w:val="clear" w:color="auto" w:fill="FFFFFF"/>
            <w:noWrap w:val="0"/>
            <w:vAlign w:val="center"/>
          </w:tcPr>
          <w:p w14:paraId="51E94C23">
            <w:pPr>
              <w:widowControl/>
              <w:jc w:val="center"/>
              <w:rPr>
                <w:rFonts w:hint="eastAsia" w:ascii="宋体" w:hAnsi="宋体" w:cs="宋体"/>
                <w:color w:val="000000"/>
                <w:kern w:val="0"/>
                <w:sz w:val="24"/>
              </w:rPr>
            </w:pPr>
            <w:r>
              <w:rPr>
                <w:rFonts w:hint="eastAsia" w:ascii="宋体" w:hAnsi="宋体" w:cs="宋体"/>
                <w:color w:val="000000"/>
                <w:kern w:val="0"/>
                <w:sz w:val="24"/>
              </w:rPr>
              <w:t>1套</w:t>
            </w:r>
          </w:p>
        </w:tc>
        <w:tc>
          <w:tcPr>
            <w:tcW w:w="819" w:type="dxa"/>
            <w:shd w:val="clear" w:color="auto" w:fill="FFFFFF"/>
            <w:noWrap w:val="0"/>
            <w:vAlign w:val="center"/>
          </w:tcPr>
          <w:p w14:paraId="7E66947F">
            <w:pPr>
              <w:widowControl/>
              <w:jc w:val="center"/>
              <w:rPr>
                <w:rFonts w:hint="eastAsia" w:ascii="宋体" w:hAnsi="宋体" w:cs="宋体"/>
                <w:color w:val="000000"/>
                <w:kern w:val="0"/>
                <w:sz w:val="24"/>
              </w:rPr>
            </w:pPr>
            <w:r>
              <w:rPr>
                <w:rFonts w:hint="eastAsia" w:ascii="宋体" w:hAnsi="宋体" w:cs="宋体"/>
                <w:color w:val="000000"/>
                <w:kern w:val="0"/>
                <w:sz w:val="24"/>
              </w:rPr>
              <w:t>元/年</w:t>
            </w:r>
          </w:p>
        </w:tc>
        <w:tc>
          <w:tcPr>
            <w:tcW w:w="857" w:type="dxa"/>
            <w:shd w:val="clear" w:color="auto" w:fill="auto"/>
            <w:noWrap w:val="0"/>
            <w:vAlign w:val="center"/>
          </w:tcPr>
          <w:p w14:paraId="56D11CC4">
            <w:pPr>
              <w:widowControl/>
              <w:jc w:val="right"/>
              <w:rPr>
                <w:rFonts w:hint="eastAsia" w:ascii="宋体" w:hAnsi="宋体" w:cs="宋体"/>
                <w:b/>
                <w:bCs/>
                <w:color w:val="000000"/>
                <w:kern w:val="0"/>
                <w:sz w:val="24"/>
              </w:rPr>
            </w:pPr>
            <w:r>
              <w:rPr>
                <w:rFonts w:hint="eastAsia" w:ascii="宋体" w:hAnsi="宋体" w:cs="宋体"/>
                <w:b/>
                <w:bCs/>
                <w:color w:val="000000"/>
                <w:kern w:val="0"/>
                <w:sz w:val="24"/>
              </w:rPr>
              <w:t>2</w:t>
            </w:r>
          </w:p>
        </w:tc>
        <w:tc>
          <w:tcPr>
            <w:tcW w:w="966" w:type="dxa"/>
            <w:vMerge w:val="continue"/>
            <w:shd w:val="clear" w:color="auto" w:fill="FFFFFF"/>
            <w:noWrap w:val="0"/>
            <w:vAlign w:val="center"/>
          </w:tcPr>
          <w:p w14:paraId="34A0F1CB">
            <w:pPr>
              <w:jc w:val="center"/>
              <w:rPr>
                <w:rFonts w:hint="eastAsia" w:ascii="宋体" w:hAnsi="宋体" w:cs="宋体"/>
                <w:color w:val="000000"/>
                <w:kern w:val="0"/>
                <w:sz w:val="24"/>
              </w:rPr>
            </w:pPr>
          </w:p>
        </w:tc>
      </w:tr>
      <w:tr w14:paraId="58C6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43" w:type="dxa"/>
            <w:shd w:val="clear" w:color="auto" w:fill="FFFFFF"/>
            <w:noWrap w:val="0"/>
            <w:vAlign w:val="center"/>
          </w:tcPr>
          <w:p w14:paraId="1A22ABB0">
            <w:pPr>
              <w:widowControl/>
              <w:jc w:val="center"/>
              <w:rPr>
                <w:rFonts w:hint="eastAsia" w:ascii="宋体" w:hAnsi="宋体" w:cs="宋体"/>
                <w:color w:val="000000"/>
                <w:kern w:val="0"/>
                <w:sz w:val="24"/>
              </w:rPr>
            </w:pPr>
            <w:r>
              <w:rPr>
                <w:rFonts w:hint="eastAsia" w:ascii="宋体" w:hAnsi="宋体" w:cs="宋体"/>
                <w:color w:val="000000"/>
                <w:kern w:val="0"/>
                <w:sz w:val="24"/>
              </w:rPr>
              <w:t>18</w:t>
            </w:r>
          </w:p>
        </w:tc>
        <w:tc>
          <w:tcPr>
            <w:tcW w:w="834" w:type="dxa"/>
            <w:vMerge w:val="continue"/>
            <w:shd w:val="clear" w:color="auto" w:fill="auto"/>
            <w:noWrap w:val="0"/>
            <w:vAlign w:val="center"/>
          </w:tcPr>
          <w:p w14:paraId="2D1D3AA1">
            <w:pPr>
              <w:widowControl/>
              <w:jc w:val="left"/>
              <w:rPr>
                <w:rFonts w:hint="eastAsia" w:ascii="宋体" w:hAnsi="宋体" w:cs="宋体"/>
                <w:b/>
                <w:bCs/>
                <w:color w:val="000000"/>
                <w:kern w:val="0"/>
                <w:sz w:val="24"/>
              </w:rPr>
            </w:pPr>
          </w:p>
        </w:tc>
        <w:tc>
          <w:tcPr>
            <w:tcW w:w="1677" w:type="dxa"/>
            <w:shd w:val="clear" w:color="auto" w:fill="FFFFFF"/>
            <w:noWrap w:val="0"/>
            <w:vAlign w:val="center"/>
          </w:tcPr>
          <w:p w14:paraId="2BA7EDB2">
            <w:pPr>
              <w:widowControl/>
              <w:jc w:val="center"/>
              <w:rPr>
                <w:rFonts w:hint="eastAsia" w:ascii="宋体" w:hAnsi="宋体" w:cs="宋体"/>
                <w:color w:val="000000"/>
                <w:kern w:val="0"/>
                <w:sz w:val="24"/>
              </w:rPr>
            </w:pPr>
            <w:r>
              <w:rPr>
                <w:rFonts w:hint="eastAsia" w:ascii="宋体" w:hAnsi="宋体" w:cs="宋体"/>
                <w:color w:val="000000"/>
                <w:kern w:val="0"/>
                <w:sz w:val="24"/>
              </w:rPr>
              <w:t>CA认证服务</w:t>
            </w:r>
          </w:p>
        </w:tc>
        <w:tc>
          <w:tcPr>
            <w:tcW w:w="1949" w:type="dxa"/>
            <w:shd w:val="clear" w:color="auto" w:fill="FFFFFF"/>
            <w:noWrap w:val="0"/>
            <w:vAlign w:val="center"/>
          </w:tcPr>
          <w:p w14:paraId="76CEA6EC">
            <w:pPr>
              <w:widowControl/>
              <w:jc w:val="center"/>
              <w:rPr>
                <w:rFonts w:hint="eastAsia" w:ascii="宋体" w:hAnsi="宋体" w:cs="宋体"/>
                <w:color w:val="000000"/>
                <w:kern w:val="0"/>
                <w:sz w:val="24"/>
              </w:rPr>
            </w:pPr>
            <w:r>
              <w:rPr>
                <w:rFonts w:hint="eastAsia" w:ascii="宋体" w:hAnsi="宋体" w:cs="宋体"/>
                <w:color w:val="000000"/>
                <w:kern w:val="0"/>
                <w:sz w:val="24"/>
              </w:rPr>
              <w:t>CA认证服务</w:t>
            </w:r>
          </w:p>
        </w:tc>
        <w:tc>
          <w:tcPr>
            <w:tcW w:w="887" w:type="dxa"/>
            <w:shd w:val="clear" w:color="auto" w:fill="FFFFFF"/>
            <w:noWrap w:val="0"/>
            <w:vAlign w:val="center"/>
          </w:tcPr>
          <w:p w14:paraId="3FF236E3">
            <w:pPr>
              <w:widowControl/>
              <w:jc w:val="center"/>
              <w:rPr>
                <w:rFonts w:hint="eastAsia" w:ascii="宋体" w:hAnsi="宋体" w:cs="宋体"/>
                <w:color w:val="000000"/>
                <w:kern w:val="0"/>
                <w:sz w:val="24"/>
              </w:rPr>
            </w:pPr>
            <w:r>
              <w:rPr>
                <w:rFonts w:hint="eastAsia" w:ascii="宋体" w:hAnsi="宋体" w:cs="宋体"/>
                <w:color w:val="000000"/>
                <w:kern w:val="0"/>
                <w:sz w:val="24"/>
              </w:rPr>
              <w:t>1项</w:t>
            </w:r>
          </w:p>
        </w:tc>
        <w:tc>
          <w:tcPr>
            <w:tcW w:w="819" w:type="dxa"/>
            <w:shd w:val="clear" w:color="auto" w:fill="FFFFFF"/>
            <w:noWrap w:val="0"/>
            <w:vAlign w:val="center"/>
          </w:tcPr>
          <w:p w14:paraId="08067DFE">
            <w:pPr>
              <w:widowControl/>
              <w:jc w:val="center"/>
              <w:rPr>
                <w:rFonts w:hint="eastAsia" w:ascii="宋体" w:hAnsi="宋体" w:cs="宋体"/>
                <w:color w:val="000000"/>
                <w:kern w:val="0"/>
                <w:sz w:val="24"/>
              </w:rPr>
            </w:pPr>
            <w:r>
              <w:rPr>
                <w:rFonts w:hint="eastAsia" w:ascii="宋体" w:hAnsi="宋体" w:cs="宋体"/>
                <w:color w:val="000000"/>
                <w:kern w:val="0"/>
                <w:sz w:val="24"/>
              </w:rPr>
              <w:t>元/年</w:t>
            </w:r>
          </w:p>
        </w:tc>
        <w:tc>
          <w:tcPr>
            <w:tcW w:w="857" w:type="dxa"/>
            <w:shd w:val="clear" w:color="auto" w:fill="auto"/>
            <w:noWrap w:val="0"/>
            <w:vAlign w:val="center"/>
          </w:tcPr>
          <w:p w14:paraId="6BFBB295">
            <w:pPr>
              <w:widowControl/>
              <w:jc w:val="right"/>
              <w:rPr>
                <w:rFonts w:hint="eastAsia" w:ascii="宋体" w:hAnsi="宋体" w:cs="宋体"/>
                <w:b/>
                <w:bCs/>
                <w:color w:val="000000"/>
                <w:kern w:val="0"/>
                <w:sz w:val="24"/>
              </w:rPr>
            </w:pPr>
            <w:r>
              <w:rPr>
                <w:rFonts w:hint="eastAsia" w:ascii="宋体" w:hAnsi="宋体" w:cs="宋体"/>
                <w:b/>
                <w:bCs/>
                <w:color w:val="000000"/>
                <w:kern w:val="0"/>
                <w:sz w:val="24"/>
              </w:rPr>
              <w:t>1</w:t>
            </w:r>
          </w:p>
        </w:tc>
        <w:tc>
          <w:tcPr>
            <w:tcW w:w="966" w:type="dxa"/>
            <w:vMerge w:val="continue"/>
            <w:shd w:val="clear" w:color="auto" w:fill="FFFFFF"/>
            <w:noWrap w:val="0"/>
            <w:vAlign w:val="center"/>
          </w:tcPr>
          <w:p w14:paraId="0617652E">
            <w:pPr>
              <w:widowControl/>
              <w:jc w:val="center"/>
              <w:rPr>
                <w:rFonts w:hint="eastAsia" w:ascii="宋体" w:hAnsi="宋体" w:cs="宋体"/>
                <w:color w:val="000000"/>
                <w:kern w:val="0"/>
                <w:sz w:val="24"/>
              </w:rPr>
            </w:pPr>
          </w:p>
        </w:tc>
      </w:tr>
    </w:tbl>
    <w:p w14:paraId="293372A6">
      <w:pPr>
        <w:spacing w:line="360" w:lineRule="auto"/>
        <w:ind w:firstLine="480" w:firstLineChars="200"/>
        <w:rPr>
          <w:rFonts w:hint="eastAsia" w:ascii="宋体" w:hAnsi="宋体"/>
          <w:color w:val="000000"/>
          <w:sz w:val="24"/>
        </w:rPr>
      </w:pPr>
    </w:p>
    <w:p w14:paraId="770ACFC3">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2.2服务标准要求</w:t>
      </w:r>
    </w:p>
    <w:p w14:paraId="065A8B88">
      <w:pPr>
        <w:pStyle w:val="5"/>
        <w:spacing w:before="0" w:after="0" w:line="360" w:lineRule="auto"/>
        <w:ind w:firstLine="562" w:firstLineChars="200"/>
        <w:rPr>
          <w:rFonts w:hint="eastAsia" w:ascii="宋体" w:hAnsi="宋体"/>
          <w:color w:val="000000"/>
        </w:rPr>
      </w:pPr>
      <w:r>
        <w:rPr>
          <w:rFonts w:hint="eastAsia" w:ascii="宋体" w:hAnsi="宋体"/>
          <w:color w:val="000000"/>
        </w:rPr>
        <w:t>2.2.1云主机服务</w:t>
      </w:r>
    </w:p>
    <w:p w14:paraId="7217793C">
      <w:pPr>
        <w:spacing w:line="360" w:lineRule="auto"/>
        <w:ind w:firstLine="480" w:firstLineChars="200"/>
        <w:rPr>
          <w:rFonts w:hint="eastAsia" w:ascii="宋体" w:hAnsi="宋体"/>
          <w:color w:val="000000"/>
          <w:sz w:val="24"/>
        </w:rPr>
      </w:pPr>
      <w:r>
        <w:rPr>
          <w:rFonts w:hint="eastAsia" w:ascii="宋体" w:hAnsi="宋体"/>
          <w:color w:val="000000"/>
          <w:sz w:val="24"/>
        </w:rPr>
        <w:t>1. 服务内容</w:t>
      </w:r>
    </w:p>
    <w:p w14:paraId="7C788967">
      <w:pPr>
        <w:spacing w:line="360" w:lineRule="auto"/>
        <w:ind w:firstLine="480" w:firstLineChars="200"/>
        <w:rPr>
          <w:rFonts w:hint="eastAsia" w:ascii="宋体" w:hAnsi="宋体"/>
          <w:color w:val="000000"/>
          <w:sz w:val="24"/>
        </w:rPr>
      </w:pPr>
      <w:r>
        <w:rPr>
          <w:rFonts w:hint="eastAsia" w:ascii="宋体" w:hAnsi="宋体"/>
          <w:color w:val="000000"/>
          <w:sz w:val="24"/>
        </w:rPr>
        <w:t>按照采购人的具体需求，提供云主机服务，按需求对CPU及内存进行动态调整，实现合理的计算资源配置。在提供政务云主机的服务过程中做好与采购人和对应项目应用开发厂商的协调沟通工作。</w:t>
      </w:r>
    </w:p>
    <w:p w14:paraId="03C85E63">
      <w:pPr>
        <w:spacing w:line="360" w:lineRule="auto"/>
        <w:ind w:firstLine="480" w:firstLineChars="200"/>
        <w:rPr>
          <w:rFonts w:hint="eastAsia" w:ascii="宋体" w:hAnsi="宋体"/>
          <w:color w:val="000000"/>
          <w:sz w:val="24"/>
        </w:rPr>
      </w:pPr>
      <w:r>
        <w:rPr>
          <w:rFonts w:hint="eastAsia" w:ascii="宋体" w:hAnsi="宋体"/>
          <w:color w:val="000000"/>
          <w:sz w:val="24"/>
        </w:rPr>
        <w:t>2. 服务标准</w:t>
      </w:r>
    </w:p>
    <w:p w14:paraId="326320C8">
      <w:pPr>
        <w:spacing w:line="360" w:lineRule="auto"/>
        <w:ind w:firstLine="480" w:firstLineChars="200"/>
        <w:rPr>
          <w:rFonts w:hint="eastAsia" w:ascii="宋体" w:hAnsi="宋体"/>
          <w:color w:val="000000"/>
          <w:sz w:val="24"/>
        </w:rPr>
      </w:pPr>
      <w:r>
        <w:rPr>
          <w:rFonts w:hint="eastAsia" w:ascii="宋体" w:hAnsi="宋体"/>
          <w:color w:val="000000"/>
          <w:sz w:val="24"/>
        </w:rPr>
        <w:t>（1）云主机应实现物理机的全部功能，如具有CPU、存储、内存、网卡等资源，可以指定单独的IP地址、MAC地址等；</w:t>
      </w:r>
    </w:p>
    <w:p w14:paraId="0B92D954">
      <w:pPr>
        <w:spacing w:line="360" w:lineRule="auto"/>
        <w:ind w:firstLine="480" w:firstLineChars="200"/>
        <w:rPr>
          <w:rFonts w:hint="eastAsia" w:ascii="宋体" w:hAnsi="宋体"/>
          <w:color w:val="000000"/>
          <w:sz w:val="24"/>
        </w:rPr>
      </w:pPr>
      <w:r>
        <w:rPr>
          <w:rFonts w:hint="eastAsia" w:ascii="宋体" w:hAnsi="宋体"/>
          <w:color w:val="000000"/>
          <w:sz w:val="24"/>
        </w:rPr>
        <w:t>（2） 支持存储裸设备映射（RDM），可以将存储设备上的LUN直接映射给虚拟机使用，并且支持SCSI指令使用透传模式或者非透传模式；</w:t>
      </w:r>
    </w:p>
    <w:p w14:paraId="0A334B83">
      <w:pPr>
        <w:spacing w:line="360" w:lineRule="auto"/>
        <w:ind w:firstLine="480" w:firstLineChars="200"/>
        <w:rPr>
          <w:rFonts w:hint="eastAsia" w:ascii="宋体" w:hAnsi="宋体"/>
          <w:color w:val="000000"/>
          <w:sz w:val="24"/>
        </w:rPr>
      </w:pPr>
      <w:r>
        <w:rPr>
          <w:rFonts w:hint="eastAsia" w:ascii="宋体" w:hAnsi="宋体"/>
          <w:color w:val="000000"/>
          <w:sz w:val="24"/>
        </w:rPr>
        <w:t>（3） 应满足云主机之间、CPU之间隔离保护要求；</w:t>
      </w:r>
    </w:p>
    <w:p w14:paraId="204D3BC1">
      <w:pPr>
        <w:spacing w:line="360" w:lineRule="auto"/>
        <w:ind w:firstLine="480" w:firstLineChars="200"/>
        <w:rPr>
          <w:rFonts w:hint="eastAsia" w:ascii="宋体" w:hAnsi="宋体"/>
          <w:color w:val="000000"/>
          <w:sz w:val="24"/>
        </w:rPr>
      </w:pPr>
      <w:r>
        <w:rPr>
          <w:rFonts w:hint="eastAsia" w:ascii="宋体" w:hAnsi="宋体"/>
          <w:color w:val="000000"/>
          <w:sz w:val="24"/>
        </w:rPr>
        <w:t>（4） 支持资源的动态调整，根据业务的负载情况实现业务系统虚拟机的动态扩展和回收，支持手动和自动方式，自动方式可基于主机的CPU、内存、磁盘IO、网络流量等性能参数阈值进行动态调度；</w:t>
      </w:r>
    </w:p>
    <w:p w14:paraId="5FF88B8F">
      <w:pPr>
        <w:spacing w:line="360" w:lineRule="auto"/>
        <w:ind w:firstLine="480" w:firstLineChars="200"/>
        <w:rPr>
          <w:rFonts w:hint="eastAsia" w:ascii="宋体" w:hAnsi="宋体"/>
          <w:color w:val="000000"/>
          <w:sz w:val="24"/>
        </w:rPr>
      </w:pPr>
      <w:r>
        <w:rPr>
          <w:rFonts w:hint="eastAsia" w:ascii="宋体" w:hAnsi="宋体"/>
          <w:color w:val="000000"/>
          <w:sz w:val="24"/>
        </w:rPr>
        <w:t>（5） 支持在线进行虚拟化软件版本升级，不同版本之间可以相互兼容；</w:t>
      </w:r>
    </w:p>
    <w:p w14:paraId="5145B2CD">
      <w:pPr>
        <w:spacing w:line="360" w:lineRule="auto"/>
        <w:ind w:firstLine="480" w:firstLineChars="200"/>
        <w:rPr>
          <w:rFonts w:hint="eastAsia" w:ascii="宋体" w:hAnsi="宋体"/>
          <w:color w:val="000000"/>
          <w:sz w:val="24"/>
        </w:rPr>
      </w:pPr>
      <w:r>
        <w:rPr>
          <w:rFonts w:hint="eastAsia" w:ascii="宋体" w:hAnsi="宋体"/>
          <w:color w:val="000000"/>
          <w:sz w:val="24"/>
        </w:rPr>
        <w:t>（6） 云主机出现故障时，支持自动重启或者迁移，保障业务连续性；</w:t>
      </w:r>
    </w:p>
    <w:p w14:paraId="7CB838C7">
      <w:pPr>
        <w:spacing w:line="360" w:lineRule="auto"/>
        <w:ind w:firstLine="480" w:firstLineChars="200"/>
        <w:rPr>
          <w:rFonts w:hint="eastAsia" w:ascii="宋体" w:hAnsi="宋体"/>
          <w:color w:val="000000"/>
          <w:sz w:val="24"/>
        </w:rPr>
      </w:pPr>
      <w:r>
        <w:rPr>
          <w:rFonts w:hint="eastAsia" w:ascii="宋体" w:hAnsi="宋体"/>
          <w:color w:val="000000"/>
          <w:sz w:val="24"/>
        </w:rPr>
        <w:t>（7） 支持虚拟机热迁移，可在不同代CPU资源池中进行虚拟机热迁移；</w:t>
      </w:r>
    </w:p>
    <w:p w14:paraId="4A6B9D85">
      <w:pPr>
        <w:spacing w:line="360" w:lineRule="auto"/>
        <w:ind w:firstLine="480" w:firstLineChars="200"/>
        <w:rPr>
          <w:rFonts w:hint="eastAsia" w:ascii="宋体" w:hAnsi="宋体"/>
          <w:color w:val="000000"/>
          <w:sz w:val="24"/>
        </w:rPr>
      </w:pPr>
      <w:r>
        <w:rPr>
          <w:rFonts w:hint="eastAsia" w:ascii="宋体" w:hAnsi="宋体"/>
          <w:color w:val="000000"/>
          <w:sz w:val="24"/>
        </w:rPr>
        <w:t>（8） 云计算资源性能要求包括但不限于如下：</w:t>
      </w:r>
    </w:p>
    <w:p w14:paraId="3854D322">
      <w:pPr>
        <w:spacing w:line="360" w:lineRule="auto"/>
        <w:ind w:firstLine="480" w:firstLineChars="200"/>
        <w:rPr>
          <w:rFonts w:hint="eastAsia" w:ascii="宋体" w:hAnsi="宋体"/>
          <w:color w:val="000000"/>
          <w:sz w:val="24"/>
        </w:rPr>
      </w:pPr>
      <w:r>
        <w:rPr>
          <w:rFonts w:hint="eastAsia" w:ascii="宋体" w:hAnsi="宋体"/>
          <w:color w:val="000000"/>
          <w:sz w:val="24"/>
        </w:rPr>
        <w:t>云主机CPU主频应不低于2.4GHz；</w:t>
      </w:r>
    </w:p>
    <w:p w14:paraId="58DAE2C7">
      <w:pPr>
        <w:spacing w:line="360" w:lineRule="auto"/>
        <w:ind w:firstLine="480" w:firstLineChars="200"/>
        <w:rPr>
          <w:rFonts w:hint="eastAsia" w:ascii="宋体" w:hAnsi="宋体"/>
          <w:color w:val="000000"/>
          <w:sz w:val="24"/>
        </w:rPr>
      </w:pPr>
      <w:r>
        <w:rPr>
          <w:rFonts w:hint="eastAsia" w:ascii="宋体" w:hAnsi="宋体"/>
          <w:color w:val="000000"/>
          <w:sz w:val="24"/>
        </w:rPr>
        <w:t>可用性不低于99.99%。</w:t>
      </w:r>
    </w:p>
    <w:p w14:paraId="3DEEE290">
      <w:pPr>
        <w:spacing w:line="360" w:lineRule="auto"/>
        <w:ind w:firstLine="480" w:firstLineChars="200"/>
        <w:rPr>
          <w:rFonts w:hint="eastAsia" w:ascii="宋体" w:hAnsi="宋体"/>
          <w:color w:val="000000"/>
          <w:sz w:val="24"/>
        </w:rPr>
      </w:pPr>
    </w:p>
    <w:p w14:paraId="524A83C4">
      <w:pPr>
        <w:pStyle w:val="5"/>
        <w:spacing w:before="0" w:after="0" w:line="360" w:lineRule="auto"/>
        <w:ind w:firstLine="562" w:firstLineChars="200"/>
        <w:rPr>
          <w:rFonts w:hint="eastAsia" w:ascii="宋体" w:hAnsi="宋体"/>
          <w:color w:val="000000"/>
        </w:rPr>
      </w:pPr>
      <w:r>
        <w:rPr>
          <w:rFonts w:hint="eastAsia" w:ascii="宋体" w:hAnsi="宋体"/>
          <w:color w:val="000000"/>
        </w:rPr>
        <w:t>2.2.2存储服务</w:t>
      </w:r>
    </w:p>
    <w:p w14:paraId="4E6C2568">
      <w:pPr>
        <w:spacing w:line="360" w:lineRule="auto"/>
        <w:ind w:firstLine="480" w:firstLineChars="200"/>
        <w:rPr>
          <w:rFonts w:hint="eastAsia" w:ascii="宋体" w:hAnsi="宋体"/>
          <w:color w:val="000000"/>
          <w:sz w:val="24"/>
        </w:rPr>
      </w:pPr>
      <w:r>
        <w:rPr>
          <w:rFonts w:hint="eastAsia" w:ascii="宋体" w:hAnsi="宋体"/>
          <w:color w:val="000000"/>
          <w:sz w:val="24"/>
        </w:rPr>
        <w:t>1. 服务内容</w:t>
      </w:r>
    </w:p>
    <w:p w14:paraId="41F80949">
      <w:pPr>
        <w:spacing w:line="360" w:lineRule="auto"/>
        <w:ind w:firstLine="480" w:firstLineChars="200"/>
        <w:rPr>
          <w:rFonts w:hint="eastAsia" w:ascii="宋体" w:hAnsi="宋体"/>
          <w:color w:val="000000"/>
          <w:sz w:val="24"/>
        </w:rPr>
      </w:pPr>
      <w:r>
        <w:rPr>
          <w:rFonts w:hint="eastAsia" w:ascii="宋体" w:hAnsi="宋体"/>
          <w:color w:val="000000"/>
          <w:sz w:val="24"/>
        </w:rPr>
        <w:t>按照采购人的具体需求，提供存储服务，包括：普通性能存储、高性能存储、静态存储和本地备份服务，实现合理的存储资源配置。在提供政务云存储的服务过程中需做好采购人和对应项目应用开发厂商的协调沟通工作。</w:t>
      </w:r>
    </w:p>
    <w:p w14:paraId="57402924">
      <w:pPr>
        <w:spacing w:line="360" w:lineRule="auto"/>
        <w:ind w:firstLine="480" w:firstLineChars="200"/>
        <w:rPr>
          <w:rFonts w:hint="eastAsia" w:ascii="宋体" w:hAnsi="宋体"/>
          <w:color w:val="000000"/>
          <w:sz w:val="24"/>
        </w:rPr>
      </w:pPr>
      <w:r>
        <w:rPr>
          <w:rFonts w:hint="eastAsia" w:ascii="宋体" w:hAnsi="宋体"/>
          <w:color w:val="000000"/>
          <w:sz w:val="24"/>
        </w:rPr>
        <w:t>2. 服务标准</w:t>
      </w:r>
    </w:p>
    <w:p w14:paraId="3F110F7C">
      <w:pPr>
        <w:spacing w:line="360" w:lineRule="auto"/>
        <w:ind w:firstLine="480" w:firstLineChars="200"/>
        <w:rPr>
          <w:rFonts w:hint="eastAsia" w:ascii="宋体" w:hAnsi="宋体"/>
          <w:color w:val="000000"/>
          <w:sz w:val="24"/>
        </w:rPr>
      </w:pPr>
      <w:r>
        <w:rPr>
          <w:rFonts w:hint="eastAsia" w:ascii="宋体" w:hAnsi="宋体"/>
          <w:color w:val="000000"/>
          <w:sz w:val="24"/>
        </w:rPr>
        <w:t>（1） 支持结构化数据、半结构化数据和非结构化数据等多种数据类型存储；</w:t>
      </w:r>
    </w:p>
    <w:p w14:paraId="1D784F17">
      <w:pPr>
        <w:spacing w:line="360" w:lineRule="auto"/>
        <w:ind w:firstLine="480" w:firstLineChars="200"/>
        <w:rPr>
          <w:rFonts w:hint="eastAsia" w:ascii="宋体" w:hAnsi="宋体"/>
          <w:color w:val="000000"/>
          <w:sz w:val="24"/>
        </w:rPr>
      </w:pPr>
      <w:r>
        <w:rPr>
          <w:rFonts w:hint="eastAsia" w:ascii="宋体" w:hAnsi="宋体"/>
          <w:color w:val="000000"/>
          <w:sz w:val="24"/>
        </w:rPr>
        <w:t>（2） 支持块存储、对象存储、文件存储等多种存储方法，满足数据备份、视频存储等不同应用场景使用要求；</w:t>
      </w:r>
    </w:p>
    <w:p w14:paraId="78145244">
      <w:pPr>
        <w:spacing w:line="360" w:lineRule="auto"/>
        <w:ind w:firstLine="480" w:firstLineChars="200"/>
        <w:rPr>
          <w:rFonts w:hint="eastAsia" w:ascii="宋体" w:hAnsi="宋体"/>
          <w:color w:val="000000"/>
          <w:sz w:val="24"/>
        </w:rPr>
      </w:pPr>
      <w:r>
        <w:rPr>
          <w:rFonts w:hint="eastAsia" w:ascii="宋体" w:hAnsi="宋体"/>
          <w:color w:val="000000"/>
          <w:sz w:val="24"/>
        </w:rPr>
        <w:t>（3） 支持存储资源扩展能力，例如：PB级扩展；</w:t>
      </w:r>
    </w:p>
    <w:p w14:paraId="2004017A">
      <w:pPr>
        <w:spacing w:line="360" w:lineRule="auto"/>
        <w:ind w:firstLine="480" w:firstLineChars="200"/>
        <w:rPr>
          <w:rFonts w:hint="eastAsia" w:ascii="宋体" w:hAnsi="宋体"/>
          <w:color w:val="000000"/>
          <w:sz w:val="24"/>
        </w:rPr>
      </w:pPr>
      <w:r>
        <w:rPr>
          <w:rFonts w:hint="eastAsia" w:ascii="宋体" w:hAnsi="宋体"/>
          <w:color w:val="000000"/>
          <w:sz w:val="24"/>
        </w:rPr>
        <w:t>（4） 支持磁盘容错技术，如磁盘故障后节点的自动平衡和重构、硬盘故障检测和处理、集群节点出现单盘故障时不影响业务运行等；</w:t>
      </w:r>
    </w:p>
    <w:p w14:paraId="186CF9C3">
      <w:pPr>
        <w:spacing w:line="360" w:lineRule="auto"/>
        <w:ind w:firstLine="480" w:firstLineChars="200"/>
        <w:rPr>
          <w:rFonts w:hint="eastAsia" w:ascii="宋体" w:hAnsi="宋体"/>
          <w:color w:val="000000"/>
          <w:sz w:val="24"/>
        </w:rPr>
      </w:pPr>
      <w:r>
        <w:rPr>
          <w:rFonts w:hint="eastAsia" w:ascii="宋体" w:hAnsi="宋体"/>
          <w:color w:val="000000"/>
          <w:sz w:val="24"/>
        </w:rPr>
        <w:t>（5） 支持加密存储，使用的密码算法应符合法律、法规的规定和密码相关国家标准、行业标准的有关要求；</w:t>
      </w:r>
    </w:p>
    <w:p w14:paraId="41DA1BFD">
      <w:pPr>
        <w:spacing w:line="360" w:lineRule="auto"/>
        <w:ind w:firstLine="480" w:firstLineChars="200"/>
        <w:rPr>
          <w:rFonts w:hint="eastAsia" w:ascii="宋体" w:hAnsi="宋体"/>
          <w:color w:val="000000"/>
          <w:sz w:val="24"/>
        </w:rPr>
      </w:pPr>
      <w:r>
        <w:rPr>
          <w:rFonts w:hint="eastAsia" w:ascii="宋体" w:hAnsi="宋体"/>
          <w:color w:val="000000"/>
          <w:sz w:val="24"/>
        </w:rPr>
        <w:t>（6） 存储资源性能要求包括但不限于如下：</w:t>
      </w:r>
    </w:p>
    <w:p w14:paraId="6B707F9D">
      <w:pPr>
        <w:spacing w:line="360" w:lineRule="auto"/>
        <w:ind w:firstLine="480" w:firstLineChars="200"/>
        <w:rPr>
          <w:rFonts w:hint="eastAsia" w:ascii="宋体" w:hAnsi="宋体"/>
          <w:color w:val="000000"/>
          <w:sz w:val="24"/>
        </w:rPr>
      </w:pPr>
      <w:r>
        <w:rPr>
          <w:rFonts w:hint="eastAsia" w:ascii="宋体" w:hAnsi="宋体"/>
          <w:color w:val="000000"/>
          <w:sz w:val="24"/>
        </w:rPr>
        <w:t>支持高可靠性，可靠性不低于99.99%；</w:t>
      </w:r>
    </w:p>
    <w:p w14:paraId="0B6C6D16">
      <w:pPr>
        <w:spacing w:line="360" w:lineRule="auto"/>
        <w:ind w:firstLine="480" w:firstLineChars="200"/>
        <w:rPr>
          <w:rFonts w:hint="eastAsia" w:ascii="宋体" w:hAnsi="宋体"/>
          <w:color w:val="000000"/>
          <w:sz w:val="24"/>
        </w:rPr>
      </w:pPr>
      <w:r>
        <w:rPr>
          <w:rFonts w:hint="eastAsia" w:ascii="宋体" w:hAnsi="宋体"/>
          <w:color w:val="000000"/>
          <w:sz w:val="24"/>
        </w:rPr>
        <w:t>对于块存储服务，支持普通性能、高性能两类，普通存储单盘技术指标：IOPS大于等于2000，高性能存储单盘技术指标：IOPS大于等于10000。</w:t>
      </w:r>
    </w:p>
    <w:p w14:paraId="368E8234">
      <w:pPr>
        <w:pStyle w:val="5"/>
        <w:spacing w:before="0" w:after="0" w:line="360" w:lineRule="auto"/>
        <w:ind w:firstLine="562" w:firstLineChars="200"/>
        <w:rPr>
          <w:rFonts w:hint="eastAsia" w:ascii="宋体" w:hAnsi="宋体"/>
          <w:color w:val="000000"/>
        </w:rPr>
      </w:pPr>
      <w:r>
        <w:rPr>
          <w:rFonts w:hint="eastAsia" w:ascii="宋体" w:hAnsi="宋体"/>
          <w:color w:val="000000"/>
        </w:rPr>
        <w:t>2.2.3网络服务</w:t>
      </w:r>
    </w:p>
    <w:p w14:paraId="57B7F030">
      <w:pPr>
        <w:spacing w:line="360" w:lineRule="auto"/>
        <w:ind w:firstLine="480" w:firstLineChars="200"/>
        <w:rPr>
          <w:rFonts w:hint="eastAsia" w:ascii="宋体" w:hAnsi="宋体"/>
          <w:color w:val="000000"/>
          <w:sz w:val="24"/>
        </w:rPr>
      </w:pPr>
      <w:r>
        <w:rPr>
          <w:rFonts w:hint="eastAsia" w:ascii="宋体" w:hAnsi="宋体"/>
          <w:color w:val="000000"/>
          <w:sz w:val="24"/>
        </w:rPr>
        <w:t>1. 服务内容</w:t>
      </w:r>
    </w:p>
    <w:p w14:paraId="76C02F5E">
      <w:pPr>
        <w:spacing w:line="360" w:lineRule="auto"/>
        <w:ind w:firstLine="480" w:firstLineChars="200"/>
        <w:rPr>
          <w:rFonts w:hint="eastAsia" w:ascii="宋体" w:hAnsi="宋体"/>
          <w:color w:val="000000"/>
          <w:sz w:val="24"/>
        </w:rPr>
      </w:pPr>
      <w:r>
        <w:rPr>
          <w:rFonts w:hint="eastAsia" w:ascii="宋体" w:hAnsi="宋体"/>
          <w:color w:val="000000"/>
          <w:sz w:val="24"/>
        </w:rPr>
        <w:t>（1） 提供互联网链路带宽服务、互联网IP地址租用服务，并提供相应的网络域名备案服务，配合应用开发厂商提供网络策略配置服务。</w:t>
      </w:r>
    </w:p>
    <w:p w14:paraId="3B5747D4">
      <w:pPr>
        <w:spacing w:line="360" w:lineRule="auto"/>
        <w:ind w:firstLine="480" w:firstLineChars="200"/>
        <w:rPr>
          <w:rFonts w:hint="eastAsia" w:ascii="宋体" w:hAnsi="宋体"/>
          <w:color w:val="000000"/>
          <w:sz w:val="24"/>
        </w:rPr>
      </w:pPr>
      <w:r>
        <w:rPr>
          <w:rFonts w:hint="eastAsia" w:ascii="宋体" w:hAnsi="宋体"/>
          <w:color w:val="000000"/>
          <w:sz w:val="24"/>
        </w:rPr>
        <w:t>（2） 主机负载均衡服务，通过云管理平台实现针每租户按需自动分配负载均衡服务的能力。</w:t>
      </w:r>
    </w:p>
    <w:p w14:paraId="52E0FA85">
      <w:pPr>
        <w:spacing w:line="360" w:lineRule="auto"/>
        <w:ind w:firstLine="480" w:firstLineChars="200"/>
        <w:rPr>
          <w:rFonts w:hint="eastAsia" w:ascii="宋体" w:hAnsi="宋体"/>
          <w:color w:val="000000"/>
          <w:sz w:val="24"/>
        </w:rPr>
      </w:pPr>
      <w:r>
        <w:rPr>
          <w:rFonts w:hint="eastAsia" w:ascii="宋体" w:hAnsi="宋体"/>
          <w:color w:val="000000"/>
          <w:sz w:val="24"/>
        </w:rPr>
        <w:t>（3） 远程接入服务，提供互联网远程接入服务，每个账号结合身份验证接入堡垒机维护应用系统。</w:t>
      </w:r>
    </w:p>
    <w:p w14:paraId="3B7EC412">
      <w:pPr>
        <w:spacing w:line="360" w:lineRule="auto"/>
        <w:ind w:firstLine="480" w:firstLineChars="200"/>
        <w:rPr>
          <w:rFonts w:hint="eastAsia" w:ascii="宋体" w:hAnsi="宋体"/>
          <w:color w:val="000000"/>
          <w:sz w:val="24"/>
        </w:rPr>
      </w:pPr>
      <w:r>
        <w:rPr>
          <w:rFonts w:hint="eastAsia" w:ascii="宋体" w:hAnsi="宋体"/>
          <w:color w:val="000000"/>
          <w:sz w:val="24"/>
        </w:rPr>
        <w:t>（4） VPN服务，含SSL VPN接入服务。</w:t>
      </w:r>
    </w:p>
    <w:p w14:paraId="54BDDD4B">
      <w:pPr>
        <w:spacing w:line="360" w:lineRule="auto"/>
        <w:ind w:firstLine="480" w:firstLineChars="200"/>
        <w:rPr>
          <w:rFonts w:hint="eastAsia" w:ascii="宋体" w:hAnsi="宋体"/>
          <w:color w:val="000000"/>
          <w:sz w:val="24"/>
        </w:rPr>
      </w:pPr>
      <w:r>
        <w:rPr>
          <w:rFonts w:hint="eastAsia" w:ascii="宋体" w:hAnsi="宋体"/>
          <w:color w:val="000000"/>
          <w:sz w:val="24"/>
        </w:rPr>
        <w:t>2. 服务标准</w:t>
      </w:r>
    </w:p>
    <w:p w14:paraId="5D2D3C14">
      <w:pPr>
        <w:spacing w:line="360" w:lineRule="auto"/>
        <w:ind w:firstLine="480" w:firstLineChars="200"/>
        <w:rPr>
          <w:rFonts w:hint="eastAsia" w:ascii="宋体" w:hAnsi="宋体"/>
          <w:color w:val="000000"/>
          <w:sz w:val="24"/>
        </w:rPr>
      </w:pPr>
      <w:r>
        <w:rPr>
          <w:rFonts w:hint="eastAsia" w:ascii="宋体" w:hAnsi="宋体"/>
          <w:color w:val="000000"/>
          <w:sz w:val="24"/>
        </w:rPr>
        <w:t>网络系统提供稳定的数据传输能力，一般要求如下：</w:t>
      </w:r>
    </w:p>
    <w:p w14:paraId="4E475FFA">
      <w:pPr>
        <w:spacing w:line="360" w:lineRule="auto"/>
        <w:ind w:firstLine="480" w:firstLineChars="200"/>
        <w:rPr>
          <w:rFonts w:hint="eastAsia" w:ascii="宋体" w:hAnsi="宋体"/>
          <w:color w:val="000000"/>
          <w:sz w:val="24"/>
        </w:rPr>
      </w:pPr>
      <w:r>
        <w:rPr>
          <w:rFonts w:hint="eastAsia" w:ascii="宋体" w:hAnsi="宋体"/>
          <w:color w:val="000000"/>
          <w:sz w:val="24"/>
        </w:rPr>
        <w:t>（1） 具备多运营商网络接入服务的能力；</w:t>
      </w:r>
    </w:p>
    <w:p w14:paraId="14D39C9B">
      <w:pPr>
        <w:spacing w:line="360" w:lineRule="auto"/>
        <w:ind w:firstLine="480" w:firstLineChars="200"/>
        <w:rPr>
          <w:rFonts w:hint="eastAsia" w:ascii="宋体" w:hAnsi="宋体"/>
          <w:color w:val="000000"/>
          <w:sz w:val="24"/>
        </w:rPr>
      </w:pPr>
      <w:r>
        <w:rPr>
          <w:rFonts w:hint="eastAsia" w:ascii="宋体" w:hAnsi="宋体"/>
          <w:color w:val="000000"/>
          <w:sz w:val="24"/>
        </w:rPr>
        <w:t>（2） 数据中心组网架构设计可采用大二层网络架构，支持云主机无障碍动态迁移；</w:t>
      </w:r>
    </w:p>
    <w:p w14:paraId="29A5D83F">
      <w:pPr>
        <w:spacing w:line="360" w:lineRule="auto"/>
        <w:ind w:firstLine="480" w:firstLineChars="200"/>
        <w:rPr>
          <w:rFonts w:hint="eastAsia" w:ascii="宋体" w:hAnsi="宋体"/>
          <w:color w:val="000000"/>
          <w:sz w:val="24"/>
        </w:rPr>
      </w:pPr>
      <w:r>
        <w:rPr>
          <w:rFonts w:hint="eastAsia" w:ascii="宋体" w:hAnsi="宋体"/>
          <w:color w:val="000000"/>
          <w:sz w:val="24"/>
        </w:rPr>
        <w:t>（3） 应采用集群部署网络控制，以保障升级时业务不中断；</w:t>
      </w:r>
    </w:p>
    <w:p w14:paraId="28B50F3D">
      <w:pPr>
        <w:spacing w:line="360" w:lineRule="auto"/>
        <w:ind w:firstLine="480" w:firstLineChars="200"/>
        <w:rPr>
          <w:rFonts w:hint="eastAsia" w:ascii="宋体" w:hAnsi="宋体"/>
          <w:color w:val="000000"/>
          <w:sz w:val="24"/>
        </w:rPr>
      </w:pPr>
      <w:r>
        <w:rPr>
          <w:rFonts w:hint="eastAsia" w:ascii="宋体" w:hAnsi="宋体"/>
          <w:color w:val="000000"/>
          <w:sz w:val="24"/>
        </w:rPr>
        <w:t>（4） 应实现自动化动态网络资源调配和隔离，支持与互联网、电子政务外网及行业部门专网的连接；</w:t>
      </w:r>
    </w:p>
    <w:p w14:paraId="7F54BD77">
      <w:pPr>
        <w:spacing w:line="360" w:lineRule="auto"/>
        <w:ind w:firstLine="480" w:firstLineChars="200"/>
        <w:rPr>
          <w:rFonts w:hint="eastAsia" w:ascii="宋体" w:hAnsi="宋体"/>
          <w:color w:val="000000"/>
          <w:sz w:val="24"/>
        </w:rPr>
      </w:pPr>
      <w:r>
        <w:rPr>
          <w:rFonts w:hint="eastAsia" w:ascii="宋体" w:hAnsi="宋体"/>
          <w:color w:val="000000"/>
          <w:sz w:val="24"/>
        </w:rPr>
        <w:t>（5） 支持IPv6地址分配，满足业务系统IPv6要求；</w:t>
      </w:r>
    </w:p>
    <w:p w14:paraId="5C11DBDE">
      <w:pPr>
        <w:spacing w:line="360" w:lineRule="auto"/>
        <w:ind w:firstLine="480" w:firstLineChars="200"/>
        <w:rPr>
          <w:rFonts w:hint="eastAsia" w:ascii="宋体" w:hAnsi="宋体"/>
          <w:color w:val="000000"/>
          <w:sz w:val="24"/>
        </w:rPr>
      </w:pPr>
      <w:r>
        <w:rPr>
          <w:rFonts w:hint="eastAsia" w:ascii="宋体" w:hAnsi="宋体"/>
          <w:color w:val="000000"/>
          <w:sz w:val="24"/>
        </w:rPr>
        <w:t>（6） 具备边界防火墙和VPC防火墙隔离能力，分别针对不同的流量进行安全策略防护与配置；</w:t>
      </w:r>
    </w:p>
    <w:p w14:paraId="5D1882D7">
      <w:pPr>
        <w:spacing w:line="360" w:lineRule="auto"/>
        <w:ind w:firstLine="480" w:firstLineChars="200"/>
        <w:rPr>
          <w:rFonts w:hint="eastAsia" w:ascii="宋体" w:hAnsi="宋体"/>
          <w:color w:val="000000"/>
          <w:sz w:val="24"/>
        </w:rPr>
      </w:pPr>
      <w:r>
        <w:rPr>
          <w:rFonts w:hint="eastAsia" w:ascii="宋体" w:hAnsi="宋体"/>
          <w:color w:val="000000"/>
          <w:sz w:val="24"/>
        </w:rPr>
        <w:t>（7） 具备高可用虚拟IP能力，在集群或主备场景下，云主机可绑定高可用虚拟IP，达到高可用访问效果；</w:t>
      </w:r>
    </w:p>
    <w:p w14:paraId="5B38AE4B">
      <w:pPr>
        <w:spacing w:line="360" w:lineRule="auto"/>
        <w:ind w:firstLine="480" w:firstLineChars="200"/>
        <w:rPr>
          <w:rFonts w:hint="eastAsia" w:ascii="宋体" w:hAnsi="宋体"/>
          <w:color w:val="000000"/>
          <w:sz w:val="24"/>
        </w:rPr>
      </w:pPr>
      <w:r>
        <w:rPr>
          <w:rFonts w:hint="eastAsia" w:ascii="宋体" w:hAnsi="宋体"/>
          <w:color w:val="000000"/>
          <w:sz w:val="24"/>
        </w:rPr>
        <w:t>（8） 采用双活网络架构，降低单点故障带来的稳定风险；为入云系统划分安全区域，合理制定访问规则。</w:t>
      </w:r>
    </w:p>
    <w:p w14:paraId="7FD5814F">
      <w:pPr>
        <w:spacing w:line="360" w:lineRule="auto"/>
        <w:ind w:firstLine="480" w:firstLineChars="200"/>
        <w:rPr>
          <w:rFonts w:hint="eastAsia" w:ascii="宋体" w:hAnsi="宋体"/>
          <w:color w:val="000000"/>
          <w:sz w:val="24"/>
        </w:rPr>
      </w:pPr>
      <w:r>
        <w:rPr>
          <w:rFonts w:hint="eastAsia" w:ascii="宋体" w:hAnsi="宋体"/>
          <w:color w:val="000000"/>
          <w:sz w:val="24"/>
        </w:rPr>
        <w:t>（9） 网络系统性能要求包括但不限于如下：</w:t>
      </w:r>
    </w:p>
    <w:p w14:paraId="3496CAE5">
      <w:pPr>
        <w:spacing w:line="360" w:lineRule="auto"/>
        <w:ind w:firstLine="480" w:firstLineChars="200"/>
        <w:rPr>
          <w:rFonts w:hint="eastAsia" w:ascii="宋体" w:hAnsi="宋体"/>
          <w:color w:val="000000"/>
          <w:sz w:val="24"/>
        </w:rPr>
      </w:pPr>
      <w:r>
        <w:rPr>
          <w:rFonts w:hint="eastAsia" w:ascii="宋体" w:hAnsi="宋体"/>
          <w:color w:val="000000"/>
          <w:sz w:val="24"/>
        </w:rPr>
        <w:t>服务器业务带宽不低于10Gb/s；</w:t>
      </w:r>
    </w:p>
    <w:p w14:paraId="269CDD63">
      <w:pPr>
        <w:spacing w:line="360" w:lineRule="auto"/>
        <w:ind w:firstLine="480" w:firstLineChars="200"/>
        <w:rPr>
          <w:rFonts w:hint="eastAsia" w:ascii="宋体" w:hAnsi="宋体"/>
          <w:color w:val="000000"/>
          <w:sz w:val="24"/>
        </w:rPr>
      </w:pPr>
      <w:r>
        <w:rPr>
          <w:rFonts w:hint="eastAsia" w:ascii="宋体" w:hAnsi="宋体"/>
          <w:color w:val="000000"/>
          <w:sz w:val="24"/>
        </w:rPr>
        <w:t>平均可用性不低于99.99%。</w:t>
      </w:r>
    </w:p>
    <w:p w14:paraId="05CF3B34">
      <w:pPr>
        <w:spacing w:line="360" w:lineRule="auto"/>
        <w:ind w:firstLine="480" w:firstLineChars="200"/>
        <w:rPr>
          <w:rFonts w:hint="eastAsia" w:ascii="宋体" w:hAnsi="宋体"/>
          <w:color w:val="000000"/>
          <w:sz w:val="24"/>
        </w:rPr>
      </w:pPr>
      <w:r>
        <w:rPr>
          <w:rFonts w:hint="eastAsia" w:ascii="宋体" w:hAnsi="宋体"/>
          <w:color w:val="000000"/>
          <w:sz w:val="24"/>
        </w:rPr>
        <w:t>（10）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3219506D">
      <w:pPr>
        <w:spacing w:line="360" w:lineRule="auto"/>
        <w:ind w:firstLine="480" w:firstLineChars="200"/>
        <w:rPr>
          <w:rFonts w:hint="eastAsia" w:ascii="宋体" w:hAnsi="宋体"/>
          <w:color w:val="000000"/>
          <w:sz w:val="24"/>
        </w:rPr>
      </w:pPr>
      <w:r>
        <w:rPr>
          <w:rFonts w:hint="eastAsia" w:ascii="宋体" w:hAnsi="宋体"/>
          <w:color w:val="000000"/>
          <w:sz w:val="24"/>
        </w:rPr>
        <w:t>（11）SSL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采用通过商用密码产品认证的SSL VPN产品。</w:t>
      </w:r>
    </w:p>
    <w:p w14:paraId="30BDA4A0">
      <w:pPr>
        <w:pStyle w:val="5"/>
        <w:spacing w:before="0" w:after="0" w:line="360" w:lineRule="auto"/>
        <w:ind w:firstLine="562" w:firstLineChars="200"/>
        <w:rPr>
          <w:rFonts w:hint="eastAsia" w:ascii="宋体" w:hAnsi="宋体"/>
          <w:color w:val="000000"/>
        </w:rPr>
      </w:pPr>
      <w:r>
        <w:rPr>
          <w:rFonts w:hint="eastAsia" w:ascii="宋体" w:hAnsi="宋体"/>
          <w:color w:val="000000"/>
        </w:rPr>
        <w:t>2.2.4基础软件支撑服务</w:t>
      </w:r>
    </w:p>
    <w:p w14:paraId="270C4B8C">
      <w:pPr>
        <w:spacing w:line="360" w:lineRule="auto"/>
        <w:ind w:firstLine="480" w:firstLineChars="200"/>
        <w:rPr>
          <w:rFonts w:hint="eastAsia" w:ascii="宋体" w:hAnsi="宋体"/>
          <w:color w:val="000000"/>
          <w:sz w:val="24"/>
        </w:rPr>
      </w:pPr>
      <w:r>
        <w:rPr>
          <w:rFonts w:hint="eastAsia" w:ascii="宋体" w:hAnsi="宋体"/>
          <w:color w:val="000000"/>
          <w:sz w:val="24"/>
        </w:rPr>
        <w:t>1. 服务内容</w:t>
      </w:r>
    </w:p>
    <w:p w14:paraId="75F0BEA9">
      <w:pPr>
        <w:spacing w:line="360" w:lineRule="auto"/>
        <w:ind w:firstLine="480" w:firstLineChars="200"/>
        <w:rPr>
          <w:rFonts w:hint="eastAsia" w:ascii="宋体" w:hAnsi="宋体"/>
          <w:color w:val="000000"/>
          <w:sz w:val="24"/>
        </w:rPr>
      </w:pPr>
      <w:r>
        <w:rPr>
          <w:rFonts w:hint="eastAsia" w:ascii="宋体" w:hAnsi="宋体"/>
          <w:color w:val="000000"/>
          <w:sz w:val="24"/>
        </w:rPr>
        <w:t>按照采购人的有关管理规定及具体需求，提供商用操作系统、国产商用应用中间件、开源应用中间件、商用数据库、开源数据库等软件支撑服务。</w:t>
      </w:r>
    </w:p>
    <w:p w14:paraId="12C6AAE7">
      <w:pPr>
        <w:spacing w:line="360" w:lineRule="auto"/>
        <w:ind w:firstLine="480" w:firstLineChars="200"/>
        <w:rPr>
          <w:rFonts w:hint="eastAsia" w:ascii="宋体" w:hAnsi="宋体"/>
          <w:color w:val="000000"/>
          <w:sz w:val="24"/>
        </w:rPr>
      </w:pPr>
      <w:r>
        <w:rPr>
          <w:rFonts w:hint="eastAsia" w:ascii="宋体" w:hAnsi="宋体"/>
          <w:color w:val="000000"/>
          <w:sz w:val="24"/>
        </w:rPr>
        <w:t>2. 服务标准</w:t>
      </w:r>
    </w:p>
    <w:p w14:paraId="0F153FCD">
      <w:pPr>
        <w:spacing w:line="360" w:lineRule="auto"/>
        <w:ind w:firstLine="480" w:firstLineChars="200"/>
        <w:rPr>
          <w:rFonts w:hint="eastAsia" w:ascii="宋体" w:hAnsi="宋体"/>
          <w:color w:val="000000"/>
          <w:sz w:val="24"/>
        </w:rPr>
      </w:pPr>
      <w:r>
        <w:rPr>
          <w:rFonts w:hint="eastAsia" w:ascii="宋体" w:hAnsi="宋体"/>
          <w:color w:val="000000"/>
          <w:sz w:val="24"/>
        </w:rPr>
        <w:t>（1）商用操作系统套餐</w:t>
      </w:r>
    </w:p>
    <w:p w14:paraId="1C3A9510">
      <w:pPr>
        <w:spacing w:line="360" w:lineRule="auto"/>
        <w:ind w:firstLine="480" w:firstLineChars="200"/>
        <w:rPr>
          <w:rFonts w:hint="eastAsia" w:ascii="宋体" w:hAnsi="宋体"/>
          <w:color w:val="000000"/>
          <w:sz w:val="24"/>
        </w:rPr>
      </w:pPr>
      <w:r>
        <w:rPr>
          <w:rFonts w:hint="eastAsia" w:ascii="宋体" w:hAnsi="宋体"/>
          <w:color w:val="000000"/>
          <w:sz w:val="24"/>
        </w:rPr>
        <w:t>提供商业操作系统服务，支持Windows Server、国产Linux操作系统（银河麒麟/中标麒麟/统信等）的各种主流版本，并提供操作系统的安装部署和各种故障处理。</w:t>
      </w:r>
    </w:p>
    <w:p w14:paraId="7B691019">
      <w:pPr>
        <w:spacing w:line="360" w:lineRule="auto"/>
        <w:ind w:firstLine="480" w:firstLineChars="200"/>
        <w:rPr>
          <w:rFonts w:hint="eastAsia" w:ascii="宋体" w:hAnsi="宋体"/>
          <w:color w:val="000000"/>
          <w:sz w:val="24"/>
        </w:rPr>
      </w:pPr>
      <w:r>
        <w:rPr>
          <w:rFonts w:hint="eastAsia" w:ascii="宋体" w:hAnsi="宋体"/>
          <w:color w:val="000000"/>
          <w:sz w:val="24"/>
        </w:rPr>
        <w:t>（2）国产商用应用中间件套餐</w:t>
      </w:r>
    </w:p>
    <w:p w14:paraId="54DA6E01">
      <w:pPr>
        <w:spacing w:line="360" w:lineRule="auto"/>
        <w:ind w:firstLine="480" w:firstLineChars="200"/>
        <w:rPr>
          <w:rFonts w:hint="eastAsia" w:ascii="宋体" w:hAnsi="宋体"/>
          <w:color w:val="000000"/>
          <w:sz w:val="24"/>
        </w:rPr>
      </w:pPr>
      <w:r>
        <w:rPr>
          <w:rFonts w:hint="eastAsia" w:ascii="宋体" w:hAnsi="宋体"/>
          <w:color w:val="000000"/>
          <w:sz w:val="24"/>
        </w:rPr>
        <w:t>提供国产商用中间件服务，支持包括宝兰德、东方通、普元等3种及以上国产中间件的主流版本，提供中间件的安装部署以及各种故障处理和日常维护。</w:t>
      </w:r>
    </w:p>
    <w:p w14:paraId="7660EB0B">
      <w:pPr>
        <w:spacing w:line="360" w:lineRule="auto"/>
        <w:ind w:firstLine="480" w:firstLineChars="200"/>
        <w:rPr>
          <w:rFonts w:hint="eastAsia" w:ascii="宋体" w:hAnsi="宋体"/>
          <w:color w:val="000000"/>
          <w:sz w:val="24"/>
        </w:rPr>
      </w:pPr>
      <w:r>
        <w:rPr>
          <w:rFonts w:hint="eastAsia" w:ascii="宋体" w:hAnsi="宋体"/>
          <w:color w:val="000000"/>
          <w:sz w:val="24"/>
        </w:rPr>
        <w:t>（3）开源应用中间件套餐</w:t>
      </w:r>
    </w:p>
    <w:p w14:paraId="6342E68D">
      <w:pPr>
        <w:spacing w:line="360" w:lineRule="auto"/>
        <w:ind w:firstLine="480" w:firstLineChars="200"/>
        <w:rPr>
          <w:rFonts w:hint="eastAsia" w:ascii="宋体" w:hAnsi="宋体"/>
          <w:color w:val="000000"/>
          <w:sz w:val="24"/>
        </w:rPr>
      </w:pPr>
      <w:r>
        <w:rPr>
          <w:rFonts w:hint="eastAsia" w:ascii="宋体" w:hAnsi="宋体"/>
          <w:color w:val="000000"/>
          <w:sz w:val="24"/>
        </w:rPr>
        <w:t>提供</w:t>
      </w:r>
      <w:r>
        <w:rPr>
          <w:rFonts w:ascii="宋体" w:hAnsi="宋体"/>
          <w:color w:val="000000"/>
          <w:sz w:val="24"/>
        </w:rPr>
        <w:t>开源中间件服务，</w:t>
      </w:r>
      <w:r>
        <w:rPr>
          <w:rFonts w:hint="eastAsia" w:ascii="宋体" w:hAnsi="宋体"/>
          <w:color w:val="000000"/>
          <w:sz w:val="24"/>
        </w:rPr>
        <w:t>应支持Tomcat等中间件的各种版本，并提供中间件的</w:t>
      </w:r>
      <w:r>
        <w:rPr>
          <w:rFonts w:ascii="宋体" w:hAnsi="宋体"/>
          <w:color w:val="000000"/>
          <w:sz w:val="24"/>
        </w:rPr>
        <w:t>安装部署和</w:t>
      </w:r>
      <w:r>
        <w:rPr>
          <w:rFonts w:hint="eastAsia" w:ascii="宋体" w:hAnsi="宋体"/>
          <w:color w:val="000000"/>
          <w:sz w:val="24"/>
        </w:rPr>
        <w:t>各种故障处理和</w:t>
      </w:r>
      <w:r>
        <w:rPr>
          <w:rFonts w:ascii="宋体" w:hAnsi="宋体"/>
          <w:color w:val="000000"/>
          <w:sz w:val="24"/>
        </w:rPr>
        <w:t>日常维护</w:t>
      </w:r>
      <w:r>
        <w:rPr>
          <w:rFonts w:hint="eastAsia" w:ascii="宋体" w:hAnsi="宋体"/>
          <w:color w:val="000000"/>
          <w:sz w:val="24"/>
        </w:rPr>
        <w:t>。</w:t>
      </w:r>
    </w:p>
    <w:p w14:paraId="72989FBA">
      <w:pPr>
        <w:spacing w:line="360" w:lineRule="auto"/>
        <w:ind w:firstLine="480" w:firstLineChars="200"/>
        <w:rPr>
          <w:rFonts w:hint="eastAsia" w:ascii="宋体" w:hAnsi="宋体"/>
          <w:color w:val="000000"/>
          <w:sz w:val="24"/>
        </w:rPr>
      </w:pPr>
      <w:r>
        <w:rPr>
          <w:rFonts w:hint="eastAsia" w:ascii="宋体" w:hAnsi="宋体"/>
          <w:color w:val="000000"/>
          <w:sz w:val="24"/>
        </w:rPr>
        <w:t>（3）商用数据库套餐</w:t>
      </w:r>
    </w:p>
    <w:p w14:paraId="6826A6D1">
      <w:pPr>
        <w:spacing w:line="360" w:lineRule="auto"/>
        <w:ind w:firstLine="480" w:firstLineChars="200"/>
        <w:rPr>
          <w:rFonts w:hint="eastAsia" w:ascii="宋体" w:hAnsi="宋体"/>
          <w:color w:val="000000"/>
          <w:sz w:val="24"/>
        </w:rPr>
      </w:pPr>
      <w:r>
        <w:rPr>
          <w:rFonts w:hint="eastAsia" w:ascii="宋体" w:hAnsi="宋体"/>
          <w:color w:val="000000"/>
          <w:sz w:val="24"/>
        </w:rPr>
        <w:t>提供</w:t>
      </w:r>
      <w:r>
        <w:rPr>
          <w:rFonts w:ascii="宋体" w:hAnsi="宋体"/>
          <w:color w:val="000000"/>
          <w:sz w:val="24"/>
        </w:rPr>
        <w:t>国产商用数据库服务，应</w:t>
      </w:r>
      <w:r>
        <w:rPr>
          <w:rFonts w:hint="eastAsia" w:ascii="宋体" w:hAnsi="宋体"/>
          <w:color w:val="000000"/>
          <w:sz w:val="24"/>
        </w:rPr>
        <w:t>支持</w:t>
      </w:r>
      <w:r>
        <w:rPr>
          <w:rFonts w:ascii="宋体" w:hAnsi="宋体"/>
          <w:color w:val="000000"/>
          <w:sz w:val="24"/>
        </w:rPr>
        <w:t>3种以上国产数据库单机、集群的</w:t>
      </w:r>
      <w:r>
        <w:rPr>
          <w:rFonts w:hint="eastAsia" w:ascii="宋体" w:hAnsi="宋体"/>
          <w:color w:val="000000"/>
          <w:sz w:val="24"/>
        </w:rPr>
        <w:t>主流</w:t>
      </w:r>
      <w:r>
        <w:rPr>
          <w:rFonts w:ascii="宋体" w:hAnsi="宋体"/>
          <w:color w:val="000000"/>
          <w:sz w:val="24"/>
        </w:rPr>
        <w:t>版本</w:t>
      </w:r>
      <w:r>
        <w:rPr>
          <w:rFonts w:hint="eastAsia" w:ascii="宋体" w:hAnsi="宋体"/>
          <w:color w:val="000000"/>
          <w:sz w:val="24"/>
        </w:rPr>
        <w:t>，提供数据库的</w:t>
      </w:r>
      <w:r>
        <w:rPr>
          <w:rFonts w:ascii="宋体" w:hAnsi="宋体"/>
          <w:color w:val="000000"/>
          <w:sz w:val="24"/>
        </w:rPr>
        <w:t>安装部署和</w:t>
      </w:r>
      <w:r>
        <w:rPr>
          <w:rFonts w:hint="eastAsia" w:ascii="宋体" w:hAnsi="宋体"/>
          <w:color w:val="000000"/>
          <w:sz w:val="24"/>
        </w:rPr>
        <w:t>各种故障处理及日常维护</w:t>
      </w:r>
      <w:r>
        <w:rPr>
          <w:rFonts w:ascii="宋体" w:hAnsi="宋体"/>
          <w:color w:val="000000"/>
          <w:sz w:val="24"/>
        </w:rPr>
        <w:t>。</w:t>
      </w:r>
    </w:p>
    <w:p w14:paraId="04A120E1">
      <w:pPr>
        <w:spacing w:line="360" w:lineRule="auto"/>
        <w:ind w:firstLine="480" w:firstLineChars="200"/>
        <w:rPr>
          <w:rFonts w:hint="eastAsia" w:ascii="宋体" w:hAnsi="宋体"/>
          <w:color w:val="000000"/>
          <w:sz w:val="24"/>
        </w:rPr>
      </w:pPr>
      <w:r>
        <w:rPr>
          <w:rFonts w:hint="eastAsia" w:ascii="宋体" w:hAnsi="宋体"/>
          <w:color w:val="000000"/>
          <w:sz w:val="24"/>
        </w:rPr>
        <w:t>（4）开源数据库套餐</w:t>
      </w:r>
    </w:p>
    <w:p w14:paraId="3AD12D26">
      <w:pPr>
        <w:spacing w:line="360" w:lineRule="auto"/>
        <w:ind w:firstLine="480" w:firstLineChars="200"/>
        <w:rPr>
          <w:rFonts w:hint="eastAsia" w:ascii="宋体" w:hAnsi="宋体"/>
          <w:color w:val="000000"/>
          <w:sz w:val="24"/>
        </w:rPr>
      </w:pPr>
      <w:r>
        <w:rPr>
          <w:rFonts w:hint="eastAsia" w:ascii="宋体" w:hAnsi="宋体"/>
          <w:color w:val="000000"/>
          <w:sz w:val="24"/>
        </w:rPr>
        <w:t>提供</w:t>
      </w:r>
      <w:r>
        <w:rPr>
          <w:rFonts w:ascii="宋体" w:hAnsi="宋体"/>
          <w:color w:val="000000"/>
          <w:sz w:val="24"/>
        </w:rPr>
        <w:t>开源数据库</w:t>
      </w:r>
      <w:r>
        <w:rPr>
          <w:rFonts w:hint="eastAsia" w:ascii="宋体" w:hAnsi="宋体"/>
          <w:color w:val="000000"/>
          <w:sz w:val="24"/>
        </w:rPr>
        <w:t>服务</w:t>
      </w:r>
      <w:r>
        <w:rPr>
          <w:rFonts w:ascii="宋体" w:hAnsi="宋体"/>
          <w:color w:val="000000"/>
          <w:sz w:val="24"/>
        </w:rPr>
        <w:t>，应</w:t>
      </w:r>
      <w:r>
        <w:rPr>
          <w:rFonts w:hint="eastAsia" w:ascii="宋体" w:hAnsi="宋体"/>
          <w:color w:val="000000"/>
          <w:sz w:val="24"/>
        </w:rPr>
        <w:t>支持</w:t>
      </w:r>
      <w:r>
        <w:rPr>
          <w:rFonts w:ascii="宋体" w:hAnsi="宋体"/>
          <w:color w:val="000000"/>
          <w:sz w:val="24"/>
        </w:rPr>
        <w:t>MYSQL数据库的</w:t>
      </w:r>
      <w:r>
        <w:rPr>
          <w:rFonts w:hint="eastAsia" w:ascii="宋体" w:hAnsi="宋体"/>
          <w:color w:val="000000"/>
          <w:sz w:val="24"/>
        </w:rPr>
        <w:t>主流</w:t>
      </w:r>
      <w:r>
        <w:rPr>
          <w:rFonts w:ascii="宋体" w:hAnsi="宋体"/>
          <w:color w:val="000000"/>
          <w:sz w:val="24"/>
        </w:rPr>
        <w:t>版本</w:t>
      </w:r>
      <w:r>
        <w:rPr>
          <w:rFonts w:hint="eastAsia" w:ascii="宋体" w:hAnsi="宋体"/>
          <w:color w:val="000000"/>
          <w:sz w:val="24"/>
        </w:rPr>
        <w:t>，提供数据库的</w:t>
      </w:r>
      <w:r>
        <w:rPr>
          <w:rFonts w:ascii="宋体" w:hAnsi="宋体"/>
          <w:color w:val="000000"/>
          <w:sz w:val="24"/>
        </w:rPr>
        <w:t>安装部署和</w:t>
      </w:r>
      <w:r>
        <w:rPr>
          <w:rFonts w:hint="eastAsia" w:ascii="宋体" w:hAnsi="宋体"/>
          <w:color w:val="000000"/>
          <w:sz w:val="24"/>
        </w:rPr>
        <w:t>各种故障处理及</w:t>
      </w:r>
      <w:r>
        <w:rPr>
          <w:rFonts w:ascii="宋体" w:hAnsi="宋体"/>
          <w:color w:val="000000"/>
          <w:sz w:val="24"/>
        </w:rPr>
        <w:t>配置</w:t>
      </w:r>
      <w:r>
        <w:rPr>
          <w:rFonts w:hint="eastAsia" w:ascii="宋体" w:hAnsi="宋体"/>
          <w:color w:val="000000"/>
          <w:sz w:val="24"/>
        </w:rPr>
        <w:t>优化</w:t>
      </w:r>
      <w:r>
        <w:rPr>
          <w:rFonts w:ascii="宋体" w:hAnsi="宋体"/>
          <w:color w:val="000000"/>
          <w:sz w:val="24"/>
        </w:rPr>
        <w:t>，</w:t>
      </w:r>
      <w:r>
        <w:rPr>
          <w:rFonts w:hint="eastAsia" w:ascii="宋体" w:hAnsi="宋体"/>
          <w:color w:val="000000"/>
          <w:sz w:val="24"/>
        </w:rPr>
        <w:t>提供数据库日常维护。</w:t>
      </w:r>
    </w:p>
    <w:p w14:paraId="113B3422">
      <w:pPr>
        <w:spacing w:line="360" w:lineRule="auto"/>
        <w:ind w:firstLine="480" w:firstLineChars="200"/>
        <w:rPr>
          <w:rFonts w:hint="eastAsia" w:ascii="宋体" w:hAnsi="宋体"/>
          <w:color w:val="000000"/>
          <w:sz w:val="24"/>
        </w:rPr>
      </w:pPr>
    </w:p>
    <w:p w14:paraId="0DD0C421">
      <w:pPr>
        <w:pStyle w:val="5"/>
        <w:spacing w:before="0" w:after="0" w:line="360" w:lineRule="auto"/>
        <w:ind w:firstLine="562" w:firstLineChars="200"/>
        <w:rPr>
          <w:rFonts w:hint="eastAsia" w:ascii="宋体" w:hAnsi="宋体"/>
          <w:color w:val="000000"/>
        </w:rPr>
      </w:pPr>
      <w:r>
        <w:rPr>
          <w:rFonts w:hint="eastAsia" w:ascii="宋体" w:hAnsi="宋体"/>
          <w:color w:val="000000"/>
        </w:rPr>
        <w:t>2.2.5 安全服务</w:t>
      </w:r>
    </w:p>
    <w:p w14:paraId="1D8710F4">
      <w:pPr>
        <w:spacing w:line="360" w:lineRule="auto"/>
        <w:ind w:firstLine="480" w:firstLineChars="200"/>
        <w:rPr>
          <w:rFonts w:hint="eastAsia" w:ascii="宋体" w:hAnsi="宋体"/>
          <w:color w:val="000000"/>
          <w:sz w:val="24"/>
        </w:rPr>
      </w:pPr>
      <w:r>
        <w:rPr>
          <w:rFonts w:hint="eastAsia" w:ascii="宋体" w:hAnsi="宋体"/>
          <w:color w:val="000000"/>
          <w:sz w:val="24"/>
        </w:rPr>
        <w:t>1．服务内容</w:t>
      </w:r>
    </w:p>
    <w:p w14:paraId="4D4E3734">
      <w:pPr>
        <w:spacing w:line="360" w:lineRule="auto"/>
        <w:ind w:firstLine="480" w:firstLineChars="200"/>
        <w:rPr>
          <w:rFonts w:hint="eastAsia" w:ascii="宋体" w:hAnsi="宋体"/>
          <w:color w:val="000000"/>
          <w:sz w:val="24"/>
        </w:rPr>
      </w:pPr>
      <w:r>
        <w:rPr>
          <w:rFonts w:hint="eastAsia" w:ascii="宋体" w:hAnsi="宋体"/>
          <w:color w:val="000000"/>
          <w:sz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2949923C">
      <w:pPr>
        <w:spacing w:line="360" w:lineRule="auto"/>
        <w:ind w:firstLine="480" w:firstLineChars="200"/>
        <w:rPr>
          <w:rFonts w:hint="eastAsia" w:ascii="宋体" w:hAnsi="宋体"/>
          <w:color w:val="000000"/>
          <w:sz w:val="24"/>
        </w:rPr>
      </w:pPr>
      <w:r>
        <w:rPr>
          <w:rFonts w:hint="eastAsia" w:ascii="宋体" w:hAnsi="宋体"/>
          <w:color w:val="000000"/>
          <w:sz w:val="24"/>
        </w:rPr>
        <w:t>（1）WAF防护服务</w:t>
      </w:r>
    </w:p>
    <w:p w14:paraId="395391E6">
      <w:pPr>
        <w:spacing w:line="360" w:lineRule="auto"/>
        <w:ind w:firstLine="480" w:firstLineChars="200"/>
        <w:rPr>
          <w:rFonts w:hint="eastAsia" w:ascii="宋体" w:hAnsi="宋体"/>
          <w:color w:val="000000"/>
          <w:sz w:val="24"/>
        </w:rPr>
      </w:pPr>
      <w:r>
        <w:rPr>
          <w:rFonts w:hint="eastAsia" w:ascii="宋体" w:hAnsi="宋体"/>
          <w:color w:val="000000"/>
          <w:sz w:val="24"/>
        </w:rPr>
        <w:t>按照采购人的具体需求，提供互联网WAF防护服务，保证用户对已知安全隐患进行防护，实时升级漏洞补丁，配置防护策略，起到前端防护作用。</w:t>
      </w:r>
    </w:p>
    <w:p w14:paraId="54FEFD70">
      <w:pPr>
        <w:spacing w:line="360" w:lineRule="auto"/>
        <w:ind w:firstLine="480" w:firstLineChars="200"/>
        <w:rPr>
          <w:rFonts w:hint="eastAsia" w:ascii="宋体" w:hAnsi="宋体"/>
          <w:color w:val="000000"/>
          <w:sz w:val="24"/>
        </w:rPr>
      </w:pPr>
      <w:r>
        <w:rPr>
          <w:rFonts w:hint="eastAsia" w:ascii="宋体" w:hAnsi="宋体"/>
          <w:color w:val="000000"/>
          <w:sz w:val="24"/>
        </w:rPr>
        <w:t>（2）云端抗DDOS服务</w:t>
      </w:r>
    </w:p>
    <w:p w14:paraId="7E66C1C3">
      <w:pPr>
        <w:spacing w:line="360" w:lineRule="auto"/>
        <w:ind w:firstLine="480" w:firstLineChars="200"/>
        <w:rPr>
          <w:rFonts w:hint="eastAsia" w:ascii="宋体" w:hAnsi="宋体"/>
          <w:color w:val="000000"/>
          <w:sz w:val="24"/>
        </w:rPr>
      </w:pPr>
      <w:r>
        <w:rPr>
          <w:rFonts w:hint="eastAsia" w:ascii="宋体" w:hAnsi="宋体"/>
          <w:color w:val="000000"/>
          <w:sz w:val="24"/>
        </w:rPr>
        <w:t>按照采购人的具体需求，根据流量提供云端抗DDOS服务，为云内应用系统抵御大流量分布式拒绝服务攻击。在提供服务的过程中需做好与采购人和对应项目的应用开发厂商的协调沟通工作。</w:t>
      </w:r>
    </w:p>
    <w:p w14:paraId="792FE17C">
      <w:pPr>
        <w:spacing w:line="360" w:lineRule="auto"/>
        <w:ind w:firstLine="480" w:firstLineChars="200"/>
        <w:rPr>
          <w:rFonts w:hint="eastAsia" w:ascii="宋体" w:hAnsi="宋体"/>
          <w:color w:val="000000"/>
          <w:sz w:val="24"/>
        </w:rPr>
      </w:pPr>
      <w:r>
        <w:rPr>
          <w:rFonts w:hint="eastAsia" w:ascii="宋体" w:hAnsi="宋体"/>
          <w:color w:val="000000"/>
          <w:sz w:val="24"/>
        </w:rPr>
        <w:t>（3）云端APT防护服务</w:t>
      </w:r>
    </w:p>
    <w:p w14:paraId="2D366AC0">
      <w:pPr>
        <w:spacing w:line="360" w:lineRule="auto"/>
        <w:ind w:firstLine="480" w:firstLineChars="200"/>
        <w:rPr>
          <w:rFonts w:hint="eastAsia" w:ascii="宋体" w:hAnsi="宋体"/>
          <w:color w:val="000000"/>
          <w:sz w:val="24"/>
        </w:rPr>
      </w:pPr>
      <w:r>
        <w:rPr>
          <w:rFonts w:hint="eastAsia" w:ascii="宋体" w:hAnsi="宋体"/>
          <w:color w:val="000000"/>
          <w:sz w:val="24"/>
        </w:rPr>
        <w:t>按照采购人的具体需求，提供云端APT防护服务，对未知攻击威胁进行检测和防护，发现隐蔽威胁、木马后门等异常威胁。通过APT防护服务，实现恶意代码检测、恶意软件检测及攻击溯源。</w:t>
      </w:r>
    </w:p>
    <w:p w14:paraId="35420BAD">
      <w:pPr>
        <w:spacing w:line="360" w:lineRule="auto"/>
        <w:ind w:firstLine="480" w:firstLineChars="200"/>
        <w:rPr>
          <w:rFonts w:hint="eastAsia" w:ascii="宋体" w:hAnsi="宋体"/>
          <w:color w:val="000000"/>
          <w:sz w:val="24"/>
        </w:rPr>
      </w:pPr>
      <w:r>
        <w:rPr>
          <w:rFonts w:hint="eastAsia" w:ascii="宋体" w:hAnsi="宋体"/>
          <w:color w:val="000000"/>
          <w:sz w:val="24"/>
        </w:rPr>
        <w:t>（4）主机杀毒服务</w:t>
      </w:r>
    </w:p>
    <w:p w14:paraId="5905C5B7">
      <w:pPr>
        <w:spacing w:line="360" w:lineRule="auto"/>
        <w:ind w:firstLine="480" w:firstLineChars="200"/>
        <w:rPr>
          <w:rFonts w:hint="eastAsia" w:ascii="宋体" w:hAnsi="宋体"/>
          <w:color w:val="000000"/>
          <w:sz w:val="24"/>
        </w:rPr>
      </w:pPr>
      <w:r>
        <w:rPr>
          <w:rFonts w:hint="eastAsia" w:ascii="宋体" w:hAnsi="宋体"/>
          <w:color w:val="000000"/>
          <w:sz w:val="24"/>
        </w:rPr>
        <w:t>提供主机杀毒服务，对云主机进行定期的病毒查杀，实施杀毒软件集中控制。</w:t>
      </w:r>
    </w:p>
    <w:p w14:paraId="301159E9">
      <w:pPr>
        <w:spacing w:line="360" w:lineRule="auto"/>
        <w:ind w:firstLine="480" w:firstLineChars="200"/>
        <w:rPr>
          <w:rFonts w:hint="eastAsia" w:ascii="宋体" w:hAnsi="宋体"/>
          <w:color w:val="000000"/>
          <w:sz w:val="24"/>
        </w:rPr>
      </w:pPr>
      <w:r>
        <w:rPr>
          <w:rFonts w:hint="eastAsia" w:ascii="宋体" w:hAnsi="宋体"/>
          <w:color w:val="000000"/>
          <w:sz w:val="24"/>
        </w:rPr>
        <w:t>（5）主机防护服务</w:t>
      </w:r>
    </w:p>
    <w:p w14:paraId="73CD540D">
      <w:pPr>
        <w:spacing w:line="360" w:lineRule="auto"/>
        <w:ind w:firstLine="480" w:firstLineChars="200"/>
        <w:rPr>
          <w:rFonts w:hint="eastAsia" w:ascii="宋体" w:hAnsi="宋体"/>
          <w:color w:val="000000"/>
          <w:sz w:val="24"/>
        </w:rPr>
      </w:pPr>
      <w:r>
        <w:rPr>
          <w:rFonts w:hint="eastAsia" w:ascii="宋体" w:hAnsi="宋体"/>
          <w:color w:val="000000"/>
          <w:sz w:val="24"/>
        </w:rPr>
        <w:t>提供符合等保三级要求的主机权限管理及安全防护。可对主机系统安全涉及的控制点形成立体防护。</w:t>
      </w:r>
    </w:p>
    <w:p w14:paraId="68FBEC82">
      <w:pPr>
        <w:spacing w:line="360" w:lineRule="auto"/>
        <w:ind w:firstLine="480" w:firstLineChars="200"/>
        <w:rPr>
          <w:rFonts w:hint="eastAsia" w:ascii="宋体" w:hAnsi="宋体"/>
          <w:color w:val="000000"/>
          <w:sz w:val="24"/>
        </w:rPr>
      </w:pPr>
      <w:r>
        <w:rPr>
          <w:rFonts w:hint="eastAsia" w:ascii="宋体" w:hAnsi="宋体"/>
          <w:color w:val="000000"/>
          <w:sz w:val="24"/>
        </w:rPr>
        <w:t>（6）主机安全加固</w:t>
      </w:r>
    </w:p>
    <w:p w14:paraId="0590A520">
      <w:pPr>
        <w:spacing w:line="360" w:lineRule="auto"/>
        <w:ind w:firstLine="480" w:firstLineChars="200"/>
        <w:rPr>
          <w:rFonts w:hint="eastAsia" w:ascii="宋体" w:hAnsi="宋体"/>
          <w:color w:val="000000"/>
          <w:sz w:val="24"/>
        </w:rPr>
      </w:pPr>
      <w:r>
        <w:rPr>
          <w:rFonts w:hint="eastAsia" w:ascii="宋体" w:hAnsi="宋体"/>
          <w:color w:val="000000"/>
          <w:sz w:val="24"/>
        </w:rPr>
        <w:t>提供主机安全加固服务，针对预警自查、漏洞扫描或等级测评结果对操作系统进行安全加固，用以解决等级测评结果中所显示的漏洞。</w:t>
      </w:r>
    </w:p>
    <w:p w14:paraId="4C7C7D12">
      <w:pPr>
        <w:spacing w:line="360" w:lineRule="auto"/>
        <w:ind w:firstLine="480" w:firstLineChars="200"/>
        <w:rPr>
          <w:rFonts w:hint="eastAsia" w:ascii="宋体" w:hAnsi="宋体"/>
          <w:color w:val="000000"/>
          <w:sz w:val="24"/>
        </w:rPr>
      </w:pPr>
      <w:r>
        <w:rPr>
          <w:rFonts w:hint="eastAsia" w:ascii="宋体" w:hAnsi="宋体"/>
          <w:color w:val="000000"/>
          <w:sz w:val="24"/>
        </w:rPr>
        <w:t>（7）网页防篡改</w:t>
      </w:r>
    </w:p>
    <w:p w14:paraId="2080A599">
      <w:pPr>
        <w:spacing w:line="360" w:lineRule="auto"/>
        <w:ind w:firstLine="480" w:firstLineChars="200"/>
        <w:rPr>
          <w:rFonts w:hint="eastAsia" w:ascii="宋体" w:hAnsi="宋体"/>
          <w:color w:val="000000"/>
          <w:sz w:val="24"/>
        </w:rPr>
      </w:pPr>
      <w:r>
        <w:rPr>
          <w:rFonts w:hint="eastAsia" w:ascii="宋体" w:hAnsi="宋体"/>
          <w:color w:val="000000"/>
          <w:sz w:val="24"/>
        </w:rPr>
        <w:t>通过防篡改软件对网站页面进行实时防护，减少用户页面被恶意篡改的可能性。</w:t>
      </w:r>
    </w:p>
    <w:p w14:paraId="45510D0D">
      <w:pPr>
        <w:spacing w:line="360" w:lineRule="auto"/>
        <w:ind w:firstLine="480" w:firstLineChars="200"/>
        <w:rPr>
          <w:rFonts w:hint="eastAsia" w:ascii="宋体" w:hAnsi="宋体"/>
          <w:color w:val="000000"/>
          <w:sz w:val="24"/>
        </w:rPr>
      </w:pPr>
      <w:r>
        <w:rPr>
          <w:rFonts w:hint="eastAsia" w:ascii="宋体" w:hAnsi="宋体"/>
          <w:color w:val="000000"/>
          <w:sz w:val="24"/>
        </w:rPr>
        <w:t>（8）主机漏洞扫描</w:t>
      </w:r>
    </w:p>
    <w:p w14:paraId="54410212">
      <w:pPr>
        <w:spacing w:line="360" w:lineRule="auto"/>
        <w:ind w:firstLine="480" w:firstLineChars="200"/>
        <w:rPr>
          <w:rFonts w:hint="eastAsia" w:ascii="宋体" w:hAnsi="宋体"/>
          <w:color w:val="000000"/>
          <w:sz w:val="24"/>
        </w:rPr>
      </w:pPr>
      <w:r>
        <w:rPr>
          <w:rFonts w:hint="eastAsia" w:ascii="宋体" w:hAnsi="宋体"/>
          <w:color w:val="000000"/>
          <w:sz w:val="24"/>
        </w:rPr>
        <w:t>基于漏洞数据库，通过扫描等手段对主机安全脆弱性进行检测。</w:t>
      </w:r>
    </w:p>
    <w:p w14:paraId="2E052EA9">
      <w:pPr>
        <w:spacing w:line="360" w:lineRule="auto"/>
        <w:ind w:firstLine="480" w:firstLineChars="200"/>
        <w:rPr>
          <w:rFonts w:hint="eastAsia" w:ascii="宋体" w:hAnsi="宋体"/>
          <w:color w:val="000000"/>
          <w:sz w:val="24"/>
        </w:rPr>
      </w:pPr>
      <w:r>
        <w:rPr>
          <w:rFonts w:hint="eastAsia" w:ascii="宋体" w:hAnsi="宋体"/>
          <w:color w:val="000000"/>
          <w:sz w:val="24"/>
        </w:rPr>
        <w:t>（9）主机日志分析服务</w:t>
      </w:r>
    </w:p>
    <w:p w14:paraId="38CCD950">
      <w:pPr>
        <w:spacing w:line="360" w:lineRule="auto"/>
        <w:ind w:firstLine="480" w:firstLineChars="200"/>
        <w:rPr>
          <w:rFonts w:hint="eastAsia" w:ascii="宋体" w:hAnsi="宋体"/>
          <w:color w:val="000000"/>
          <w:sz w:val="24"/>
        </w:rPr>
      </w:pPr>
      <w:r>
        <w:rPr>
          <w:rFonts w:hint="eastAsia" w:ascii="宋体" w:hAnsi="宋体"/>
          <w:color w:val="000000"/>
          <w:sz w:val="24"/>
        </w:rPr>
        <w:t>提供主机层面的主机日志分析服务，对主机系统日志进行采集分析处理，用于发现各种安全威胁、异常行为事件。</w:t>
      </w:r>
    </w:p>
    <w:p w14:paraId="1D2A5784">
      <w:pPr>
        <w:spacing w:line="360" w:lineRule="auto"/>
        <w:ind w:firstLine="480" w:firstLineChars="200"/>
        <w:rPr>
          <w:rFonts w:hint="eastAsia" w:ascii="宋体" w:hAnsi="宋体"/>
          <w:color w:val="000000"/>
          <w:sz w:val="24"/>
        </w:rPr>
      </w:pPr>
      <w:r>
        <w:rPr>
          <w:rFonts w:hint="eastAsia" w:ascii="宋体" w:hAnsi="宋体"/>
          <w:color w:val="000000"/>
          <w:sz w:val="24"/>
        </w:rPr>
        <w:t>（10）数据库审计服务</w:t>
      </w:r>
    </w:p>
    <w:p w14:paraId="0CA3D790">
      <w:pPr>
        <w:spacing w:line="360" w:lineRule="auto"/>
        <w:ind w:firstLine="480" w:firstLineChars="200"/>
        <w:rPr>
          <w:rFonts w:hint="eastAsia" w:ascii="宋体" w:hAnsi="宋体"/>
          <w:color w:val="000000"/>
          <w:sz w:val="24"/>
        </w:rPr>
      </w:pPr>
      <w:r>
        <w:rPr>
          <w:rFonts w:hint="eastAsia" w:ascii="宋体" w:hAnsi="宋体"/>
          <w:color w:val="000000"/>
          <w:sz w:val="24"/>
        </w:rPr>
        <w:t>对数据库操作行为进行细粒度审计的合规性管理，对数据库遭受到的风险行为进行告警，对攻击行为进行阻断。对用户访问数据库行为的记录、分析和汇报，生成合规报告以及事故追根溯源。</w:t>
      </w:r>
    </w:p>
    <w:p w14:paraId="0B3FD70F">
      <w:pPr>
        <w:spacing w:line="360" w:lineRule="auto"/>
        <w:ind w:firstLine="480" w:firstLineChars="200"/>
        <w:rPr>
          <w:rFonts w:hint="eastAsia" w:ascii="宋体" w:hAnsi="宋体"/>
          <w:color w:val="000000"/>
          <w:sz w:val="24"/>
        </w:rPr>
      </w:pPr>
      <w:r>
        <w:rPr>
          <w:rFonts w:hint="eastAsia" w:ascii="宋体" w:hAnsi="宋体"/>
          <w:color w:val="000000"/>
          <w:sz w:val="24"/>
        </w:rPr>
        <w:t>2. 服务标准</w:t>
      </w:r>
    </w:p>
    <w:p w14:paraId="3A27FCC3">
      <w:pPr>
        <w:spacing w:line="360" w:lineRule="auto"/>
        <w:ind w:firstLine="480" w:firstLineChars="200"/>
        <w:rPr>
          <w:rFonts w:hint="eastAsia" w:ascii="宋体" w:hAnsi="宋体"/>
          <w:color w:val="000000"/>
          <w:sz w:val="24"/>
        </w:rPr>
      </w:pPr>
      <w:r>
        <w:rPr>
          <w:rFonts w:hint="eastAsia" w:ascii="宋体" w:hAnsi="宋体"/>
          <w:color w:val="000000"/>
          <w:sz w:val="24"/>
        </w:rPr>
        <w:t>（1）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62A44AAB">
      <w:pPr>
        <w:spacing w:line="360" w:lineRule="auto"/>
        <w:ind w:firstLine="480" w:firstLineChars="200"/>
        <w:rPr>
          <w:rFonts w:hint="eastAsia" w:ascii="宋体" w:hAnsi="宋体"/>
          <w:color w:val="000000"/>
          <w:sz w:val="24"/>
        </w:rPr>
      </w:pPr>
      <w:r>
        <w:rPr>
          <w:rFonts w:hint="eastAsia" w:ascii="宋体" w:hAnsi="宋体"/>
          <w:color w:val="000000"/>
          <w:sz w:val="24"/>
        </w:rPr>
        <w:t>（2）投标人需利用监控系统或人工对机房环境、硬件设备及应用系统的运行情况进行7*24小时的不间断巡检监控，及时发现安全隐患，通知相关人员及时处理，并形成监控报告。每周反馈日志审计和数据库审计报告，进行总结分析。</w:t>
      </w:r>
    </w:p>
    <w:p w14:paraId="5160D2CC">
      <w:pPr>
        <w:spacing w:line="360" w:lineRule="auto"/>
        <w:ind w:firstLine="480" w:firstLineChars="200"/>
        <w:rPr>
          <w:rFonts w:hint="eastAsia" w:ascii="宋体" w:hAnsi="宋体"/>
          <w:color w:val="000000"/>
          <w:sz w:val="24"/>
        </w:rPr>
      </w:pPr>
      <w:r>
        <w:rPr>
          <w:rFonts w:hint="eastAsia" w:ascii="宋体" w:hAnsi="宋体"/>
          <w:color w:val="000000"/>
          <w:sz w:val="24"/>
        </w:rPr>
        <w:t>（3）投标人需纳入行业监管部门网络安全保障整体工作体系，在涉及重保、安全事件、威胁情报等方面，配合安全服务商开展研判、处置、分析等工作。</w:t>
      </w:r>
    </w:p>
    <w:p w14:paraId="1DFAE99B">
      <w:pPr>
        <w:spacing w:line="360" w:lineRule="auto"/>
        <w:ind w:firstLine="480" w:firstLineChars="200"/>
        <w:rPr>
          <w:rFonts w:hint="eastAsia" w:ascii="宋体" w:hAnsi="宋体"/>
          <w:color w:val="000000"/>
          <w:sz w:val="24"/>
        </w:rPr>
      </w:pPr>
      <w:r>
        <w:rPr>
          <w:rFonts w:hint="eastAsia" w:ascii="宋体" w:hAnsi="宋体"/>
          <w:color w:val="000000"/>
          <w:sz w:val="24"/>
        </w:rPr>
        <w:t>（4）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31244481">
      <w:pPr>
        <w:spacing w:line="360" w:lineRule="auto"/>
        <w:ind w:firstLine="480" w:firstLineChars="200"/>
        <w:rPr>
          <w:rFonts w:hint="eastAsia" w:ascii="宋体" w:hAnsi="宋体"/>
          <w:color w:val="000000"/>
          <w:sz w:val="24"/>
        </w:rPr>
      </w:pPr>
      <w:r>
        <w:rPr>
          <w:rFonts w:hint="eastAsia" w:ascii="宋体" w:hAnsi="宋体"/>
          <w:color w:val="000000"/>
          <w:sz w:val="24"/>
        </w:rPr>
        <w:t>（5）投标人需保证安全技术服务能力不低于所承载的信息系统的最高级别，并通过GB/T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39786-2021中相应等级规定；保障其上的租户安全、容器安全、云主机安全、业务安全和数据安全；</w:t>
      </w:r>
    </w:p>
    <w:p w14:paraId="70B3F7BF">
      <w:pPr>
        <w:spacing w:line="360" w:lineRule="auto"/>
        <w:ind w:firstLine="480" w:firstLineChars="200"/>
        <w:rPr>
          <w:rFonts w:hint="eastAsia" w:ascii="宋体" w:hAnsi="宋体"/>
          <w:color w:val="000000"/>
          <w:sz w:val="24"/>
        </w:rPr>
      </w:pPr>
      <w:r>
        <w:rPr>
          <w:rFonts w:hint="eastAsia" w:ascii="宋体" w:hAnsi="宋体"/>
          <w:color w:val="000000"/>
          <w:sz w:val="24"/>
        </w:rPr>
        <w:t>（6）投标人应坚持制度和技术并重，建立健全网络和数据安全管理制度，落实网络和数据安全管理要求。采取相应技术措施，保障网络免受干扰、破坏或者未经授权的访问，防止数据泄露或者被窃取、篡改、破坏。</w:t>
      </w:r>
    </w:p>
    <w:p w14:paraId="2809BD3F">
      <w:pPr>
        <w:spacing w:line="360" w:lineRule="auto"/>
        <w:ind w:firstLine="480" w:firstLineChars="200"/>
        <w:rPr>
          <w:rFonts w:hint="eastAsia" w:ascii="宋体" w:hAnsi="宋体"/>
          <w:color w:val="000000"/>
          <w:sz w:val="24"/>
        </w:rPr>
      </w:pPr>
      <w:r>
        <w:rPr>
          <w:rFonts w:hint="eastAsia" w:ascii="宋体" w:hAnsi="宋体"/>
          <w:color w:val="000000"/>
          <w:sz w:val="24"/>
        </w:rPr>
        <w:t>（7）定期开展数据安全风险评估，发现数据安全隐患风险时，应当及时整改加固，采取必要的安全保护措施，防范数据安全风险。</w:t>
      </w:r>
    </w:p>
    <w:p w14:paraId="130C5658">
      <w:pPr>
        <w:spacing w:line="360" w:lineRule="auto"/>
        <w:ind w:firstLine="480" w:firstLineChars="200"/>
        <w:rPr>
          <w:rFonts w:hint="eastAsia" w:ascii="宋体" w:hAnsi="宋体"/>
          <w:color w:val="000000"/>
          <w:sz w:val="24"/>
        </w:rPr>
      </w:pPr>
      <w:r>
        <w:rPr>
          <w:rFonts w:hint="eastAsia" w:ascii="宋体" w:hAnsi="宋体"/>
          <w:color w:val="000000"/>
          <w:sz w:val="24"/>
        </w:rPr>
        <w:t>（8）投标人应明确接触网络和信息系统、数据时的申请及审批流程，做好实名登记、权限控制、保密协议签署等管理。</w:t>
      </w:r>
    </w:p>
    <w:p w14:paraId="70A95751">
      <w:pPr>
        <w:spacing w:line="360" w:lineRule="auto"/>
        <w:ind w:firstLine="480" w:firstLineChars="200"/>
        <w:rPr>
          <w:rFonts w:hint="eastAsia" w:ascii="宋体" w:hAnsi="宋体"/>
          <w:color w:val="000000"/>
          <w:sz w:val="24"/>
        </w:rPr>
      </w:pPr>
      <w:r>
        <w:rPr>
          <w:rFonts w:hint="eastAsia" w:ascii="宋体" w:hAnsi="宋体"/>
          <w:color w:val="000000"/>
          <w:sz w:val="24"/>
        </w:rPr>
        <w:t>（9）在服务期内，承载政务云平台的软硬件应在原厂维保期限内。</w:t>
      </w:r>
    </w:p>
    <w:p w14:paraId="24700750">
      <w:pPr>
        <w:spacing w:line="360" w:lineRule="auto"/>
        <w:ind w:firstLine="480" w:firstLineChars="200"/>
        <w:rPr>
          <w:rFonts w:hint="eastAsia" w:ascii="宋体" w:hAnsi="宋体"/>
          <w:color w:val="000000"/>
          <w:sz w:val="24"/>
        </w:rPr>
      </w:pPr>
    </w:p>
    <w:p w14:paraId="20F98561">
      <w:pPr>
        <w:pStyle w:val="5"/>
        <w:spacing w:before="0" w:after="0" w:line="360" w:lineRule="auto"/>
        <w:ind w:firstLine="562" w:firstLineChars="200"/>
        <w:rPr>
          <w:rFonts w:hint="eastAsia" w:ascii="宋体" w:hAnsi="宋体"/>
          <w:color w:val="000000"/>
        </w:rPr>
      </w:pPr>
      <w:r>
        <w:rPr>
          <w:rFonts w:hint="eastAsia" w:ascii="宋体" w:hAnsi="宋体"/>
          <w:color w:val="000000"/>
        </w:rPr>
        <w:t>2.2.6 运维服务</w:t>
      </w:r>
    </w:p>
    <w:p w14:paraId="6BD2B55F">
      <w:pPr>
        <w:spacing w:line="360" w:lineRule="auto"/>
        <w:ind w:firstLine="480" w:firstLineChars="200"/>
        <w:rPr>
          <w:rFonts w:hint="eastAsia" w:ascii="宋体" w:hAnsi="宋体"/>
          <w:color w:val="000000"/>
          <w:sz w:val="24"/>
        </w:rPr>
      </w:pPr>
      <w:r>
        <w:rPr>
          <w:rFonts w:hint="eastAsia" w:ascii="宋体" w:hAnsi="宋体"/>
          <w:color w:val="000000"/>
          <w:sz w:val="24"/>
        </w:rPr>
        <w:t>1. 服务内容</w:t>
      </w:r>
    </w:p>
    <w:p w14:paraId="72385880">
      <w:pPr>
        <w:spacing w:line="360" w:lineRule="auto"/>
        <w:ind w:firstLine="480" w:firstLineChars="200"/>
        <w:rPr>
          <w:rFonts w:hint="eastAsia" w:ascii="宋体" w:hAnsi="宋体"/>
          <w:color w:val="000000"/>
          <w:sz w:val="24"/>
        </w:rPr>
      </w:pPr>
      <w:r>
        <w:rPr>
          <w:rFonts w:hint="eastAsia" w:ascii="宋体" w:hAnsi="宋体"/>
          <w:color w:val="000000"/>
          <w:sz w:val="24"/>
        </w:rPr>
        <w:t>（1）负责机房环境资源、云平台硬件资产、虚拟化资产的管理工作；</w:t>
      </w:r>
    </w:p>
    <w:p w14:paraId="1112FB3C">
      <w:pPr>
        <w:spacing w:line="360" w:lineRule="auto"/>
        <w:ind w:firstLine="480" w:firstLineChars="200"/>
        <w:rPr>
          <w:rFonts w:hint="eastAsia" w:ascii="宋体" w:hAnsi="宋体"/>
          <w:color w:val="000000"/>
          <w:sz w:val="24"/>
        </w:rPr>
      </w:pPr>
      <w:r>
        <w:rPr>
          <w:rFonts w:hint="eastAsia" w:ascii="宋体" w:hAnsi="宋体"/>
          <w:color w:val="000000"/>
          <w:sz w:val="24"/>
        </w:rPr>
        <w:t>（2）信息系统入云、上线、变更、退出等各阶段的备案与信息变更等工作；</w:t>
      </w:r>
    </w:p>
    <w:p w14:paraId="7CE1FE61">
      <w:pPr>
        <w:spacing w:line="360" w:lineRule="auto"/>
        <w:ind w:firstLine="480" w:firstLineChars="200"/>
        <w:rPr>
          <w:rFonts w:hint="eastAsia" w:ascii="宋体" w:hAnsi="宋体"/>
          <w:color w:val="000000"/>
          <w:sz w:val="24"/>
        </w:rPr>
      </w:pPr>
      <w:r>
        <w:rPr>
          <w:rFonts w:hint="eastAsia" w:ascii="宋体" w:hAnsi="宋体"/>
          <w:color w:val="000000"/>
          <w:sz w:val="24"/>
        </w:rPr>
        <w:t>（3）执行云平台变更申请、审批流程；</w:t>
      </w:r>
    </w:p>
    <w:p w14:paraId="321C5803">
      <w:pPr>
        <w:spacing w:line="360" w:lineRule="auto"/>
        <w:ind w:firstLine="480" w:firstLineChars="200"/>
        <w:rPr>
          <w:rFonts w:hint="eastAsia" w:ascii="宋体" w:hAnsi="宋体"/>
          <w:color w:val="000000"/>
          <w:sz w:val="24"/>
        </w:rPr>
      </w:pPr>
      <w:r>
        <w:rPr>
          <w:rFonts w:hint="eastAsia" w:ascii="宋体" w:hAnsi="宋体"/>
          <w:color w:val="000000"/>
          <w:sz w:val="24"/>
        </w:rPr>
        <w:t>（4）云平台网络资源管理，针对内部地址使用情况、云平台专线接入情况、政务外网资源使用情况等做好统计工作；</w:t>
      </w:r>
    </w:p>
    <w:p w14:paraId="6343F006">
      <w:pPr>
        <w:spacing w:line="360" w:lineRule="auto"/>
        <w:ind w:firstLine="480" w:firstLineChars="200"/>
        <w:rPr>
          <w:rFonts w:hint="eastAsia" w:ascii="宋体" w:hAnsi="宋体"/>
          <w:color w:val="000000"/>
          <w:sz w:val="24"/>
        </w:rPr>
      </w:pPr>
      <w:r>
        <w:rPr>
          <w:rFonts w:hint="eastAsia" w:ascii="宋体" w:hAnsi="宋体"/>
          <w:color w:val="000000"/>
          <w:sz w:val="24"/>
        </w:rPr>
        <w:t>（5）服务期内，投标人须配备运维团队，提供可靠的售后服务保障。投标人针对采购人要求的云平台运维服务相关内容，需指定专业技术能力较强的工程师，根据采购人要求配合开展相关维护服务。</w:t>
      </w:r>
    </w:p>
    <w:p w14:paraId="3CFB6A6E">
      <w:pPr>
        <w:spacing w:line="360" w:lineRule="auto"/>
        <w:ind w:firstLine="480" w:firstLineChars="200"/>
        <w:rPr>
          <w:rFonts w:hint="eastAsia" w:ascii="宋体" w:hAnsi="宋体"/>
          <w:color w:val="000000"/>
          <w:sz w:val="24"/>
        </w:rPr>
      </w:pPr>
      <w:r>
        <w:rPr>
          <w:rFonts w:hint="eastAsia" w:ascii="宋体" w:hAnsi="宋体"/>
          <w:color w:val="000000"/>
          <w:sz w:val="24"/>
        </w:rPr>
        <w:t>2. 服务标准</w:t>
      </w:r>
    </w:p>
    <w:p w14:paraId="69680D54">
      <w:pPr>
        <w:spacing w:line="360" w:lineRule="auto"/>
        <w:ind w:firstLine="480" w:firstLineChars="200"/>
        <w:rPr>
          <w:rFonts w:hint="eastAsia" w:ascii="宋体" w:hAnsi="宋体"/>
          <w:color w:val="000000"/>
          <w:sz w:val="24"/>
        </w:rPr>
      </w:pPr>
      <w:r>
        <w:rPr>
          <w:rFonts w:hint="eastAsia" w:ascii="宋体" w:hAnsi="宋体"/>
          <w:color w:val="000000"/>
          <w:sz w:val="24"/>
        </w:rPr>
        <w:t>（1）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4个小时之内使系统恢复正常，故障处理完毕后提供相关系统宕机报告。</w:t>
      </w:r>
    </w:p>
    <w:p w14:paraId="2808A9F8">
      <w:pPr>
        <w:spacing w:line="360" w:lineRule="auto"/>
        <w:ind w:firstLine="480" w:firstLineChars="200"/>
        <w:rPr>
          <w:rFonts w:hint="eastAsia" w:ascii="宋体" w:hAnsi="宋体"/>
          <w:color w:val="000000"/>
          <w:sz w:val="24"/>
        </w:rPr>
      </w:pPr>
      <w:r>
        <w:rPr>
          <w:rFonts w:hint="eastAsia" w:ascii="宋体" w:hAnsi="宋体"/>
          <w:color w:val="000000"/>
          <w:sz w:val="24"/>
        </w:rPr>
        <w:t>（2）为保障业务高峰期内系统平稳运行，缓解系统高峰期内因业务发生量增大而带来系统压力风险，要求投标人根据业务周期性特点，加大运维保障力度，保证在业务高峰期内系统平稳运行。</w:t>
      </w:r>
    </w:p>
    <w:p w14:paraId="5CB44920">
      <w:pPr>
        <w:spacing w:line="360" w:lineRule="auto"/>
        <w:ind w:firstLine="480" w:firstLineChars="200"/>
        <w:rPr>
          <w:rFonts w:hint="eastAsia" w:ascii="宋体" w:hAnsi="宋体"/>
          <w:color w:val="000000"/>
          <w:sz w:val="24"/>
        </w:rPr>
      </w:pPr>
      <w:r>
        <w:rPr>
          <w:rFonts w:hint="eastAsia" w:ascii="宋体" w:hAnsi="宋体"/>
          <w:color w:val="000000"/>
          <w:sz w:val="24"/>
        </w:rPr>
        <w:t>（3）重点保障时期重要信息系统云主机资源调整时间不超过2小时，针对重点保障时期的重要信息系统重要云主机，投标人应按采购人要求进行实时监控，超过预警阈值时主动上调云资源，并第一时间通知采购人进行相应操作，确保系统平稳运行。</w:t>
      </w:r>
    </w:p>
    <w:p w14:paraId="583493A0">
      <w:pPr>
        <w:spacing w:line="360" w:lineRule="auto"/>
        <w:ind w:firstLine="480" w:firstLineChars="200"/>
        <w:rPr>
          <w:rFonts w:hint="eastAsia" w:ascii="宋体" w:hAnsi="宋体"/>
          <w:color w:val="000000"/>
          <w:sz w:val="24"/>
        </w:rPr>
      </w:pPr>
      <w:r>
        <w:rPr>
          <w:rFonts w:hint="eastAsia" w:ascii="宋体" w:hAnsi="宋体"/>
          <w:color w:val="000000"/>
          <w:sz w:val="24"/>
        </w:rPr>
        <w:t>（4）按照国家、北京市相关规定和信息安全技术标准及规范要求, 落实安全保障措施, 通过信息安全测评机构的测评和政务云安全审查 。</w:t>
      </w:r>
    </w:p>
    <w:p w14:paraId="7E0FFCA0">
      <w:pPr>
        <w:spacing w:line="360" w:lineRule="auto"/>
        <w:ind w:firstLine="480" w:firstLineChars="200"/>
        <w:rPr>
          <w:rFonts w:hint="eastAsia" w:ascii="宋体" w:hAnsi="宋体"/>
          <w:color w:val="000000"/>
          <w:sz w:val="24"/>
        </w:rPr>
      </w:pPr>
      <w:r>
        <w:rPr>
          <w:rFonts w:hint="eastAsia" w:ascii="宋体" w:hAnsi="宋体"/>
          <w:color w:val="000000"/>
          <w:sz w:val="24"/>
        </w:rPr>
        <w:t>（5）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48C67099">
      <w:pPr>
        <w:spacing w:line="360" w:lineRule="auto"/>
        <w:ind w:firstLine="480" w:firstLineChars="200"/>
        <w:rPr>
          <w:rFonts w:hint="eastAsia" w:ascii="宋体" w:hAnsi="宋体"/>
          <w:color w:val="000000"/>
          <w:sz w:val="24"/>
        </w:rPr>
      </w:pPr>
      <w:r>
        <w:rPr>
          <w:rFonts w:hint="eastAsia" w:ascii="宋体" w:hAnsi="宋体"/>
          <w:color w:val="000000"/>
          <w:sz w:val="24"/>
        </w:rPr>
        <w:t>（6）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62101E1E">
      <w:pPr>
        <w:spacing w:line="360" w:lineRule="auto"/>
        <w:ind w:firstLine="480" w:firstLineChars="200"/>
        <w:rPr>
          <w:rFonts w:hint="eastAsia" w:ascii="宋体" w:hAnsi="宋体"/>
          <w:color w:val="000000"/>
          <w:sz w:val="24"/>
        </w:rPr>
      </w:pPr>
      <w:r>
        <w:rPr>
          <w:rFonts w:hint="eastAsia" w:ascii="宋体" w:hAnsi="宋体"/>
          <w:color w:val="000000"/>
          <w:sz w:val="24"/>
        </w:rPr>
        <w:t>（7）投标人应保障政务云规范运行。入云系统应开展网络安全测评及备案。应对数据进行分类分级管理，根据数据分级保护要求采取相应级别的安全防护措施；应按相关要求对重要数据进行异地备份。</w:t>
      </w:r>
    </w:p>
    <w:p w14:paraId="37A34680">
      <w:pPr>
        <w:spacing w:line="360" w:lineRule="auto"/>
        <w:ind w:firstLine="480" w:firstLineChars="200"/>
        <w:rPr>
          <w:rFonts w:hint="eastAsia" w:ascii="宋体" w:hAnsi="宋体"/>
          <w:color w:val="000000"/>
          <w:sz w:val="24"/>
        </w:rPr>
      </w:pPr>
      <w:r>
        <w:rPr>
          <w:rFonts w:hint="eastAsia" w:ascii="宋体" w:hAnsi="宋体"/>
          <w:color w:val="000000"/>
          <w:sz w:val="24"/>
        </w:rPr>
        <w:t>（8）除不可抗力或计划内维护作业造成的政务云服务中断外,政务云实行24小时不间断运行。</w:t>
      </w:r>
    </w:p>
    <w:p w14:paraId="3B82979C">
      <w:pPr>
        <w:spacing w:line="360" w:lineRule="auto"/>
        <w:ind w:firstLine="480" w:firstLineChars="200"/>
        <w:rPr>
          <w:rFonts w:hint="eastAsia" w:ascii="宋体" w:hAnsi="宋体"/>
          <w:color w:val="000000"/>
          <w:sz w:val="24"/>
        </w:rPr>
      </w:pPr>
    </w:p>
    <w:p w14:paraId="766D6DD9">
      <w:pPr>
        <w:pStyle w:val="5"/>
        <w:spacing w:before="0" w:after="0" w:line="360" w:lineRule="auto"/>
        <w:ind w:firstLine="562" w:firstLineChars="200"/>
        <w:rPr>
          <w:rFonts w:hint="eastAsia" w:ascii="宋体" w:hAnsi="宋体"/>
          <w:color w:val="000000"/>
        </w:rPr>
      </w:pPr>
      <w:r>
        <w:rPr>
          <w:rFonts w:hint="eastAsia" w:ascii="宋体" w:hAnsi="宋体"/>
          <w:color w:val="000000"/>
        </w:rPr>
        <w:t>2.2.7 备份服务</w:t>
      </w:r>
    </w:p>
    <w:p w14:paraId="526115EE">
      <w:pPr>
        <w:spacing w:line="360" w:lineRule="auto"/>
        <w:ind w:firstLine="480" w:firstLineChars="200"/>
        <w:rPr>
          <w:rFonts w:hint="eastAsia" w:ascii="宋体" w:hAnsi="宋体"/>
          <w:color w:val="000000"/>
          <w:sz w:val="24"/>
        </w:rPr>
      </w:pPr>
      <w:r>
        <w:rPr>
          <w:rFonts w:hint="eastAsia" w:ascii="宋体" w:hAnsi="宋体"/>
          <w:color w:val="000000"/>
          <w:sz w:val="24"/>
        </w:rPr>
        <w:t>1. 服务内容</w:t>
      </w:r>
    </w:p>
    <w:p w14:paraId="0E37EA00">
      <w:pPr>
        <w:spacing w:line="360" w:lineRule="auto"/>
        <w:ind w:firstLine="480" w:firstLineChars="200"/>
        <w:rPr>
          <w:rFonts w:hint="eastAsia" w:ascii="宋体" w:hAnsi="宋体"/>
          <w:color w:val="000000"/>
          <w:sz w:val="24"/>
        </w:rPr>
      </w:pPr>
      <w:r>
        <w:rPr>
          <w:rFonts w:hint="eastAsia" w:ascii="宋体" w:hAnsi="宋体"/>
          <w:color w:val="000000"/>
          <w:sz w:val="24"/>
        </w:rPr>
        <w:t>投标人需具有本地数据级备份能力，并配合采购人完成数据级容灾演练及恢复等工作。</w:t>
      </w:r>
    </w:p>
    <w:p w14:paraId="4B0781BF">
      <w:pPr>
        <w:spacing w:line="360" w:lineRule="auto"/>
        <w:ind w:firstLine="480" w:firstLineChars="200"/>
        <w:rPr>
          <w:rFonts w:hint="eastAsia" w:ascii="宋体" w:hAnsi="宋体"/>
          <w:color w:val="000000"/>
          <w:sz w:val="24"/>
        </w:rPr>
      </w:pPr>
      <w:r>
        <w:rPr>
          <w:rFonts w:hint="eastAsia" w:ascii="宋体" w:hAnsi="宋体"/>
          <w:color w:val="000000"/>
          <w:sz w:val="24"/>
        </w:rPr>
        <w:t>2. 服务标准</w:t>
      </w:r>
    </w:p>
    <w:p w14:paraId="0B643B6C">
      <w:pPr>
        <w:spacing w:line="360" w:lineRule="auto"/>
        <w:ind w:firstLine="480" w:firstLineChars="200"/>
        <w:rPr>
          <w:rFonts w:hint="eastAsia" w:ascii="宋体" w:hAnsi="宋体"/>
          <w:color w:val="000000"/>
          <w:sz w:val="24"/>
        </w:rPr>
      </w:pPr>
      <w:r>
        <w:rPr>
          <w:rFonts w:hint="eastAsia" w:ascii="宋体" w:hAnsi="宋体"/>
          <w:color w:val="000000"/>
          <w:sz w:val="24"/>
        </w:rPr>
        <w:t>按照采购人的各个应用系统对资源的备份需求通过备份策略实现对用户数据（文件、操作系统、数据库）的本地备份，默认提供非结构化数据保护与文件备份保护。备份应满足如下要求:</w:t>
      </w:r>
    </w:p>
    <w:p w14:paraId="7EF073D4">
      <w:pPr>
        <w:spacing w:line="360" w:lineRule="auto"/>
        <w:ind w:firstLine="480" w:firstLineChars="200"/>
        <w:rPr>
          <w:rFonts w:hint="eastAsia" w:ascii="宋体" w:hAnsi="宋体"/>
          <w:color w:val="000000"/>
          <w:sz w:val="24"/>
        </w:rPr>
      </w:pPr>
      <w:r>
        <w:rPr>
          <w:rFonts w:hint="eastAsia" w:ascii="宋体" w:hAnsi="宋体"/>
          <w:color w:val="000000"/>
          <w:sz w:val="24"/>
        </w:rPr>
        <w:t>（1）备份介质本身具备高可用性和冗余性。</w:t>
      </w:r>
    </w:p>
    <w:p w14:paraId="54A5D67B">
      <w:pPr>
        <w:spacing w:line="360" w:lineRule="auto"/>
        <w:ind w:firstLine="480" w:firstLineChars="200"/>
        <w:rPr>
          <w:rFonts w:hint="eastAsia" w:ascii="宋体" w:hAnsi="宋体"/>
          <w:color w:val="000000"/>
          <w:sz w:val="24"/>
        </w:rPr>
      </w:pPr>
      <w:r>
        <w:rPr>
          <w:rFonts w:hint="eastAsia" w:ascii="宋体" w:hAnsi="宋体"/>
          <w:color w:val="000000"/>
          <w:sz w:val="24"/>
        </w:rPr>
        <w:t>（2）备份方式包括完整备份、差异备份和增量备份。</w:t>
      </w:r>
    </w:p>
    <w:p w14:paraId="167394BE">
      <w:pPr>
        <w:spacing w:line="360" w:lineRule="auto"/>
        <w:ind w:firstLine="480" w:firstLineChars="200"/>
        <w:rPr>
          <w:rFonts w:hint="eastAsia" w:ascii="宋体" w:hAnsi="宋体"/>
          <w:color w:val="000000"/>
          <w:sz w:val="24"/>
        </w:rPr>
      </w:pPr>
      <w:r>
        <w:rPr>
          <w:rFonts w:hint="eastAsia" w:ascii="宋体" w:hAnsi="宋体"/>
          <w:color w:val="000000"/>
          <w:sz w:val="24"/>
        </w:rPr>
        <w:t>（3）支持Windows系列操作系统、Linux主流系统操作系统、主流数据库软件、主流中间件软件、结构化数据以及非结构化数据等备份对象。</w:t>
      </w:r>
    </w:p>
    <w:p w14:paraId="1E19C47A">
      <w:pPr>
        <w:spacing w:line="360" w:lineRule="auto"/>
        <w:ind w:firstLine="480" w:firstLineChars="200"/>
        <w:rPr>
          <w:rFonts w:hint="eastAsia" w:ascii="宋体" w:hAnsi="宋体"/>
          <w:color w:val="000000"/>
          <w:sz w:val="24"/>
        </w:rPr>
      </w:pPr>
      <w:r>
        <w:rPr>
          <w:rFonts w:hint="eastAsia" w:ascii="宋体" w:hAnsi="宋体"/>
          <w:color w:val="000000"/>
          <w:sz w:val="24"/>
        </w:rPr>
        <w:t>（4）支持建立统一的备份管理系统，用来管理本地备份和异地备份。</w:t>
      </w:r>
    </w:p>
    <w:p w14:paraId="57D6E78C">
      <w:pPr>
        <w:spacing w:line="360" w:lineRule="auto"/>
        <w:ind w:firstLine="480" w:firstLineChars="200"/>
        <w:rPr>
          <w:rFonts w:hint="eastAsia" w:ascii="宋体" w:hAnsi="宋体"/>
          <w:color w:val="000000"/>
          <w:sz w:val="24"/>
        </w:rPr>
      </w:pPr>
      <w:r>
        <w:rPr>
          <w:rFonts w:hint="eastAsia" w:ascii="宋体" w:hAnsi="宋体"/>
          <w:color w:val="000000"/>
          <w:sz w:val="24"/>
        </w:rPr>
        <w:t>（5）投标人应提供对备份过程状态、备份结果提供运维监控保障服务，确保备份任务执行成功以及备份的数据完整性。</w:t>
      </w:r>
    </w:p>
    <w:p w14:paraId="634BDCBC">
      <w:pPr>
        <w:spacing w:line="360" w:lineRule="auto"/>
        <w:ind w:firstLine="480" w:firstLineChars="200"/>
        <w:rPr>
          <w:rFonts w:hint="eastAsia" w:ascii="宋体" w:hAnsi="宋体"/>
          <w:color w:val="000000"/>
          <w:sz w:val="24"/>
        </w:rPr>
      </w:pPr>
    </w:p>
    <w:p w14:paraId="26B14485">
      <w:pPr>
        <w:pStyle w:val="5"/>
        <w:spacing w:before="0" w:after="0" w:line="360" w:lineRule="auto"/>
        <w:ind w:firstLine="562" w:firstLineChars="200"/>
        <w:rPr>
          <w:rFonts w:hint="eastAsia" w:ascii="宋体" w:hAnsi="宋体"/>
          <w:color w:val="000000"/>
        </w:rPr>
      </w:pPr>
      <w:r>
        <w:rPr>
          <w:rFonts w:hint="eastAsia" w:ascii="宋体" w:hAnsi="宋体"/>
          <w:color w:val="000000"/>
        </w:rPr>
        <w:t>2.2.8 迁移服务</w:t>
      </w:r>
    </w:p>
    <w:p w14:paraId="3C89E13B">
      <w:pPr>
        <w:spacing w:line="360" w:lineRule="auto"/>
        <w:ind w:firstLine="480" w:firstLineChars="200"/>
        <w:rPr>
          <w:rFonts w:hint="eastAsia" w:ascii="宋体" w:hAnsi="宋体"/>
          <w:color w:val="000000"/>
          <w:sz w:val="24"/>
        </w:rPr>
      </w:pPr>
      <w:r>
        <w:rPr>
          <w:rFonts w:hint="eastAsia" w:ascii="宋体" w:hAnsi="宋体"/>
          <w:color w:val="000000"/>
          <w:sz w:val="24"/>
        </w:rPr>
        <w:t>1. 服务内容</w:t>
      </w:r>
    </w:p>
    <w:p w14:paraId="6C384EFC">
      <w:pPr>
        <w:spacing w:line="360" w:lineRule="auto"/>
        <w:ind w:firstLine="480" w:firstLineChars="200"/>
        <w:rPr>
          <w:rFonts w:hint="eastAsia" w:ascii="宋体" w:hAnsi="宋体"/>
          <w:color w:val="000000"/>
          <w:sz w:val="24"/>
        </w:rPr>
      </w:pPr>
      <w:r>
        <w:rPr>
          <w:rFonts w:hint="eastAsia" w:ascii="宋体" w:hAnsi="宋体"/>
          <w:color w:val="000000"/>
          <w:sz w:val="24"/>
        </w:rPr>
        <w:t>投标人需提供整体的业务上云迁移服务，应支持X86云主机迁移、单机数据库迁移、高可用数据库迁移等迁移场景。负责需求调研、架构规划设计、应用迁移部署等工作。</w:t>
      </w:r>
    </w:p>
    <w:p w14:paraId="13C009E1">
      <w:pPr>
        <w:spacing w:line="360" w:lineRule="auto"/>
        <w:ind w:firstLine="480" w:firstLineChars="200"/>
        <w:rPr>
          <w:rFonts w:hint="eastAsia" w:ascii="宋体" w:hAnsi="宋体"/>
          <w:color w:val="000000"/>
          <w:sz w:val="24"/>
        </w:rPr>
      </w:pPr>
      <w:r>
        <w:rPr>
          <w:rFonts w:hint="eastAsia" w:ascii="宋体" w:hAnsi="宋体"/>
          <w:color w:val="000000"/>
          <w:sz w:val="24"/>
        </w:rPr>
        <w:t>2. 服务标准</w:t>
      </w:r>
    </w:p>
    <w:p w14:paraId="7B924DCD">
      <w:pPr>
        <w:spacing w:line="360" w:lineRule="auto"/>
        <w:ind w:firstLine="480" w:firstLineChars="200"/>
        <w:rPr>
          <w:rFonts w:hint="eastAsia" w:ascii="宋体" w:hAnsi="宋体"/>
          <w:color w:val="000000"/>
          <w:sz w:val="24"/>
        </w:rPr>
      </w:pPr>
      <w:r>
        <w:rPr>
          <w:rFonts w:hint="eastAsia" w:ascii="宋体" w:hAnsi="宋体"/>
          <w:color w:val="000000"/>
          <w:sz w:val="24"/>
        </w:rPr>
        <w:t>本项目涉及的业务系统为采购人在用的生产系统，目前在政务云上平稳运行，因此保障业务连续性是重要的保障需求。迁移服务具体要求如下：</w:t>
      </w:r>
    </w:p>
    <w:p w14:paraId="30884284">
      <w:pPr>
        <w:spacing w:line="360" w:lineRule="auto"/>
        <w:ind w:firstLine="480" w:firstLineChars="200"/>
        <w:rPr>
          <w:rFonts w:hint="eastAsia" w:ascii="宋体" w:hAnsi="宋体"/>
          <w:color w:val="000000"/>
          <w:sz w:val="24"/>
        </w:rPr>
      </w:pPr>
      <w:r>
        <w:rPr>
          <w:rFonts w:hint="eastAsia" w:ascii="宋体" w:hAnsi="宋体"/>
          <w:color w:val="000000"/>
          <w:sz w:val="24"/>
        </w:rPr>
        <w:t>（1）投标人需编制业务连续性服务方案。</w:t>
      </w:r>
    </w:p>
    <w:p w14:paraId="78975D55">
      <w:pPr>
        <w:spacing w:line="360" w:lineRule="auto"/>
        <w:ind w:firstLine="480" w:firstLineChars="200"/>
        <w:rPr>
          <w:rFonts w:hint="eastAsia" w:ascii="宋体" w:hAnsi="宋体"/>
          <w:color w:val="000000"/>
          <w:sz w:val="24"/>
        </w:rPr>
      </w:pPr>
      <w:r>
        <w:rPr>
          <w:rFonts w:hint="eastAsia" w:ascii="宋体" w:hAnsi="宋体"/>
          <w:color w:val="000000"/>
          <w:sz w:val="24"/>
        </w:rPr>
        <w:t>（2）本项目如涉及系统迁移，在连续性服务方案中需提供确实可行的迁移部署服务方案，迁移部署服务方案应包括（但不限于）迁移部署流程、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21A0340F">
      <w:pPr>
        <w:spacing w:line="360" w:lineRule="auto"/>
        <w:ind w:firstLine="480" w:firstLineChars="200"/>
        <w:rPr>
          <w:rFonts w:hint="eastAsia" w:ascii="宋体" w:hAnsi="宋体"/>
          <w:color w:val="000000"/>
          <w:sz w:val="24"/>
        </w:rPr>
      </w:pPr>
      <w:r>
        <w:rPr>
          <w:rFonts w:hint="eastAsia" w:ascii="宋体" w:hAnsi="宋体"/>
          <w:color w:val="000000"/>
          <w:sz w:val="24"/>
        </w:rPr>
        <w:t>（3）本项目如涉及系统迁移，为保障业务系统的连续性，投标人应承诺自中标之日起，积极与原服务商对接，在5个工作日内，完成系统迁移平滑过渡，且因此产生的各项费用（包括但不限于测试阶段的云资源费用，系统开发商对业务系统的部署、调试费用等），应包含在投标人的报价中，提供“承诺函”并加盖投标人公章。</w:t>
      </w:r>
    </w:p>
    <w:p w14:paraId="6FBD5AD2">
      <w:pPr>
        <w:spacing w:line="360" w:lineRule="auto"/>
        <w:ind w:firstLine="480" w:firstLineChars="200"/>
        <w:rPr>
          <w:rFonts w:hint="eastAsia" w:ascii="宋体" w:hAnsi="宋体"/>
          <w:color w:val="000000"/>
          <w:sz w:val="24"/>
        </w:rPr>
      </w:pPr>
    </w:p>
    <w:p w14:paraId="5D700438">
      <w:pPr>
        <w:pStyle w:val="5"/>
        <w:spacing w:before="0" w:after="0" w:line="360" w:lineRule="auto"/>
        <w:ind w:firstLine="562" w:firstLineChars="200"/>
        <w:rPr>
          <w:rFonts w:hint="eastAsia" w:ascii="宋体" w:hAnsi="宋体"/>
          <w:color w:val="000000"/>
        </w:rPr>
      </w:pPr>
      <w:r>
        <w:rPr>
          <w:rFonts w:hint="eastAsia" w:ascii="宋体" w:hAnsi="宋体"/>
          <w:color w:val="000000"/>
        </w:rPr>
        <w:t>2.2.9 其他服务</w:t>
      </w:r>
    </w:p>
    <w:p w14:paraId="4F9C670A">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rPr>
        <w:t xml:space="preserve"> </w:t>
      </w:r>
      <w:r>
        <w:rPr>
          <w:rFonts w:hint="eastAsia" w:ascii="宋体" w:hAnsi="宋体"/>
          <w:color w:val="000000"/>
          <w:sz w:val="24"/>
        </w:rPr>
        <w:t>重点保障时期应急值守服务</w:t>
      </w:r>
    </w:p>
    <w:p w14:paraId="129D30D2">
      <w:pPr>
        <w:spacing w:line="360" w:lineRule="auto"/>
        <w:ind w:firstLine="480" w:firstLineChars="200"/>
        <w:rPr>
          <w:rFonts w:hint="eastAsia" w:ascii="宋体" w:hAnsi="宋体"/>
          <w:color w:val="000000"/>
          <w:sz w:val="24"/>
        </w:rPr>
      </w:pPr>
      <w:r>
        <w:rPr>
          <w:rFonts w:hint="eastAsia" w:ascii="宋体" w:hAnsi="宋体"/>
          <w:color w:val="000000"/>
          <w:sz w:val="24"/>
        </w:rPr>
        <w:t>包括护网行动、春节、两会、五一、国庆、党代会等重要重大节日及重要活动期间保障值守服务，提供7*24小时安全重点保障防护服务。</w:t>
      </w:r>
    </w:p>
    <w:p w14:paraId="32CA2601">
      <w:pPr>
        <w:spacing w:line="360" w:lineRule="auto"/>
        <w:ind w:firstLine="480" w:firstLineChars="200"/>
        <w:rPr>
          <w:rFonts w:hint="eastAsia" w:ascii="宋体" w:hAnsi="宋体"/>
          <w:color w:val="000000"/>
          <w:sz w:val="24"/>
        </w:rPr>
      </w:pPr>
      <w:r>
        <w:rPr>
          <w:rFonts w:hint="eastAsia" w:ascii="宋体" w:hAnsi="宋体"/>
          <w:color w:val="000000"/>
          <w:sz w:val="24"/>
        </w:rPr>
        <w:t>2. 网站安全防护服务及CDN加速</w:t>
      </w:r>
    </w:p>
    <w:p w14:paraId="04335307">
      <w:pPr>
        <w:spacing w:line="360" w:lineRule="auto"/>
        <w:ind w:firstLine="480" w:firstLineChars="200"/>
        <w:rPr>
          <w:rFonts w:hint="eastAsia" w:ascii="宋体" w:hAnsi="宋体"/>
          <w:color w:val="000000"/>
          <w:sz w:val="24"/>
        </w:rPr>
      </w:pPr>
      <w:r>
        <w:rPr>
          <w:rFonts w:hint="eastAsia" w:ascii="宋体" w:hAnsi="宋体"/>
          <w:color w:val="000000"/>
          <w:sz w:val="24"/>
        </w:rPr>
        <w:t>提供网站安全防护服务，并支持对静态页面、静态图片、动态内容等内容资源，CDN核心节点从源站获取分发资源，分级分发到响应的边缘节点，保证用户能到最近及响应最好的节点中访问响应的资源。</w:t>
      </w:r>
    </w:p>
    <w:p w14:paraId="5CF16A64">
      <w:pPr>
        <w:spacing w:line="360" w:lineRule="auto"/>
        <w:ind w:firstLine="480" w:firstLineChars="200"/>
        <w:rPr>
          <w:rFonts w:hint="eastAsia" w:ascii="宋体" w:hAnsi="宋体"/>
          <w:color w:val="000000"/>
          <w:sz w:val="24"/>
        </w:rPr>
      </w:pPr>
      <w:r>
        <w:rPr>
          <w:rFonts w:hint="eastAsia" w:ascii="宋体" w:hAnsi="宋体"/>
          <w:color w:val="000000"/>
          <w:sz w:val="24"/>
        </w:rPr>
        <w:t>3. CA认证服务</w:t>
      </w:r>
    </w:p>
    <w:p w14:paraId="1B1BBC8E">
      <w:pPr>
        <w:spacing w:line="360" w:lineRule="auto"/>
        <w:ind w:firstLine="480" w:firstLineChars="200"/>
        <w:rPr>
          <w:rFonts w:hint="eastAsia" w:ascii="宋体" w:hAnsi="宋体"/>
          <w:color w:val="000000"/>
          <w:sz w:val="24"/>
        </w:rPr>
      </w:pPr>
      <w:r>
        <w:rPr>
          <w:rFonts w:hint="eastAsia" w:ascii="宋体" w:hAnsi="宋体"/>
          <w:color w:val="000000"/>
          <w:sz w:val="24"/>
        </w:rPr>
        <w:t>提供强身份认证服务，加解密服务，个人数字证书服务及SSL证书服务。强身份认证服务需采用基于数字证书的强身份认证服务满足用户的身份认证需求，完善身份认证的环节，确保身份认证安全可信。加解密服务需对业务数据提供加解密服务，确保数据存储过程的机密性。个人数字证书需支持标识个人的网上身份；SSL证书需通过证书颁发机构审查网站身份和域名所有权以证明申请单位是一个合法存在的真实实体支持1个单域名，需兼</w:t>
      </w:r>
      <w:r>
        <w:rPr>
          <w:rFonts w:hint="eastAsia" w:ascii="宋体" w:hAnsi="宋体"/>
          <w:color w:val="000000"/>
          <w:sz w:val="24"/>
          <w:highlight w:val="none"/>
        </w:rPr>
        <w:t>容国产</w:t>
      </w:r>
      <w:r>
        <w:rPr>
          <w:rFonts w:hint="eastAsia" w:ascii="宋体" w:hAnsi="宋体"/>
          <w:color w:val="000000"/>
          <w:sz w:val="24"/>
        </w:rPr>
        <w:t>浏览器。</w:t>
      </w:r>
    </w:p>
    <w:p w14:paraId="75E1C026">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2.3 运维团队要求</w:t>
      </w:r>
    </w:p>
    <w:p w14:paraId="4C3F5A7A">
      <w:pPr>
        <w:spacing w:line="360" w:lineRule="auto"/>
        <w:ind w:firstLine="480" w:firstLineChars="200"/>
        <w:rPr>
          <w:rFonts w:hint="eastAsia" w:ascii="宋体" w:hAnsi="宋体"/>
          <w:color w:val="000000"/>
          <w:sz w:val="24"/>
        </w:rPr>
      </w:pPr>
      <w:r>
        <w:rPr>
          <w:rFonts w:hint="eastAsia" w:ascii="宋体" w:hAnsi="宋体"/>
          <w:color w:val="000000"/>
          <w:sz w:val="24"/>
        </w:rPr>
        <w:t>1.服务期内，投标人须设有7×24小时电话响应服务、具备运维团队，提供售后服务保障。团队成员应明确职责，架构清晰，岗位设置合理，且具备与本项目相关的项目经验。</w:t>
      </w:r>
    </w:p>
    <w:p w14:paraId="78056DC3">
      <w:pPr>
        <w:spacing w:line="360" w:lineRule="auto"/>
        <w:ind w:firstLine="480" w:firstLineChars="200"/>
        <w:rPr>
          <w:rFonts w:hint="eastAsia" w:ascii="宋体" w:hAnsi="宋体"/>
          <w:color w:val="000000"/>
          <w:sz w:val="24"/>
        </w:rPr>
      </w:pPr>
      <w:r>
        <w:rPr>
          <w:rFonts w:hint="eastAsia" w:ascii="宋体" w:hAnsi="宋体"/>
          <w:color w:val="000000"/>
          <w:sz w:val="24"/>
        </w:rPr>
        <w:t>2.投标人须提供1名项目经理、1名安全技术负责人及10名项目团队专职人员，为本项目提供服务。项目经理及安全负责人需按照采购人要求，承担云资源服务保障具体工作，技术支持人员要求如下：</w:t>
      </w:r>
    </w:p>
    <w:p w14:paraId="51A8FB16">
      <w:pPr>
        <w:spacing w:line="360" w:lineRule="auto"/>
        <w:ind w:firstLine="480" w:firstLineChars="200"/>
        <w:rPr>
          <w:rFonts w:hint="eastAsia" w:ascii="宋体" w:hAnsi="宋体"/>
          <w:color w:val="000000"/>
          <w:sz w:val="24"/>
        </w:rPr>
      </w:pPr>
      <w:r>
        <w:rPr>
          <w:rFonts w:hint="eastAsia" w:ascii="宋体" w:hAnsi="宋体"/>
          <w:color w:val="000000"/>
          <w:sz w:val="24"/>
        </w:rPr>
        <w:t>服务团队人员要求</w:t>
      </w:r>
    </w:p>
    <w:tbl>
      <w:tblPr>
        <w:tblStyle w:val="6"/>
        <w:tblpPr w:leftFromText="180" w:rightFromText="180" w:vertAnchor="text" w:tblpX="113" w:tblpY="1"/>
        <w:tblOverlap w:val="never"/>
        <w:tblW w:w="0" w:type="auto"/>
        <w:tblInd w:w="0" w:type="dxa"/>
        <w:tblLayout w:type="fixed"/>
        <w:tblCellMar>
          <w:top w:w="0" w:type="dxa"/>
          <w:left w:w="108" w:type="dxa"/>
          <w:bottom w:w="0" w:type="dxa"/>
          <w:right w:w="108" w:type="dxa"/>
        </w:tblCellMar>
      </w:tblPr>
      <w:tblGrid>
        <w:gridCol w:w="962"/>
        <w:gridCol w:w="507"/>
        <w:gridCol w:w="660"/>
        <w:gridCol w:w="1985"/>
        <w:gridCol w:w="4418"/>
      </w:tblGrid>
      <w:tr w14:paraId="7665CBFA">
        <w:tblPrEx>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noWrap w:val="0"/>
            <w:vAlign w:val="center"/>
          </w:tcPr>
          <w:p w14:paraId="0EEF5DB3">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岗位</w:t>
            </w:r>
          </w:p>
        </w:tc>
        <w:tc>
          <w:tcPr>
            <w:tcW w:w="507" w:type="dxa"/>
            <w:tcBorders>
              <w:top w:val="single" w:color="auto" w:sz="4" w:space="0"/>
              <w:left w:val="single" w:color="auto" w:sz="4" w:space="0"/>
              <w:bottom w:val="single" w:color="auto" w:sz="4" w:space="0"/>
              <w:right w:val="single" w:color="auto" w:sz="4" w:space="0"/>
            </w:tcBorders>
            <w:noWrap w:val="0"/>
            <w:vAlign w:val="center"/>
          </w:tcPr>
          <w:p w14:paraId="663DC718">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数量</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42C9471">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学历</w:t>
            </w:r>
          </w:p>
        </w:tc>
        <w:tc>
          <w:tcPr>
            <w:tcW w:w="1985" w:type="dxa"/>
            <w:tcBorders>
              <w:top w:val="single" w:color="auto" w:sz="6" w:space="0"/>
              <w:left w:val="single" w:color="auto" w:sz="4" w:space="0"/>
              <w:bottom w:val="single" w:color="auto" w:sz="6" w:space="0"/>
              <w:right w:val="single" w:color="auto" w:sz="6" w:space="0"/>
            </w:tcBorders>
            <w:noWrap w:val="0"/>
            <w:vAlign w:val="center"/>
          </w:tcPr>
          <w:p w14:paraId="545ACA40">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工作经验</w:t>
            </w:r>
          </w:p>
        </w:tc>
        <w:tc>
          <w:tcPr>
            <w:tcW w:w="4418" w:type="dxa"/>
            <w:tcBorders>
              <w:top w:val="single" w:color="auto" w:sz="6" w:space="0"/>
              <w:left w:val="single" w:color="auto" w:sz="6" w:space="0"/>
              <w:bottom w:val="single" w:color="auto" w:sz="6" w:space="0"/>
              <w:right w:val="single" w:color="auto" w:sz="6" w:space="0"/>
            </w:tcBorders>
            <w:noWrap w:val="0"/>
            <w:vAlign w:val="center"/>
          </w:tcPr>
          <w:p w14:paraId="1F86406B">
            <w:pPr>
              <w:adjustRightInd w:val="0"/>
              <w:jc w:val="center"/>
              <w:textAlignment w:val="baseline"/>
              <w:rPr>
                <w:rFonts w:hint="eastAsia" w:ascii="宋体" w:hAnsi="宋体" w:cs="宋体"/>
                <w:bCs/>
                <w:color w:val="000000"/>
                <w:szCs w:val="21"/>
              </w:rPr>
            </w:pPr>
            <w:r>
              <w:rPr>
                <w:rFonts w:hint="eastAsia" w:ascii="宋体" w:hAnsi="宋体" w:cs="等线 Light"/>
                <w:szCs w:val="21"/>
              </w:rPr>
              <w:t>岗位需具备的上岗资格证等要求</w:t>
            </w:r>
          </w:p>
        </w:tc>
      </w:tr>
      <w:tr w14:paraId="1B7303EB">
        <w:tblPrEx>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noWrap w:val="0"/>
            <w:vAlign w:val="center"/>
          </w:tcPr>
          <w:p w14:paraId="74F0A0F7">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项目</w:t>
            </w:r>
          </w:p>
          <w:p w14:paraId="186EFE5F">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经理</w:t>
            </w:r>
          </w:p>
        </w:tc>
        <w:tc>
          <w:tcPr>
            <w:tcW w:w="507" w:type="dxa"/>
            <w:tcBorders>
              <w:top w:val="single" w:color="auto" w:sz="4" w:space="0"/>
              <w:left w:val="single" w:color="auto" w:sz="4" w:space="0"/>
              <w:bottom w:val="single" w:color="auto" w:sz="4" w:space="0"/>
              <w:right w:val="single" w:color="auto" w:sz="4" w:space="0"/>
            </w:tcBorders>
            <w:noWrap w:val="0"/>
            <w:vAlign w:val="center"/>
          </w:tcPr>
          <w:p w14:paraId="70C0C09A">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1</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8CC1DE0">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本科及以上</w:t>
            </w:r>
          </w:p>
        </w:tc>
        <w:tc>
          <w:tcPr>
            <w:tcW w:w="1985" w:type="dxa"/>
            <w:tcBorders>
              <w:top w:val="single" w:color="auto" w:sz="6" w:space="0"/>
              <w:left w:val="single" w:color="auto" w:sz="4" w:space="0"/>
              <w:bottom w:val="single" w:color="auto" w:sz="6" w:space="0"/>
              <w:right w:val="single" w:color="auto" w:sz="6" w:space="0"/>
            </w:tcBorders>
            <w:noWrap w:val="0"/>
            <w:vAlign w:val="center"/>
          </w:tcPr>
          <w:p w14:paraId="0DA246AE">
            <w:pPr>
              <w:adjustRightInd w:val="0"/>
              <w:jc w:val="center"/>
              <w:textAlignment w:val="baseline"/>
              <w:rPr>
                <w:rFonts w:hint="eastAsia" w:ascii="宋体" w:hAnsi="宋体" w:cs="宋体"/>
                <w:bCs/>
                <w:color w:val="000000"/>
                <w:szCs w:val="21"/>
              </w:rPr>
            </w:pPr>
            <w:r>
              <w:rPr>
                <w:rFonts w:hint="eastAsia" w:ascii="宋体" w:hAnsi="宋体" w:cs="宋体"/>
                <w:bCs/>
                <w:szCs w:val="21"/>
              </w:rPr>
              <w:t>有5年及以上类似工作经验</w:t>
            </w:r>
          </w:p>
        </w:tc>
        <w:tc>
          <w:tcPr>
            <w:tcW w:w="4418" w:type="dxa"/>
            <w:tcBorders>
              <w:top w:val="single" w:color="auto" w:sz="6" w:space="0"/>
              <w:left w:val="single" w:color="auto" w:sz="6" w:space="0"/>
              <w:bottom w:val="single" w:color="auto" w:sz="6" w:space="0"/>
              <w:right w:val="single" w:color="auto" w:sz="6" w:space="0"/>
            </w:tcBorders>
            <w:noWrap w:val="0"/>
            <w:vAlign w:val="center"/>
          </w:tcPr>
          <w:p w14:paraId="3BDE8BAD">
            <w:pPr>
              <w:snapToGrid w:val="0"/>
              <w:rPr>
                <w:rFonts w:hint="eastAsia" w:ascii="宋体" w:hAnsi="宋体" w:cs="宋体"/>
                <w:bCs/>
                <w:szCs w:val="21"/>
              </w:rPr>
            </w:pPr>
            <w:r>
              <w:rPr>
                <w:rFonts w:hint="eastAsia" w:ascii="宋体" w:hAnsi="宋体" w:cs="宋体"/>
                <w:bCs/>
                <w:szCs w:val="21"/>
              </w:rPr>
              <w:t>1、信息系统项目管理师</w:t>
            </w:r>
          </w:p>
          <w:p w14:paraId="38049E46">
            <w:pPr>
              <w:snapToGrid w:val="0"/>
              <w:rPr>
                <w:rFonts w:hint="eastAsia" w:ascii="宋体" w:hAnsi="宋体" w:cs="宋体"/>
                <w:bCs/>
                <w:szCs w:val="21"/>
              </w:rPr>
            </w:pPr>
            <w:r>
              <w:rPr>
                <w:rFonts w:hint="eastAsia" w:ascii="宋体" w:hAnsi="宋体" w:cs="宋体"/>
                <w:bCs/>
                <w:szCs w:val="21"/>
              </w:rPr>
              <w:t>2、信息安全保障人员认证证书（安全运维专业级或以上）</w:t>
            </w:r>
          </w:p>
          <w:p w14:paraId="0BB6ED32">
            <w:pPr>
              <w:adjustRightInd w:val="0"/>
              <w:textAlignment w:val="baseline"/>
              <w:rPr>
                <w:rFonts w:hint="eastAsia" w:ascii="宋体" w:hAnsi="宋体" w:cs="宋体"/>
                <w:bCs/>
                <w:color w:val="000000"/>
                <w:szCs w:val="21"/>
              </w:rPr>
            </w:pPr>
            <w:r>
              <w:rPr>
                <w:rFonts w:hint="eastAsia" w:ascii="宋体" w:hAnsi="宋体" w:cs="宋体"/>
                <w:bCs/>
                <w:szCs w:val="21"/>
              </w:rPr>
              <w:t>3、信息安全保障人员认证证书（应急服务专业级或以上）</w:t>
            </w:r>
          </w:p>
        </w:tc>
      </w:tr>
      <w:tr w14:paraId="10B5B3A3">
        <w:tblPrEx>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noWrap w:val="0"/>
            <w:vAlign w:val="center"/>
          </w:tcPr>
          <w:p w14:paraId="589DBED2">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安全技术负责人</w:t>
            </w:r>
          </w:p>
        </w:tc>
        <w:tc>
          <w:tcPr>
            <w:tcW w:w="507" w:type="dxa"/>
            <w:tcBorders>
              <w:top w:val="single" w:color="auto" w:sz="4" w:space="0"/>
              <w:left w:val="single" w:color="auto" w:sz="4" w:space="0"/>
              <w:bottom w:val="single" w:color="auto" w:sz="4" w:space="0"/>
              <w:right w:val="single" w:color="auto" w:sz="4" w:space="0"/>
            </w:tcBorders>
            <w:noWrap w:val="0"/>
            <w:vAlign w:val="center"/>
          </w:tcPr>
          <w:p w14:paraId="312F338F">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1</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F02D254">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本科及以上</w:t>
            </w:r>
          </w:p>
        </w:tc>
        <w:tc>
          <w:tcPr>
            <w:tcW w:w="1985" w:type="dxa"/>
            <w:tcBorders>
              <w:top w:val="single" w:color="auto" w:sz="6" w:space="0"/>
              <w:left w:val="single" w:color="auto" w:sz="4" w:space="0"/>
              <w:bottom w:val="single" w:color="auto" w:sz="6" w:space="0"/>
              <w:right w:val="single" w:color="auto" w:sz="6" w:space="0"/>
            </w:tcBorders>
            <w:noWrap w:val="0"/>
            <w:vAlign w:val="center"/>
          </w:tcPr>
          <w:p w14:paraId="674DD014">
            <w:pPr>
              <w:adjustRightInd w:val="0"/>
              <w:jc w:val="center"/>
              <w:textAlignment w:val="baseline"/>
              <w:rPr>
                <w:rFonts w:hint="eastAsia" w:ascii="宋体" w:hAnsi="宋体" w:cs="宋体"/>
                <w:bCs/>
                <w:color w:val="000000"/>
                <w:szCs w:val="21"/>
              </w:rPr>
            </w:pPr>
            <w:r>
              <w:rPr>
                <w:rFonts w:hint="eastAsia" w:ascii="宋体" w:hAnsi="宋体" w:cs="宋体"/>
                <w:bCs/>
                <w:szCs w:val="21"/>
              </w:rPr>
              <w:t>有5年及以上类似工作经验</w:t>
            </w:r>
          </w:p>
        </w:tc>
        <w:tc>
          <w:tcPr>
            <w:tcW w:w="4418" w:type="dxa"/>
            <w:tcBorders>
              <w:top w:val="single" w:color="auto" w:sz="6" w:space="0"/>
              <w:left w:val="single" w:color="auto" w:sz="6" w:space="0"/>
              <w:bottom w:val="single" w:color="auto" w:sz="6" w:space="0"/>
              <w:right w:val="single" w:color="auto" w:sz="6" w:space="0"/>
            </w:tcBorders>
            <w:noWrap w:val="0"/>
            <w:vAlign w:val="center"/>
          </w:tcPr>
          <w:p w14:paraId="51683B24">
            <w:pPr>
              <w:snapToGrid w:val="0"/>
              <w:rPr>
                <w:rFonts w:hint="eastAsia" w:ascii="宋体" w:hAnsi="宋体" w:cs="宋体"/>
                <w:bCs/>
                <w:szCs w:val="21"/>
              </w:rPr>
            </w:pPr>
            <w:r>
              <w:rPr>
                <w:rFonts w:hint="eastAsia" w:ascii="宋体" w:hAnsi="宋体" w:cs="宋体"/>
                <w:bCs/>
                <w:szCs w:val="21"/>
              </w:rPr>
              <w:t>1、信息安全保障人员认证证书（安全集成专业级或以上）</w:t>
            </w:r>
          </w:p>
          <w:p w14:paraId="76E6FDFE">
            <w:pPr>
              <w:snapToGrid w:val="0"/>
              <w:rPr>
                <w:rFonts w:hint="eastAsia" w:ascii="宋体" w:hAnsi="宋体" w:cs="宋体"/>
                <w:bCs/>
                <w:szCs w:val="21"/>
              </w:rPr>
            </w:pPr>
            <w:r>
              <w:rPr>
                <w:rFonts w:hint="eastAsia" w:ascii="宋体" w:hAnsi="宋体" w:cs="宋体"/>
                <w:bCs/>
                <w:szCs w:val="21"/>
              </w:rPr>
              <w:t>2、信息安全保障人员认证证书（应急服务专业级或以上）</w:t>
            </w:r>
          </w:p>
          <w:p w14:paraId="059DE49A">
            <w:pPr>
              <w:snapToGrid w:val="0"/>
              <w:rPr>
                <w:rFonts w:hint="eastAsia" w:ascii="宋体" w:hAnsi="宋体" w:cs="宋体"/>
                <w:bCs/>
                <w:szCs w:val="21"/>
              </w:rPr>
            </w:pPr>
            <w:r>
              <w:rPr>
                <w:rFonts w:hint="eastAsia" w:ascii="宋体" w:hAnsi="宋体" w:cs="宋体"/>
                <w:bCs/>
                <w:szCs w:val="21"/>
              </w:rPr>
              <w:t>3、注册信息安全专业人员（CISP）</w:t>
            </w:r>
          </w:p>
        </w:tc>
      </w:tr>
      <w:tr w14:paraId="5DBE60DA">
        <w:tblPrEx>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noWrap w:val="0"/>
            <w:vAlign w:val="center"/>
          </w:tcPr>
          <w:p w14:paraId="3C532222">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项目</w:t>
            </w:r>
          </w:p>
          <w:p w14:paraId="6F549D90">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人员</w:t>
            </w:r>
          </w:p>
        </w:tc>
        <w:tc>
          <w:tcPr>
            <w:tcW w:w="507" w:type="dxa"/>
            <w:tcBorders>
              <w:top w:val="single" w:color="auto" w:sz="4" w:space="0"/>
              <w:left w:val="single" w:color="auto" w:sz="4" w:space="0"/>
              <w:bottom w:val="single" w:color="auto" w:sz="4" w:space="0"/>
              <w:right w:val="single" w:color="auto" w:sz="4" w:space="0"/>
            </w:tcBorders>
            <w:noWrap w:val="0"/>
            <w:vAlign w:val="center"/>
          </w:tcPr>
          <w:p w14:paraId="5C965A73">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6104838">
            <w:pPr>
              <w:adjustRightInd w:val="0"/>
              <w:jc w:val="center"/>
              <w:textAlignment w:val="baseline"/>
              <w:rPr>
                <w:rFonts w:hint="eastAsia" w:ascii="宋体" w:hAnsi="宋体" w:cs="宋体"/>
                <w:bCs/>
                <w:color w:val="000000"/>
                <w:szCs w:val="21"/>
              </w:rPr>
            </w:pPr>
            <w:r>
              <w:rPr>
                <w:rFonts w:hint="eastAsia" w:ascii="宋体" w:hAnsi="宋体" w:cs="宋体"/>
                <w:bCs/>
                <w:color w:val="000000"/>
                <w:szCs w:val="21"/>
              </w:rPr>
              <w:t>本科及以上</w:t>
            </w:r>
          </w:p>
        </w:tc>
        <w:tc>
          <w:tcPr>
            <w:tcW w:w="1985" w:type="dxa"/>
            <w:tcBorders>
              <w:top w:val="single" w:color="auto" w:sz="6" w:space="0"/>
              <w:left w:val="single" w:color="auto" w:sz="4" w:space="0"/>
              <w:bottom w:val="single" w:color="auto" w:sz="6" w:space="0"/>
              <w:right w:val="single" w:color="auto" w:sz="6" w:space="0"/>
            </w:tcBorders>
            <w:noWrap w:val="0"/>
            <w:vAlign w:val="center"/>
          </w:tcPr>
          <w:p w14:paraId="7124BA87">
            <w:pPr>
              <w:adjustRightInd w:val="0"/>
              <w:jc w:val="center"/>
              <w:textAlignment w:val="baseline"/>
              <w:rPr>
                <w:rFonts w:hint="eastAsia" w:ascii="宋体" w:hAnsi="宋体" w:cs="宋体"/>
                <w:bCs/>
                <w:color w:val="000000"/>
                <w:szCs w:val="21"/>
              </w:rPr>
            </w:pPr>
            <w:r>
              <w:rPr>
                <w:rFonts w:hint="eastAsia" w:ascii="宋体" w:hAnsi="宋体" w:cs="宋体"/>
                <w:bCs/>
                <w:szCs w:val="21"/>
              </w:rPr>
              <w:t>有5年及以上类似工作经验</w:t>
            </w:r>
          </w:p>
        </w:tc>
        <w:tc>
          <w:tcPr>
            <w:tcW w:w="4418" w:type="dxa"/>
            <w:tcBorders>
              <w:top w:val="single" w:color="auto" w:sz="6" w:space="0"/>
              <w:left w:val="single" w:color="auto" w:sz="6" w:space="0"/>
              <w:bottom w:val="single" w:color="auto" w:sz="6" w:space="0"/>
              <w:right w:val="single" w:color="auto" w:sz="6" w:space="0"/>
            </w:tcBorders>
            <w:noWrap w:val="0"/>
            <w:vAlign w:val="center"/>
          </w:tcPr>
          <w:p w14:paraId="05639F30">
            <w:pPr>
              <w:snapToGrid w:val="0"/>
              <w:rPr>
                <w:rFonts w:hint="eastAsia" w:ascii="宋体" w:hAnsi="宋体" w:cs="宋体"/>
                <w:bCs/>
                <w:szCs w:val="21"/>
              </w:rPr>
            </w:pPr>
            <w:r>
              <w:rPr>
                <w:rFonts w:hint="eastAsia" w:ascii="宋体" w:hAnsi="宋体" w:cs="宋体"/>
                <w:bCs/>
                <w:szCs w:val="21"/>
              </w:rPr>
              <w:t>1、系统规划与管理师资质证书（高级）</w:t>
            </w:r>
          </w:p>
          <w:p w14:paraId="6C098ED7">
            <w:pPr>
              <w:snapToGrid w:val="0"/>
              <w:rPr>
                <w:rFonts w:hint="eastAsia" w:ascii="宋体" w:hAnsi="宋体" w:cs="宋体"/>
                <w:bCs/>
                <w:szCs w:val="21"/>
              </w:rPr>
            </w:pPr>
            <w:r>
              <w:rPr>
                <w:rFonts w:hint="eastAsia" w:ascii="宋体" w:hAnsi="宋体" w:cs="宋体"/>
                <w:bCs/>
                <w:szCs w:val="21"/>
              </w:rPr>
              <w:t>2、系统分析师资质证书（高级）</w:t>
            </w:r>
          </w:p>
          <w:p w14:paraId="19FABEB1">
            <w:pPr>
              <w:snapToGrid w:val="0"/>
              <w:rPr>
                <w:rFonts w:hint="eastAsia" w:ascii="宋体" w:hAnsi="宋体" w:cs="宋体"/>
                <w:bCs/>
                <w:szCs w:val="21"/>
              </w:rPr>
            </w:pPr>
            <w:r>
              <w:rPr>
                <w:rFonts w:hint="eastAsia" w:ascii="宋体" w:hAnsi="宋体" w:cs="宋体"/>
                <w:bCs/>
                <w:szCs w:val="21"/>
              </w:rPr>
              <w:t>3、系统架构设计师证书（高级）</w:t>
            </w:r>
          </w:p>
          <w:p w14:paraId="1710173E">
            <w:pPr>
              <w:adjustRightInd w:val="0"/>
              <w:textAlignment w:val="baseline"/>
              <w:rPr>
                <w:rFonts w:hint="eastAsia" w:ascii="宋体" w:hAnsi="宋体" w:cs="宋体"/>
                <w:bCs/>
                <w:szCs w:val="21"/>
              </w:rPr>
            </w:pPr>
            <w:r>
              <w:rPr>
                <w:rFonts w:hint="eastAsia" w:ascii="宋体" w:hAnsi="宋体" w:cs="宋体"/>
                <w:bCs/>
                <w:szCs w:val="21"/>
              </w:rPr>
              <w:t>4、注册信息安全专业人员（CISP）</w:t>
            </w:r>
          </w:p>
          <w:p w14:paraId="4065CD30">
            <w:pPr>
              <w:adjustRightInd w:val="0"/>
              <w:textAlignment w:val="baseline"/>
              <w:rPr>
                <w:rFonts w:hint="eastAsia" w:ascii="宋体" w:hAnsi="宋体" w:cs="宋体"/>
                <w:bCs/>
                <w:szCs w:val="21"/>
              </w:rPr>
            </w:pPr>
            <w:r>
              <w:rPr>
                <w:rFonts w:hint="eastAsia" w:ascii="宋体" w:hAnsi="宋体" w:cs="宋体"/>
                <w:bCs/>
                <w:szCs w:val="21"/>
              </w:rPr>
              <w:t>5、网络规划设计师证书</w:t>
            </w:r>
          </w:p>
          <w:p w14:paraId="60D25BA1">
            <w:pPr>
              <w:adjustRightInd w:val="0"/>
              <w:textAlignment w:val="baseline"/>
              <w:rPr>
                <w:rFonts w:hint="eastAsia" w:ascii="宋体" w:hAnsi="宋体" w:cs="宋体"/>
                <w:bCs/>
                <w:szCs w:val="21"/>
              </w:rPr>
            </w:pPr>
            <w:r>
              <w:rPr>
                <w:rFonts w:hint="eastAsia" w:ascii="宋体" w:hAnsi="宋体" w:cs="宋体"/>
                <w:bCs/>
                <w:szCs w:val="21"/>
              </w:rPr>
              <w:t>6、数据库系统工程师证书</w:t>
            </w:r>
          </w:p>
        </w:tc>
      </w:tr>
    </w:tbl>
    <w:p w14:paraId="1F0CA1EB">
      <w:pPr>
        <w:spacing w:line="360" w:lineRule="auto"/>
        <w:ind w:firstLine="480" w:firstLineChars="200"/>
        <w:rPr>
          <w:rFonts w:hint="eastAsia" w:ascii="宋体" w:hAnsi="宋体"/>
          <w:color w:val="000000"/>
          <w:sz w:val="24"/>
        </w:rPr>
      </w:pPr>
    </w:p>
    <w:p w14:paraId="7C6F53DF">
      <w:pPr>
        <w:pStyle w:val="3"/>
        <w:spacing w:before="0" w:after="0" w:line="360" w:lineRule="auto"/>
        <w:ind w:firstLine="482" w:firstLineChars="200"/>
        <w:rPr>
          <w:rFonts w:hint="eastAsia" w:hAnsi="宋体"/>
          <w:color w:val="000000"/>
          <w:szCs w:val="24"/>
        </w:rPr>
      </w:pPr>
      <w:r>
        <w:rPr>
          <w:rFonts w:hint="eastAsia" w:hAnsi="宋体"/>
          <w:color w:val="000000"/>
          <w:szCs w:val="24"/>
        </w:rPr>
        <w:t>3. 验收标准</w:t>
      </w:r>
    </w:p>
    <w:p w14:paraId="28343153">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3.1服务绩效指标</w:t>
      </w:r>
    </w:p>
    <w:p w14:paraId="600169ED">
      <w:pPr>
        <w:spacing w:line="360" w:lineRule="auto"/>
        <w:ind w:firstLine="480" w:firstLineChars="200"/>
        <w:rPr>
          <w:rFonts w:hint="eastAsia" w:ascii="宋体" w:hAnsi="宋体"/>
          <w:color w:val="000000"/>
          <w:sz w:val="24"/>
        </w:rPr>
      </w:pPr>
      <w:r>
        <w:rPr>
          <w:rFonts w:hint="eastAsia" w:ascii="宋体" w:hAnsi="宋体"/>
          <w:color w:val="000000"/>
          <w:sz w:val="24"/>
        </w:rPr>
        <w:t>（1）云服务全年整体可用性≥99.9%；</w:t>
      </w:r>
    </w:p>
    <w:p w14:paraId="37861EF4">
      <w:pPr>
        <w:spacing w:line="360" w:lineRule="auto"/>
        <w:ind w:firstLine="480" w:firstLineChars="200"/>
        <w:rPr>
          <w:rFonts w:hint="eastAsia" w:ascii="宋体" w:hAnsi="宋体"/>
          <w:color w:val="000000"/>
          <w:sz w:val="24"/>
        </w:rPr>
      </w:pPr>
      <w:r>
        <w:rPr>
          <w:rFonts w:hint="eastAsia" w:ascii="宋体" w:hAnsi="宋体"/>
          <w:color w:val="000000"/>
          <w:sz w:val="24"/>
        </w:rPr>
        <w:t>（2）故障响应率100%；</w:t>
      </w:r>
    </w:p>
    <w:p w14:paraId="3980E95A">
      <w:pPr>
        <w:spacing w:line="360" w:lineRule="auto"/>
        <w:ind w:firstLine="480" w:firstLineChars="200"/>
        <w:rPr>
          <w:rFonts w:hint="eastAsia" w:ascii="宋体" w:hAnsi="宋体"/>
          <w:color w:val="000000"/>
          <w:sz w:val="24"/>
        </w:rPr>
      </w:pPr>
      <w:r>
        <w:rPr>
          <w:rFonts w:hint="eastAsia" w:ascii="宋体" w:hAnsi="宋体"/>
          <w:color w:val="000000"/>
          <w:sz w:val="24"/>
        </w:rPr>
        <w:t>（3）应急响应时间≤5分钟（重大事件1分钟内响应）。</w:t>
      </w:r>
    </w:p>
    <w:p w14:paraId="7F6B2954">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3.2项目验收要求</w:t>
      </w:r>
    </w:p>
    <w:p w14:paraId="2A7235FE">
      <w:pPr>
        <w:spacing w:line="360" w:lineRule="auto"/>
        <w:ind w:firstLine="480" w:firstLineChars="200"/>
        <w:rPr>
          <w:rFonts w:hint="eastAsia" w:ascii="宋体" w:hAnsi="宋体"/>
          <w:color w:val="000000"/>
          <w:sz w:val="24"/>
        </w:rPr>
      </w:pPr>
      <w:r>
        <w:rPr>
          <w:rFonts w:hint="eastAsia" w:ascii="宋体" w:hAnsi="宋体"/>
          <w:color w:val="000000"/>
          <w:sz w:val="24"/>
        </w:rPr>
        <w:t>（1）投标人所提供的北京市市级政务云基础资源服务应遵循客观、科学、合理的原则，符合《北京市市级政务云管理办法》的相关标准及要求。</w:t>
      </w:r>
    </w:p>
    <w:p w14:paraId="6189541D">
      <w:pPr>
        <w:spacing w:line="360" w:lineRule="auto"/>
        <w:ind w:firstLine="480" w:firstLineChars="200"/>
        <w:rPr>
          <w:rFonts w:hint="eastAsia" w:ascii="宋体" w:hAnsi="宋体"/>
          <w:color w:val="000000"/>
          <w:sz w:val="24"/>
        </w:rPr>
      </w:pPr>
      <w:r>
        <w:rPr>
          <w:rFonts w:hint="eastAsia" w:ascii="宋体" w:hAnsi="宋体"/>
          <w:color w:val="000000"/>
          <w:sz w:val="24"/>
        </w:rPr>
        <w:t>（2）投标人所提供资源应满足采购文件规定的要求。保证合同期内系统安全稳定运行，不因硬件故障导致服务中断4小时及以上。</w:t>
      </w:r>
    </w:p>
    <w:p w14:paraId="58502861">
      <w:pPr>
        <w:spacing w:line="360" w:lineRule="auto"/>
        <w:ind w:firstLine="480" w:firstLineChars="200"/>
        <w:rPr>
          <w:rFonts w:hint="eastAsia" w:ascii="宋体" w:hAnsi="宋体"/>
          <w:color w:val="000000"/>
          <w:sz w:val="24"/>
        </w:rPr>
      </w:pPr>
      <w:r>
        <w:rPr>
          <w:rFonts w:hint="eastAsia" w:ascii="宋体" w:hAnsi="宋体"/>
          <w:color w:val="000000"/>
          <w:sz w:val="24"/>
        </w:rPr>
        <w:t>（3）服务期满后10个工作日开始对合同项目进行验收，投标人应当在采购人指定的验收日前向采购人提交验收报告。验收报告的内容包括但不限于，合同规定的各项服务清单，各系统设备运行情况。</w:t>
      </w:r>
    </w:p>
    <w:p w14:paraId="7E4A1FB3">
      <w:pPr>
        <w:spacing w:line="360" w:lineRule="auto"/>
        <w:ind w:firstLine="480" w:firstLineChars="200"/>
        <w:rPr>
          <w:rFonts w:hint="eastAsia" w:ascii="宋体" w:hAnsi="宋体"/>
          <w:color w:val="000000"/>
          <w:sz w:val="24"/>
        </w:rPr>
      </w:pPr>
      <w:r>
        <w:rPr>
          <w:rFonts w:hint="eastAsia" w:ascii="宋体" w:hAnsi="宋体"/>
          <w:color w:val="000000"/>
          <w:sz w:val="24"/>
        </w:rPr>
        <w:t>（4）服务期届满，投标人按照采购人要求完成所有项目，各项记录、报告等文档齐全，无任何系统遗留问题，并通过由采购人组织的专家验收评审，方可通过验收。</w:t>
      </w:r>
    </w:p>
    <w:p w14:paraId="4AE763BB">
      <w:pPr>
        <w:pStyle w:val="3"/>
        <w:spacing w:before="0" w:after="0" w:line="360" w:lineRule="auto"/>
        <w:ind w:firstLine="482" w:firstLineChars="200"/>
        <w:rPr>
          <w:rFonts w:hint="eastAsia" w:hAnsi="宋体"/>
          <w:color w:val="000000"/>
          <w:szCs w:val="24"/>
        </w:rPr>
      </w:pPr>
      <w:r>
        <w:rPr>
          <w:rFonts w:hint="eastAsia" w:hAnsi="宋体"/>
          <w:color w:val="000000"/>
          <w:szCs w:val="24"/>
        </w:rPr>
        <w:t>4. 其他要求</w:t>
      </w:r>
    </w:p>
    <w:p w14:paraId="0646FC0F">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4.1合同要求</w:t>
      </w:r>
    </w:p>
    <w:p w14:paraId="18CDD806">
      <w:pPr>
        <w:spacing w:line="360" w:lineRule="auto"/>
        <w:ind w:firstLine="480" w:firstLineChars="200"/>
        <w:rPr>
          <w:rFonts w:hint="eastAsia" w:ascii="宋体" w:hAnsi="宋体"/>
          <w:color w:val="000000"/>
          <w:sz w:val="24"/>
        </w:rPr>
      </w:pPr>
      <w:r>
        <w:rPr>
          <w:rFonts w:hint="eastAsia" w:ascii="宋体" w:hAnsi="宋体"/>
          <w:color w:val="000000"/>
          <w:sz w:val="24"/>
        </w:rPr>
        <w:t>（1）采购人与中标人如需变更政府采购合同的相关条款应遵守《中华人民共和国政府采购法》第五章关于政府采购合同的规定。</w:t>
      </w:r>
    </w:p>
    <w:p w14:paraId="2F537D8F">
      <w:pPr>
        <w:spacing w:line="360" w:lineRule="auto"/>
        <w:ind w:firstLine="480" w:firstLineChars="200"/>
        <w:rPr>
          <w:rFonts w:hint="eastAsia" w:ascii="宋体" w:hAnsi="宋体"/>
          <w:color w:val="000000"/>
          <w:sz w:val="24"/>
        </w:rPr>
      </w:pPr>
      <w:r>
        <w:rPr>
          <w:rFonts w:hint="eastAsia" w:ascii="宋体" w:hAnsi="宋体"/>
          <w:color w:val="000000"/>
          <w:sz w:val="24"/>
        </w:rPr>
        <w:t>（2）采购人应当加强政务网络和信息系统权限管理，最高管理权限务必由采购人专人负责，按照最小必要原则对投标人进行精细化授权，防范越权访问风险。</w:t>
      </w:r>
    </w:p>
    <w:p w14:paraId="1090DCA7">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4.2保密要求</w:t>
      </w:r>
    </w:p>
    <w:p w14:paraId="5E5517D4">
      <w:pPr>
        <w:spacing w:line="360" w:lineRule="auto"/>
        <w:ind w:firstLine="480" w:firstLineChars="200"/>
        <w:rPr>
          <w:rFonts w:hint="eastAsia" w:ascii="宋体" w:hAnsi="宋体"/>
          <w:color w:val="000000"/>
          <w:sz w:val="24"/>
        </w:rPr>
      </w:pPr>
      <w:r>
        <w:rPr>
          <w:rFonts w:hint="eastAsia" w:ascii="宋体" w:hAnsi="宋体"/>
          <w:color w:val="000000"/>
          <w:sz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74929B2F">
      <w:pPr>
        <w:spacing w:line="360" w:lineRule="auto"/>
        <w:ind w:firstLine="480" w:firstLineChars="200"/>
        <w:rPr>
          <w:rFonts w:hint="eastAsia" w:ascii="宋体" w:hAnsi="宋体"/>
          <w:color w:val="000000"/>
          <w:sz w:val="24"/>
        </w:rPr>
      </w:pPr>
      <w:r>
        <w:rPr>
          <w:rFonts w:hint="eastAsia" w:ascii="宋体" w:hAnsi="宋体"/>
          <w:color w:val="000000"/>
          <w:sz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6161FBF5">
      <w:pPr>
        <w:spacing w:line="360" w:lineRule="auto"/>
        <w:ind w:firstLine="480" w:firstLineChars="200"/>
        <w:rPr>
          <w:rFonts w:hint="eastAsia" w:ascii="宋体" w:hAnsi="宋体"/>
          <w:color w:val="000000"/>
          <w:sz w:val="24"/>
        </w:rPr>
      </w:pPr>
      <w:r>
        <w:rPr>
          <w:rFonts w:hint="eastAsia" w:ascii="宋体" w:hAnsi="宋体"/>
          <w:color w:val="000000"/>
          <w:sz w:val="24"/>
        </w:rPr>
        <w:t>（3）投标人保证将保密信息的披露范围严格控制在直接从事该项目工作且因工作需要有必要知悉保密信息的工作人员范围内,对投标人非从事该项目的人员一律严格保密。</w:t>
      </w:r>
    </w:p>
    <w:p w14:paraId="5034A7C5">
      <w:pPr>
        <w:spacing w:line="360" w:lineRule="auto"/>
        <w:ind w:firstLine="480" w:firstLineChars="200"/>
        <w:rPr>
          <w:rFonts w:hint="eastAsia" w:ascii="宋体" w:hAnsi="宋体"/>
          <w:color w:val="000000"/>
          <w:sz w:val="24"/>
        </w:rPr>
      </w:pPr>
      <w:r>
        <w:rPr>
          <w:rFonts w:hint="eastAsia" w:ascii="宋体" w:hAnsi="宋体"/>
          <w:color w:val="000000"/>
          <w:sz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080DF210">
      <w:pPr>
        <w:spacing w:line="360" w:lineRule="auto"/>
        <w:ind w:firstLine="480" w:firstLineChars="200"/>
        <w:rPr>
          <w:rFonts w:hint="eastAsia" w:ascii="宋体" w:hAnsi="宋体"/>
          <w:color w:val="000000"/>
          <w:sz w:val="24"/>
        </w:rPr>
      </w:pPr>
      <w:r>
        <w:rPr>
          <w:rFonts w:hint="eastAsia" w:ascii="宋体" w:hAnsi="宋体"/>
          <w:color w:val="000000"/>
          <w:sz w:val="24"/>
        </w:rPr>
        <w:t>（5）任何时间内，一经采购人提出要求，投标人应按照采购人指示在收到采购人书面通知后 5 日内将含有保密信息的所有文件或其他资料归还采购人，且不得擅自复制留存。</w:t>
      </w:r>
    </w:p>
    <w:p w14:paraId="311AE327">
      <w:pPr>
        <w:spacing w:line="360" w:lineRule="auto"/>
        <w:ind w:firstLine="480" w:firstLineChars="200"/>
        <w:rPr>
          <w:rFonts w:hint="eastAsia" w:ascii="宋体" w:hAnsi="宋体"/>
          <w:color w:val="000000"/>
          <w:sz w:val="24"/>
        </w:rPr>
      </w:pPr>
      <w:r>
        <w:rPr>
          <w:rFonts w:hint="eastAsia" w:ascii="宋体" w:hAnsi="宋体"/>
          <w:color w:val="000000"/>
          <w:sz w:val="24"/>
        </w:rPr>
        <w:t>（6）非经采购人特别授权，采购人向投标人提供的任何保密信息并不包括授予投标人该保密信息包含的任何专利权、商标权、著作权、商业秘密或其它类型的知识产权。</w:t>
      </w:r>
    </w:p>
    <w:p w14:paraId="54C745CC">
      <w:pPr>
        <w:spacing w:line="360" w:lineRule="auto"/>
        <w:ind w:firstLine="480" w:firstLineChars="200"/>
        <w:rPr>
          <w:rFonts w:hint="eastAsia" w:ascii="宋体" w:hAnsi="宋体"/>
          <w:color w:val="000000"/>
          <w:sz w:val="24"/>
        </w:rPr>
      </w:pPr>
      <w:r>
        <w:rPr>
          <w:rFonts w:hint="eastAsia" w:ascii="宋体" w:hAnsi="宋体"/>
          <w:color w:val="000000"/>
          <w:sz w:val="24"/>
        </w:rPr>
        <w:t>（7）投标人承担上述保密义务的期限为合同有效期间及合同终止后2年，承担上述保密义务的责任主体为投标人（含投标人服务人员）。</w:t>
      </w:r>
    </w:p>
    <w:p w14:paraId="7D03DF37">
      <w:pPr>
        <w:spacing w:line="360" w:lineRule="auto"/>
        <w:ind w:firstLine="480" w:firstLineChars="200"/>
        <w:rPr>
          <w:rFonts w:hint="eastAsia" w:ascii="宋体" w:hAnsi="宋体"/>
          <w:color w:val="000000"/>
          <w:sz w:val="24"/>
        </w:rPr>
      </w:pPr>
      <w:r>
        <w:rPr>
          <w:rFonts w:hint="eastAsia" w:ascii="宋体" w:hAnsi="宋体"/>
          <w:color w:val="000000"/>
          <w:sz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3F4A85A8">
      <w:pPr>
        <w:spacing w:line="360" w:lineRule="auto"/>
        <w:ind w:firstLine="480" w:firstLineChars="200"/>
        <w:rPr>
          <w:rFonts w:hint="eastAsia" w:ascii="宋体" w:hAnsi="宋体"/>
          <w:color w:val="000000"/>
          <w:sz w:val="24"/>
        </w:rPr>
      </w:pPr>
      <w:r>
        <w:rPr>
          <w:rFonts w:hint="eastAsia" w:ascii="宋体" w:hAnsi="宋体"/>
          <w:color w:val="000000"/>
          <w:sz w:val="24"/>
        </w:rPr>
        <w:t>（9）投标人应当对获悉的政务数据、个人信息等予以保密，不得用于其他用途，不得泄露、出售或者非法向他人提供。</w:t>
      </w:r>
    </w:p>
    <w:p w14:paraId="5B45A0BB">
      <w:pPr>
        <w:pStyle w:val="4"/>
        <w:spacing w:before="0" w:after="0" w:line="360" w:lineRule="auto"/>
        <w:ind w:firstLine="480" w:firstLineChars="200"/>
        <w:rPr>
          <w:rFonts w:hint="eastAsia" w:ascii="宋体" w:hAnsi="宋体"/>
          <w:color w:val="000000"/>
          <w:szCs w:val="24"/>
        </w:rPr>
      </w:pPr>
      <w:r>
        <w:rPr>
          <w:rFonts w:hint="eastAsia" w:ascii="宋体" w:hAnsi="宋体"/>
          <w:color w:val="000000"/>
          <w:szCs w:val="24"/>
        </w:rPr>
        <w:t>4.3知识产权要求</w:t>
      </w:r>
    </w:p>
    <w:p w14:paraId="5242354C">
      <w:pPr>
        <w:spacing w:line="360" w:lineRule="auto"/>
        <w:ind w:firstLine="480" w:firstLineChars="200"/>
        <w:rPr>
          <w:rFonts w:hint="eastAsia" w:ascii="宋体" w:hAnsi="宋体"/>
          <w:color w:val="000000"/>
          <w:sz w:val="24"/>
        </w:rPr>
      </w:pPr>
      <w:r>
        <w:rPr>
          <w:rFonts w:hint="eastAsia" w:ascii="宋体" w:hAnsi="宋体"/>
          <w:color w:val="000000"/>
          <w:sz w:val="24"/>
        </w:rPr>
        <w:t>（1）投标人应确保本项目所提交成果无知识产权纠纷，项目成果的知识产权属于项目委托方。须在响应文件中对此项作出专项承诺，格式自拟。</w:t>
      </w:r>
    </w:p>
    <w:p w14:paraId="3FBFB602">
      <w:pPr>
        <w:spacing w:line="360" w:lineRule="auto"/>
        <w:contextualSpacing/>
        <w:rPr>
          <w:sz w:val="24"/>
        </w:rPr>
      </w:pPr>
      <w:r>
        <w:rPr>
          <w:rFonts w:hint="eastAsia" w:ascii="宋体" w:hAnsi="宋体"/>
          <w:color w:val="000000"/>
          <w:sz w:val="24"/>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14:paraId="537B12A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B2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paragraph" w:styleId="5">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2025-08-07T07:00:15Z</dcterms:created>
  <dc:creator>Administrator</dc:creator>
  <cp:lastModifiedBy>10674</cp:lastModifiedBy>
  <dcterms:modified xsi:type="dcterms:W3CDTF">2025-08-07T07:00:21Z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3761C60BC0B84C60B60CA8A08BEC1DED_12</vt:lpwstr>
  </property>
</Properties>
</file>