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CECA48">
      <w:pPr>
        <w:spacing w:line="360" w:lineRule="auto"/>
        <w:jc w:val="center"/>
        <w:outlineLvl w:val="0"/>
        <w:rPr>
          <w:b/>
          <w:sz w:val="36"/>
          <w:szCs w:val="36"/>
        </w:rPr>
      </w:pPr>
      <w:bookmarkStart w:id="0" w:name="_Toc99301424"/>
      <w:bookmarkStart w:id="1" w:name="_Toc226337251"/>
      <w:bookmarkStart w:id="2" w:name="_Toc353873665"/>
      <w:bookmarkStart w:id="3" w:name="_Toc142311057"/>
      <w:bookmarkStart w:id="4" w:name="_Toc305158823"/>
      <w:bookmarkStart w:id="5" w:name="_Toc353825545"/>
      <w:bookmarkStart w:id="6" w:name="_Toc226965828"/>
      <w:bookmarkStart w:id="7" w:name="_Toc353873935"/>
      <w:bookmarkStart w:id="8" w:name="_Toc150480793"/>
      <w:bookmarkStart w:id="9" w:name="_Toc127151555"/>
      <w:bookmarkStart w:id="10" w:name="_Toc305158897"/>
      <w:bookmarkStart w:id="11" w:name="_Toc195842920"/>
      <w:bookmarkStart w:id="12" w:name="_Toc265228393"/>
      <w:bookmarkStart w:id="13" w:name="_Toc264969245"/>
      <w:bookmarkStart w:id="14" w:name="_Toc150774760"/>
      <w:r>
        <w:rPr>
          <w:b/>
          <w:sz w:val="36"/>
          <w:szCs w:val="36"/>
        </w:rPr>
        <w:t xml:space="preserve">   采购需求</w:t>
      </w:r>
      <w:bookmarkEnd w:id="0"/>
    </w:p>
    <w:p w14:paraId="756E1A44">
      <w:pPr>
        <w:pStyle w:val="57"/>
        <w:numPr>
          <w:ilvl w:val="0"/>
          <w:numId w:val="8"/>
        </w:numPr>
        <w:spacing w:line="360" w:lineRule="auto"/>
        <w:ind w:left="499" w:hanging="499" w:firstLineChars="0"/>
        <w:contextualSpacing/>
        <w:outlineLvl w:val="1"/>
        <w:rPr>
          <w:rFonts w:ascii="Times New Roman" w:hAnsi="Times New Roman"/>
          <w:b/>
          <w:sz w:val="24"/>
          <w:szCs w:val="24"/>
        </w:rPr>
      </w:pPr>
      <w:r>
        <w:rPr>
          <w:rFonts w:ascii="Times New Roman" w:hAnsi="Times New Roman"/>
          <w:b/>
          <w:sz w:val="24"/>
          <w:szCs w:val="24"/>
        </w:rPr>
        <w:t>采购标的</w:t>
      </w:r>
    </w:p>
    <w:p w14:paraId="6EB10067">
      <w:pPr>
        <w:pStyle w:val="57"/>
        <w:spacing w:line="360" w:lineRule="auto"/>
        <w:ind w:firstLine="0" w:firstLineChars="0"/>
        <w:contextualSpacing/>
        <w:outlineLvl w:val="1"/>
        <w:rPr>
          <w:rFonts w:ascii="Times New Roman" w:hAnsi="Times New Roman"/>
          <w:b/>
          <w:sz w:val="24"/>
          <w:szCs w:val="24"/>
        </w:rPr>
      </w:pPr>
      <w:r>
        <w:rPr>
          <w:rFonts w:hint="eastAsia"/>
          <w:bCs/>
          <w:sz w:val="24"/>
        </w:rPr>
        <w:t>1.</w:t>
      </w:r>
      <w:r>
        <w:rPr>
          <w:bCs/>
          <w:sz w:val="24"/>
        </w:rPr>
        <w:t>采购标的</w:t>
      </w:r>
    </w:p>
    <w:tbl>
      <w:tblPr>
        <w:tblStyle w:val="42"/>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5902"/>
        <w:gridCol w:w="750"/>
        <w:gridCol w:w="993"/>
      </w:tblGrid>
      <w:tr w14:paraId="2138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3" w:type="dxa"/>
          </w:tcPr>
          <w:p w14:paraId="4F412B04">
            <w:pPr>
              <w:snapToGrid w:val="0"/>
              <w:spacing w:before="240" w:line="60" w:lineRule="auto"/>
              <w:jc w:val="center"/>
              <w:rPr>
                <w:rFonts w:ascii="仿宋" w:hAnsi="仿宋" w:eastAsia="仿宋"/>
                <w:sz w:val="22"/>
              </w:rPr>
            </w:pPr>
            <w:r>
              <w:rPr>
                <w:rFonts w:hint="eastAsia" w:ascii="仿宋" w:hAnsi="仿宋" w:eastAsia="仿宋"/>
                <w:sz w:val="22"/>
              </w:rPr>
              <w:t>序号</w:t>
            </w:r>
          </w:p>
        </w:tc>
        <w:tc>
          <w:tcPr>
            <w:tcW w:w="5902" w:type="dxa"/>
          </w:tcPr>
          <w:p w14:paraId="0A629574">
            <w:pPr>
              <w:snapToGrid w:val="0"/>
              <w:spacing w:before="240" w:line="60" w:lineRule="auto"/>
              <w:jc w:val="center"/>
              <w:rPr>
                <w:rFonts w:ascii="仿宋" w:hAnsi="仿宋" w:eastAsia="仿宋"/>
                <w:sz w:val="22"/>
              </w:rPr>
            </w:pPr>
            <w:r>
              <w:rPr>
                <w:rFonts w:hint="eastAsia" w:ascii="仿宋" w:hAnsi="仿宋" w:eastAsia="仿宋"/>
                <w:sz w:val="22"/>
              </w:rPr>
              <w:t>名称</w:t>
            </w:r>
          </w:p>
        </w:tc>
        <w:tc>
          <w:tcPr>
            <w:tcW w:w="750" w:type="dxa"/>
          </w:tcPr>
          <w:p w14:paraId="3D3DF29F">
            <w:pPr>
              <w:snapToGrid w:val="0"/>
              <w:spacing w:before="240" w:line="60" w:lineRule="auto"/>
              <w:jc w:val="center"/>
              <w:rPr>
                <w:rFonts w:ascii="仿宋" w:hAnsi="仿宋" w:eastAsia="仿宋"/>
                <w:sz w:val="22"/>
              </w:rPr>
            </w:pPr>
            <w:r>
              <w:rPr>
                <w:rFonts w:hint="eastAsia" w:ascii="仿宋" w:hAnsi="仿宋" w:eastAsia="仿宋"/>
                <w:sz w:val="22"/>
              </w:rPr>
              <w:t>数量</w:t>
            </w:r>
          </w:p>
        </w:tc>
        <w:tc>
          <w:tcPr>
            <w:tcW w:w="993" w:type="dxa"/>
          </w:tcPr>
          <w:p w14:paraId="0A9CD29B">
            <w:pPr>
              <w:snapToGrid w:val="0"/>
              <w:spacing w:before="240" w:line="60" w:lineRule="auto"/>
              <w:jc w:val="center"/>
              <w:rPr>
                <w:rFonts w:ascii="仿宋" w:hAnsi="仿宋" w:eastAsia="仿宋"/>
                <w:sz w:val="22"/>
              </w:rPr>
            </w:pPr>
            <w:r>
              <w:rPr>
                <w:rFonts w:hint="eastAsia" w:ascii="仿宋" w:hAnsi="仿宋" w:eastAsia="仿宋"/>
                <w:sz w:val="22"/>
              </w:rPr>
              <w:t>单位</w:t>
            </w:r>
          </w:p>
        </w:tc>
      </w:tr>
      <w:tr w14:paraId="2C30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93" w:type="dxa"/>
            <w:vAlign w:val="center"/>
          </w:tcPr>
          <w:p w14:paraId="7A220693">
            <w:pPr>
              <w:snapToGrid w:val="0"/>
              <w:spacing w:before="240"/>
              <w:jc w:val="center"/>
              <w:rPr>
                <w:rFonts w:ascii="仿宋" w:hAnsi="仿宋" w:eastAsia="仿宋"/>
                <w:sz w:val="22"/>
              </w:rPr>
            </w:pPr>
            <w:r>
              <w:rPr>
                <w:rFonts w:hint="eastAsia" w:ascii="仿宋" w:hAnsi="仿宋" w:eastAsia="仿宋"/>
                <w:sz w:val="22"/>
              </w:rPr>
              <w:t>1</w:t>
            </w:r>
          </w:p>
        </w:tc>
        <w:tc>
          <w:tcPr>
            <w:tcW w:w="5902" w:type="dxa"/>
            <w:vAlign w:val="center"/>
          </w:tcPr>
          <w:p w14:paraId="10D8C4AD">
            <w:pPr>
              <w:snapToGrid w:val="0"/>
              <w:spacing w:before="240"/>
              <w:jc w:val="center"/>
              <w:rPr>
                <w:rFonts w:ascii="仿宋" w:hAnsi="仿宋" w:eastAsia="仿宋"/>
                <w:sz w:val="22"/>
              </w:rPr>
            </w:pPr>
            <w:r>
              <w:rPr>
                <w:rFonts w:hint="eastAsia"/>
                <w:bCs/>
                <w:szCs w:val="21"/>
              </w:rPr>
              <w:t>北京物资学院2025年-2028年校园网络接入服务采购项目</w:t>
            </w:r>
          </w:p>
        </w:tc>
        <w:tc>
          <w:tcPr>
            <w:tcW w:w="750" w:type="dxa"/>
            <w:vAlign w:val="center"/>
          </w:tcPr>
          <w:p w14:paraId="4D94D267">
            <w:pPr>
              <w:snapToGrid w:val="0"/>
              <w:spacing w:before="240"/>
              <w:jc w:val="center"/>
              <w:rPr>
                <w:rFonts w:ascii="仿宋" w:hAnsi="仿宋" w:eastAsia="仿宋"/>
                <w:sz w:val="22"/>
              </w:rPr>
            </w:pPr>
            <w:r>
              <w:rPr>
                <w:rFonts w:hint="eastAsia" w:ascii="仿宋" w:hAnsi="仿宋" w:eastAsia="仿宋"/>
                <w:sz w:val="22"/>
              </w:rPr>
              <w:t>1</w:t>
            </w:r>
          </w:p>
        </w:tc>
        <w:tc>
          <w:tcPr>
            <w:tcW w:w="993" w:type="dxa"/>
            <w:vAlign w:val="center"/>
          </w:tcPr>
          <w:p w14:paraId="2AF7B7E9">
            <w:pPr>
              <w:snapToGrid w:val="0"/>
              <w:spacing w:before="240"/>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项</w:t>
            </w:r>
          </w:p>
        </w:tc>
      </w:tr>
    </w:tbl>
    <w:p w14:paraId="2188B961"/>
    <w:p w14:paraId="18A12556">
      <w:pPr>
        <w:spacing w:line="360" w:lineRule="auto"/>
        <w:contextualSpacing/>
        <w:rPr>
          <w:bCs/>
          <w:sz w:val="24"/>
        </w:rPr>
      </w:pPr>
      <w:r>
        <w:rPr>
          <w:bCs/>
          <w:sz w:val="24"/>
        </w:rPr>
        <w:t>2.</w:t>
      </w:r>
      <w:r>
        <w:rPr>
          <w:rFonts w:hint="eastAsia"/>
          <w:bCs/>
          <w:sz w:val="24"/>
        </w:rPr>
        <w:t>.</w:t>
      </w:r>
      <w:r>
        <w:rPr>
          <w:bCs/>
          <w:sz w:val="24"/>
        </w:rPr>
        <w:t>项目背景</w:t>
      </w:r>
    </w:p>
    <w:p w14:paraId="5BA4900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北京物资学院出口带宽合约即将于2025年9月底到期，为保证满足校园网用户访问互联网的需求，加强校内外信息的共享与交流，北京物资学院就校园网出口带宽采购事宜进行招标。本次出口带宽为8Gbps、双路由（保持现有互联网出口IPv4、IPv6地址不变）；并且不仅解决1号、2号、3号、4号、5号、6号、10号、11号、12号、20号学生宿舍区域无线网问题，还将解决我校第一教学楼、第二教学楼、图书馆、物流博物馆、右安门校区教学及办公区域、科研楼、人文楼、崇德楼、校本部部分室外区域的无线网络覆盖问题。增强师生在上述区域的无线需求，满足师生们的科研用网需求。通过本项目还将支持学校产教融合、支持人工智能通识教育、支持信息技术与物流技术相结合的示范场景增强师生在上述区域的无线需求，满足师</w:t>
      </w:r>
      <w:r>
        <w:rPr>
          <w:rFonts w:hint="eastAsia" w:cs="宋体" w:asciiTheme="minorEastAsia" w:hAnsiTheme="minorEastAsia" w:eastAsiaTheme="minorEastAsia"/>
          <w:sz w:val="24"/>
        </w:rPr>
        <w:t>生们的科研用网需求。</w:t>
      </w:r>
      <w:r>
        <w:rPr>
          <w:rFonts w:hint="eastAsia" w:asciiTheme="minorEastAsia" w:hAnsiTheme="minorEastAsia" w:eastAsiaTheme="minorEastAsia"/>
          <w:color w:val="000000" w:themeColor="text1"/>
          <w:sz w:val="24"/>
          <w14:textFill>
            <w14:solidFill>
              <w14:schemeClr w14:val="tx1"/>
            </w14:solidFill>
          </w14:textFill>
        </w:rPr>
        <w:t>（所列设备在合同期内由</w:t>
      </w:r>
      <w:r>
        <w:rPr>
          <w:rFonts w:hint="eastAsia" w:ascii="宋体" w:hAnsi="宋体" w:cs="宋体"/>
          <w:sz w:val="24"/>
        </w:rPr>
        <w:t>中标人</w:t>
      </w:r>
      <w:r>
        <w:rPr>
          <w:rFonts w:hint="eastAsia" w:asciiTheme="minorEastAsia" w:hAnsiTheme="minorEastAsia" w:eastAsiaTheme="minorEastAsia"/>
          <w:color w:val="000000" w:themeColor="text1"/>
          <w:sz w:val="24"/>
          <w14:textFill>
            <w14:solidFill>
              <w14:schemeClr w14:val="tx1"/>
            </w14:solidFill>
          </w14:textFill>
        </w:rPr>
        <w:t>提供给</w:t>
      </w:r>
      <w:r>
        <w:rPr>
          <w:rFonts w:hint="eastAsia" w:ascii="宋体" w:hAnsi="宋体" w:cs="宋体"/>
          <w:sz w:val="24"/>
        </w:rPr>
        <w:t>采购人</w:t>
      </w:r>
      <w:r>
        <w:rPr>
          <w:rFonts w:hint="eastAsia" w:asciiTheme="minorEastAsia" w:hAnsiTheme="minorEastAsia" w:eastAsiaTheme="minorEastAsia"/>
          <w:color w:val="000000" w:themeColor="text1"/>
          <w:sz w:val="24"/>
          <w14:textFill>
            <w14:solidFill>
              <w14:schemeClr w14:val="tx1"/>
            </w14:solidFill>
          </w14:textFill>
        </w:rPr>
        <w:t>使用。合同期结束后由</w:t>
      </w:r>
      <w:r>
        <w:rPr>
          <w:rFonts w:hint="eastAsia" w:ascii="宋体" w:hAnsi="宋体" w:cs="宋体"/>
          <w:sz w:val="24"/>
        </w:rPr>
        <w:t>中标人</w:t>
      </w:r>
      <w:r>
        <w:rPr>
          <w:rFonts w:hint="eastAsia" w:asciiTheme="minorEastAsia" w:hAnsiTheme="minorEastAsia" w:eastAsiaTheme="minorEastAsia"/>
          <w:color w:val="000000" w:themeColor="text1"/>
          <w:sz w:val="24"/>
          <w14:textFill>
            <w14:solidFill>
              <w14:schemeClr w14:val="tx1"/>
            </w14:solidFill>
          </w14:textFill>
        </w:rPr>
        <w:t>收回）</w:t>
      </w:r>
    </w:p>
    <w:p w14:paraId="51191964">
      <w:pPr>
        <w:spacing w:line="360" w:lineRule="auto"/>
        <w:contextualSpacing/>
        <w:rPr>
          <w:b/>
          <w:sz w:val="24"/>
        </w:rPr>
      </w:pPr>
    </w:p>
    <w:p w14:paraId="3C87C2B2">
      <w:pPr>
        <w:pStyle w:val="57"/>
        <w:numPr>
          <w:ilvl w:val="0"/>
          <w:numId w:val="8"/>
        </w:numPr>
        <w:spacing w:line="360" w:lineRule="auto"/>
        <w:ind w:left="499" w:hanging="499" w:firstLineChars="0"/>
        <w:contextualSpacing/>
        <w:outlineLvl w:val="1"/>
        <w:rPr>
          <w:rFonts w:ascii="Times New Roman" w:hAnsi="Times New Roman"/>
          <w:b/>
          <w:sz w:val="24"/>
          <w:szCs w:val="24"/>
        </w:rPr>
      </w:pPr>
      <w:r>
        <w:rPr>
          <w:rFonts w:ascii="Times New Roman" w:hAnsi="Times New Roman"/>
          <w:b/>
          <w:sz w:val="24"/>
          <w:szCs w:val="24"/>
        </w:rPr>
        <w:t>商务要求</w:t>
      </w:r>
    </w:p>
    <w:p w14:paraId="4596C4B3">
      <w:pPr>
        <w:numPr>
          <w:ilvl w:val="0"/>
          <w:numId w:val="9"/>
        </w:numPr>
        <w:spacing w:line="360" w:lineRule="auto"/>
        <w:contextualSpacing/>
        <w:rPr>
          <w:sz w:val="24"/>
        </w:rPr>
      </w:pPr>
      <w:r>
        <w:rPr>
          <w:sz w:val="24"/>
        </w:rPr>
        <w:t>交付（实施）的时间（期限）和地点（范围）</w:t>
      </w:r>
    </w:p>
    <w:p w14:paraId="50595A3A">
      <w:pPr>
        <w:adjustRightInd w:val="0"/>
        <w:snapToGrid w:val="0"/>
        <w:spacing w:line="360" w:lineRule="auto"/>
        <w:ind w:firstLine="480" w:firstLineChars="200"/>
        <w:rPr>
          <w:rFonts w:ascii="宋体" w:hAnsi="宋体" w:cs="宋体"/>
          <w:sz w:val="24"/>
        </w:rPr>
      </w:pPr>
      <w:r>
        <w:rPr>
          <w:rFonts w:hint="eastAsia" w:ascii="宋体" w:hAnsi="宋体" w:cs="宋体"/>
          <w:sz w:val="24"/>
        </w:rPr>
        <w:t>自合同签订之日起</w:t>
      </w:r>
      <w:r>
        <w:rPr>
          <w:rFonts w:ascii="宋体" w:hAnsi="宋体" w:cs="宋体"/>
          <w:sz w:val="24"/>
        </w:rPr>
        <w:t>3</w:t>
      </w:r>
      <w:r>
        <w:rPr>
          <w:rFonts w:hint="eastAsia" w:ascii="宋体" w:hAnsi="宋体" w:cs="宋体"/>
          <w:sz w:val="24"/>
        </w:rPr>
        <w:t>年。（货物自签订采购合同之日起，30 个日历天内完成供货、安装及调试</w:t>
      </w:r>
      <w:r>
        <w:rPr>
          <w:rFonts w:hint="eastAsia"/>
        </w:rPr>
        <w:t>）</w:t>
      </w:r>
    </w:p>
    <w:p w14:paraId="7EC28C58">
      <w:pPr>
        <w:adjustRightInd w:val="0"/>
        <w:snapToGrid w:val="0"/>
        <w:spacing w:line="360" w:lineRule="auto"/>
        <w:ind w:firstLine="480" w:firstLineChars="200"/>
        <w:rPr>
          <w:rFonts w:ascii="宋体" w:hAnsi="宋体" w:cs="宋体"/>
          <w:sz w:val="24"/>
        </w:rPr>
      </w:pPr>
      <w:r>
        <w:rPr>
          <w:rFonts w:hint="eastAsia" w:ascii="宋体" w:hAnsi="宋体" w:cs="宋体"/>
          <w:sz w:val="24"/>
        </w:rPr>
        <w:t>交付地点：北京物资学院</w:t>
      </w:r>
    </w:p>
    <w:p w14:paraId="345D7FCE">
      <w:pPr>
        <w:spacing w:line="360" w:lineRule="auto"/>
        <w:contextualSpacing/>
        <w:rPr>
          <w:sz w:val="24"/>
        </w:rPr>
      </w:pPr>
      <w:r>
        <w:rPr>
          <w:rFonts w:hint="eastAsia"/>
          <w:sz w:val="24"/>
        </w:rPr>
        <w:t>2</w:t>
      </w:r>
      <w:r>
        <w:rPr>
          <w:sz w:val="24"/>
        </w:rPr>
        <w:t>. 付款条件（进度和方式）</w:t>
      </w:r>
    </w:p>
    <w:p w14:paraId="1A636D59">
      <w:pPr>
        <w:adjustRightInd w:val="0"/>
        <w:snapToGrid w:val="0"/>
        <w:spacing w:line="360" w:lineRule="auto"/>
        <w:ind w:firstLine="480" w:firstLineChars="200"/>
        <w:rPr>
          <w:rFonts w:ascii="宋体" w:hAnsi="宋体" w:cs="宋体"/>
          <w:sz w:val="24"/>
        </w:rPr>
      </w:pPr>
      <w:r>
        <w:rPr>
          <w:rFonts w:hint="eastAsia" w:ascii="宋体" w:hAnsi="宋体" w:cs="宋体"/>
          <w:sz w:val="24"/>
        </w:rPr>
        <w:t>在合同签定后7日内向中标人以汇款的方式支付第一年服务费用，第二、三年费用以汇款的方式按年付款。</w:t>
      </w:r>
    </w:p>
    <w:p w14:paraId="346859FE">
      <w:pPr>
        <w:spacing w:line="360" w:lineRule="auto"/>
        <w:contextualSpacing/>
        <w:rPr>
          <w:rFonts w:eastAsia="仿宋_GB2312"/>
          <w:sz w:val="24"/>
          <w:u w:val="single"/>
        </w:rPr>
      </w:pPr>
    </w:p>
    <w:p w14:paraId="6E753E44">
      <w:pPr>
        <w:spacing w:line="360" w:lineRule="auto"/>
        <w:contextualSpacing/>
        <w:rPr>
          <w:sz w:val="24"/>
        </w:rPr>
      </w:pPr>
    </w:p>
    <w:p w14:paraId="49A401F3">
      <w:pPr>
        <w:pStyle w:val="17"/>
      </w:pPr>
    </w:p>
    <w:p w14:paraId="787FD6CB">
      <w:pPr>
        <w:pStyle w:val="57"/>
        <w:numPr>
          <w:ilvl w:val="0"/>
          <w:numId w:val="8"/>
        </w:numPr>
        <w:spacing w:line="360" w:lineRule="auto"/>
        <w:ind w:left="499" w:hanging="499" w:firstLineChars="0"/>
        <w:contextualSpacing/>
        <w:outlineLvl w:val="1"/>
        <w:rPr>
          <w:rFonts w:ascii="Times New Roman" w:hAnsi="Times New Roman"/>
          <w:b/>
          <w:sz w:val="24"/>
          <w:szCs w:val="24"/>
        </w:rPr>
      </w:pPr>
      <w:r>
        <w:rPr>
          <w:rFonts w:ascii="Times New Roman" w:hAnsi="Times New Roman"/>
          <w:b/>
          <w:sz w:val="24"/>
          <w:szCs w:val="24"/>
        </w:rPr>
        <w:t>技术要求</w:t>
      </w:r>
    </w:p>
    <w:p w14:paraId="6A4B3D94">
      <w:pPr>
        <w:spacing w:line="360" w:lineRule="auto"/>
        <w:contextualSpacing/>
        <w:rPr>
          <w:sz w:val="24"/>
        </w:rPr>
      </w:pPr>
      <w:r>
        <w:rPr>
          <w:sz w:val="24"/>
        </w:rPr>
        <w:t>1. 基本要求</w:t>
      </w:r>
    </w:p>
    <w:p w14:paraId="4ED0A25F">
      <w:pPr>
        <w:spacing w:line="360" w:lineRule="auto"/>
        <w:ind w:firstLine="480" w:firstLineChars="200"/>
        <w:contextualSpacing/>
        <w:rPr>
          <w:sz w:val="24"/>
        </w:rPr>
      </w:pPr>
      <w:r>
        <w:rPr>
          <w:sz w:val="24"/>
        </w:rPr>
        <w:t>1.1 采购标的需实现的功能或者目标</w:t>
      </w:r>
    </w:p>
    <w:p w14:paraId="5588C92C">
      <w:pPr>
        <w:adjustRightInd w:val="0"/>
        <w:snapToGrid w:val="0"/>
        <w:spacing w:line="360" w:lineRule="auto"/>
        <w:ind w:firstLine="480" w:firstLineChars="200"/>
        <w:rPr>
          <w:rFonts w:ascii="宋体" w:hAnsi="宋体" w:cs="宋体"/>
          <w:sz w:val="24"/>
        </w:rPr>
      </w:pPr>
      <w:r>
        <w:rPr>
          <w:rFonts w:hint="eastAsia" w:ascii="宋体" w:hAnsi="宋体" w:cs="宋体"/>
          <w:sz w:val="24"/>
        </w:rPr>
        <w:t>本次出口带宽为8Gbps、双路由（保持现有互联网出口IPv4、IPv6地址不变）；并且不仅解决1号、2号、3号、4号、5号、6号、10号、11号、12号、20号学生宿舍区域无线网问题，还将解决我校第一教学楼、第二教学楼、图书馆、物流博物馆、右安门校区教学及办公区域、科研楼、人文楼、崇德楼、校本部部分室外区域的无线网络覆盖问题。增强师生在上述区域的无线需求，满足师生们的科研用网需求。通过本项目还将支持学校产教融合、支持人工智能通识教育、支持信息技术与物流技术相结合的示范场景增强师生在上述区域的无线需求，满足师生们的科研用网需求。</w:t>
      </w:r>
    </w:p>
    <w:p w14:paraId="61636D81">
      <w:pPr>
        <w:spacing w:line="360" w:lineRule="auto"/>
        <w:ind w:firstLine="480" w:firstLineChars="200"/>
        <w:contextualSpacing/>
        <w:rPr>
          <w:sz w:val="24"/>
        </w:rPr>
      </w:pPr>
    </w:p>
    <w:p w14:paraId="034295B3">
      <w:pPr>
        <w:numPr>
          <w:ilvl w:val="0"/>
          <w:numId w:val="9"/>
        </w:numPr>
        <w:spacing w:line="360" w:lineRule="auto"/>
        <w:contextualSpacing/>
        <w:rPr>
          <w:sz w:val="24"/>
        </w:rPr>
      </w:pPr>
      <w:r>
        <w:rPr>
          <w:sz w:val="24"/>
        </w:rPr>
        <w:t>服务内容及要求/货物技术要求</w:t>
      </w:r>
    </w:p>
    <w:p w14:paraId="1828DB74">
      <w:pPr>
        <w:spacing w:line="360" w:lineRule="auto"/>
        <w:contextualSpacing/>
        <w:rPr>
          <w:sz w:val="24"/>
        </w:rPr>
      </w:pPr>
      <w:r>
        <w:rPr>
          <w:rFonts w:hint="eastAsia"/>
          <w:sz w:val="24"/>
        </w:rPr>
        <w:t>服务清单：</w:t>
      </w:r>
    </w:p>
    <w:tbl>
      <w:tblPr>
        <w:tblStyle w:val="42"/>
        <w:tblpPr w:leftFromText="180" w:rightFromText="180" w:vertAnchor="text" w:horzAnchor="page" w:tblpX="2090" w:tblpY="443"/>
        <w:tblOverlap w:val="never"/>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203"/>
        <w:gridCol w:w="3571"/>
        <w:gridCol w:w="2871"/>
      </w:tblGrid>
      <w:tr w14:paraId="1218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tcPr>
          <w:p w14:paraId="426A00C1">
            <w:pPr>
              <w:snapToGrid w:val="0"/>
              <w:spacing w:before="240" w:line="60" w:lineRule="auto"/>
              <w:jc w:val="center"/>
              <w:rPr>
                <w:rFonts w:ascii="仿宋" w:hAnsi="仿宋" w:eastAsia="仿宋"/>
                <w:sz w:val="22"/>
              </w:rPr>
            </w:pPr>
            <w:r>
              <w:rPr>
                <w:rFonts w:hint="eastAsia" w:ascii="仿宋" w:hAnsi="仿宋" w:eastAsia="仿宋"/>
                <w:sz w:val="22"/>
              </w:rPr>
              <w:t>序号</w:t>
            </w:r>
          </w:p>
        </w:tc>
        <w:tc>
          <w:tcPr>
            <w:tcW w:w="1203" w:type="dxa"/>
          </w:tcPr>
          <w:p w14:paraId="648F0C4E">
            <w:pPr>
              <w:snapToGrid w:val="0"/>
              <w:spacing w:before="240" w:line="60" w:lineRule="auto"/>
              <w:jc w:val="center"/>
              <w:rPr>
                <w:rFonts w:ascii="仿宋" w:hAnsi="仿宋" w:eastAsia="仿宋"/>
                <w:sz w:val="22"/>
              </w:rPr>
            </w:pPr>
            <w:r>
              <w:rPr>
                <w:rFonts w:hint="eastAsia" w:ascii="仿宋" w:hAnsi="仿宋" w:eastAsia="仿宋"/>
                <w:sz w:val="22"/>
              </w:rPr>
              <w:t>名称</w:t>
            </w:r>
          </w:p>
        </w:tc>
        <w:tc>
          <w:tcPr>
            <w:tcW w:w="3571" w:type="dxa"/>
          </w:tcPr>
          <w:p w14:paraId="1866CD7C">
            <w:pPr>
              <w:snapToGrid w:val="0"/>
              <w:spacing w:before="240" w:line="60" w:lineRule="auto"/>
              <w:jc w:val="center"/>
              <w:rPr>
                <w:rFonts w:ascii="仿宋" w:hAnsi="仿宋" w:eastAsia="仿宋"/>
                <w:sz w:val="22"/>
              </w:rPr>
            </w:pPr>
            <w:r>
              <w:rPr>
                <w:rFonts w:hint="eastAsia" w:ascii="仿宋" w:hAnsi="仿宋" w:eastAsia="仿宋"/>
                <w:sz w:val="22"/>
              </w:rPr>
              <w:t>服务项</w:t>
            </w:r>
          </w:p>
        </w:tc>
        <w:tc>
          <w:tcPr>
            <w:tcW w:w="2871" w:type="dxa"/>
          </w:tcPr>
          <w:p w14:paraId="0F7C39A0">
            <w:pPr>
              <w:snapToGrid w:val="0"/>
              <w:spacing w:before="240" w:line="60" w:lineRule="auto"/>
              <w:jc w:val="center"/>
              <w:rPr>
                <w:rFonts w:ascii="仿宋" w:hAnsi="仿宋" w:eastAsia="仿宋"/>
                <w:sz w:val="22"/>
              </w:rPr>
            </w:pPr>
            <w:r>
              <w:rPr>
                <w:rFonts w:hint="eastAsia" w:ascii="仿宋" w:hAnsi="仿宋" w:eastAsia="仿宋"/>
                <w:sz w:val="22"/>
              </w:rPr>
              <w:t>数量及</w:t>
            </w:r>
          </w:p>
          <w:p w14:paraId="5BFEBE79">
            <w:pPr>
              <w:snapToGrid w:val="0"/>
              <w:spacing w:before="240" w:line="60" w:lineRule="auto"/>
              <w:jc w:val="center"/>
              <w:rPr>
                <w:rFonts w:ascii="仿宋" w:hAnsi="仿宋" w:eastAsia="仿宋"/>
                <w:sz w:val="22"/>
              </w:rPr>
            </w:pPr>
            <w:r>
              <w:rPr>
                <w:rFonts w:hint="eastAsia" w:ascii="仿宋" w:hAnsi="仿宋" w:eastAsia="仿宋"/>
                <w:sz w:val="22"/>
              </w:rPr>
              <w:t>单位</w:t>
            </w:r>
          </w:p>
        </w:tc>
      </w:tr>
      <w:tr w14:paraId="45B0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93" w:type="dxa"/>
            <w:vMerge w:val="restart"/>
            <w:vAlign w:val="center"/>
          </w:tcPr>
          <w:p w14:paraId="3FFB6FE0">
            <w:pPr>
              <w:snapToGrid w:val="0"/>
              <w:spacing w:before="240"/>
              <w:jc w:val="center"/>
              <w:rPr>
                <w:rFonts w:ascii="仿宋" w:hAnsi="仿宋" w:eastAsia="仿宋"/>
                <w:sz w:val="22"/>
              </w:rPr>
            </w:pPr>
            <w:r>
              <w:rPr>
                <w:rFonts w:hint="eastAsia" w:ascii="仿宋" w:hAnsi="仿宋" w:eastAsia="仿宋"/>
                <w:sz w:val="22"/>
              </w:rPr>
              <w:t>1</w:t>
            </w:r>
          </w:p>
          <w:p w14:paraId="5B9A25CE">
            <w:pPr>
              <w:snapToGrid w:val="0"/>
              <w:spacing w:before="240"/>
              <w:jc w:val="center"/>
              <w:rPr>
                <w:rFonts w:ascii="仿宋" w:hAnsi="仿宋" w:eastAsia="仿宋"/>
                <w:sz w:val="22"/>
              </w:rPr>
            </w:pPr>
          </w:p>
        </w:tc>
        <w:tc>
          <w:tcPr>
            <w:tcW w:w="1203" w:type="dxa"/>
            <w:vMerge w:val="restart"/>
          </w:tcPr>
          <w:p w14:paraId="75AA1844">
            <w:pPr>
              <w:snapToGrid w:val="0"/>
              <w:spacing w:before="240"/>
              <w:jc w:val="center"/>
              <w:rPr>
                <w:rFonts w:ascii="仿宋" w:hAnsi="仿宋" w:eastAsia="仿宋"/>
                <w:sz w:val="22"/>
              </w:rPr>
            </w:pPr>
            <w:r>
              <w:rPr>
                <w:rFonts w:hint="eastAsia"/>
                <w:bCs/>
                <w:szCs w:val="21"/>
              </w:rPr>
              <w:t>北京物资学院2025年-2028年校园网络接入服务采购项目</w:t>
            </w:r>
          </w:p>
        </w:tc>
        <w:tc>
          <w:tcPr>
            <w:tcW w:w="3571" w:type="dxa"/>
          </w:tcPr>
          <w:p w14:paraId="1E3DDEE9">
            <w:pPr>
              <w:snapToGrid w:val="0"/>
              <w:spacing w:before="240"/>
              <w:jc w:val="center"/>
              <w:rPr>
                <w:rFonts w:ascii="仿宋" w:hAnsi="仿宋" w:eastAsia="仿宋"/>
                <w:sz w:val="22"/>
              </w:rPr>
            </w:pPr>
            <w:r>
              <w:rPr>
                <w:rFonts w:hint="eastAsia" w:ascii="仿宋" w:hAnsi="仿宋" w:eastAsia="仿宋"/>
                <w:sz w:val="22"/>
              </w:rPr>
              <w:t>互联网接入带宽</w:t>
            </w:r>
          </w:p>
        </w:tc>
        <w:tc>
          <w:tcPr>
            <w:tcW w:w="2871" w:type="dxa"/>
          </w:tcPr>
          <w:p w14:paraId="6EA0E630">
            <w:pPr>
              <w:snapToGrid w:val="0"/>
              <w:spacing w:before="240"/>
              <w:jc w:val="center"/>
              <w:rPr>
                <w:rFonts w:ascii="仿宋" w:hAnsi="仿宋" w:eastAsia="仿宋"/>
                <w:sz w:val="22"/>
              </w:rPr>
            </w:pPr>
            <w:r>
              <w:rPr>
                <w:rFonts w:hint="eastAsia" w:ascii="仿宋" w:hAnsi="仿宋" w:eastAsia="仿宋"/>
                <w:sz w:val="22"/>
              </w:rPr>
              <w:t>（8Gbps、双路由（保持现有互联网出口IPv4、IPv6地址不变））</w:t>
            </w:r>
          </w:p>
        </w:tc>
      </w:tr>
      <w:tr w14:paraId="2FCF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93" w:type="dxa"/>
            <w:vMerge w:val="continue"/>
          </w:tcPr>
          <w:p w14:paraId="7573CEB2">
            <w:pPr>
              <w:snapToGrid w:val="0"/>
              <w:spacing w:before="240"/>
              <w:jc w:val="center"/>
              <w:rPr>
                <w:rFonts w:ascii="仿宋" w:hAnsi="仿宋" w:eastAsia="仿宋"/>
                <w:sz w:val="22"/>
              </w:rPr>
            </w:pPr>
          </w:p>
        </w:tc>
        <w:tc>
          <w:tcPr>
            <w:tcW w:w="1203" w:type="dxa"/>
            <w:vMerge w:val="continue"/>
          </w:tcPr>
          <w:p w14:paraId="6B2B21FB">
            <w:pPr>
              <w:snapToGrid w:val="0"/>
              <w:spacing w:before="240"/>
              <w:jc w:val="center"/>
              <w:rPr>
                <w:rFonts w:ascii="仿宋" w:hAnsi="仿宋" w:eastAsia="仿宋"/>
                <w:sz w:val="22"/>
              </w:rPr>
            </w:pPr>
          </w:p>
        </w:tc>
        <w:tc>
          <w:tcPr>
            <w:tcW w:w="3571" w:type="dxa"/>
          </w:tcPr>
          <w:p w14:paraId="465391CE">
            <w:pPr>
              <w:snapToGrid w:val="0"/>
              <w:spacing w:before="240"/>
              <w:jc w:val="left"/>
              <w:rPr>
                <w:rFonts w:ascii="仿宋" w:hAnsi="仿宋" w:eastAsia="仿宋"/>
                <w:sz w:val="22"/>
              </w:rPr>
            </w:pPr>
            <w:r>
              <w:rPr>
                <w:rFonts w:hint="eastAsia" w:ascii="仿宋" w:hAnsi="仿宋" w:eastAsia="仿宋"/>
                <w:sz w:val="22"/>
              </w:rPr>
              <w:t>1号、2号、3号、4号、5号、6号、10号、11号、12号、20号生宿舍区域、右安门校区、物流示范中心、第一教学楼有线网、校本部部分室外区域无线网络服务</w:t>
            </w:r>
          </w:p>
        </w:tc>
        <w:tc>
          <w:tcPr>
            <w:tcW w:w="2871" w:type="dxa"/>
          </w:tcPr>
          <w:p w14:paraId="69088B64">
            <w:pPr>
              <w:snapToGrid w:val="0"/>
              <w:spacing w:before="240"/>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1套（所列设备在合同期内由中标人提供给采购人使用。合同期结束后由</w:t>
            </w:r>
            <w:r>
              <w:rPr>
                <w:rFonts w:hint="eastAsia" w:ascii="仿宋" w:hAnsi="仿宋" w:eastAsia="仿宋"/>
                <w:color w:val="000000" w:themeColor="text1"/>
                <w:sz w:val="22"/>
                <w:lang w:val="en-US" w:eastAsia="zh-CN"/>
                <w14:textFill>
                  <w14:solidFill>
                    <w14:schemeClr w14:val="tx1"/>
                  </w14:solidFill>
                </w14:textFill>
              </w:rPr>
              <w:t>中标</w:t>
            </w:r>
            <w:r>
              <w:rPr>
                <w:rFonts w:hint="eastAsia" w:ascii="仿宋" w:hAnsi="仿宋" w:eastAsia="仿宋"/>
                <w:color w:val="000000" w:themeColor="text1"/>
                <w:sz w:val="22"/>
                <w14:textFill>
                  <w14:solidFill>
                    <w14:schemeClr w14:val="tx1"/>
                  </w14:solidFill>
                </w14:textFill>
              </w:rPr>
              <w:t>人收回）</w:t>
            </w:r>
          </w:p>
        </w:tc>
      </w:tr>
      <w:tr w14:paraId="3983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93" w:type="dxa"/>
            <w:vMerge w:val="continue"/>
          </w:tcPr>
          <w:p w14:paraId="6849A7CC">
            <w:pPr>
              <w:snapToGrid w:val="0"/>
              <w:spacing w:before="240"/>
              <w:jc w:val="center"/>
              <w:rPr>
                <w:rFonts w:ascii="仿宋" w:hAnsi="仿宋" w:eastAsia="仿宋"/>
                <w:sz w:val="22"/>
              </w:rPr>
            </w:pPr>
          </w:p>
        </w:tc>
        <w:tc>
          <w:tcPr>
            <w:tcW w:w="1203" w:type="dxa"/>
            <w:vMerge w:val="continue"/>
          </w:tcPr>
          <w:p w14:paraId="3ACB2200">
            <w:pPr>
              <w:snapToGrid w:val="0"/>
              <w:spacing w:before="240"/>
              <w:jc w:val="center"/>
              <w:rPr>
                <w:rFonts w:ascii="仿宋" w:hAnsi="仿宋" w:eastAsia="仿宋"/>
                <w:sz w:val="22"/>
              </w:rPr>
            </w:pPr>
          </w:p>
        </w:tc>
        <w:tc>
          <w:tcPr>
            <w:tcW w:w="3571" w:type="dxa"/>
          </w:tcPr>
          <w:p w14:paraId="6155FFE2">
            <w:pPr>
              <w:snapToGrid w:val="0"/>
              <w:spacing w:before="240"/>
              <w:jc w:val="left"/>
              <w:rPr>
                <w:rFonts w:ascii="仿宋" w:hAnsi="仿宋" w:eastAsia="仿宋"/>
                <w:sz w:val="22"/>
              </w:rPr>
            </w:pPr>
            <w:r>
              <w:rPr>
                <w:rFonts w:hint="eastAsia" w:ascii="仿宋" w:hAnsi="仿宋" w:eastAsia="仿宋"/>
                <w:sz w:val="22"/>
              </w:rPr>
              <w:t>第一教学楼、第二教学楼、图书馆、科研楼、人文楼、崇德楼、行知楼、8号学生公寓无线网络服务</w:t>
            </w:r>
          </w:p>
        </w:tc>
        <w:tc>
          <w:tcPr>
            <w:tcW w:w="2871" w:type="dxa"/>
          </w:tcPr>
          <w:p w14:paraId="4C6ADC20">
            <w:pPr>
              <w:snapToGrid w:val="0"/>
              <w:spacing w:before="240"/>
              <w:jc w:val="center"/>
              <w:rPr>
                <w:rFonts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1套（所列设备在合同期内由中标人提供给采购人使用。合同期结束后由</w:t>
            </w:r>
            <w:r>
              <w:rPr>
                <w:rFonts w:hint="eastAsia" w:ascii="仿宋" w:hAnsi="仿宋" w:eastAsia="仿宋"/>
                <w:color w:val="000000" w:themeColor="text1"/>
                <w:sz w:val="22"/>
                <w:lang w:val="en-US" w:eastAsia="zh-CN"/>
                <w14:textFill>
                  <w14:solidFill>
                    <w14:schemeClr w14:val="tx1"/>
                  </w14:solidFill>
                </w14:textFill>
              </w:rPr>
              <w:t>中标</w:t>
            </w:r>
            <w:r>
              <w:rPr>
                <w:rFonts w:hint="eastAsia" w:ascii="仿宋" w:hAnsi="仿宋" w:eastAsia="仿宋"/>
                <w:color w:val="000000" w:themeColor="text1"/>
                <w:sz w:val="22"/>
                <w14:textFill>
                  <w14:solidFill>
                    <w14:schemeClr w14:val="tx1"/>
                  </w14:solidFill>
                </w14:textFill>
              </w:rPr>
              <w:t>人收回）</w:t>
            </w:r>
          </w:p>
        </w:tc>
      </w:tr>
    </w:tbl>
    <w:p w14:paraId="40E8B2F1">
      <w:pPr>
        <w:rPr>
          <w:b/>
          <w:bCs/>
        </w:rPr>
      </w:pPr>
    </w:p>
    <w:p w14:paraId="2CEDE324">
      <w:pPr>
        <w:pStyle w:val="17"/>
        <w:outlineLvl w:val="2"/>
      </w:pPr>
      <w:r>
        <w:rPr>
          <w:rFonts w:hint="eastAsia"/>
          <w:b/>
          <w:bCs/>
        </w:rPr>
        <w:t xml:space="preserve">2.1.1产品功能及相关技术规格   </w:t>
      </w:r>
      <w:r>
        <w:rPr>
          <w:rFonts w:hint="eastAsia" w:ascii="仿宋" w:hAnsi="仿宋" w:eastAsia="仿宋"/>
          <w:sz w:val="22"/>
        </w:rPr>
        <w:t xml:space="preserve">   </w:t>
      </w:r>
    </w:p>
    <w:tbl>
      <w:tblPr>
        <w:tblStyle w:val="42"/>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05"/>
        <w:gridCol w:w="1125"/>
        <w:gridCol w:w="7526"/>
      </w:tblGrid>
      <w:tr w14:paraId="0D1D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45" w:type="dxa"/>
            <w:vAlign w:val="center"/>
          </w:tcPr>
          <w:p w14:paraId="4747D352">
            <w:pPr>
              <w:snapToGrid w:val="0"/>
              <w:jc w:val="center"/>
              <w:rPr>
                <w:rFonts w:ascii="仿宋" w:hAnsi="仿宋" w:eastAsia="仿宋"/>
                <w:b/>
                <w:bCs/>
                <w:sz w:val="24"/>
              </w:rPr>
            </w:pPr>
            <w:r>
              <w:rPr>
                <w:rFonts w:hint="eastAsia" w:ascii="仿宋" w:hAnsi="仿宋" w:eastAsia="仿宋"/>
                <w:b/>
                <w:bCs/>
                <w:sz w:val="24"/>
              </w:rPr>
              <w:t>序号</w:t>
            </w:r>
          </w:p>
        </w:tc>
        <w:tc>
          <w:tcPr>
            <w:tcW w:w="1005" w:type="dxa"/>
            <w:vAlign w:val="center"/>
          </w:tcPr>
          <w:p w14:paraId="5CA76192">
            <w:pPr>
              <w:snapToGrid w:val="0"/>
              <w:jc w:val="center"/>
              <w:rPr>
                <w:rFonts w:ascii="仿宋" w:hAnsi="仿宋" w:eastAsia="仿宋"/>
                <w:b/>
                <w:bCs/>
                <w:sz w:val="24"/>
              </w:rPr>
            </w:pPr>
            <w:r>
              <w:rPr>
                <w:rFonts w:hint="eastAsia" w:ascii="仿宋" w:hAnsi="仿宋" w:eastAsia="仿宋"/>
                <w:b/>
                <w:bCs/>
                <w:sz w:val="24"/>
              </w:rPr>
              <w:t>名称</w:t>
            </w:r>
          </w:p>
        </w:tc>
        <w:tc>
          <w:tcPr>
            <w:tcW w:w="1125" w:type="dxa"/>
            <w:vAlign w:val="center"/>
          </w:tcPr>
          <w:p w14:paraId="5891667A">
            <w:pPr>
              <w:snapToGrid w:val="0"/>
              <w:jc w:val="center"/>
              <w:rPr>
                <w:rFonts w:ascii="仿宋" w:hAnsi="仿宋" w:eastAsia="仿宋"/>
                <w:b/>
                <w:bCs/>
                <w:sz w:val="24"/>
              </w:rPr>
            </w:pPr>
            <w:r>
              <w:rPr>
                <w:rFonts w:hint="eastAsia" w:ascii="仿宋" w:hAnsi="仿宋" w:eastAsia="仿宋"/>
                <w:b/>
                <w:bCs/>
                <w:sz w:val="24"/>
              </w:rPr>
              <w:t>数量及单位</w:t>
            </w:r>
          </w:p>
        </w:tc>
        <w:tc>
          <w:tcPr>
            <w:tcW w:w="7526" w:type="dxa"/>
            <w:vAlign w:val="center"/>
          </w:tcPr>
          <w:p w14:paraId="48AC9B32">
            <w:pPr>
              <w:snapToGrid w:val="0"/>
              <w:jc w:val="center"/>
              <w:rPr>
                <w:rFonts w:ascii="仿宋" w:hAnsi="仿宋" w:eastAsia="仿宋"/>
                <w:b/>
                <w:bCs/>
                <w:sz w:val="24"/>
              </w:rPr>
            </w:pPr>
            <w:r>
              <w:rPr>
                <w:rFonts w:hint="eastAsia" w:ascii="仿宋" w:hAnsi="仿宋" w:eastAsia="仿宋"/>
                <w:b/>
                <w:bCs/>
                <w:sz w:val="24"/>
              </w:rPr>
              <w:t>技 术 规 格</w:t>
            </w:r>
          </w:p>
        </w:tc>
      </w:tr>
      <w:tr w14:paraId="1FE2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2" w:hRule="atLeast"/>
          <w:jc w:val="center"/>
        </w:trPr>
        <w:tc>
          <w:tcPr>
            <w:tcW w:w="645" w:type="dxa"/>
            <w:vAlign w:val="center"/>
          </w:tcPr>
          <w:p w14:paraId="50CB7875">
            <w:pPr>
              <w:snapToGrid w:val="0"/>
              <w:spacing w:before="240"/>
              <w:jc w:val="center"/>
              <w:rPr>
                <w:rFonts w:ascii="仿宋" w:hAnsi="仿宋" w:eastAsia="仿宋"/>
                <w:b/>
                <w:bCs/>
                <w:sz w:val="22"/>
              </w:rPr>
            </w:pPr>
            <w:r>
              <w:rPr>
                <w:rFonts w:ascii="仿宋" w:hAnsi="仿宋" w:eastAsia="仿宋"/>
                <w:b/>
                <w:bCs/>
                <w:sz w:val="22"/>
              </w:rPr>
              <w:t>1</w:t>
            </w:r>
          </w:p>
        </w:tc>
        <w:tc>
          <w:tcPr>
            <w:tcW w:w="1005" w:type="dxa"/>
            <w:vAlign w:val="center"/>
          </w:tcPr>
          <w:p w14:paraId="51F5D793">
            <w:pPr>
              <w:snapToGrid w:val="0"/>
              <w:spacing w:before="240"/>
              <w:jc w:val="center"/>
              <w:rPr>
                <w:rFonts w:ascii="仿宋" w:hAnsi="仿宋" w:eastAsia="仿宋"/>
                <w:b/>
                <w:bCs/>
                <w:sz w:val="22"/>
              </w:rPr>
            </w:pPr>
            <w:r>
              <w:rPr>
                <w:rFonts w:hint="eastAsia" w:ascii="仿宋" w:hAnsi="仿宋" w:eastAsia="仿宋"/>
                <w:b/>
                <w:bCs/>
                <w:sz w:val="22"/>
              </w:rPr>
              <w:t>互联网接入带宽</w:t>
            </w:r>
          </w:p>
        </w:tc>
        <w:tc>
          <w:tcPr>
            <w:tcW w:w="1125" w:type="dxa"/>
            <w:vAlign w:val="center"/>
          </w:tcPr>
          <w:p w14:paraId="1E41E25A">
            <w:pPr>
              <w:snapToGrid w:val="0"/>
              <w:spacing w:before="240"/>
              <w:jc w:val="center"/>
              <w:rPr>
                <w:rFonts w:ascii="仿宋" w:hAnsi="仿宋" w:eastAsia="仿宋"/>
                <w:sz w:val="22"/>
              </w:rPr>
            </w:pPr>
            <w:r>
              <w:rPr>
                <w:rFonts w:hint="eastAsia" w:ascii="仿宋" w:hAnsi="仿宋" w:eastAsia="仿宋"/>
                <w:sz w:val="22"/>
              </w:rPr>
              <w:t>8</w:t>
            </w:r>
            <w:r>
              <w:rPr>
                <w:rFonts w:ascii="仿宋" w:hAnsi="仿宋" w:eastAsia="仿宋"/>
                <w:sz w:val="22"/>
              </w:rPr>
              <w:t>Gbps</w:t>
            </w:r>
          </w:p>
        </w:tc>
        <w:tc>
          <w:tcPr>
            <w:tcW w:w="7526" w:type="dxa"/>
            <w:vAlign w:val="center"/>
          </w:tcPr>
          <w:p w14:paraId="4B5B1CF3">
            <w:pPr>
              <w:snapToGrid w:val="0"/>
              <w:rPr>
                <w:rFonts w:ascii="仿宋" w:hAnsi="仿宋" w:eastAsia="仿宋"/>
                <w:b/>
                <w:bCs/>
                <w:sz w:val="22"/>
              </w:rPr>
            </w:pPr>
            <w:r>
              <w:rPr>
                <w:rFonts w:ascii="仿宋" w:hAnsi="仿宋" w:eastAsia="仿宋"/>
                <w:b/>
                <w:bCs/>
                <w:sz w:val="22"/>
              </w:rPr>
              <w:t>带宽质量</w:t>
            </w:r>
            <w:r>
              <w:rPr>
                <w:rFonts w:hint="eastAsia" w:ascii="仿宋" w:hAnsi="仿宋" w:eastAsia="仿宋"/>
                <w:b/>
                <w:bCs/>
                <w:sz w:val="22"/>
              </w:rPr>
              <w:t>：</w:t>
            </w:r>
          </w:p>
          <w:p w14:paraId="328AA89C">
            <w:pPr>
              <w:numPr>
                <w:ilvl w:val="0"/>
                <w:numId w:val="10"/>
              </w:numPr>
              <w:snapToGrid w:val="0"/>
              <w:rPr>
                <w:rFonts w:ascii="仿宋" w:hAnsi="仿宋" w:eastAsia="仿宋"/>
                <w:sz w:val="22"/>
              </w:rPr>
            </w:pPr>
            <w:r>
              <w:rPr>
                <w:rFonts w:hint="eastAsia" w:ascii="仿宋" w:hAnsi="仿宋" w:eastAsia="仿宋"/>
                <w:sz w:val="22"/>
              </w:rPr>
              <w:t>互联网接入带宽≥8Gbps。要求提供独享带宽，不得与其他用户共享线路和带宽资源。（CERNET带宽除外）确保双线路路由。</w:t>
            </w:r>
          </w:p>
          <w:p w14:paraId="50FFCA09">
            <w:pPr>
              <w:numPr>
                <w:ilvl w:val="0"/>
                <w:numId w:val="10"/>
              </w:numPr>
              <w:snapToGrid w:val="0"/>
              <w:rPr>
                <w:rFonts w:ascii="仿宋" w:hAnsi="仿宋" w:eastAsia="仿宋"/>
                <w:sz w:val="22"/>
              </w:rPr>
            </w:pPr>
            <w:r>
              <w:rPr>
                <w:rFonts w:hint="eastAsia" w:ascii="仿宋" w:hAnsi="仿宋" w:eastAsia="仿宋"/>
                <w:sz w:val="22"/>
              </w:rPr>
              <w:t>当连续3个自然日，出口带宽峰值占用率≥80%时，必须免费增加带宽直至出口带宽峰值占用率&lt;80%。</w:t>
            </w:r>
          </w:p>
          <w:p w14:paraId="37B487CD">
            <w:pPr>
              <w:numPr>
                <w:ilvl w:val="0"/>
                <w:numId w:val="10"/>
              </w:numPr>
              <w:snapToGrid w:val="0"/>
              <w:rPr>
                <w:rFonts w:ascii="仿宋" w:hAnsi="仿宋" w:eastAsia="仿宋"/>
                <w:sz w:val="22"/>
              </w:rPr>
            </w:pPr>
            <w:r>
              <w:rPr>
                <w:rFonts w:hint="eastAsia" w:ascii="仿宋" w:hAnsi="仿宋" w:eastAsia="仿宋"/>
                <w:sz w:val="22"/>
              </w:rPr>
              <w:t>要求提供合法的互联网IP地址（IPv4、IPv6地址），IPv4地址数量≥256个，不接受NAT转换的地址；保持现有互联网IP地址不变，包括IPv4及IPv6地址不变。</w:t>
            </w:r>
          </w:p>
          <w:p w14:paraId="647C31AE">
            <w:pPr>
              <w:numPr>
                <w:ilvl w:val="0"/>
                <w:numId w:val="10"/>
              </w:numPr>
              <w:snapToGrid w:val="0"/>
              <w:rPr>
                <w:rFonts w:ascii="仿宋" w:hAnsi="仿宋" w:eastAsia="仿宋"/>
                <w:sz w:val="22"/>
              </w:rPr>
            </w:pPr>
            <w:r>
              <w:rPr>
                <w:rFonts w:hint="eastAsia" w:ascii="仿宋" w:hAnsi="仿宋" w:eastAsia="仿宋"/>
                <w:sz w:val="22"/>
              </w:rPr>
              <w:t>出口带宽要求线路状态稳定、速度达到标称，要求运营商带宽通过学校流量压力测试，保证质量。</w:t>
            </w:r>
          </w:p>
          <w:p w14:paraId="7C9CB60B">
            <w:pPr>
              <w:snapToGrid w:val="0"/>
              <w:rPr>
                <w:rFonts w:ascii="仿宋" w:hAnsi="仿宋" w:eastAsia="仿宋"/>
                <w:sz w:val="22"/>
              </w:rPr>
            </w:pPr>
            <w:r>
              <w:rPr>
                <w:rFonts w:hint="eastAsia" w:ascii="仿宋" w:hAnsi="仿宋" w:eastAsia="仿宋"/>
                <w:sz w:val="22"/>
              </w:rPr>
              <w:t>5、全年可用性不低于99.95%。</w:t>
            </w:r>
          </w:p>
          <w:p w14:paraId="1BA061CE">
            <w:pPr>
              <w:snapToGrid w:val="0"/>
              <w:rPr>
                <w:rFonts w:ascii="仿宋" w:hAnsi="仿宋" w:eastAsia="仿宋"/>
                <w:sz w:val="22"/>
              </w:rPr>
            </w:pPr>
            <w:r>
              <w:rPr>
                <w:rFonts w:hint="eastAsia" w:ascii="仿宋" w:hAnsi="仿宋" w:eastAsia="仿宋"/>
                <w:sz w:val="22"/>
              </w:rPr>
              <w:t>6、从学校出口设备到北京联通、北京电信、北京移动以及二级运营商骨干节点延迟≤20ms。</w:t>
            </w:r>
          </w:p>
          <w:p w14:paraId="513438A6">
            <w:pPr>
              <w:snapToGrid w:val="0"/>
              <w:rPr>
                <w:rFonts w:ascii="仿宋" w:hAnsi="仿宋" w:eastAsia="仿宋"/>
                <w:sz w:val="22"/>
              </w:rPr>
            </w:pPr>
            <w:r>
              <w:rPr>
                <w:rFonts w:hint="eastAsia" w:ascii="仿宋" w:hAnsi="仿宋" w:eastAsia="仿宋"/>
                <w:sz w:val="22"/>
              </w:rPr>
              <w:t>7、从学校出口设备到北京联通、北京电信、北京移动以及二级运营商骨干节点的抖动≤20ms。</w:t>
            </w:r>
          </w:p>
          <w:p w14:paraId="198672AB">
            <w:pPr>
              <w:snapToGrid w:val="0"/>
              <w:rPr>
                <w:rFonts w:ascii="仿宋" w:hAnsi="仿宋" w:eastAsia="仿宋"/>
                <w:sz w:val="22"/>
              </w:rPr>
            </w:pPr>
            <w:r>
              <w:rPr>
                <w:rFonts w:hint="eastAsia" w:ascii="仿宋" w:hAnsi="仿宋" w:eastAsia="仿宋"/>
                <w:sz w:val="22"/>
              </w:rPr>
              <w:t>8、从学校到北京联通、北京电信、北京移动以及二级运营商骨干节点丢包率（</w:t>
            </w:r>
            <w:r>
              <w:rPr>
                <w:rFonts w:ascii="仿宋" w:hAnsi="仿宋" w:eastAsia="仿宋"/>
                <w:sz w:val="22"/>
              </w:rPr>
              <w:t>1000</w:t>
            </w:r>
            <w:r>
              <w:rPr>
                <w:rFonts w:hint="eastAsia" w:ascii="仿宋" w:hAnsi="仿宋" w:eastAsia="仿宋"/>
                <w:sz w:val="22"/>
              </w:rPr>
              <w:t>字节，100个包，不同时段20次的均值）≤0.5%。</w:t>
            </w:r>
          </w:p>
          <w:p w14:paraId="1BD15BD6">
            <w:pPr>
              <w:snapToGrid w:val="0"/>
              <w:rPr>
                <w:rFonts w:ascii="仿宋" w:hAnsi="仿宋" w:eastAsia="仿宋"/>
                <w:sz w:val="22"/>
              </w:rPr>
            </w:pPr>
            <w:r>
              <w:rPr>
                <w:rFonts w:hint="eastAsia" w:ascii="仿宋" w:hAnsi="仿宋" w:eastAsia="仿宋"/>
                <w:sz w:val="22"/>
              </w:rPr>
              <w:t>9、实现现有网络的平滑升级。</w:t>
            </w:r>
          </w:p>
          <w:p w14:paraId="5934FC72">
            <w:pPr>
              <w:snapToGrid w:val="0"/>
              <w:rPr>
                <w:rFonts w:ascii="仿宋" w:hAnsi="仿宋" w:eastAsia="仿宋"/>
                <w:sz w:val="22"/>
              </w:rPr>
            </w:pPr>
            <w:r>
              <w:rPr>
                <w:rFonts w:hint="eastAsia" w:ascii="仿宋" w:hAnsi="仿宋" w:eastAsia="仿宋"/>
                <w:sz w:val="22"/>
              </w:rPr>
              <w:t>10、全年累计网络中断时间不超过4小时。网络中断后能够在2小时内到达用户现场，在4小时内恢复网络。次日提供网络中断报告。</w:t>
            </w:r>
          </w:p>
          <w:p w14:paraId="327F0AFD">
            <w:pPr>
              <w:numPr>
                <w:ilvl w:val="0"/>
                <w:numId w:val="11"/>
              </w:numPr>
              <w:snapToGrid w:val="0"/>
              <w:rPr>
                <w:rFonts w:ascii="仿宋" w:hAnsi="仿宋" w:eastAsia="仿宋"/>
                <w:sz w:val="22"/>
              </w:rPr>
            </w:pPr>
            <w:r>
              <w:rPr>
                <w:rFonts w:hint="eastAsia" w:ascii="仿宋" w:hAnsi="仿宋" w:eastAsia="仿宋"/>
                <w:sz w:val="22"/>
              </w:rPr>
              <w:t>按照用户要求提供基本的带宽报告，能够区分多家运营商的网络流量。</w:t>
            </w:r>
          </w:p>
          <w:p w14:paraId="30703E3C">
            <w:pPr>
              <w:snapToGrid w:val="0"/>
              <w:rPr>
                <w:rFonts w:ascii="仿宋" w:hAnsi="仿宋" w:eastAsia="仿宋"/>
                <w:sz w:val="22"/>
              </w:rPr>
            </w:pPr>
            <w:r>
              <w:rPr>
                <w:rFonts w:hint="eastAsia" w:ascii="仿宋" w:hAnsi="仿宋" w:eastAsia="仿宋"/>
                <w:sz w:val="22"/>
              </w:rPr>
              <w:t>12、提供网络中断报警信息服务。</w:t>
            </w:r>
          </w:p>
        </w:tc>
      </w:tr>
      <w:tr w14:paraId="320A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4748EC7">
            <w:pPr>
              <w:snapToGrid w:val="0"/>
              <w:spacing w:before="240"/>
              <w:jc w:val="center"/>
              <w:rPr>
                <w:rFonts w:ascii="仿宋" w:hAnsi="仿宋" w:eastAsia="仿宋"/>
                <w:b/>
                <w:bCs/>
                <w:sz w:val="22"/>
              </w:rPr>
            </w:pPr>
            <w:r>
              <w:rPr>
                <w:rFonts w:ascii="仿宋" w:hAnsi="仿宋" w:eastAsia="仿宋"/>
                <w:b/>
                <w:bCs/>
                <w:sz w:val="22"/>
              </w:rPr>
              <w:t>2</w:t>
            </w:r>
          </w:p>
        </w:tc>
        <w:tc>
          <w:tcPr>
            <w:tcW w:w="1005" w:type="dxa"/>
            <w:tcBorders>
              <w:top w:val="single" w:color="auto" w:sz="4" w:space="0"/>
              <w:left w:val="single" w:color="auto" w:sz="4" w:space="0"/>
              <w:bottom w:val="single" w:color="auto" w:sz="4" w:space="0"/>
              <w:right w:val="single" w:color="auto" w:sz="4" w:space="0"/>
            </w:tcBorders>
            <w:vAlign w:val="center"/>
          </w:tcPr>
          <w:p w14:paraId="63AED6A4">
            <w:pPr>
              <w:snapToGrid w:val="0"/>
              <w:spacing w:before="240"/>
              <w:jc w:val="center"/>
              <w:rPr>
                <w:rFonts w:ascii="仿宋" w:hAnsi="仿宋" w:eastAsia="仿宋"/>
                <w:b/>
                <w:bCs/>
                <w:sz w:val="22"/>
              </w:rPr>
            </w:pPr>
            <w:r>
              <w:rPr>
                <w:rFonts w:hint="eastAsia" w:ascii="仿宋" w:hAnsi="仿宋" w:eastAsia="仿宋"/>
                <w:b/>
                <w:bCs/>
                <w:sz w:val="22"/>
              </w:rPr>
              <w:t>1号、2号、3号、4号、5号、6号、10号、11号、12号、20号生宿舍区域、右安门校区、物流示范中心、第一教学楼有线网、校本部部分室外区域无线网络</w:t>
            </w:r>
          </w:p>
        </w:tc>
        <w:tc>
          <w:tcPr>
            <w:tcW w:w="1125" w:type="dxa"/>
            <w:tcBorders>
              <w:top w:val="single" w:color="auto" w:sz="4" w:space="0"/>
              <w:left w:val="single" w:color="auto" w:sz="4" w:space="0"/>
              <w:bottom w:val="single" w:color="auto" w:sz="4" w:space="0"/>
              <w:right w:val="single" w:color="auto" w:sz="4" w:space="0"/>
            </w:tcBorders>
            <w:vAlign w:val="center"/>
          </w:tcPr>
          <w:p w14:paraId="6E35D140">
            <w:pPr>
              <w:snapToGrid w:val="0"/>
              <w:spacing w:before="240"/>
              <w:jc w:val="center"/>
              <w:rPr>
                <w:rFonts w:ascii="仿宋" w:hAnsi="仿宋" w:eastAsia="仿宋"/>
                <w:sz w:val="22"/>
              </w:rPr>
            </w:pPr>
            <w:r>
              <w:rPr>
                <w:rFonts w:hint="eastAsia" w:ascii="仿宋" w:hAnsi="仿宋" w:eastAsia="仿宋"/>
                <w:sz w:val="22"/>
              </w:rPr>
              <w:t>1套</w:t>
            </w:r>
          </w:p>
        </w:tc>
        <w:tc>
          <w:tcPr>
            <w:tcW w:w="7526" w:type="dxa"/>
            <w:tcBorders>
              <w:top w:val="single" w:color="auto" w:sz="4" w:space="0"/>
              <w:left w:val="single" w:color="auto" w:sz="4" w:space="0"/>
              <w:bottom w:val="single" w:color="auto" w:sz="4" w:space="0"/>
              <w:right w:val="single" w:color="auto" w:sz="4" w:space="0"/>
            </w:tcBorders>
            <w:vAlign w:val="center"/>
          </w:tcPr>
          <w:p w14:paraId="1196CCFD">
            <w:pPr>
              <w:snapToGrid w:val="0"/>
              <w:jc w:val="left"/>
              <w:rPr>
                <w:rFonts w:ascii="仿宋" w:hAnsi="仿宋" w:eastAsia="仿宋"/>
                <w:b/>
                <w:bCs/>
                <w:sz w:val="22"/>
                <w:szCs w:val="22"/>
              </w:rPr>
            </w:pPr>
            <w:r>
              <w:rPr>
                <w:rFonts w:hint="eastAsia" w:ascii="仿宋" w:hAnsi="仿宋" w:eastAsia="仿宋"/>
                <w:b/>
                <w:bCs/>
                <w:sz w:val="22"/>
                <w:szCs w:val="22"/>
              </w:rPr>
              <w:t>本项技术指标共</w:t>
            </w:r>
            <w:r>
              <w:rPr>
                <w:rFonts w:hint="eastAsia" w:ascii="仿宋" w:hAnsi="仿宋" w:eastAsia="仿宋"/>
                <w:b/>
                <w:bCs/>
                <w:sz w:val="22"/>
                <w:szCs w:val="22"/>
                <w:lang w:val="en-US" w:eastAsia="zh-CN"/>
              </w:rPr>
              <w:t>48</w:t>
            </w:r>
            <w:r>
              <w:rPr>
                <w:rFonts w:hint="eastAsia" w:ascii="仿宋" w:hAnsi="仿宋" w:eastAsia="仿宋"/>
                <w:b/>
                <w:bCs/>
                <w:sz w:val="22"/>
                <w:szCs w:val="22"/>
              </w:rPr>
              <w:t>项，其中“#” 号条款11项，“▲” 号条款</w:t>
            </w:r>
            <w:r>
              <w:rPr>
                <w:rFonts w:hint="eastAsia" w:ascii="仿宋" w:hAnsi="仿宋" w:eastAsia="仿宋"/>
                <w:b/>
                <w:bCs/>
                <w:sz w:val="22"/>
                <w:szCs w:val="22"/>
                <w:lang w:val="en-US" w:eastAsia="zh-CN"/>
              </w:rPr>
              <w:t>37</w:t>
            </w:r>
            <w:r>
              <w:rPr>
                <w:rFonts w:hint="eastAsia" w:ascii="仿宋" w:hAnsi="仿宋" w:eastAsia="仿宋"/>
                <w:b/>
                <w:bCs/>
                <w:sz w:val="22"/>
                <w:szCs w:val="22"/>
              </w:rPr>
              <w:t>项</w:t>
            </w:r>
          </w:p>
          <w:p w14:paraId="26CCE401">
            <w:pPr>
              <w:snapToGrid w:val="0"/>
              <w:jc w:val="left"/>
              <w:rPr>
                <w:rFonts w:ascii="仿宋" w:hAnsi="仿宋" w:eastAsia="仿宋"/>
                <w:b/>
                <w:bCs/>
                <w:sz w:val="22"/>
                <w:szCs w:val="22"/>
              </w:rPr>
            </w:pPr>
            <w:r>
              <w:rPr>
                <w:rFonts w:hint="eastAsia" w:ascii="仿宋" w:hAnsi="仿宋" w:eastAsia="仿宋"/>
                <w:b/>
                <w:bCs/>
                <w:sz w:val="22"/>
                <w:szCs w:val="22"/>
              </w:rPr>
              <w:t>1、宿舍汇聚交换机（4台）</w:t>
            </w:r>
          </w:p>
          <w:p w14:paraId="494356F2">
            <w:pPr>
              <w:snapToGrid w:val="0"/>
              <w:ind w:left="420" w:leftChars="200"/>
              <w:jc w:val="left"/>
              <w:rPr>
                <w:rFonts w:ascii="仿宋" w:hAnsi="仿宋" w:eastAsia="仿宋"/>
                <w:b/>
                <w:bCs/>
                <w:sz w:val="22"/>
                <w:szCs w:val="22"/>
              </w:rPr>
            </w:pPr>
            <w:r>
              <w:rPr>
                <w:rFonts w:hint="eastAsia" w:ascii="仿宋" w:hAnsi="仿宋" w:eastAsia="仿宋"/>
                <w:b/>
                <w:bCs/>
                <w:sz w:val="22"/>
                <w:szCs w:val="22"/>
              </w:rPr>
              <w:t>“#” 号条款：2 项</w:t>
            </w:r>
          </w:p>
          <w:p w14:paraId="6A71FAEE">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①支持硬件健康状态可视化，可监控风扇、电源、温度、板载电压（需提供检测报告）；</w:t>
            </w:r>
          </w:p>
          <w:p w14:paraId="11960EF2">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②支持故障隔离技术，可监测光模块故障并隔离（需提供检测报告）。</w:t>
            </w:r>
          </w:p>
          <w:p w14:paraId="665853E7">
            <w:pPr>
              <w:snapToGrid w:val="0"/>
              <w:ind w:left="420" w:leftChars="200"/>
              <w:jc w:val="left"/>
              <w:rPr>
                <w:rFonts w:ascii="仿宋" w:hAnsi="仿宋" w:eastAsia="仿宋"/>
                <w:sz w:val="22"/>
                <w:szCs w:val="22"/>
              </w:rPr>
            </w:pPr>
          </w:p>
          <w:p w14:paraId="4E30E6D2">
            <w:pPr>
              <w:snapToGrid w:val="0"/>
              <w:ind w:left="420" w:leftChars="200"/>
              <w:jc w:val="left"/>
              <w:rPr>
                <w:rFonts w:ascii="仿宋" w:hAnsi="仿宋" w:eastAsia="仿宋"/>
                <w:b/>
                <w:bCs/>
                <w:sz w:val="22"/>
                <w:szCs w:val="22"/>
              </w:rPr>
            </w:pPr>
            <w:r>
              <w:rPr>
                <w:rFonts w:hint="eastAsia" w:ascii="仿宋" w:hAnsi="仿宋" w:eastAsia="仿宋"/>
                <w:b/>
                <w:bCs/>
                <w:sz w:val="22"/>
                <w:szCs w:val="22"/>
              </w:rPr>
              <w:t>“▲” 号条款：</w:t>
            </w:r>
            <w:r>
              <w:rPr>
                <w:rFonts w:hint="eastAsia" w:ascii="仿宋" w:hAnsi="仿宋" w:eastAsia="仿宋"/>
                <w:b/>
                <w:bCs/>
                <w:sz w:val="22"/>
                <w:szCs w:val="22"/>
                <w:lang w:val="en-US" w:eastAsia="zh-CN"/>
              </w:rPr>
              <w:t>2</w:t>
            </w:r>
            <w:r>
              <w:rPr>
                <w:rFonts w:hint="eastAsia" w:ascii="仿宋" w:hAnsi="仿宋" w:eastAsia="仿宋"/>
                <w:b/>
                <w:bCs/>
                <w:sz w:val="22"/>
                <w:szCs w:val="22"/>
              </w:rPr>
              <w:t>项</w:t>
            </w:r>
          </w:p>
          <w:p w14:paraId="45A30087">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①包转发率≥570Mpps/1260Mpps，交换容量≥2.56T/23.04T；</w:t>
            </w:r>
          </w:p>
          <w:p w14:paraId="657F12A0">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②20 个 1G/10G SFP + 光口，≥4 个 10G/25G SFP28 光口，≥2 个 40G QSFP + 光口，实配 2 个模块化电源、2 个模块化风扇、2 个 40G 单模 10KM 光模块；</w:t>
            </w:r>
          </w:p>
          <w:p w14:paraId="422FFC90">
            <w:pPr>
              <w:snapToGrid w:val="0"/>
              <w:jc w:val="left"/>
              <w:rPr>
                <w:rFonts w:ascii="仿宋" w:hAnsi="仿宋" w:eastAsia="仿宋"/>
                <w:b/>
                <w:sz w:val="22"/>
                <w:szCs w:val="22"/>
              </w:rPr>
            </w:pPr>
            <w:r>
              <w:rPr>
                <w:rFonts w:hint="eastAsia" w:ascii="仿宋" w:hAnsi="仿宋" w:eastAsia="仿宋"/>
                <w:b/>
                <w:bCs/>
                <w:sz w:val="22"/>
                <w:szCs w:val="22"/>
              </w:rPr>
              <w:t>2、</w:t>
            </w:r>
            <w:r>
              <w:rPr>
                <w:rFonts w:ascii="仿宋" w:hAnsi="仿宋" w:eastAsia="仿宋"/>
                <w:b/>
                <w:bCs/>
                <w:sz w:val="22"/>
                <w:szCs w:val="22"/>
              </w:rPr>
              <w:t>智分+主机</w:t>
            </w:r>
            <w:r>
              <w:rPr>
                <w:rFonts w:hint="eastAsia" w:ascii="仿宋" w:hAnsi="仿宋" w:eastAsia="仿宋"/>
                <w:b/>
                <w:bCs/>
                <w:sz w:val="22"/>
                <w:szCs w:val="22"/>
              </w:rPr>
              <w:t>（40台主机+1801块千兆光模块+48块万兆单模10KM光模块+32块万兆多模0.3KM光模块）</w:t>
            </w:r>
          </w:p>
          <w:p w14:paraId="249EE001">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393A7006">
            <w:pPr>
              <w:snapToGrid w:val="0"/>
              <w:ind w:left="420" w:leftChars="200"/>
              <w:rPr>
                <w:rFonts w:ascii="仿宋" w:hAnsi="仿宋" w:eastAsia="仿宋"/>
                <w:b/>
                <w:sz w:val="22"/>
                <w:szCs w:val="22"/>
              </w:rPr>
            </w:pPr>
            <w:r>
              <w:rPr>
                <w:rFonts w:hint="eastAsia" w:ascii="仿宋" w:hAnsi="仿宋" w:eastAsia="仿宋"/>
                <w:b/>
                <w:sz w:val="22"/>
                <w:szCs w:val="22"/>
              </w:rPr>
              <w:t>“▲” 号条款：1 项</w:t>
            </w:r>
          </w:p>
          <w:p w14:paraId="19D66CEC">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①≥48个千兆下联光口，≥4个万兆SFP+上联光口，≥4个56V低压直流供电口；最大支持48个AP射频单元；实配双电源；</w:t>
            </w:r>
          </w:p>
          <w:p w14:paraId="015EEB32">
            <w:pPr>
              <w:numPr>
                <w:ilvl w:val="0"/>
                <w:numId w:val="12"/>
              </w:numPr>
              <w:snapToGrid w:val="0"/>
              <w:jc w:val="left"/>
              <w:rPr>
                <w:rFonts w:ascii="仿宋" w:hAnsi="仿宋" w:eastAsia="仿宋"/>
                <w:b/>
                <w:bCs/>
                <w:sz w:val="22"/>
                <w:szCs w:val="22"/>
              </w:rPr>
            </w:pPr>
            <w:r>
              <w:rPr>
                <w:rFonts w:ascii="仿宋" w:hAnsi="仿宋" w:eastAsia="仿宋"/>
                <w:b/>
                <w:bCs/>
                <w:sz w:val="22"/>
                <w:szCs w:val="22"/>
              </w:rPr>
              <w:t>微AP</w:t>
            </w:r>
            <w:r>
              <w:rPr>
                <w:rFonts w:hint="eastAsia" w:ascii="仿宋" w:hAnsi="仿宋" w:eastAsia="仿宋"/>
                <w:b/>
                <w:bCs/>
                <w:sz w:val="22"/>
                <w:szCs w:val="22"/>
              </w:rPr>
              <w:t>（1781台）：</w:t>
            </w:r>
          </w:p>
          <w:p w14:paraId="1223A984">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5726987D">
            <w:pPr>
              <w:snapToGrid w:val="0"/>
              <w:ind w:left="420" w:leftChars="200"/>
              <w:rPr>
                <w:rFonts w:ascii="仿宋" w:hAnsi="仿宋" w:eastAsia="仿宋"/>
                <w:b/>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3</w:t>
            </w:r>
            <w:r>
              <w:rPr>
                <w:rFonts w:hint="eastAsia" w:ascii="仿宋" w:hAnsi="仿宋" w:eastAsia="仿宋"/>
                <w:b/>
                <w:sz w:val="22"/>
                <w:szCs w:val="22"/>
              </w:rPr>
              <w:t>项</w:t>
            </w:r>
          </w:p>
          <w:p w14:paraId="495218D0">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①一个千兆光口上联接口，4个千兆以太网下联接口；</w:t>
            </w:r>
          </w:p>
          <w:p w14:paraId="74535015">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②内置天线，双路双频，支持802.11b/g/n/ax和802.11a/n/ac/ax同时工作；</w:t>
            </w:r>
          </w:p>
          <w:p w14:paraId="00617BF4">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③支持MU-MIMO，最大接入速度1.775Gbps；</w:t>
            </w:r>
          </w:p>
          <w:p w14:paraId="4647D750">
            <w:pPr>
              <w:numPr>
                <w:ilvl w:val="0"/>
                <w:numId w:val="12"/>
              </w:numPr>
              <w:snapToGrid w:val="0"/>
              <w:jc w:val="left"/>
              <w:rPr>
                <w:rFonts w:ascii="仿宋" w:hAnsi="仿宋" w:eastAsia="仿宋"/>
                <w:b/>
                <w:bCs/>
                <w:sz w:val="22"/>
                <w:szCs w:val="22"/>
              </w:rPr>
            </w:pPr>
            <w:r>
              <w:rPr>
                <w:rFonts w:hint="eastAsia" w:ascii="仿宋" w:hAnsi="仿宋" w:eastAsia="仿宋"/>
                <w:b/>
                <w:bCs/>
                <w:sz w:val="22"/>
                <w:szCs w:val="22"/>
              </w:rPr>
              <w:t>教一汇聚交换机（1台）：</w:t>
            </w:r>
          </w:p>
          <w:p w14:paraId="3D86BDA2">
            <w:pPr>
              <w:snapToGrid w:val="0"/>
              <w:ind w:left="420" w:leftChars="200"/>
              <w:rPr>
                <w:rFonts w:ascii="仿宋" w:hAnsi="仿宋" w:eastAsia="仿宋"/>
                <w:b/>
                <w:sz w:val="22"/>
                <w:szCs w:val="22"/>
              </w:rPr>
            </w:pPr>
            <w:r>
              <w:rPr>
                <w:rFonts w:hint="eastAsia" w:ascii="仿宋" w:hAnsi="仿宋" w:eastAsia="仿宋"/>
                <w:b/>
                <w:sz w:val="22"/>
                <w:szCs w:val="22"/>
              </w:rPr>
              <w:t>“#” 号条款：2项</w:t>
            </w:r>
          </w:p>
          <w:p w14:paraId="159FB1FF">
            <w:pPr>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①为保证IPv6的可部署性和应用性，所投交换机需具备IPv6</w:t>
            </w:r>
            <w:r>
              <w:rPr>
                <w:rFonts w:ascii="Calibri" w:hAnsi="Calibri" w:eastAsia="仿宋" w:cs="Calibri"/>
                <w:sz w:val="22"/>
                <w:szCs w:val="22"/>
              </w:rPr>
              <w:t> </w:t>
            </w:r>
            <w:r>
              <w:rPr>
                <w:rFonts w:hint="eastAsia" w:ascii="仿宋" w:hAnsi="仿宋" w:eastAsia="仿宋"/>
                <w:sz w:val="22"/>
                <w:szCs w:val="22"/>
              </w:rPr>
              <w:t>Ready</w:t>
            </w:r>
            <w:r>
              <w:rPr>
                <w:rFonts w:ascii="Calibri" w:hAnsi="Calibri" w:eastAsia="仿宋" w:cs="Calibri"/>
                <w:sz w:val="22"/>
                <w:szCs w:val="22"/>
              </w:rPr>
              <w:t> </w:t>
            </w:r>
            <w:r>
              <w:rPr>
                <w:rFonts w:hint="eastAsia" w:ascii="仿宋" w:hAnsi="仿宋" w:eastAsia="仿宋"/>
                <w:sz w:val="22"/>
                <w:szCs w:val="22"/>
              </w:rPr>
              <w:t>Phase2认证证书，提供证书复印件证明；</w:t>
            </w:r>
          </w:p>
          <w:p w14:paraId="51AA54C1">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②支持光口保护电路设计，用于监测光模块状态，一旦出现故障，可将故障模块隔离，确保不影响其它端口和整机的正常运行，更换模块后该端口也可马上恢复正常工作，提供官网截图证明；</w:t>
            </w:r>
          </w:p>
          <w:p w14:paraId="4AB1811F">
            <w:pPr>
              <w:snapToGrid w:val="0"/>
              <w:ind w:left="420" w:leftChars="200"/>
              <w:rPr>
                <w:rFonts w:ascii="仿宋" w:hAnsi="仿宋" w:eastAsia="仿宋"/>
                <w:b/>
                <w:sz w:val="22"/>
                <w:szCs w:val="22"/>
              </w:rPr>
            </w:pPr>
          </w:p>
          <w:p w14:paraId="46AE42BE">
            <w:pPr>
              <w:snapToGrid w:val="0"/>
              <w:ind w:left="420" w:leftChars="200"/>
              <w:rPr>
                <w:rFonts w:ascii="仿宋" w:hAnsi="仿宋" w:eastAsia="仿宋"/>
                <w:b/>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3</w:t>
            </w:r>
            <w:r>
              <w:rPr>
                <w:rFonts w:hint="eastAsia" w:ascii="仿宋" w:hAnsi="仿宋" w:eastAsia="仿宋"/>
                <w:b/>
                <w:sz w:val="22"/>
                <w:szCs w:val="22"/>
              </w:rPr>
              <w:t>项</w:t>
            </w:r>
          </w:p>
          <w:p w14:paraId="7AD32DFD">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①包转发率：10065Mpps/36763Mpps，交换容量：47.7Tbps/168Tbps；</w:t>
            </w:r>
          </w:p>
          <w:p w14:paraId="2EDDC1C6">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②支持2个引擎槽位并满配，支持3个业务拓展槽位并满配48口万兆光板卡；</w:t>
            </w:r>
          </w:p>
          <w:p w14:paraId="5B20998A">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③实配双电源，8块万兆单模10KM光模块；</w:t>
            </w:r>
          </w:p>
          <w:p w14:paraId="6E371254">
            <w:pPr>
              <w:numPr>
                <w:ilvl w:val="0"/>
                <w:numId w:val="10"/>
              </w:numPr>
              <w:snapToGrid w:val="0"/>
              <w:jc w:val="left"/>
              <w:rPr>
                <w:rFonts w:ascii="仿宋" w:hAnsi="仿宋" w:eastAsia="仿宋"/>
                <w:b/>
                <w:bCs/>
                <w:sz w:val="22"/>
                <w:szCs w:val="22"/>
              </w:rPr>
            </w:pPr>
            <w:r>
              <w:rPr>
                <w:rFonts w:ascii="仿宋" w:hAnsi="仿宋" w:eastAsia="仿宋"/>
                <w:b/>
                <w:bCs/>
                <w:sz w:val="22"/>
                <w:szCs w:val="22"/>
              </w:rPr>
              <w:t>教一入室POE交换机</w:t>
            </w:r>
            <w:r>
              <w:rPr>
                <w:rFonts w:hint="eastAsia" w:ascii="仿宋" w:hAnsi="仿宋" w:eastAsia="仿宋"/>
                <w:b/>
                <w:bCs/>
                <w:sz w:val="22"/>
                <w:szCs w:val="22"/>
              </w:rPr>
              <w:t>（80台）：</w:t>
            </w:r>
          </w:p>
          <w:p w14:paraId="3D86A369">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39A28077">
            <w:pPr>
              <w:snapToGrid w:val="0"/>
              <w:ind w:left="420" w:leftChars="200"/>
              <w:rPr>
                <w:rFonts w:ascii="仿宋" w:hAnsi="仿宋" w:eastAsia="仿宋"/>
                <w:b/>
                <w:bCs/>
                <w:sz w:val="22"/>
                <w:szCs w:val="22"/>
              </w:rPr>
            </w:pPr>
            <w:r>
              <w:rPr>
                <w:rFonts w:hint="eastAsia" w:ascii="仿宋" w:hAnsi="仿宋" w:eastAsia="仿宋"/>
                <w:b/>
                <w:sz w:val="22"/>
                <w:szCs w:val="22"/>
              </w:rPr>
              <w:t>“▲” 号条款：3 项</w:t>
            </w:r>
          </w:p>
          <w:p w14:paraId="0F3551DB">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①包转发率：61.5Mpps/106Mpps，交换容量：336Gbps/3.36Tbps；</w:t>
            </w:r>
          </w:p>
          <w:p w14:paraId="425AFB7A">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②支持16个10/100/1000M自适应电口，2个1G/2.5G自适应口，2个1G/10G</w:t>
            </w:r>
            <w:r>
              <w:rPr>
                <w:rFonts w:ascii="Calibri" w:hAnsi="Calibri" w:eastAsia="仿宋" w:cs="Calibri"/>
                <w:sz w:val="22"/>
                <w:szCs w:val="22"/>
              </w:rPr>
              <w:t> </w:t>
            </w:r>
            <w:r>
              <w:rPr>
                <w:rFonts w:hint="eastAsia" w:ascii="仿宋" w:hAnsi="仿宋" w:eastAsia="仿宋"/>
                <w:sz w:val="22"/>
                <w:szCs w:val="22"/>
              </w:rPr>
              <w:t>SFP+光口，并实配2块万兆单模10KM光模块；</w:t>
            </w:r>
          </w:p>
          <w:p w14:paraId="4107FBB7">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③固化单交流电源，无风扇，11口~14口(4个口GE)支持PoE远程供电，15口~18口(2个GE，2个口2.5G)支持POE/POE+供电，125W POE供电(最大支持8口POE满供或者4口POE+满供)；</w:t>
            </w:r>
          </w:p>
          <w:p w14:paraId="42B0EC25">
            <w:pPr>
              <w:numPr>
                <w:ilvl w:val="0"/>
                <w:numId w:val="10"/>
              </w:numPr>
              <w:snapToGrid w:val="0"/>
              <w:jc w:val="left"/>
              <w:rPr>
                <w:rFonts w:ascii="仿宋" w:hAnsi="仿宋" w:eastAsia="仿宋"/>
                <w:b/>
                <w:bCs/>
                <w:sz w:val="22"/>
                <w:szCs w:val="22"/>
              </w:rPr>
            </w:pPr>
            <w:r>
              <w:rPr>
                <w:rFonts w:ascii="仿宋" w:hAnsi="仿宋" w:eastAsia="仿宋"/>
                <w:b/>
                <w:bCs/>
                <w:sz w:val="22"/>
                <w:szCs w:val="22"/>
              </w:rPr>
              <w:t>无线控制器授权</w:t>
            </w:r>
            <w:r>
              <w:rPr>
                <w:rFonts w:hint="eastAsia" w:ascii="仿宋" w:hAnsi="仿宋" w:eastAsia="仿宋"/>
                <w:b/>
                <w:bCs/>
                <w:sz w:val="22"/>
                <w:szCs w:val="22"/>
              </w:rPr>
              <w:t>（3套）：</w:t>
            </w:r>
          </w:p>
          <w:p w14:paraId="112F5929">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490ADB61">
            <w:pPr>
              <w:snapToGrid w:val="0"/>
              <w:ind w:left="420" w:leftChars="200"/>
              <w:rPr>
                <w:rFonts w:ascii="仿宋" w:hAnsi="仿宋" w:eastAsia="仿宋"/>
                <w:b/>
                <w:sz w:val="22"/>
                <w:szCs w:val="22"/>
              </w:rPr>
            </w:pPr>
            <w:r>
              <w:rPr>
                <w:rFonts w:hint="eastAsia" w:ascii="仿宋" w:hAnsi="仿宋" w:eastAsia="仿宋"/>
                <w:b/>
                <w:sz w:val="22"/>
                <w:szCs w:val="22"/>
              </w:rPr>
              <w:t>“▲” 号条款：1项</w:t>
            </w:r>
          </w:p>
          <w:p w14:paraId="52A5451C">
            <w:pPr>
              <w:snapToGrid w:val="0"/>
              <w:ind w:left="420" w:leftChars="200"/>
              <w:rPr>
                <w:rFonts w:ascii="仿宋" w:hAnsi="仿宋" w:eastAsia="仿宋"/>
                <w:b/>
                <w:bCs/>
                <w:sz w:val="22"/>
                <w:szCs w:val="22"/>
              </w:rPr>
            </w:pPr>
            <w:r>
              <w:rPr>
                <w:rFonts w:hint="eastAsia" w:ascii="仿宋" w:hAnsi="仿宋" w:eastAsia="仿宋"/>
                <w:b/>
                <w:bCs/>
                <w:sz w:val="22"/>
                <w:szCs w:val="22"/>
              </w:rPr>
              <w:t>▲</w:t>
            </w:r>
            <w:r>
              <w:rPr>
                <w:rFonts w:hint="eastAsia" w:ascii="仿宋" w:hAnsi="仿宋" w:eastAsia="仿宋"/>
                <w:bCs/>
                <w:sz w:val="22"/>
                <w:szCs w:val="22"/>
              </w:rPr>
              <w:t>①</w:t>
            </w:r>
            <w:r>
              <w:rPr>
                <w:rFonts w:hint="eastAsia" w:ascii="仿宋" w:hAnsi="仿宋" w:eastAsia="仿宋"/>
                <w:sz w:val="22"/>
                <w:szCs w:val="22"/>
              </w:rPr>
              <w:t>无线控制器产品专用升级许可证License，每套可支持增加128个A</w:t>
            </w:r>
            <w:r>
              <w:rPr>
                <w:rFonts w:ascii="仿宋" w:hAnsi="仿宋" w:eastAsia="仿宋"/>
                <w:sz w:val="22"/>
                <w:szCs w:val="22"/>
              </w:rPr>
              <w:t>P授权</w:t>
            </w:r>
          </w:p>
          <w:p w14:paraId="00A17FB6">
            <w:pPr>
              <w:numPr>
                <w:ilvl w:val="0"/>
                <w:numId w:val="10"/>
              </w:numPr>
              <w:snapToGrid w:val="0"/>
              <w:jc w:val="left"/>
              <w:rPr>
                <w:rFonts w:ascii="仿宋" w:hAnsi="仿宋" w:eastAsia="仿宋"/>
                <w:b/>
                <w:bCs/>
                <w:sz w:val="22"/>
                <w:szCs w:val="22"/>
              </w:rPr>
            </w:pPr>
            <w:r>
              <w:rPr>
                <w:rFonts w:ascii="仿宋" w:hAnsi="仿宋" w:eastAsia="仿宋"/>
                <w:b/>
                <w:bCs/>
                <w:sz w:val="22"/>
                <w:szCs w:val="22"/>
              </w:rPr>
              <w:t>面板AP</w:t>
            </w:r>
            <w:r>
              <w:rPr>
                <w:rFonts w:hint="eastAsia" w:ascii="仿宋" w:hAnsi="仿宋" w:eastAsia="仿宋"/>
                <w:b/>
                <w:bCs/>
                <w:sz w:val="22"/>
                <w:szCs w:val="22"/>
              </w:rPr>
              <w:t>（46台）：</w:t>
            </w:r>
          </w:p>
          <w:p w14:paraId="72DD9283">
            <w:pPr>
              <w:snapToGrid w:val="0"/>
              <w:ind w:left="420" w:leftChars="200"/>
              <w:rPr>
                <w:rFonts w:ascii="仿宋" w:hAnsi="仿宋" w:eastAsia="仿宋"/>
                <w:b/>
                <w:sz w:val="22"/>
                <w:szCs w:val="22"/>
              </w:rPr>
            </w:pPr>
            <w:r>
              <w:rPr>
                <w:rFonts w:hint="eastAsia" w:ascii="仿宋" w:hAnsi="仿宋" w:eastAsia="仿宋"/>
                <w:b/>
                <w:sz w:val="22"/>
                <w:szCs w:val="22"/>
              </w:rPr>
              <w:t>“#” 号条款：2 项</w:t>
            </w:r>
          </w:p>
          <w:p w14:paraId="44886914">
            <w:pPr>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①整机功耗≤8W，提供官网截图证明；</w:t>
            </w:r>
          </w:p>
          <w:p w14:paraId="101BF3F3">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②考虑安装后的美观度，安装后突出墙面部分不得超过10mm（厚度），提供官网截图证明；</w:t>
            </w:r>
          </w:p>
          <w:p w14:paraId="7A2FD2C6">
            <w:pPr>
              <w:snapToGrid w:val="0"/>
              <w:ind w:left="420" w:leftChars="200"/>
              <w:rPr>
                <w:rFonts w:ascii="仿宋" w:hAnsi="仿宋" w:eastAsia="仿宋"/>
                <w:b/>
                <w:sz w:val="22"/>
                <w:szCs w:val="22"/>
              </w:rPr>
            </w:pPr>
          </w:p>
          <w:p w14:paraId="5264ACEA">
            <w:pPr>
              <w:snapToGrid w:val="0"/>
              <w:ind w:left="420" w:leftChars="200"/>
              <w:rPr>
                <w:rFonts w:ascii="仿宋" w:hAnsi="仿宋" w:eastAsia="仿宋"/>
                <w:b/>
                <w:bCs/>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3</w:t>
            </w:r>
            <w:r>
              <w:rPr>
                <w:rFonts w:hint="eastAsia" w:ascii="仿宋" w:hAnsi="仿宋" w:eastAsia="仿宋"/>
                <w:b/>
                <w:sz w:val="22"/>
                <w:szCs w:val="22"/>
              </w:rPr>
              <w:t>项</w:t>
            </w:r>
          </w:p>
          <w:p w14:paraId="05694257">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①802.11ax双路双频通用级超薄面板型无线接入点；</w:t>
            </w:r>
          </w:p>
          <w:p w14:paraId="2BE5D934">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②整机最大支持4条空间流，整机最高接入速率1.775Gbps；</w:t>
            </w:r>
          </w:p>
          <w:p w14:paraId="328729C2">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③至少支持1个1G以太网口上联，1个1G以太网口下联；</w:t>
            </w:r>
          </w:p>
          <w:p w14:paraId="02DDF1E1">
            <w:pPr>
              <w:numPr>
                <w:ilvl w:val="0"/>
                <w:numId w:val="10"/>
              </w:numPr>
              <w:snapToGrid w:val="0"/>
              <w:jc w:val="left"/>
              <w:rPr>
                <w:rFonts w:ascii="仿宋" w:hAnsi="仿宋" w:eastAsia="仿宋"/>
                <w:b/>
                <w:bCs/>
                <w:sz w:val="22"/>
                <w:szCs w:val="22"/>
              </w:rPr>
            </w:pPr>
            <w:r>
              <w:rPr>
                <w:rFonts w:ascii="仿宋" w:hAnsi="仿宋" w:eastAsia="仿宋"/>
                <w:b/>
                <w:bCs/>
                <w:sz w:val="22"/>
                <w:szCs w:val="22"/>
              </w:rPr>
              <w:t>吸顶AP</w:t>
            </w:r>
            <w:r>
              <w:rPr>
                <w:rFonts w:hint="eastAsia" w:ascii="仿宋" w:hAnsi="仿宋" w:eastAsia="仿宋"/>
                <w:b/>
                <w:bCs/>
                <w:sz w:val="22"/>
                <w:szCs w:val="22"/>
              </w:rPr>
              <w:t>（55台）：</w:t>
            </w:r>
          </w:p>
          <w:p w14:paraId="356820F4">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55037097">
            <w:pPr>
              <w:snapToGrid w:val="0"/>
              <w:ind w:left="420" w:leftChars="200"/>
              <w:rPr>
                <w:rFonts w:ascii="仿宋" w:hAnsi="仿宋" w:eastAsia="仿宋"/>
                <w:b/>
                <w:bCs/>
                <w:sz w:val="22"/>
                <w:szCs w:val="22"/>
              </w:rPr>
            </w:pPr>
            <w:r>
              <w:rPr>
                <w:rFonts w:hint="eastAsia" w:ascii="仿宋" w:hAnsi="仿宋" w:eastAsia="仿宋"/>
                <w:b/>
                <w:sz w:val="22"/>
                <w:szCs w:val="22"/>
              </w:rPr>
              <w:t>“▲” 号条款：4项</w:t>
            </w:r>
          </w:p>
          <w:p w14:paraId="7029B6F9">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Segoe UI" w:hAnsi="Segoe UI" w:cs="Segoe UI"/>
                <w:sz w:val="24"/>
                <w:shd w:val="clear" w:color="auto" w:fill="FFFFFF"/>
              </w:rPr>
              <w:t>①</w:t>
            </w:r>
            <w:r>
              <w:rPr>
                <w:rFonts w:hint="eastAsia" w:ascii="仿宋" w:hAnsi="仿宋" w:eastAsia="仿宋"/>
                <w:sz w:val="22"/>
                <w:szCs w:val="22"/>
              </w:rPr>
              <w:t>802.11ax四路双频通用级高密放装型AR系列无线接入点；</w:t>
            </w:r>
          </w:p>
          <w:p w14:paraId="7EE21689">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Segoe UI" w:hAnsi="Segoe UI" w:cs="Segoe UI"/>
                <w:sz w:val="24"/>
                <w:shd w:val="clear" w:color="auto" w:fill="FFFFFF"/>
              </w:rPr>
              <w:t>②</w:t>
            </w:r>
            <w:r>
              <w:rPr>
                <w:rFonts w:hint="eastAsia" w:ascii="仿宋" w:hAnsi="仿宋" w:eastAsia="仿宋"/>
                <w:sz w:val="22"/>
                <w:szCs w:val="22"/>
              </w:rPr>
              <w:t>整机最大支持8条空间流，整机最高无线协商速率4.134Gbps；</w:t>
            </w:r>
          </w:p>
          <w:p w14:paraId="2C84CBA5">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Segoe UI" w:hAnsi="Segoe UI" w:cs="Segoe UI"/>
                <w:sz w:val="24"/>
                <w:shd w:val="clear" w:color="auto" w:fill="FFFFFF"/>
              </w:rPr>
              <w:t>③</w:t>
            </w:r>
            <w:r>
              <w:rPr>
                <w:rFonts w:hint="eastAsia" w:ascii="仿宋" w:hAnsi="仿宋" w:eastAsia="仿宋"/>
                <w:sz w:val="22"/>
                <w:szCs w:val="22"/>
              </w:rPr>
              <w:t>可支持胖/瘦模式切换、802.3at供电和本地供电；</w:t>
            </w:r>
          </w:p>
          <w:p w14:paraId="169C5670">
            <w:pPr>
              <w:pStyle w:val="17"/>
              <w:spacing w:line="240" w:lineRule="auto"/>
              <w:ind w:left="420" w:leftChars="200"/>
              <w:rPr>
                <w:rFonts w:ascii="仿宋" w:hAnsi="仿宋" w:eastAsia="仿宋"/>
                <w:color w:val="292929"/>
                <w:sz w:val="22"/>
                <w:szCs w:val="22"/>
              </w:rPr>
            </w:pPr>
            <w:r>
              <w:rPr>
                <w:rFonts w:hint="eastAsia" w:ascii="仿宋" w:hAnsi="仿宋" w:eastAsia="仿宋"/>
                <w:b/>
                <w:bCs/>
                <w:sz w:val="22"/>
                <w:szCs w:val="22"/>
              </w:rPr>
              <w:t>▲</w:t>
            </w:r>
            <w:r>
              <w:rPr>
                <w:rFonts w:hint="eastAsia" w:ascii="Segoe UI" w:hAnsi="Segoe UI" w:cs="Segoe UI"/>
                <w:shd w:val="clear" w:color="auto" w:fill="FFFFFF"/>
              </w:rPr>
              <w:t>④</w:t>
            </w:r>
            <w:r>
              <w:rPr>
                <w:rFonts w:hint="eastAsia" w:ascii="仿宋" w:hAnsi="仿宋" w:eastAsia="仿宋"/>
                <w:sz w:val="22"/>
                <w:szCs w:val="22"/>
              </w:rPr>
              <w:t>至少支持</w:t>
            </w:r>
            <w:r>
              <w:rPr>
                <w:rFonts w:hint="eastAsia" w:ascii="仿宋" w:hAnsi="仿宋" w:eastAsia="仿宋"/>
                <w:color w:val="292929"/>
                <w:sz w:val="22"/>
                <w:szCs w:val="22"/>
              </w:rPr>
              <w:t>1个100/1000/2.5GBase-T自适应以太网接口，1个1G SFP接口，支持1个10/100/1000Base-T自适应以太网接口，支持对物联网单元供电(12V/2W)</w:t>
            </w:r>
            <w:r>
              <w:rPr>
                <w:rFonts w:ascii="仿宋" w:hAnsi="仿宋" w:eastAsia="仿宋"/>
                <w:color w:val="292929"/>
                <w:sz w:val="22"/>
                <w:szCs w:val="22"/>
              </w:rPr>
              <w:t>；</w:t>
            </w:r>
          </w:p>
          <w:p w14:paraId="46DC7B3F">
            <w:pPr>
              <w:numPr>
                <w:ilvl w:val="0"/>
                <w:numId w:val="10"/>
              </w:numPr>
              <w:snapToGrid w:val="0"/>
              <w:jc w:val="left"/>
              <w:rPr>
                <w:rFonts w:ascii="仿宋" w:hAnsi="仿宋" w:eastAsia="仿宋"/>
                <w:b/>
                <w:bCs/>
                <w:sz w:val="22"/>
                <w:szCs w:val="22"/>
              </w:rPr>
            </w:pPr>
            <w:r>
              <w:rPr>
                <w:rFonts w:ascii="仿宋" w:hAnsi="仿宋" w:eastAsia="仿宋"/>
                <w:b/>
                <w:bCs/>
                <w:sz w:val="22"/>
                <w:szCs w:val="22"/>
              </w:rPr>
              <w:t>定向室外AP</w:t>
            </w:r>
            <w:r>
              <w:rPr>
                <w:rFonts w:hint="eastAsia" w:ascii="仿宋" w:hAnsi="仿宋" w:eastAsia="仿宋"/>
                <w:b/>
                <w:bCs/>
                <w:sz w:val="22"/>
                <w:szCs w:val="22"/>
              </w:rPr>
              <w:t>（10台）：</w:t>
            </w:r>
          </w:p>
          <w:p w14:paraId="5C0E4798">
            <w:pPr>
              <w:snapToGrid w:val="0"/>
              <w:ind w:left="420" w:leftChars="200"/>
              <w:rPr>
                <w:rFonts w:ascii="仿宋" w:hAnsi="仿宋" w:eastAsia="仿宋"/>
                <w:b/>
                <w:sz w:val="22"/>
                <w:szCs w:val="22"/>
              </w:rPr>
            </w:pPr>
            <w:r>
              <w:rPr>
                <w:rFonts w:hint="eastAsia" w:ascii="仿宋" w:hAnsi="仿宋" w:eastAsia="仿宋"/>
                <w:b/>
                <w:sz w:val="22"/>
                <w:szCs w:val="22"/>
              </w:rPr>
              <w:t>“#” 号条款：1项</w:t>
            </w:r>
          </w:p>
          <w:p w14:paraId="2C0FAA01">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①整机功耗≤</w:t>
            </w:r>
            <w:r>
              <w:rPr>
                <w:rFonts w:ascii="仿宋" w:hAnsi="仿宋" w:eastAsia="仿宋"/>
                <w:sz w:val="22"/>
                <w:szCs w:val="22"/>
              </w:rPr>
              <w:t>13</w:t>
            </w:r>
            <w:r>
              <w:rPr>
                <w:rFonts w:hint="eastAsia" w:ascii="仿宋" w:hAnsi="仿宋" w:eastAsia="仿宋"/>
                <w:sz w:val="22"/>
                <w:szCs w:val="22"/>
              </w:rPr>
              <w:t>W，提供官网截图证明；</w:t>
            </w:r>
          </w:p>
          <w:p w14:paraId="0F14456C">
            <w:pPr>
              <w:snapToGrid w:val="0"/>
              <w:ind w:left="420" w:leftChars="200"/>
              <w:rPr>
                <w:rFonts w:ascii="仿宋" w:hAnsi="仿宋" w:eastAsia="仿宋"/>
                <w:b/>
                <w:sz w:val="22"/>
                <w:szCs w:val="22"/>
              </w:rPr>
            </w:pPr>
          </w:p>
          <w:p w14:paraId="666BA71E">
            <w:pPr>
              <w:snapToGrid w:val="0"/>
              <w:ind w:left="420" w:leftChars="200"/>
              <w:rPr>
                <w:rFonts w:ascii="仿宋" w:hAnsi="仿宋" w:eastAsia="仿宋"/>
                <w:b/>
                <w:bCs/>
                <w:sz w:val="22"/>
                <w:szCs w:val="22"/>
              </w:rPr>
            </w:pPr>
            <w:r>
              <w:rPr>
                <w:rFonts w:hint="eastAsia" w:ascii="仿宋" w:hAnsi="仿宋" w:eastAsia="仿宋"/>
                <w:b/>
                <w:sz w:val="22"/>
                <w:szCs w:val="22"/>
              </w:rPr>
              <w:t>“▲” 号条款：6项</w:t>
            </w:r>
          </w:p>
          <w:p w14:paraId="02096EFC">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①802.11ax双路双频通用级室外型无线接入点；</w:t>
            </w:r>
          </w:p>
          <w:p w14:paraId="147A1840">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②支持802.11a/b/g/n/ac和802.11ax协议；</w:t>
            </w:r>
          </w:p>
          <w:p w14:paraId="5380F1D1">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③整机最大支持4条空间流，整机最高接入速率2.4Gbps，胖/瘦模式切换；</w:t>
            </w:r>
          </w:p>
          <w:p w14:paraId="589617CE">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④支持光电上行、802.3af供电和本地供电；</w:t>
            </w:r>
          </w:p>
          <w:p w14:paraId="624AAAA7">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⑤单台实配支持802.3at/802.3af供电的POE模块；</w:t>
            </w:r>
          </w:p>
          <w:p w14:paraId="600E302E">
            <w:pPr>
              <w:pStyle w:val="17"/>
              <w:spacing w:line="240" w:lineRule="auto"/>
              <w:ind w:left="420" w:leftChars="200"/>
              <w:rPr>
                <w:rFonts w:ascii="仿宋" w:hAnsi="仿宋" w:eastAsia="仿宋"/>
                <w:color w:val="292929"/>
                <w:sz w:val="22"/>
                <w:szCs w:val="22"/>
              </w:rPr>
            </w:pPr>
            <w:r>
              <w:rPr>
                <w:rFonts w:hint="eastAsia" w:ascii="仿宋" w:hAnsi="仿宋" w:eastAsia="仿宋"/>
                <w:b/>
                <w:bCs/>
                <w:sz w:val="22"/>
                <w:szCs w:val="22"/>
              </w:rPr>
              <w:t>▲</w:t>
            </w:r>
            <w:r>
              <w:rPr>
                <w:rFonts w:hint="eastAsia" w:ascii="仿宋" w:hAnsi="仿宋" w:eastAsia="仿宋"/>
                <w:sz w:val="22"/>
                <w:szCs w:val="22"/>
              </w:rPr>
              <w:t>⑥至少支持</w:t>
            </w:r>
            <w:r>
              <w:rPr>
                <w:rFonts w:hint="eastAsia" w:ascii="仿宋" w:hAnsi="仿宋" w:eastAsia="仿宋"/>
                <w:color w:val="292929"/>
                <w:sz w:val="22"/>
                <w:szCs w:val="22"/>
              </w:rPr>
              <w:t xml:space="preserve">1个100/1000自适应以太网接口，1个1G SFP接口； </w:t>
            </w:r>
          </w:p>
          <w:p w14:paraId="57060CCF">
            <w:pPr>
              <w:snapToGrid w:val="0"/>
              <w:jc w:val="left"/>
              <w:rPr>
                <w:rFonts w:ascii="仿宋" w:hAnsi="仿宋" w:eastAsia="仿宋"/>
                <w:b/>
                <w:bCs/>
                <w:sz w:val="22"/>
                <w:szCs w:val="22"/>
              </w:rPr>
            </w:pPr>
            <w:r>
              <w:rPr>
                <w:rFonts w:hint="eastAsia" w:ascii="仿宋" w:hAnsi="仿宋" w:eastAsia="仿宋"/>
                <w:b/>
                <w:bCs/>
                <w:sz w:val="22"/>
                <w:szCs w:val="22"/>
              </w:rPr>
              <w:t>10、</w:t>
            </w:r>
            <w:r>
              <w:rPr>
                <w:rFonts w:ascii="仿宋" w:hAnsi="仿宋" w:eastAsia="仿宋"/>
                <w:b/>
                <w:bCs/>
                <w:sz w:val="22"/>
                <w:szCs w:val="22"/>
              </w:rPr>
              <w:t>24口POE交换机</w:t>
            </w:r>
            <w:r>
              <w:rPr>
                <w:rFonts w:hint="eastAsia" w:ascii="仿宋" w:hAnsi="仿宋" w:eastAsia="仿宋"/>
                <w:b/>
                <w:bCs/>
                <w:sz w:val="22"/>
                <w:szCs w:val="22"/>
              </w:rPr>
              <w:t>（5台）：</w:t>
            </w:r>
          </w:p>
          <w:p w14:paraId="0DA8CBD6">
            <w:pPr>
              <w:snapToGrid w:val="0"/>
              <w:ind w:left="420" w:leftChars="200"/>
              <w:rPr>
                <w:rFonts w:ascii="仿宋" w:hAnsi="仿宋" w:eastAsia="仿宋"/>
                <w:b/>
                <w:sz w:val="22"/>
                <w:szCs w:val="22"/>
              </w:rPr>
            </w:pPr>
            <w:r>
              <w:rPr>
                <w:rFonts w:hint="eastAsia" w:ascii="仿宋" w:hAnsi="仿宋" w:eastAsia="仿宋"/>
                <w:b/>
                <w:sz w:val="22"/>
                <w:szCs w:val="22"/>
              </w:rPr>
              <w:t>“#” 号条款：2 项</w:t>
            </w:r>
          </w:p>
          <w:p w14:paraId="5705F2E3">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①支持双boot，避免设备因固件问题导致设备宕机，提供提供检测报告证明；</w:t>
            </w:r>
          </w:p>
          <w:p w14:paraId="26A8884F">
            <w:pPr>
              <w:ind w:left="420" w:leftChars="200"/>
              <w:rPr>
                <w:rFonts w:hint="eastAsia"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②支持基于IPv6的SAVI功能，保证网络安全性，提供提供检测报告证明；</w:t>
            </w:r>
          </w:p>
          <w:p w14:paraId="4EEB1068">
            <w:pPr>
              <w:ind w:left="420" w:leftChars="200"/>
              <w:rPr>
                <w:rFonts w:hint="eastAsia" w:ascii="仿宋" w:hAnsi="仿宋" w:eastAsia="仿宋"/>
                <w:sz w:val="22"/>
                <w:szCs w:val="22"/>
              </w:rPr>
            </w:pPr>
          </w:p>
          <w:p w14:paraId="4D316A45">
            <w:pPr>
              <w:snapToGrid w:val="0"/>
              <w:ind w:left="420" w:leftChars="200"/>
              <w:rPr>
                <w:rFonts w:ascii="仿宋" w:hAnsi="仿宋" w:eastAsia="仿宋"/>
                <w:b/>
                <w:bCs/>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5</w:t>
            </w:r>
            <w:r>
              <w:rPr>
                <w:rFonts w:hint="eastAsia" w:ascii="仿宋" w:hAnsi="仿宋" w:eastAsia="仿宋"/>
                <w:b/>
                <w:sz w:val="22"/>
                <w:szCs w:val="22"/>
              </w:rPr>
              <w:t>项</w:t>
            </w:r>
          </w:p>
          <w:p w14:paraId="12101A32">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①交换容量≥670Gbps，包转发率≥170Mpps，固化10/100/1000M以太网端口≥24个，固化1G/10G SFP+接口≥4个，ConSole口≥1个，USB接口≥1个，MGMT口≥1个，支持≥24个电口POE/POE+远程供电，整机POE功率输出≥</w:t>
            </w:r>
            <w:r>
              <w:rPr>
                <w:rFonts w:ascii="仿宋" w:hAnsi="仿宋" w:eastAsia="仿宋"/>
                <w:sz w:val="22"/>
                <w:szCs w:val="22"/>
              </w:rPr>
              <w:t>7</w:t>
            </w:r>
            <w:r>
              <w:rPr>
                <w:rFonts w:hint="eastAsia" w:ascii="仿宋" w:hAnsi="仿宋" w:eastAsia="仿宋"/>
                <w:sz w:val="22"/>
                <w:szCs w:val="22"/>
              </w:rPr>
              <w:t>70W，模块化电源；</w:t>
            </w:r>
          </w:p>
          <w:p w14:paraId="533E6BEF">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②支持RIP、RIPng、OSPFv2 、OSPFv3、BGP、ISIS等路由协议；</w:t>
            </w:r>
          </w:p>
          <w:p w14:paraId="0BD76E93">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③支持OpenFlow 1.3协议，支持CPU保护功能</w:t>
            </w:r>
            <w:r>
              <w:rPr>
                <w:rFonts w:ascii="仿宋" w:hAnsi="仿宋" w:eastAsia="仿宋"/>
                <w:sz w:val="22"/>
                <w:szCs w:val="22"/>
              </w:rPr>
              <w:t>；</w:t>
            </w:r>
          </w:p>
          <w:p w14:paraId="7C27A138">
            <w:pPr>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④支持国产化芯片；</w:t>
            </w:r>
          </w:p>
          <w:p w14:paraId="039FA87F">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⑤实配双电源，2块万兆多模0.3KM光模块；</w:t>
            </w:r>
          </w:p>
          <w:p w14:paraId="245F4E37">
            <w:pPr>
              <w:snapToGrid w:val="0"/>
              <w:ind w:left="420" w:leftChars="200"/>
              <w:jc w:val="left"/>
              <w:rPr>
                <w:rFonts w:ascii="仿宋" w:hAnsi="仿宋" w:eastAsia="仿宋"/>
                <w:sz w:val="22"/>
                <w:szCs w:val="22"/>
              </w:rPr>
            </w:pPr>
          </w:p>
          <w:p w14:paraId="1ADEA9CB">
            <w:pPr>
              <w:snapToGrid w:val="0"/>
              <w:jc w:val="left"/>
              <w:rPr>
                <w:rFonts w:ascii="仿宋" w:hAnsi="仿宋" w:eastAsia="仿宋"/>
                <w:b/>
                <w:bCs/>
                <w:sz w:val="22"/>
                <w:szCs w:val="22"/>
              </w:rPr>
            </w:pPr>
            <w:r>
              <w:rPr>
                <w:rFonts w:hint="eastAsia" w:ascii="仿宋" w:hAnsi="仿宋" w:eastAsia="仿宋"/>
                <w:b/>
                <w:bCs/>
                <w:sz w:val="22"/>
                <w:szCs w:val="22"/>
              </w:rPr>
              <w:t>11、</w:t>
            </w:r>
            <w:r>
              <w:rPr>
                <w:rFonts w:ascii="仿宋" w:hAnsi="仿宋" w:eastAsia="仿宋"/>
                <w:b/>
                <w:bCs/>
                <w:sz w:val="22"/>
                <w:szCs w:val="22"/>
              </w:rPr>
              <w:t>48口接入交换机</w:t>
            </w:r>
            <w:r>
              <w:rPr>
                <w:rFonts w:hint="eastAsia" w:ascii="仿宋" w:hAnsi="仿宋" w:eastAsia="仿宋"/>
                <w:b/>
                <w:bCs/>
                <w:sz w:val="22"/>
                <w:szCs w:val="22"/>
              </w:rPr>
              <w:t>（1台）：</w:t>
            </w:r>
          </w:p>
          <w:p w14:paraId="6ED911A4">
            <w:pPr>
              <w:snapToGrid w:val="0"/>
              <w:ind w:left="420" w:leftChars="200"/>
              <w:rPr>
                <w:rFonts w:ascii="仿宋" w:hAnsi="仿宋" w:eastAsia="仿宋"/>
                <w:b/>
                <w:sz w:val="22"/>
                <w:szCs w:val="22"/>
              </w:rPr>
            </w:pPr>
            <w:r>
              <w:rPr>
                <w:rFonts w:hint="eastAsia" w:ascii="仿宋" w:hAnsi="仿宋" w:eastAsia="仿宋"/>
                <w:b/>
                <w:sz w:val="22"/>
                <w:szCs w:val="22"/>
              </w:rPr>
              <w:t>“#” 号条款：2项</w:t>
            </w:r>
          </w:p>
          <w:p w14:paraId="647D3DCF">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①支持双boot，避免设备因固件问题导致设备宕机，提供提供检测报告证明；</w:t>
            </w:r>
          </w:p>
          <w:p w14:paraId="52EF8115">
            <w:pPr>
              <w:ind w:left="420" w:leftChars="200"/>
              <w:rPr>
                <w:rFonts w:ascii="仿宋" w:hAnsi="仿宋" w:eastAsia="仿宋"/>
                <w:b/>
                <w:sz w:val="22"/>
                <w:szCs w:val="22"/>
              </w:rPr>
            </w:pPr>
            <w:r>
              <w:rPr>
                <w:rFonts w:hint="eastAsia" w:ascii="仿宋" w:hAnsi="仿宋" w:eastAsia="仿宋"/>
                <w:b/>
                <w:bCs/>
                <w:sz w:val="22"/>
                <w:szCs w:val="22"/>
              </w:rPr>
              <w:t>#</w:t>
            </w:r>
            <w:r>
              <w:rPr>
                <w:rFonts w:hint="eastAsia" w:ascii="仿宋" w:hAnsi="仿宋" w:eastAsia="仿宋"/>
                <w:sz w:val="22"/>
                <w:szCs w:val="22"/>
              </w:rPr>
              <w:t>②支持基于IPv6的SAVI功能，保证网络安全性，提供提供检测报告证明；</w:t>
            </w:r>
          </w:p>
          <w:p w14:paraId="08F20C2C">
            <w:pPr>
              <w:snapToGrid w:val="0"/>
              <w:ind w:left="420" w:leftChars="200"/>
              <w:rPr>
                <w:rFonts w:ascii="仿宋" w:hAnsi="仿宋" w:eastAsia="仿宋"/>
                <w:b/>
                <w:bCs/>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5</w:t>
            </w:r>
            <w:r>
              <w:rPr>
                <w:rFonts w:hint="eastAsia" w:ascii="仿宋" w:hAnsi="仿宋" w:eastAsia="仿宋"/>
                <w:b/>
                <w:sz w:val="22"/>
                <w:szCs w:val="22"/>
              </w:rPr>
              <w:t>项</w:t>
            </w:r>
          </w:p>
          <w:p w14:paraId="1CA24E11">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①交换容量≥670Gbps，包转发率≥170Mpps，固化10/100/1000M以太网端口≥</w:t>
            </w:r>
            <w:r>
              <w:rPr>
                <w:rFonts w:ascii="仿宋" w:hAnsi="仿宋" w:eastAsia="仿宋"/>
                <w:sz w:val="22"/>
                <w:szCs w:val="22"/>
              </w:rPr>
              <w:t>48</w:t>
            </w:r>
            <w:r>
              <w:rPr>
                <w:rFonts w:hint="eastAsia" w:ascii="仿宋" w:hAnsi="仿宋" w:eastAsia="仿宋"/>
                <w:sz w:val="22"/>
                <w:szCs w:val="22"/>
              </w:rPr>
              <w:t>个，固化1G/10G SFP+接口≥4个，ConSole口≥1个，USB接口≥1个，MGMT口≥1个，固化电源；</w:t>
            </w:r>
          </w:p>
          <w:p w14:paraId="0AD1863A">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②支持RIP、RIPng、OSPFv2 、OSPFv3、BGP、ISIS等路由协议；</w:t>
            </w:r>
          </w:p>
          <w:p w14:paraId="440B056C">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③支持OpenFlow 1.3协议，支持CPU保护功能</w:t>
            </w:r>
            <w:r>
              <w:rPr>
                <w:rFonts w:ascii="仿宋" w:hAnsi="仿宋" w:eastAsia="仿宋"/>
                <w:sz w:val="22"/>
                <w:szCs w:val="22"/>
              </w:rPr>
              <w:t>；</w:t>
            </w:r>
          </w:p>
          <w:p w14:paraId="02671E4F">
            <w:pPr>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④MAC地址表容量≥32K；</w:t>
            </w:r>
          </w:p>
          <w:p w14:paraId="7C6E78A8">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⑤支持国产化芯片；</w:t>
            </w:r>
          </w:p>
          <w:p w14:paraId="22BE7DCA">
            <w:pPr>
              <w:numPr>
                <w:ilvl w:val="0"/>
                <w:numId w:val="11"/>
              </w:numPr>
              <w:snapToGrid w:val="0"/>
              <w:jc w:val="left"/>
              <w:rPr>
                <w:rFonts w:ascii="仿宋" w:hAnsi="仿宋" w:eastAsia="仿宋"/>
                <w:b/>
                <w:bCs/>
                <w:sz w:val="22"/>
                <w:szCs w:val="22"/>
              </w:rPr>
            </w:pPr>
            <w:r>
              <w:rPr>
                <w:rFonts w:ascii="仿宋" w:hAnsi="仿宋" w:eastAsia="仿宋"/>
                <w:b/>
                <w:bCs/>
                <w:sz w:val="22"/>
                <w:szCs w:val="22"/>
              </w:rPr>
              <w:t>无线控制器授权</w:t>
            </w:r>
            <w:r>
              <w:rPr>
                <w:rFonts w:hint="eastAsia" w:ascii="仿宋" w:hAnsi="仿宋" w:eastAsia="仿宋"/>
                <w:b/>
                <w:bCs/>
                <w:sz w:val="22"/>
                <w:szCs w:val="22"/>
              </w:rPr>
              <w:t>（2套）：</w:t>
            </w:r>
          </w:p>
          <w:p w14:paraId="1B9062C3">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75F6119D">
            <w:pPr>
              <w:snapToGrid w:val="0"/>
              <w:ind w:left="420" w:leftChars="200"/>
              <w:rPr>
                <w:rFonts w:ascii="仿宋" w:hAnsi="仿宋" w:eastAsia="仿宋"/>
                <w:b/>
                <w:bCs/>
                <w:sz w:val="22"/>
                <w:szCs w:val="22"/>
              </w:rPr>
            </w:pPr>
            <w:r>
              <w:rPr>
                <w:rFonts w:hint="eastAsia" w:ascii="仿宋" w:hAnsi="仿宋" w:eastAsia="仿宋"/>
                <w:b/>
                <w:sz w:val="22"/>
                <w:szCs w:val="22"/>
              </w:rPr>
              <w:t>“▲” 号条款：1项</w:t>
            </w:r>
          </w:p>
          <w:p w14:paraId="6C08D3B1">
            <w:pPr>
              <w:snapToGrid w:val="0"/>
              <w:ind w:left="420" w:leftChars="200"/>
              <w:jc w:val="left"/>
              <w:rPr>
                <w:rFonts w:ascii="仿宋" w:hAnsi="仿宋" w:eastAsia="仿宋"/>
                <w:b/>
                <w:bCs/>
                <w:sz w:val="22"/>
                <w:szCs w:val="22"/>
              </w:rPr>
            </w:pPr>
            <w:r>
              <w:rPr>
                <w:rFonts w:hint="eastAsia" w:ascii="仿宋" w:hAnsi="仿宋" w:eastAsia="仿宋"/>
                <w:b/>
                <w:bCs/>
                <w:sz w:val="22"/>
                <w:szCs w:val="22"/>
              </w:rPr>
              <w:t>▲</w:t>
            </w:r>
            <w:r>
              <w:rPr>
                <w:rFonts w:hint="eastAsia" w:ascii="仿宋" w:hAnsi="仿宋" w:eastAsia="仿宋"/>
                <w:sz w:val="22"/>
                <w:szCs w:val="22"/>
              </w:rPr>
              <w:t>①无线控制器产品专用升级许可证License，每套可支持增加</w:t>
            </w:r>
            <w:r>
              <w:rPr>
                <w:rFonts w:ascii="仿宋" w:hAnsi="仿宋" w:eastAsia="仿宋"/>
                <w:sz w:val="22"/>
                <w:szCs w:val="22"/>
              </w:rPr>
              <w:t>32</w:t>
            </w:r>
            <w:r>
              <w:rPr>
                <w:rFonts w:hint="eastAsia" w:ascii="仿宋" w:hAnsi="仿宋" w:eastAsia="仿宋"/>
                <w:sz w:val="22"/>
                <w:szCs w:val="22"/>
              </w:rPr>
              <w:t>个A</w:t>
            </w:r>
            <w:r>
              <w:rPr>
                <w:rFonts w:ascii="仿宋" w:hAnsi="仿宋" w:eastAsia="仿宋"/>
                <w:sz w:val="22"/>
                <w:szCs w:val="22"/>
              </w:rPr>
              <w:t>P授权</w:t>
            </w:r>
          </w:p>
          <w:p w14:paraId="2FBC979D">
            <w:pPr>
              <w:snapToGrid w:val="0"/>
              <w:rPr>
                <w:rFonts w:ascii="仿宋" w:hAnsi="仿宋" w:eastAsia="仿宋"/>
                <w:sz w:val="22"/>
                <w:szCs w:val="22"/>
              </w:rPr>
            </w:pPr>
          </w:p>
          <w:p w14:paraId="5618AFFE">
            <w:pPr>
              <w:snapToGrid w:val="0"/>
              <w:rPr>
                <w:rFonts w:ascii="仿宋" w:hAnsi="仿宋" w:eastAsia="仿宋"/>
                <w:sz w:val="22"/>
                <w:szCs w:val="22"/>
              </w:rPr>
            </w:pPr>
          </w:p>
        </w:tc>
      </w:tr>
      <w:tr w14:paraId="2B76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1A8BF3E">
            <w:pPr>
              <w:snapToGrid w:val="0"/>
              <w:spacing w:before="240"/>
              <w:jc w:val="center"/>
              <w:rPr>
                <w:rFonts w:ascii="仿宋" w:hAnsi="仿宋" w:eastAsia="仿宋"/>
                <w:b/>
                <w:bCs/>
                <w:sz w:val="22"/>
              </w:rPr>
            </w:pPr>
            <w:r>
              <w:rPr>
                <w:rFonts w:hint="eastAsia" w:ascii="仿宋" w:hAnsi="仿宋" w:eastAsia="仿宋"/>
                <w:b/>
                <w:bCs/>
                <w:sz w:val="22"/>
              </w:rPr>
              <w:t>3</w:t>
            </w:r>
          </w:p>
        </w:tc>
        <w:tc>
          <w:tcPr>
            <w:tcW w:w="1005" w:type="dxa"/>
            <w:tcBorders>
              <w:top w:val="single" w:color="auto" w:sz="4" w:space="0"/>
              <w:left w:val="single" w:color="auto" w:sz="4" w:space="0"/>
              <w:bottom w:val="single" w:color="auto" w:sz="4" w:space="0"/>
              <w:right w:val="single" w:color="auto" w:sz="4" w:space="0"/>
            </w:tcBorders>
            <w:vAlign w:val="center"/>
          </w:tcPr>
          <w:p w14:paraId="317D8765">
            <w:pPr>
              <w:snapToGrid w:val="0"/>
              <w:spacing w:before="240"/>
              <w:jc w:val="center"/>
              <w:rPr>
                <w:rFonts w:ascii="仿宋" w:hAnsi="仿宋" w:eastAsia="仿宋"/>
                <w:b/>
                <w:sz w:val="22"/>
              </w:rPr>
            </w:pPr>
            <w:r>
              <w:rPr>
                <w:rFonts w:hint="eastAsia" w:ascii="仿宋" w:hAnsi="仿宋" w:eastAsia="仿宋"/>
                <w:b/>
                <w:sz w:val="22"/>
              </w:rPr>
              <w:t>第一教学楼、第二教学楼、图书馆、科研楼、人文楼、崇德楼、行知楼、8号学生公寓无线网络</w:t>
            </w:r>
          </w:p>
        </w:tc>
        <w:tc>
          <w:tcPr>
            <w:tcW w:w="1125" w:type="dxa"/>
            <w:tcBorders>
              <w:top w:val="single" w:color="auto" w:sz="4" w:space="0"/>
              <w:left w:val="single" w:color="auto" w:sz="4" w:space="0"/>
              <w:bottom w:val="single" w:color="auto" w:sz="4" w:space="0"/>
              <w:right w:val="single" w:color="auto" w:sz="4" w:space="0"/>
            </w:tcBorders>
            <w:vAlign w:val="center"/>
          </w:tcPr>
          <w:p w14:paraId="1BFAFEEB">
            <w:pPr>
              <w:snapToGrid w:val="0"/>
              <w:spacing w:before="240"/>
              <w:jc w:val="center"/>
              <w:rPr>
                <w:rFonts w:ascii="仿宋" w:hAnsi="仿宋" w:eastAsia="仿宋"/>
                <w:sz w:val="22"/>
              </w:rPr>
            </w:pPr>
            <w:r>
              <w:rPr>
                <w:rFonts w:hint="eastAsia" w:ascii="仿宋" w:hAnsi="仿宋" w:eastAsia="仿宋"/>
                <w:sz w:val="22"/>
              </w:rPr>
              <w:t>1套</w:t>
            </w:r>
          </w:p>
        </w:tc>
        <w:tc>
          <w:tcPr>
            <w:tcW w:w="7526" w:type="dxa"/>
            <w:tcBorders>
              <w:top w:val="single" w:color="auto" w:sz="4" w:space="0"/>
              <w:left w:val="single" w:color="auto" w:sz="4" w:space="0"/>
              <w:bottom w:val="single" w:color="auto" w:sz="4" w:space="0"/>
              <w:right w:val="single" w:color="auto" w:sz="4" w:space="0"/>
            </w:tcBorders>
            <w:vAlign w:val="center"/>
          </w:tcPr>
          <w:p w14:paraId="6BEB59ED">
            <w:pPr>
              <w:snapToGrid w:val="0"/>
              <w:jc w:val="left"/>
              <w:rPr>
                <w:rFonts w:ascii="仿宋" w:hAnsi="仿宋" w:eastAsia="仿宋"/>
                <w:sz w:val="22"/>
                <w:szCs w:val="22"/>
              </w:rPr>
            </w:pPr>
            <w:r>
              <w:rPr>
                <w:rFonts w:hint="eastAsia" w:ascii="仿宋" w:hAnsi="仿宋" w:eastAsia="仿宋"/>
                <w:b/>
                <w:bCs/>
                <w:sz w:val="22"/>
                <w:szCs w:val="22"/>
              </w:rPr>
              <w:t>本项技术指标共</w:t>
            </w:r>
            <w:r>
              <w:rPr>
                <w:rFonts w:hint="eastAsia" w:ascii="仿宋" w:hAnsi="仿宋" w:eastAsia="仿宋"/>
                <w:b/>
                <w:bCs/>
                <w:sz w:val="22"/>
                <w:szCs w:val="22"/>
                <w:lang w:val="en-US" w:eastAsia="zh-CN"/>
              </w:rPr>
              <w:t>37</w:t>
            </w:r>
            <w:r>
              <w:rPr>
                <w:rFonts w:hint="eastAsia" w:ascii="仿宋" w:hAnsi="仿宋" w:eastAsia="仿宋"/>
                <w:b/>
                <w:bCs/>
                <w:sz w:val="22"/>
                <w:szCs w:val="22"/>
              </w:rPr>
              <w:t>项，其中“#” 号条款4项，“▲” 号条款</w:t>
            </w:r>
            <w:r>
              <w:rPr>
                <w:rFonts w:hint="eastAsia" w:ascii="仿宋" w:hAnsi="仿宋" w:eastAsia="仿宋"/>
                <w:b/>
                <w:bCs/>
                <w:sz w:val="22"/>
                <w:szCs w:val="22"/>
                <w:lang w:val="en-US" w:eastAsia="zh-CN"/>
              </w:rPr>
              <w:t>33</w:t>
            </w:r>
            <w:r>
              <w:rPr>
                <w:rFonts w:hint="eastAsia" w:ascii="仿宋" w:hAnsi="仿宋" w:eastAsia="仿宋"/>
                <w:b/>
                <w:bCs/>
                <w:sz w:val="22"/>
                <w:szCs w:val="22"/>
              </w:rPr>
              <w:t>项</w:t>
            </w:r>
          </w:p>
          <w:p w14:paraId="79C675C4">
            <w:pPr>
              <w:numPr>
                <w:ilvl w:val="0"/>
                <w:numId w:val="13"/>
              </w:numPr>
              <w:snapToGrid w:val="0"/>
              <w:rPr>
                <w:rFonts w:ascii="仿宋" w:hAnsi="仿宋" w:eastAsia="仿宋"/>
                <w:b/>
                <w:bCs/>
                <w:sz w:val="22"/>
                <w:szCs w:val="22"/>
              </w:rPr>
            </w:pPr>
            <w:r>
              <w:rPr>
                <w:rFonts w:ascii="仿宋" w:hAnsi="仿宋" w:eastAsia="仿宋"/>
                <w:b/>
                <w:bCs/>
                <w:sz w:val="22"/>
                <w:szCs w:val="22"/>
              </w:rPr>
              <w:t>面板AP</w:t>
            </w:r>
            <w:r>
              <w:rPr>
                <w:rFonts w:hint="eastAsia" w:ascii="仿宋" w:hAnsi="仿宋" w:eastAsia="仿宋"/>
                <w:b/>
                <w:bCs/>
                <w:sz w:val="22"/>
                <w:szCs w:val="22"/>
              </w:rPr>
              <w:t>（407台）：</w:t>
            </w:r>
          </w:p>
          <w:p w14:paraId="7E59AB69">
            <w:pPr>
              <w:snapToGrid w:val="0"/>
              <w:ind w:left="420" w:leftChars="200"/>
              <w:rPr>
                <w:rFonts w:ascii="仿宋" w:hAnsi="仿宋" w:eastAsia="仿宋"/>
                <w:b/>
                <w:sz w:val="22"/>
                <w:szCs w:val="22"/>
              </w:rPr>
            </w:pPr>
            <w:r>
              <w:rPr>
                <w:rFonts w:hint="eastAsia" w:ascii="仿宋" w:hAnsi="仿宋" w:eastAsia="仿宋"/>
                <w:b/>
                <w:sz w:val="22"/>
                <w:szCs w:val="22"/>
              </w:rPr>
              <w:t>“#” 号条款：1 项</w:t>
            </w:r>
          </w:p>
          <w:p w14:paraId="5614ABA2">
            <w:pPr>
              <w:ind w:left="420" w:leftChars="200"/>
              <w:rPr>
                <w:rFonts w:ascii="仿宋" w:hAnsi="仿宋" w:eastAsia="仿宋"/>
                <w:sz w:val="22"/>
                <w:szCs w:val="22"/>
              </w:rPr>
            </w:pPr>
            <w:r>
              <w:rPr>
                <w:rFonts w:hint="eastAsia" w:ascii="仿宋" w:hAnsi="仿宋" w:eastAsia="仿宋"/>
                <w:b/>
                <w:sz w:val="22"/>
                <w:szCs w:val="22"/>
              </w:rPr>
              <w:t>#</w:t>
            </w:r>
            <w:r>
              <w:rPr>
                <w:rFonts w:hint="eastAsia" w:ascii="仿宋" w:hAnsi="仿宋" w:eastAsia="仿宋"/>
                <w:sz w:val="22"/>
                <w:szCs w:val="22"/>
              </w:rPr>
              <w:t>①整机功耗≤</w:t>
            </w:r>
            <w:r>
              <w:rPr>
                <w:rFonts w:ascii="仿宋" w:hAnsi="仿宋" w:eastAsia="仿宋"/>
                <w:sz w:val="22"/>
                <w:szCs w:val="22"/>
              </w:rPr>
              <w:t>10</w:t>
            </w:r>
            <w:r>
              <w:rPr>
                <w:rFonts w:hint="eastAsia" w:ascii="仿宋" w:hAnsi="仿宋" w:eastAsia="仿宋"/>
                <w:sz w:val="22"/>
                <w:szCs w:val="22"/>
              </w:rPr>
              <w:t>W，提供官网截图证明；</w:t>
            </w:r>
          </w:p>
          <w:p w14:paraId="45F30E12">
            <w:pPr>
              <w:snapToGrid w:val="0"/>
              <w:ind w:left="420" w:leftChars="200"/>
              <w:rPr>
                <w:rFonts w:ascii="仿宋" w:hAnsi="仿宋" w:eastAsia="仿宋"/>
                <w:b/>
                <w:sz w:val="22"/>
                <w:szCs w:val="22"/>
              </w:rPr>
            </w:pPr>
          </w:p>
          <w:p w14:paraId="410F0435">
            <w:pPr>
              <w:snapToGrid w:val="0"/>
              <w:ind w:left="420" w:leftChars="200"/>
              <w:rPr>
                <w:rFonts w:ascii="仿宋" w:hAnsi="仿宋" w:eastAsia="仿宋"/>
                <w:b/>
                <w:bCs/>
                <w:sz w:val="22"/>
                <w:szCs w:val="22"/>
              </w:rPr>
            </w:pPr>
            <w:r>
              <w:rPr>
                <w:rFonts w:hint="eastAsia" w:ascii="仿宋" w:hAnsi="仿宋" w:eastAsia="仿宋"/>
                <w:b/>
                <w:sz w:val="22"/>
                <w:szCs w:val="22"/>
              </w:rPr>
              <w:t>“▲” 号条款：5项</w:t>
            </w:r>
          </w:p>
          <w:p w14:paraId="0F8913FC">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①墙面式无线接入点，可安装在86面板盒孔位；</w:t>
            </w:r>
          </w:p>
          <w:p w14:paraId="6DFD356C">
            <w:pPr>
              <w:snapToGrid w:val="0"/>
              <w:ind w:left="420" w:leftChars="200"/>
              <w:rPr>
                <w:rFonts w:hint="eastAsia" w:ascii="仿宋" w:hAnsi="仿宋" w:eastAsia="仿宋"/>
                <w:sz w:val="22"/>
                <w:szCs w:val="22"/>
                <w:lang w:eastAsia="zh-CN"/>
              </w:rPr>
            </w:pPr>
            <w:r>
              <w:rPr>
                <w:rFonts w:hint="eastAsia" w:ascii="仿宋" w:hAnsi="仿宋" w:eastAsia="仿宋"/>
                <w:b/>
                <w:bCs/>
                <w:sz w:val="22"/>
                <w:szCs w:val="22"/>
              </w:rPr>
              <w:t>▲</w:t>
            </w:r>
            <w:r>
              <w:rPr>
                <w:rFonts w:hint="eastAsia" w:ascii="仿宋" w:hAnsi="仿宋" w:eastAsia="仿宋"/>
                <w:sz w:val="22"/>
                <w:szCs w:val="22"/>
              </w:rPr>
              <w:t>②内置天线，双路双频，2.4G最大574.5Mbps，5G最大1.2Gbps</w:t>
            </w:r>
            <w:r>
              <w:rPr>
                <w:rFonts w:hint="eastAsia" w:ascii="仿宋" w:hAnsi="仿宋" w:eastAsia="仿宋"/>
                <w:sz w:val="22"/>
                <w:szCs w:val="22"/>
                <w:lang w:eastAsia="zh-CN"/>
              </w:rPr>
              <w:t>；</w:t>
            </w:r>
          </w:p>
          <w:p w14:paraId="16FF5EDB">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③整机最大支持4条空间流，整机最高接入速率1774.5Mbps；</w:t>
            </w:r>
          </w:p>
          <w:p w14:paraId="6CBDFBCA">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④可支持胖/瘦模式切换、PoE供电和本地供电；</w:t>
            </w:r>
          </w:p>
          <w:p w14:paraId="23E0B316">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⑤至少支持1个1G以太网口上联，</w:t>
            </w:r>
            <w:r>
              <w:rPr>
                <w:rFonts w:ascii="仿宋" w:hAnsi="仿宋" w:eastAsia="仿宋"/>
                <w:sz w:val="22"/>
                <w:szCs w:val="22"/>
              </w:rPr>
              <w:t>4</w:t>
            </w:r>
            <w:r>
              <w:rPr>
                <w:rFonts w:hint="eastAsia" w:ascii="仿宋" w:hAnsi="仿宋" w:eastAsia="仿宋"/>
                <w:sz w:val="22"/>
                <w:szCs w:val="22"/>
              </w:rPr>
              <w:t>个1G以太网口下联；</w:t>
            </w:r>
          </w:p>
          <w:p w14:paraId="7483B9DB">
            <w:pPr>
              <w:numPr>
                <w:ilvl w:val="0"/>
                <w:numId w:val="13"/>
              </w:numPr>
              <w:rPr>
                <w:rFonts w:ascii="仿宋" w:hAnsi="仿宋" w:eastAsia="仿宋"/>
                <w:b/>
                <w:bCs/>
                <w:sz w:val="22"/>
                <w:szCs w:val="22"/>
              </w:rPr>
            </w:pPr>
            <w:r>
              <w:rPr>
                <w:rFonts w:ascii="仿宋" w:hAnsi="仿宋" w:eastAsia="仿宋"/>
                <w:b/>
                <w:bCs/>
                <w:sz w:val="22"/>
                <w:szCs w:val="22"/>
              </w:rPr>
              <w:t>放装AP</w:t>
            </w:r>
            <w:r>
              <w:rPr>
                <w:rFonts w:hint="eastAsia" w:ascii="仿宋" w:hAnsi="仿宋" w:eastAsia="仿宋"/>
                <w:b/>
                <w:bCs/>
                <w:sz w:val="22"/>
                <w:szCs w:val="22"/>
              </w:rPr>
              <w:t>（</w:t>
            </w:r>
            <w:r>
              <w:rPr>
                <w:rFonts w:ascii="仿宋" w:hAnsi="仿宋" w:eastAsia="仿宋"/>
                <w:b/>
                <w:bCs/>
                <w:sz w:val="22"/>
                <w:szCs w:val="22"/>
              </w:rPr>
              <w:t>99</w:t>
            </w:r>
            <w:r>
              <w:rPr>
                <w:rFonts w:hint="eastAsia" w:ascii="仿宋" w:hAnsi="仿宋" w:eastAsia="仿宋"/>
                <w:b/>
                <w:bCs/>
                <w:sz w:val="22"/>
                <w:szCs w:val="22"/>
              </w:rPr>
              <w:t>台）：</w:t>
            </w:r>
          </w:p>
          <w:p w14:paraId="5AD3A719">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261FFB6D">
            <w:pPr>
              <w:snapToGrid w:val="0"/>
              <w:ind w:left="420" w:leftChars="200"/>
              <w:rPr>
                <w:rFonts w:ascii="仿宋" w:hAnsi="仿宋" w:eastAsia="仿宋"/>
                <w:b/>
                <w:bCs/>
                <w:sz w:val="22"/>
                <w:szCs w:val="22"/>
              </w:rPr>
            </w:pPr>
            <w:r>
              <w:rPr>
                <w:rFonts w:hint="eastAsia" w:ascii="仿宋" w:hAnsi="仿宋" w:eastAsia="仿宋"/>
                <w:b/>
                <w:sz w:val="22"/>
                <w:szCs w:val="22"/>
              </w:rPr>
              <w:t>“▲” 号条款：4项</w:t>
            </w:r>
          </w:p>
          <w:p w14:paraId="14AC3691">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①高密度802.11ax室内无线接入点；</w:t>
            </w:r>
          </w:p>
          <w:p w14:paraId="24674031">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②双路双频，2.4G最大400Mbps，5G最大4.8Gbps，整机最大支持6条空间流，整机最高接入速率5.2Gbps；</w:t>
            </w:r>
          </w:p>
          <w:p w14:paraId="65837B37">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③可支持胖/瘦模式切换、PoE+供电和本地供电；</w:t>
            </w:r>
          </w:p>
          <w:p w14:paraId="43F53D06">
            <w:pPr>
              <w:pStyle w:val="17"/>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④至少支持</w:t>
            </w:r>
            <w:r>
              <w:rPr>
                <w:rFonts w:hint="eastAsia" w:ascii="仿宋" w:hAnsi="仿宋" w:eastAsia="仿宋"/>
                <w:color w:val="292929"/>
                <w:sz w:val="22"/>
                <w:szCs w:val="22"/>
              </w:rPr>
              <w:t>2个10/100/1000M自适应以太网电口，其中1个支持PD受电，支持链路聚合</w:t>
            </w:r>
          </w:p>
          <w:p w14:paraId="658A9464">
            <w:pPr>
              <w:numPr>
                <w:ilvl w:val="0"/>
                <w:numId w:val="13"/>
              </w:numPr>
              <w:rPr>
                <w:rFonts w:ascii="仿宋" w:hAnsi="仿宋" w:eastAsia="仿宋"/>
                <w:b/>
                <w:bCs/>
                <w:sz w:val="22"/>
                <w:szCs w:val="22"/>
              </w:rPr>
            </w:pPr>
            <w:r>
              <w:rPr>
                <w:rFonts w:ascii="仿宋" w:hAnsi="仿宋" w:eastAsia="仿宋"/>
                <w:b/>
                <w:bCs/>
                <w:sz w:val="22"/>
                <w:szCs w:val="22"/>
              </w:rPr>
              <w:t>高密AP</w:t>
            </w:r>
            <w:r>
              <w:rPr>
                <w:rFonts w:hint="eastAsia" w:ascii="仿宋" w:hAnsi="仿宋" w:eastAsia="仿宋"/>
                <w:b/>
                <w:bCs/>
                <w:sz w:val="22"/>
                <w:szCs w:val="22"/>
              </w:rPr>
              <w:t>（高密A</w:t>
            </w:r>
            <w:r>
              <w:rPr>
                <w:rFonts w:ascii="仿宋" w:hAnsi="仿宋" w:eastAsia="仿宋"/>
                <w:b/>
                <w:bCs/>
                <w:sz w:val="22"/>
                <w:szCs w:val="22"/>
              </w:rPr>
              <w:t>P1：</w:t>
            </w:r>
            <w:r>
              <w:rPr>
                <w:rFonts w:hint="eastAsia" w:ascii="仿宋" w:hAnsi="仿宋" w:eastAsia="仿宋"/>
                <w:b/>
                <w:bCs/>
                <w:sz w:val="22"/>
                <w:szCs w:val="22"/>
              </w:rPr>
              <w:t>384台，高密A</w:t>
            </w:r>
            <w:r>
              <w:rPr>
                <w:rFonts w:ascii="仿宋" w:hAnsi="仿宋" w:eastAsia="仿宋"/>
                <w:b/>
                <w:bCs/>
                <w:sz w:val="22"/>
                <w:szCs w:val="22"/>
              </w:rPr>
              <w:t>P2:36台</w:t>
            </w:r>
            <w:r>
              <w:rPr>
                <w:rFonts w:hint="eastAsia" w:ascii="仿宋" w:hAnsi="仿宋" w:eastAsia="仿宋"/>
                <w:b/>
                <w:bCs/>
                <w:sz w:val="22"/>
                <w:szCs w:val="22"/>
              </w:rPr>
              <w:t>）：</w:t>
            </w:r>
          </w:p>
          <w:p w14:paraId="45012FAE">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4608F8CE">
            <w:pPr>
              <w:snapToGrid w:val="0"/>
              <w:ind w:left="420" w:leftChars="200"/>
              <w:rPr>
                <w:rFonts w:ascii="仿宋" w:hAnsi="仿宋" w:eastAsia="仿宋"/>
                <w:b/>
                <w:bCs/>
                <w:sz w:val="22"/>
                <w:szCs w:val="22"/>
              </w:rPr>
            </w:pPr>
            <w:r>
              <w:rPr>
                <w:rFonts w:hint="eastAsia" w:ascii="仿宋" w:hAnsi="仿宋" w:eastAsia="仿宋"/>
                <w:b/>
                <w:sz w:val="22"/>
                <w:szCs w:val="22"/>
              </w:rPr>
              <w:t>“▲” 号条款：8项</w:t>
            </w:r>
          </w:p>
          <w:p w14:paraId="17640464">
            <w:pPr>
              <w:snapToGrid w:val="0"/>
              <w:ind w:left="420" w:leftChars="200"/>
              <w:rPr>
                <w:rFonts w:ascii="仿宋" w:hAnsi="仿宋" w:eastAsia="仿宋"/>
                <w:sz w:val="22"/>
                <w:szCs w:val="22"/>
              </w:rPr>
            </w:pPr>
            <w:r>
              <w:rPr>
                <w:rFonts w:ascii="仿宋" w:hAnsi="仿宋" w:eastAsia="仿宋"/>
                <w:sz w:val="22"/>
                <w:szCs w:val="22"/>
              </w:rPr>
              <w:t>高密</w:t>
            </w:r>
            <w:r>
              <w:rPr>
                <w:rFonts w:hint="eastAsia" w:ascii="仿宋" w:hAnsi="仿宋" w:eastAsia="仿宋"/>
                <w:sz w:val="22"/>
                <w:szCs w:val="22"/>
              </w:rPr>
              <w:t>A</w:t>
            </w:r>
            <w:r>
              <w:rPr>
                <w:rFonts w:ascii="仿宋" w:hAnsi="仿宋" w:eastAsia="仿宋"/>
                <w:sz w:val="22"/>
                <w:szCs w:val="22"/>
              </w:rPr>
              <w:t>P1：</w:t>
            </w:r>
          </w:p>
          <w:p w14:paraId="7627DB44">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①高密度802.11ax室内无线接入点；</w:t>
            </w:r>
          </w:p>
          <w:p w14:paraId="5C2EE45A">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②三路双频，2.4G最大1.15Gbps，5G最大5.67Gbps，整机最大支持10条空间流，整机最高接入速率6.82Gbps；</w:t>
            </w:r>
          </w:p>
          <w:p w14:paraId="08C76EBA">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③可支持胖/瘦模式切换、PoE+供电和本地供电；</w:t>
            </w:r>
          </w:p>
          <w:p w14:paraId="22168C73">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④至少支持</w:t>
            </w:r>
            <w:r>
              <w:rPr>
                <w:rFonts w:ascii="仿宋" w:hAnsi="仿宋" w:eastAsia="仿宋" w:cs="Arial"/>
                <w:color w:val="292929"/>
                <w:sz w:val="22"/>
                <w:szCs w:val="22"/>
              </w:rPr>
              <w:t>3个千兆电口</w:t>
            </w:r>
            <w:r>
              <w:rPr>
                <w:rFonts w:hint="eastAsia" w:ascii="仿宋" w:hAnsi="仿宋" w:eastAsia="仿宋"/>
                <w:color w:val="292929"/>
                <w:sz w:val="22"/>
                <w:szCs w:val="22"/>
              </w:rPr>
              <w:t>；</w:t>
            </w:r>
          </w:p>
          <w:p w14:paraId="38175616">
            <w:pPr>
              <w:pStyle w:val="17"/>
              <w:ind w:left="420" w:leftChars="200"/>
              <w:rPr>
                <w:rFonts w:ascii="仿宋" w:hAnsi="仿宋" w:eastAsia="仿宋"/>
                <w:sz w:val="22"/>
                <w:szCs w:val="22"/>
              </w:rPr>
            </w:pPr>
            <w:r>
              <w:rPr>
                <w:rFonts w:hint="eastAsia" w:ascii="仿宋" w:hAnsi="仿宋" w:eastAsia="仿宋"/>
                <w:sz w:val="22"/>
                <w:szCs w:val="22"/>
              </w:rPr>
              <w:t>高密A</w:t>
            </w:r>
            <w:r>
              <w:rPr>
                <w:rFonts w:ascii="仿宋" w:hAnsi="仿宋" w:eastAsia="仿宋"/>
                <w:sz w:val="22"/>
                <w:szCs w:val="22"/>
              </w:rPr>
              <w:t>P2：</w:t>
            </w:r>
          </w:p>
          <w:p w14:paraId="7DD52CBA">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⑤802.11ax四路双频通用级高密放装型AR系列无线接入点；</w:t>
            </w:r>
          </w:p>
          <w:p w14:paraId="6ECDEF48">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⑥整机最大支持8条空间流，整机最高无线协商速率4.134Gbps；</w:t>
            </w:r>
          </w:p>
          <w:p w14:paraId="4862A8C7">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⑦可支持胖/瘦模式切换、802.3at供电和本地供电；</w:t>
            </w:r>
          </w:p>
          <w:p w14:paraId="5BCD0AFF">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⑧至少支持</w:t>
            </w:r>
            <w:r>
              <w:rPr>
                <w:rFonts w:hint="eastAsia" w:ascii="仿宋" w:hAnsi="仿宋" w:eastAsia="仿宋"/>
                <w:color w:val="292929"/>
                <w:sz w:val="22"/>
                <w:szCs w:val="22"/>
              </w:rPr>
              <w:t>1个100/1000/2.5GBase-T自适应以太网接口，1个1G SFP接口，支持1个10/100/1000Base-T自适应以太网接口，支持对物联网单元供电(12V/2W)；</w:t>
            </w:r>
          </w:p>
          <w:p w14:paraId="06CF958B">
            <w:pPr>
              <w:numPr>
                <w:ilvl w:val="0"/>
                <w:numId w:val="13"/>
              </w:numPr>
              <w:rPr>
                <w:rFonts w:ascii="仿宋" w:hAnsi="仿宋" w:eastAsia="仿宋"/>
                <w:b/>
                <w:bCs/>
                <w:sz w:val="22"/>
                <w:szCs w:val="22"/>
              </w:rPr>
            </w:pPr>
            <w:r>
              <w:rPr>
                <w:rFonts w:hint="eastAsia" w:ascii="仿宋" w:hAnsi="仿宋" w:eastAsia="仿宋"/>
                <w:b/>
                <w:bCs/>
                <w:sz w:val="22"/>
                <w:szCs w:val="22"/>
              </w:rPr>
              <w:t>智</w:t>
            </w:r>
            <w:r>
              <w:rPr>
                <w:rFonts w:ascii="仿宋" w:hAnsi="仿宋" w:eastAsia="仿宋"/>
                <w:b/>
                <w:bCs/>
                <w:sz w:val="22"/>
                <w:szCs w:val="22"/>
              </w:rPr>
              <w:t>分主</w:t>
            </w:r>
            <w:r>
              <w:rPr>
                <w:rFonts w:hint="eastAsia" w:ascii="仿宋" w:hAnsi="仿宋" w:eastAsia="仿宋"/>
                <w:b/>
                <w:bCs/>
                <w:sz w:val="22"/>
                <w:szCs w:val="22"/>
              </w:rPr>
              <w:t>A</w:t>
            </w:r>
            <w:r>
              <w:rPr>
                <w:rFonts w:ascii="仿宋" w:hAnsi="仿宋" w:eastAsia="仿宋"/>
                <w:b/>
                <w:bCs/>
                <w:sz w:val="22"/>
                <w:szCs w:val="22"/>
              </w:rPr>
              <w:t>P</w:t>
            </w:r>
            <w:r>
              <w:rPr>
                <w:rFonts w:hint="eastAsia" w:ascii="仿宋" w:hAnsi="仿宋" w:eastAsia="仿宋"/>
                <w:b/>
                <w:bCs/>
                <w:sz w:val="22"/>
                <w:szCs w:val="22"/>
              </w:rPr>
              <w:t>（3台）：</w:t>
            </w:r>
          </w:p>
          <w:p w14:paraId="1F1F994B">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1B52B22D">
            <w:pPr>
              <w:snapToGrid w:val="0"/>
              <w:ind w:left="420" w:leftChars="200"/>
              <w:rPr>
                <w:rFonts w:ascii="仿宋" w:hAnsi="仿宋" w:eastAsia="仿宋"/>
                <w:b/>
                <w:bCs/>
                <w:sz w:val="22"/>
                <w:szCs w:val="22"/>
              </w:rPr>
            </w:pPr>
            <w:r>
              <w:rPr>
                <w:rFonts w:hint="eastAsia" w:ascii="仿宋" w:hAnsi="仿宋" w:eastAsia="仿宋"/>
                <w:b/>
                <w:sz w:val="22"/>
                <w:szCs w:val="22"/>
              </w:rPr>
              <w:t>“▲” 号条款：3项</w:t>
            </w:r>
          </w:p>
          <w:p w14:paraId="18071441">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①支持可选择的4光口、4电口、2光2电三种模式之一的数据上链，上联电口也可以给放装AP供电并提供数据通路，下联24个微AP；</w:t>
            </w:r>
          </w:p>
          <w:p w14:paraId="5649825A">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②每台主机占用4个无线控制器License</w:t>
            </w:r>
            <w:r>
              <w:rPr>
                <w:rFonts w:ascii="仿宋" w:hAnsi="仿宋" w:eastAsia="仿宋"/>
                <w:sz w:val="22"/>
                <w:szCs w:val="22"/>
              </w:rPr>
              <w:t>；</w:t>
            </w:r>
          </w:p>
          <w:p w14:paraId="4D9E4C82">
            <w:pPr>
              <w:pStyle w:val="17"/>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③支持SSID隐藏，每个SSID可配置单独的认证方式、加密机制，VLAN属性</w:t>
            </w:r>
            <w:r>
              <w:rPr>
                <w:rFonts w:hint="eastAsia" w:ascii="仿宋" w:hAnsi="仿宋" w:eastAsia="仿宋"/>
                <w:sz w:val="22"/>
                <w:szCs w:val="22"/>
                <w:lang w:eastAsia="zh-CN"/>
              </w:rPr>
              <w:t>，</w:t>
            </w:r>
            <w:r>
              <w:rPr>
                <w:rFonts w:hint="eastAsia" w:ascii="仿宋" w:hAnsi="仿宋" w:eastAsia="仿宋"/>
                <w:sz w:val="22"/>
                <w:szCs w:val="22"/>
              </w:rPr>
              <w:t>支持虚拟AP服务，最大支持虚拟AP数≥64个；</w:t>
            </w:r>
          </w:p>
          <w:p w14:paraId="48994AE1">
            <w:pPr>
              <w:numPr>
                <w:ilvl w:val="0"/>
                <w:numId w:val="13"/>
              </w:numPr>
              <w:rPr>
                <w:rFonts w:ascii="仿宋" w:hAnsi="仿宋" w:eastAsia="仿宋"/>
                <w:b/>
                <w:bCs/>
                <w:sz w:val="22"/>
                <w:szCs w:val="22"/>
              </w:rPr>
            </w:pPr>
            <w:r>
              <w:rPr>
                <w:rFonts w:hint="eastAsia" w:ascii="仿宋" w:hAnsi="仿宋" w:eastAsia="仿宋"/>
                <w:b/>
                <w:bCs/>
                <w:sz w:val="22"/>
                <w:szCs w:val="22"/>
              </w:rPr>
              <w:t>智</w:t>
            </w:r>
            <w:r>
              <w:rPr>
                <w:rFonts w:ascii="仿宋" w:hAnsi="仿宋" w:eastAsia="仿宋"/>
                <w:b/>
                <w:bCs/>
                <w:sz w:val="22"/>
                <w:szCs w:val="22"/>
              </w:rPr>
              <w:t>分微</w:t>
            </w:r>
            <w:r>
              <w:rPr>
                <w:rFonts w:hint="eastAsia" w:ascii="仿宋" w:hAnsi="仿宋" w:eastAsia="仿宋"/>
                <w:b/>
                <w:bCs/>
                <w:sz w:val="22"/>
                <w:szCs w:val="22"/>
              </w:rPr>
              <w:t>A</w:t>
            </w:r>
            <w:r>
              <w:rPr>
                <w:rFonts w:ascii="仿宋" w:hAnsi="仿宋" w:eastAsia="仿宋"/>
                <w:b/>
                <w:bCs/>
                <w:sz w:val="22"/>
                <w:szCs w:val="22"/>
              </w:rPr>
              <w:t>P</w:t>
            </w:r>
            <w:r>
              <w:rPr>
                <w:rFonts w:hint="eastAsia" w:ascii="仿宋" w:hAnsi="仿宋" w:eastAsia="仿宋"/>
                <w:b/>
                <w:bCs/>
                <w:sz w:val="22"/>
                <w:szCs w:val="22"/>
              </w:rPr>
              <w:t>（69台）：</w:t>
            </w:r>
          </w:p>
          <w:p w14:paraId="5C716DCE">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30D18796">
            <w:pPr>
              <w:snapToGrid w:val="0"/>
              <w:ind w:left="420" w:leftChars="200"/>
              <w:rPr>
                <w:rFonts w:ascii="仿宋" w:hAnsi="仿宋" w:eastAsia="仿宋"/>
                <w:b/>
                <w:bCs/>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3</w:t>
            </w:r>
            <w:r>
              <w:rPr>
                <w:rFonts w:hint="eastAsia" w:ascii="仿宋" w:hAnsi="仿宋" w:eastAsia="仿宋"/>
                <w:b/>
                <w:sz w:val="22"/>
                <w:szCs w:val="22"/>
              </w:rPr>
              <w:t>项</w:t>
            </w:r>
          </w:p>
          <w:p w14:paraId="4E94710D">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①一个千兆上联接口，4个千兆以太网下联接口；</w:t>
            </w:r>
          </w:p>
          <w:p w14:paraId="217F551D">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②内置天线，双路双频，支持802.11a/n/ac/ax和802.11b/g/n/ax 同时工作，支持11ac Wave 2；</w:t>
            </w:r>
          </w:p>
          <w:p w14:paraId="55B0C30B">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③支持MU-MIMO，最大接入速度573.5Mbps+1201Mbps；</w:t>
            </w:r>
          </w:p>
          <w:p w14:paraId="70FAC3F5">
            <w:pPr>
              <w:rPr>
                <w:rFonts w:ascii="仿宋" w:hAnsi="仿宋" w:eastAsia="仿宋"/>
                <w:b/>
                <w:bCs/>
                <w:sz w:val="22"/>
                <w:szCs w:val="22"/>
              </w:rPr>
            </w:pPr>
            <w:r>
              <w:rPr>
                <w:rFonts w:hint="eastAsia" w:ascii="仿宋" w:hAnsi="仿宋" w:eastAsia="仿宋"/>
                <w:b/>
                <w:bCs/>
                <w:sz w:val="22"/>
                <w:szCs w:val="22"/>
              </w:rPr>
              <w:t>6、</w:t>
            </w:r>
            <w:r>
              <w:rPr>
                <w:rFonts w:ascii="仿宋" w:hAnsi="仿宋" w:eastAsia="仿宋"/>
                <w:b/>
                <w:bCs/>
                <w:sz w:val="22"/>
                <w:szCs w:val="22"/>
              </w:rPr>
              <w:t>24口POE交换机</w:t>
            </w:r>
            <w:r>
              <w:rPr>
                <w:rFonts w:hint="eastAsia" w:ascii="仿宋" w:hAnsi="仿宋" w:eastAsia="仿宋"/>
                <w:b/>
                <w:bCs/>
                <w:sz w:val="22"/>
                <w:szCs w:val="22"/>
              </w:rPr>
              <w:t>（44台）：</w:t>
            </w:r>
          </w:p>
          <w:p w14:paraId="46BDE808">
            <w:pPr>
              <w:snapToGrid w:val="0"/>
              <w:ind w:left="420" w:leftChars="200"/>
              <w:rPr>
                <w:rFonts w:ascii="仿宋" w:hAnsi="仿宋" w:eastAsia="仿宋"/>
                <w:b/>
                <w:sz w:val="22"/>
                <w:szCs w:val="22"/>
              </w:rPr>
            </w:pPr>
            <w:r>
              <w:rPr>
                <w:rFonts w:hint="eastAsia" w:ascii="仿宋" w:hAnsi="仿宋" w:eastAsia="仿宋"/>
                <w:b/>
                <w:sz w:val="22"/>
                <w:szCs w:val="22"/>
              </w:rPr>
              <w:t>“#” 号条款：1项</w:t>
            </w:r>
          </w:p>
          <w:p w14:paraId="060758D6">
            <w:pPr>
              <w:pStyle w:val="17"/>
              <w:spacing w:line="240" w:lineRule="auto"/>
              <w:ind w:left="420" w:leftChars="200"/>
              <w:rPr>
                <w:rFonts w:ascii="仿宋" w:hAnsi="仿宋" w:eastAsia="仿宋"/>
                <w:sz w:val="22"/>
                <w:szCs w:val="22"/>
              </w:rPr>
            </w:pPr>
            <w:r>
              <w:rPr>
                <w:rFonts w:hint="eastAsia" w:ascii="仿宋" w:hAnsi="仿宋" w:eastAsia="仿宋"/>
                <w:b/>
                <w:sz w:val="22"/>
                <w:szCs w:val="22"/>
              </w:rPr>
              <w:t>#</w:t>
            </w:r>
            <w:r>
              <w:rPr>
                <w:rFonts w:hint="eastAsia" w:ascii="仿宋" w:hAnsi="仿宋" w:eastAsia="仿宋"/>
                <w:sz w:val="22"/>
                <w:szCs w:val="22"/>
              </w:rPr>
              <w:t>①投标产品面板自带一键查看PoE供电状态功能的PoE按钮，轻按即可查看设备当前的通信状态和供电状态，提供官网截图证明；</w:t>
            </w:r>
          </w:p>
          <w:p w14:paraId="51793D16">
            <w:pPr>
              <w:snapToGrid w:val="0"/>
              <w:ind w:left="420" w:leftChars="200"/>
              <w:rPr>
                <w:rFonts w:ascii="仿宋" w:hAnsi="仿宋" w:eastAsia="仿宋"/>
                <w:b/>
                <w:sz w:val="22"/>
                <w:szCs w:val="22"/>
              </w:rPr>
            </w:pPr>
          </w:p>
          <w:p w14:paraId="25918284">
            <w:pPr>
              <w:snapToGrid w:val="0"/>
              <w:ind w:left="420" w:leftChars="200"/>
              <w:rPr>
                <w:rFonts w:ascii="仿宋" w:hAnsi="仿宋" w:eastAsia="仿宋"/>
                <w:b/>
                <w:bCs/>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2</w:t>
            </w:r>
            <w:r>
              <w:rPr>
                <w:rFonts w:hint="eastAsia" w:ascii="仿宋" w:hAnsi="仿宋" w:eastAsia="仿宋"/>
                <w:b/>
                <w:sz w:val="22"/>
                <w:szCs w:val="22"/>
              </w:rPr>
              <w:t>项</w:t>
            </w:r>
          </w:p>
          <w:p w14:paraId="09EFA276">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①交换容量≥670Gbps，包转发率≥1</w:t>
            </w:r>
            <w:r>
              <w:rPr>
                <w:rFonts w:ascii="仿宋" w:hAnsi="仿宋" w:eastAsia="仿宋"/>
                <w:sz w:val="22"/>
                <w:szCs w:val="22"/>
              </w:rPr>
              <w:t>6</w:t>
            </w:r>
            <w:r>
              <w:rPr>
                <w:rFonts w:hint="eastAsia" w:ascii="仿宋" w:hAnsi="仿宋" w:eastAsia="仿宋"/>
                <w:sz w:val="22"/>
                <w:szCs w:val="22"/>
              </w:rPr>
              <w:t>0Mpps，固化10/100/1000M以太网端口≥24个，固化1G/10G SFP+接口≥4个，ConSole口≥1个，支持≥24个电口POE/POE+远程供电，整机POE功率输出≥</w:t>
            </w:r>
            <w:r>
              <w:rPr>
                <w:rFonts w:ascii="仿宋" w:hAnsi="仿宋" w:eastAsia="仿宋"/>
                <w:sz w:val="22"/>
                <w:szCs w:val="22"/>
              </w:rPr>
              <w:t>3</w:t>
            </w:r>
            <w:r>
              <w:rPr>
                <w:rFonts w:hint="eastAsia" w:ascii="仿宋" w:hAnsi="仿宋" w:eastAsia="仿宋"/>
                <w:sz w:val="22"/>
                <w:szCs w:val="22"/>
              </w:rPr>
              <w:t>70W，固化电源；</w:t>
            </w:r>
          </w:p>
          <w:p w14:paraId="1DE5470E">
            <w:pPr>
              <w:pStyle w:val="17"/>
              <w:spacing w:line="240" w:lineRule="auto"/>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②支持OpenFlow 1.3协议，支持CPU保护功能</w:t>
            </w:r>
            <w:r>
              <w:rPr>
                <w:rFonts w:ascii="仿宋" w:hAnsi="仿宋" w:eastAsia="仿宋"/>
                <w:sz w:val="22"/>
                <w:szCs w:val="22"/>
              </w:rPr>
              <w:t>；</w:t>
            </w:r>
          </w:p>
          <w:p w14:paraId="1C92F014">
            <w:pPr>
              <w:rPr>
                <w:rFonts w:ascii="仿宋" w:hAnsi="仿宋" w:eastAsia="仿宋"/>
                <w:b/>
                <w:bCs/>
                <w:sz w:val="22"/>
                <w:szCs w:val="22"/>
              </w:rPr>
            </w:pPr>
            <w:r>
              <w:rPr>
                <w:rFonts w:hint="eastAsia" w:ascii="仿宋" w:hAnsi="仿宋" w:eastAsia="仿宋"/>
                <w:b/>
                <w:bCs/>
                <w:sz w:val="22"/>
                <w:szCs w:val="22"/>
              </w:rPr>
              <w:t>7、</w:t>
            </w:r>
            <w:r>
              <w:rPr>
                <w:rFonts w:ascii="仿宋" w:hAnsi="仿宋" w:eastAsia="仿宋"/>
                <w:b/>
                <w:bCs/>
                <w:sz w:val="22"/>
                <w:szCs w:val="22"/>
              </w:rPr>
              <w:t>汇聚交换机</w:t>
            </w:r>
            <w:r>
              <w:rPr>
                <w:rFonts w:hint="eastAsia" w:ascii="仿宋" w:hAnsi="仿宋" w:eastAsia="仿宋"/>
                <w:b/>
                <w:bCs/>
                <w:sz w:val="22"/>
                <w:szCs w:val="22"/>
              </w:rPr>
              <w:t>（7台）：</w:t>
            </w:r>
          </w:p>
          <w:p w14:paraId="665B9F0B">
            <w:pPr>
              <w:snapToGrid w:val="0"/>
              <w:ind w:left="420" w:leftChars="200"/>
              <w:rPr>
                <w:rFonts w:ascii="仿宋" w:hAnsi="仿宋" w:eastAsia="仿宋"/>
                <w:b/>
                <w:sz w:val="22"/>
                <w:szCs w:val="22"/>
              </w:rPr>
            </w:pPr>
            <w:r>
              <w:rPr>
                <w:rFonts w:hint="eastAsia" w:ascii="仿宋" w:hAnsi="仿宋" w:eastAsia="仿宋"/>
                <w:b/>
                <w:sz w:val="22"/>
                <w:szCs w:val="22"/>
              </w:rPr>
              <w:t>“#” 号条款：2项</w:t>
            </w:r>
          </w:p>
          <w:p w14:paraId="514B56B5">
            <w:pPr>
              <w:pStyle w:val="17"/>
              <w:spacing w:line="240" w:lineRule="auto"/>
              <w:ind w:left="420" w:leftChars="200"/>
              <w:rPr>
                <w:rFonts w:ascii="仿宋" w:hAnsi="仿宋" w:eastAsia="仿宋"/>
                <w:sz w:val="22"/>
                <w:szCs w:val="22"/>
              </w:rPr>
            </w:pPr>
            <w:r>
              <w:rPr>
                <w:rFonts w:hint="eastAsia" w:ascii="仿宋" w:hAnsi="仿宋" w:eastAsia="仿宋"/>
                <w:b/>
                <w:sz w:val="22"/>
                <w:szCs w:val="22"/>
              </w:rPr>
              <w:t>#</w:t>
            </w:r>
            <w:r>
              <w:rPr>
                <w:rFonts w:hint="eastAsia" w:ascii="仿宋" w:hAnsi="仿宋" w:eastAsia="仿宋"/>
                <w:sz w:val="22"/>
                <w:szCs w:val="22"/>
              </w:rPr>
              <w:t>①支持硬件健康状态可视化，可以对风扇状态、电源、温度、板载电压进行监控，尤其是在日常巡查中发现电压异常前兆，可及时处理，避免出现电压异常宕机，提供检测报告证明；</w:t>
            </w:r>
          </w:p>
          <w:p w14:paraId="6F5E5358">
            <w:pPr>
              <w:ind w:left="420" w:leftChars="200"/>
              <w:rPr>
                <w:rFonts w:ascii="仿宋" w:hAnsi="仿宋" w:eastAsia="仿宋"/>
                <w:sz w:val="22"/>
                <w:szCs w:val="22"/>
              </w:rPr>
            </w:pPr>
            <w:r>
              <w:rPr>
                <w:rFonts w:hint="eastAsia" w:ascii="仿宋" w:hAnsi="仿宋" w:eastAsia="仿宋"/>
                <w:b/>
                <w:sz w:val="22"/>
                <w:szCs w:val="22"/>
              </w:rPr>
              <w:t>#</w:t>
            </w:r>
            <w:r>
              <w:rPr>
                <w:rFonts w:hint="eastAsia" w:ascii="仿宋" w:hAnsi="仿宋" w:eastAsia="仿宋"/>
                <w:sz w:val="22"/>
                <w:szCs w:val="22"/>
              </w:rPr>
              <w:t>②设备支持故障隔离技术，用于监测光模块状态，一旦出现故障，可马上识别、并将故障模块隔离，确保不影响其它端口和整机的正常运行，更换模块后该端口也可马上恢复正常工作，提供检测报告证明；</w:t>
            </w:r>
          </w:p>
          <w:p w14:paraId="243B128F">
            <w:pPr>
              <w:snapToGrid w:val="0"/>
              <w:ind w:left="420" w:leftChars="200"/>
              <w:rPr>
                <w:rFonts w:ascii="仿宋" w:hAnsi="仿宋" w:eastAsia="仿宋"/>
                <w:b/>
                <w:sz w:val="22"/>
                <w:szCs w:val="22"/>
              </w:rPr>
            </w:pPr>
          </w:p>
          <w:p w14:paraId="416A4B71">
            <w:pPr>
              <w:snapToGrid w:val="0"/>
              <w:ind w:left="420" w:leftChars="200"/>
              <w:rPr>
                <w:rFonts w:ascii="仿宋" w:hAnsi="仿宋" w:eastAsia="仿宋"/>
                <w:b/>
                <w:bCs/>
                <w:sz w:val="22"/>
                <w:szCs w:val="22"/>
              </w:rPr>
            </w:pPr>
            <w:r>
              <w:rPr>
                <w:rFonts w:hint="eastAsia" w:ascii="仿宋" w:hAnsi="仿宋" w:eastAsia="仿宋"/>
                <w:b/>
                <w:sz w:val="22"/>
                <w:szCs w:val="22"/>
              </w:rPr>
              <w:t>“▲” 号条款：</w:t>
            </w:r>
            <w:r>
              <w:rPr>
                <w:rFonts w:hint="eastAsia" w:ascii="仿宋" w:hAnsi="仿宋" w:eastAsia="仿宋"/>
                <w:b/>
                <w:sz w:val="22"/>
                <w:szCs w:val="22"/>
                <w:lang w:val="en-US" w:eastAsia="zh-CN"/>
              </w:rPr>
              <w:t>2</w:t>
            </w:r>
            <w:r>
              <w:rPr>
                <w:rFonts w:hint="eastAsia" w:ascii="仿宋" w:hAnsi="仿宋" w:eastAsia="仿宋"/>
                <w:b/>
                <w:sz w:val="22"/>
                <w:szCs w:val="22"/>
              </w:rPr>
              <w:t>项</w:t>
            </w:r>
          </w:p>
          <w:p w14:paraId="3C9F5C8C">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①包转发率：≥570Mpps/1260Mpps，交换容量：≥2.56T/23.04T；</w:t>
            </w:r>
          </w:p>
          <w:p w14:paraId="165398A6">
            <w:pPr>
              <w:snapToGrid w:val="0"/>
              <w:ind w:left="420" w:leftChars="200"/>
              <w:jc w:val="left"/>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②20个1G/10G SFP+光口，≥4个10G/25G SFP28光口，≥2个40G QSFP+光口，单台实配2个模块化电源，2个模块化风扇，2个40G单模10KM光模块；</w:t>
            </w:r>
          </w:p>
          <w:p w14:paraId="72DB9E56">
            <w:pPr>
              <w:rPr>
                <w:rFonts w:ascii="仿宋" w:hAnsi="仿宋" w:eastAsia="仿宋"/>
                <w:b/>
                <w:bCs/>
                <w:sz w:val="22"/>
                <w:szCs w:val="22"/>
              </w:rPr>
            </w:pPr>
            <w:r>
              <w:rPr>
                <w:rFonts w:hint="eastAsia" w:ascii="仿宋" w:hAnsi="仿宋" w:eastAsia="仿宋"/>
                <w:b/>
                <w:bCs/>
                <w:sz w:val="22"/>
                <w:szCs w:val="22"/>
              </w:rPr>
              <w:t>8、无线控制器（1台）：</w:t>
            </w:r>
          </w:p>
          <w:p w14:paraId="1169A4D1">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19ED6AA5">
            <w:pPr>
              <w:snapToGrid w:val="0"/>
              <w:ind w:left="420" w:leftChars="200"/>
              <w:rPr>
                <w:rFonts w:ascii="仿宋" w:hAnsi="仿宋" w:eastAsia="仿宋"/>
                <w:b/>
                <w:bCs/>
                <w:sz w:val="22"/>
                <w:szCs w:val="22"/>
              </w:rPr>
            </w:pPr>
            <w:r>
              <w:rPr>
                <w:rFonts w:hint="eastAsia" w:ascii="仿宋" w:hAnsi="仿宋" w:eastAsia="仿宋"/>
                <w:b/>
                <w:sz w:val="22"/>
                <w:szCs w:val="22"/>
              </w:rPr>
              <w:t>“▲” 号条款：4项</w:t>
            </w:r>
          </w:p>
          <w:p w14:paraId="6D82F6FE">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①下一代无线控制器，自带8个千兆光电复用口，4个万兆光口；</w:t>
            </w:r>
          </w:p>
          <w:p w14:paraId="2595EF25">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②默认支持128个AP，可通过扩展License最大控制2176个普通AP；</w:t>
            </w:r>
          </w:p>
          <w:p w14:paraId="06632559">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③支持两个电源模块；</w:t>
            </w:r>
          </w:p>
          <w:p w14:paraId="4C3AD05B">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④单台配置：实配无线控制器授权≥416；</w:t>
            </w:r>
          </w:p>
          <w:p w14:paraId="2373CAE4">
            <w:pPr>
              <w:snapToGrid w:val="0"/>
              <w:rPr>
                <w:rFonts w:ascii="仿宋" w:hAnsi="仿宋" w:eastAsia="仿宋"/>
                <w:sz w:val="22"/>
                <w:szCs w:val="22"/>
              </w:rPr>
            </w:pPr>
          </w:p>
          <w:p w14:paraId="674C0071">
            <w:pPr>
              <w:snapToGrid w:val="0"/>
              <w:rPr>
                <w:rFonts w:ascii="仿宋" w:hAnsi="仿宋" w:eastAsia="仿宋"/>
                <w:b/>
                <w:bCs/>
                <w:sz w:val="22"/>
                <w:szCs w:val="22"/>
              </w:rPr>
            </w:pPr>
            <w:r>
              <w:rPr>
                <w:rFonts w:hint="eastAsia" w:ascii="仿宋" w:hAnsi="仿宋" w:eastAsia="仿宋"/>
                <w:b/>
                <w:bCs/>
                <w:sz w:val="22"/>
                <w:szCs w:val="22"/>
              </w:rPr>
              <w:t>9、</w:t>
            </w:r>
            <w:r>
              <w:rPr>
                <w:rFonts w:ascii="仿宋" w:hAnsi="仿宋" w:eastAsia="仿宋"/>
                <w:b/>
                <w:bCs/>
                <w:sz w:val="22"/>
                <w:szCs w:val="22"/>
              </w:rPr>
              <w:t>万兆</w:t>
            </w:r>
            <w:r>
              <w:rPr>
                <w:rFonts w:hint="eastAsia" w:ascii="仿宋" w:hAnsi="仿宋" w:eastAsia="仿宋"/>
                <w:b/>
                <w:bCs/>
                <w:sz w:val="22"/>
                <w:szCs w:val="22"/>
              </w:rPr>
              <w:t>单模</w:t>
            </w:r>
            <w:r>
              <w:rPr>
                <w:rFonts w:ascii="仿宋" w:hAnsi="仿宋" w:eastAsia="仿宋"/>
                <w:b/>
                <w:bCs/>
                <w:sz w:val="22"/>
                <w:szCs w:val="22"/>
              </w:rPr>
              <w:t>光模块</w:t>
            </w:r>
            <w:r>
              <w:rPr>
                <w:rFonts w:hint="eastAsia" w:ascii="仿宋" w:hAnsi="仿宋" w:eastAsia="仿宋"/>
                <w:b/>
                <w:bCs/>
                <w:sz w:val="22"/>
                <w:szCs w:val="22"/>
              </w:rPr>
              <w:t>（14块）：</w:t>
            </w:r>
          </w:p>
          <w:p w14:paraId="36EA541E">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357AC340">
            <w:pPr>
              <w:snapToGrid w:val="0"/>
              <w:ind w:left="420" w:leftChars="200"/>
              <w:rPr>
                <w:rFonts w:ascii="仿宋" w:hAnsi="仿宋" w:eastAsia="仿宋"/>
                <w:b/>
                <w:bCs/>
                <w:sz w:val="22"/>
                <w:szCs w:val="22"/>
              </w:rPr>
            </w:pPr>
            <w:r>
              <w:rPr>
                <w:rFonts w:hint="eastAsia" w:ascii="仿宋" w:hAnsi="仿宋" w:eastAsia="仿宋"/>
                <w:b/>
                <w:sz w:val="22"/>
                <w:szCs w:val="22"/>
              </w:rPr>
              <w:t>“▲” 号条款：1项</w:t>
            </w:r>
          </w:p>
          <w:p w14:paraId="4DE0F126">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①万兆LC接口模块（1310nm），10km，适用于SFP+接口</w:t>
            </w:r>
          </w:p>
          <w:p w14:paraId="6B938FFE">
            <w:pPr>
              <w:snapToGrid w:val="0"/>
              <w:rPr>
                <w:rFonts w:ascii="仿宋" w:hAnsi="仿宋" w:eastAsia="仿宋"/>
                <w:sz w:val="22"/>
                <w:szCs w:val="22"/>
              </w:rPr>
            </w:pPr>
          </w:p>
          <w:p w14:paraId="72EBF3AE">
            <w:pPr>
              <w:snapToGrid w:val="0"/>
              <w:rPr>
                <w:rFonts w:ascii="仿宋" w:hAnsi="仿宋" w:eastAsia="仿宋"/>
                <w:b/>
                <w:bCs/>
                <w:sz w:val="22"/>
                <w:szCs w:val="22"/>
              </w:rPr>
            </w:pPr>
            <w:r>
              <w:rPr>
                <w:rFonts w:hint="eastAsia" w:ascii="仿宋" w:hAnsi="仿宋" w:eastAsia="仿宋"/>
                <w:b/>
                <w:bCs/>
                <w:sz w:val="22"/>
                <w:szCs w:val="22"/>
              </w:rPr>
              <w:t>10、</w:t>
            </w:r>
            <w:r>
              <w:rPr>
                <w:rFonts w:ascii="仿宋" w:hAnsi="仿宋" w:eastAsia="仿宋"/>
                <w:b/>
                <w:bCs/>
                <w:sz w:val="22"/>
                <w:szCs w:val="22"/>
              </w:rPr>
              <w:t>万兆多模光模块</w:t>
            </w:r>
            <w:r>
              <w:rPr>
                <w:rFonts w:hint="eastAsia" w:ascii="仿宋" w:hAnsi="仿宋" w:eastAsia="仿宋"/>
                <w:b/>
                <w:bCs/>
                <w:sz w:val="22"/>
                <w:szCs w:val="22"/>
              </w:rPr>
              <w:t>（9</w:t>
            </w:r>
            <w:r>
              <w:rPr>
                <w:rFonts w:ascii="仿宋" w:hAnsi="仿宋" w:eastAsia="仿宋"/>
                <w:b/>
                <w:bCs/>
                <w:sz w:val="22"/>
                <w:szCs w:val="22"/>
              </w:rPr>
              <w:t>6</w:t>
            </w:r>
            <w:r>
              <w:rPr>
                <w:rFonts w:hint="eastAsia" w:ascii="仿宋" w:hAnsi="仿宋" w:eastAsia="仿宋"/>
                <w:b/>
                <w:bCs/>
                <w:sz w:val="22"/>
                <w:szCs w:val="22"/>
              </w:rPr>
              <w:t>块）：</w:t>
            </w:r>
          </w:p>
          <w:p w14:paraId="10F9B945">
            <w:pPr>
              <w:snapToGrid w:val="0"/>
              <w:ind w:left="420" w:leftChars="200"/>
              <w:rPr>
                <w:rFonts w:ascii="仿宋" w:hAnsi="仿宋" w:eastAsia="仿宋"/>
                <w:b/>
                <w:sz w:val="22"/>
                <w:szCs w:val="22"/>
              </w:rPr>
            </w:pPr>
            <w:r>
              <w:rPr>
                <w:rFonts w:hint="eastAsia" w:ascii="仿宋" w:hAnsi="仿宋" w:eastAsia="仿宋"/>
                <w:b/>
                <w:sz w:val="22"/>
                <w:szCs w:val="22"/>
              </w:rPr>
              <w:t>“#” 号条款：0 项</w:t>
            </w:r>
          </w:p>
          <w:p w14:paraId="366FB227">
            <w:pPr>
              <w:snapToGrid w:val="0"/>
              <w:ind w:left="420" w:leftChars="200"/>
              <w:rPr>
                <w:rFonts w:ascii="仿宋" w:hAnsi="仿宋" w:eastAsia="仿宋"/>
                <w:b/>
                <w:bCs/>
                <w:sz w:val="22"/>
                <w:szCs w:val="22"/>
              </w:rPr>
            </w:pPr>
            <w:r>
              <w:rPr>
                <w:rFonts w:hint="eastAsia" w:ascii="仿宋" w:hAnsi="仿宋" w:eastAsia="仿宋"/>
                <w:b/>
                <w:sz w:val="22"/>
                <w:szCs w:val="22"/>
              </w:rPr>
              <w:t>“▲” 号条款：1项</w:t>
            </w:r>
          </w:p>
          <w:p w14:paraId="7FF22CED">
            <w:pPr>
              <w:snapToGrid w:val="0"/>
              <w:ind w:left="420" w:leftChars="200"/>
              <w:rPr>
                <w:rFonts w:ascii="仿宋" w:hAnsi="仿宋" w:eastAsia="仿宋"/>
                <w:sz w:val="22"/>
                <w:szCs w:val="22"/>
              </w:rPr>
            </w:pPr>
            <w:r>
              <w:rPr>
                <w:rFonts w:hint="eastAsia" w:ascii="仿宋" w:hAnsi="仿宋" w:eastAsia="仿宋"/>
                <w:b/>
                <w:bCs/>
                <w:sz w:val="22"/>
                <w:szCs w:val="22"/>
              </w:rPr>
              <w:t>▲</w:t>
            </w:r>
            <w:r>
              <w:rPr>
                <w:rFonts w:hint="eastAsia" w:ascii="仿宋" w:hAnsi="仿宋" w:eastAsia="仿宋"/>
                <w:sz w:val="22"/>
                <w:szCs w:val="22"/>
              </w:rPr>
              <w:t>①万兆LC接口模块（62.5/125μm：33米；50/125μm：66米；模态带宽为2000MHz</w:t>
            </w:r>
            <w:r>
              <w:rPr>
                <w:rFonts w:hint="eastAsia" w:ascii="微软雅黑" w:hAnsi="微软雅黑" w:eastAsia="微软雅黑" w:cs="微软雅黑"/>
                <w:sz w:val="22"/>
                <w:szCs w:val="22"/>
              </w:rPr>
              <w:t>•</w:t>
            </w:r>
            <w:r>
              <w:rPr>
                <w:rFonts w:hint="eastAsia" w:ascii="仿宋" w:hAnsi="仿宋" w:eastAsia="仿宋"/>
                <w:sz w:val="22"/>
                <w:szCs w:val="22"/>
              </w:rPr>
              <w:t>km时传输300米），适用于SFP+接口</w:t>
            </w:r>
          </w:p>
          <w:p w14:paraId="1F8284FA">
            <w:pPr>
              <w:pStyle w:val="17"/>
              <w:rPr>
                <w:rFonts w:ascii="仿宋" w:hAnsi="仿宋" w:eastAsia="仿宋"/>
                <w:sz w:val="22"/>
                <w:szCs w:val="22"/>
              </w:rPr>
            </w:pPr>
          </w:p>
          <w:p w14:paraId="26D7DB5A">
            <w:pPr>
              <w:pStyle w:val="17"/>
              <w:rPr>
                <w:rFonts w:ascii="仿宋" w:hAnsi="仿宋" w:eastAsia="仿宋"/>
                <w:sz w:val="22"/>
                <w:szCs w:val="22"/>
              </w:rPr>
            </w:pPr>
          </w:p>
          <w:p w14:paraId="4691F339">
            <w:pPr>
              <w:snapToGrid w:val="0"/>
              <w:rPr>
                <w:rFonts w:ascii="仿宋" w:hAnsi="仿宋" w:eastAsia="仿宋"/>
                <w:sz w:val="22"/>
              </w:rPr>
            </w:pPr>
          </w:p>
        </w:tc>
      </w:tr>
    </w:tbl>
    <w:p w14:paraId="15B93FAB">
      <w:pPr>
        <w:widowControl/>
        <w:spacing w:line="360" w:lineRule="auto"/>
        <w:ind w:firstLine="480" w:firstLineChars="200"/>
        <w:contextualSpacing/>
        <w:rPr>
          <w:sz w:val="24"/>
        </w:rPr>
      </w:pPr>
    </w:p>
    <w:p w14:paraId="65BFA4A7">
      <w:pPr>
        <w:widowControl/>
        <w:spacing w:line="360" w:lineRule="auto"/>
        <w:ind w:firstLine="480" w:firstLineChars="200"/>
        <w:contextualSpacing/>
        <w:outlineLvl w:val="2"/>
        <w:rPr>
          <w:sz w:val="24"/>
        </w:rPr>
      </w:pPr>
      <w:r>
        <w:rPr>
          <w:rFonts w:hint="eastAsia"/>
          <w:sz w:val="24"/>
        </w:rPr>
        <w:t>2.1.2项目服务团队要求</w:t>
      </w:r>
    </w:p>
    <w:p w14:paraId="621DDEEB">
      <w:pPr>
        <w:widowControl/>
        <w:spacing w:line="360" w:lineRule="auto"/>
        <w:ind w:firstLine="480"/>
        <w:contextualSpacing/>
        <w:rPr>
          <w:rFonts w:ascii="宋体" w:hAnsi="宋体" w:cs="宋体"/>
          <w:sz w:val="24"/>
        </w:rPr>
      </w:pPr>
      <w:r>
        <w:rPr>
          <w:rFonts w:hint="eastAsia" w:ascii="宋体" w:hAnsi="宋体" w:cs="宋体"/>
          <w:sz w:val="24"/>
        </w:rPr>
        <w:t>在服务期内，投标人必须组成专门的项目团队，提供网络接入等服务支撑工作，并保障项目过程安全合规。</w:t>
      </w:r>
    </w:p>
    <w:p w14:paraId="2BCA37F3">
      <w:pPr>
        <w:widowControl/>
        <w:spacing w:line="360" w:lineRule="auto"/>
        <w:ind w:firstLine="480" w:firstLineChars="200"/>
        <w:contextualSpacing/>
        <w:rPr>
          <w:sz w:val="24"/>
          <w:lang w:bidi="ar"/>
        </w:rPr>
      </w:pPr>
      <w:r>
        <w:rPr>
          <w:sz w:val="24"/>
          <w:lang w:bidi="ar"/>
        </w:rPr>
        <w:t>项目服务团队须有一名经验丰富的项目经理，具备信息系统项目管理师证书、通信专业高级工程师证书。</w:t>
      </w:r>
    </w:p>
    <w:p w14:paraId="354D3FB8">
      <w:pPr>
        <w:widowControl/>
        <w:spacing w:line="360" w:lineRule="auto"/>
        <w:ind w:firstLine="480" w:firstLineChars="200"/>
        <w:contextualSpacing/>
        <w:rPr>
          <w:sz w:val="24"/>
        </w:rPr>
      </w:pPr>
      <w:r>
        <w:rPr>
          <w:sz w:val="24"/>
        </w:rPr>
        <w:t>除项目经理外，</w:t>
      </w:r>
      <w:r>
        <w:rPr>
          <w:sz w:val="24"/>
          <w:lang w:bidi="ar"/>
        </w:rPr>
        <w:t>项目服务团队须配备至少6名技术服务人员，具有计算机技术与软件专业技</w:t>
      </w:r>
      <w:r>
        <w:rPr>
          <w:rFonts w:hint="eastAsia"/>
          <w:sz w:val="24"/>
          <w:lang w:bidi="ar"/>
        </w:rPr>
        <w:t>术网络工程师或通信专业技术人员职业资格</w:t>
      </w:r>
      <w:r>
        <w:rPr>
          <w:rFonts w:hint="eastAsia"/>
          <w:sz w:val="24"/>
          <w:lang w:eastAsia="zh-CN" w:bidi="ar"/>
        </w:rPr>
        <w:t>（</w:t>
      </w:r>
      <w:r>
        <w:rPr>
          <w:rFonts w:hint="eastAsia"/>
          <w:sz w:val="24"/>
          <w:lang w:bidi="ar"/>
        </w:rPr>
        <w:t>互联网技术专业</w:t>
      </w:r>
      <w:r>
        <w:rPr>
          <w:rFonts w:hint="eastAsia"/>
          <w:sz w:val="24"/>
          <w:lang w:eastAsia="zh-CN" w:bidi="ar"/>
        </w:rPr>
        <w:t>）</w:t>
      </w:r>
      <w:r>
        <w:rPr>
          <w:rFonts w:hint="eastAsia"/>
          <w:sz w:val="24"/>
          <w:lang w:bidi="ar"/>
        </w:rPr>
        <w:t>证书。</w:t>
      </w:r>
    </w:p>
    <w:p w14:paraId="1EA33B52">
      <w:pPr>
        <w:widowControl/>
        <w:spacing w:line="360" w:lineRule="auto"/>
        <w:ind w:firstLine="480" w:firstLineChars="200"/>
        <w:contextualSpacing/>
        <w:outlineLvl w:val="2"/>
        <w:rPr>
          <w:sz w:val="24"/>
        </w:rPr>
      </w:pPr>
      <w:r>
        <w:rPr>
          <w:rFonts w:hint="eastAsia"/>
          <w:sz w:val="24"/>
        </w:rPr>
        <w:t>2.1.3安装调试要求</w:t>
      </w:r>
    </w:p>
    <w:p w14:paraId="238FB1C2">
      <w:pPr>
        <w:widowControl/>
        <w:spacing w:line="360" w:lineRule="auto"/>
        <w:ind w:firstLine="480" w:firstLineChars="200"/>
        <w:contextualSpacing/>
        <w:rPr>
          <w:sz w:val="24"/>
        </w:rPr>
      </w:pPr>
      <w:r>
        <w:rPr>
          <w:rFonts w:hint="eastAsia"/>
          <w:sz w:val="24"/>
        </w:rPr>
        <w:t>提供完整的安装调试方案，有专业的安装、部署、测试、调试管理流程和方法，提供交钥匙工程。</w:t>
      </w:r>
    </w:p>
    <w:p w14:paraId="5CEDAF14">
      <w:pPr>
        <w:widowControl/>
        <w:adjustRightInd w:val="0"/>
        <w:spacing w:line="360" w:lineRule="auto"/>
        <w:ind w:firstLine="480" w:firstLineChars="200"/>
        <w:contextualSpacing/>
        <w:jc w:val="left"/>
        <w:outlineLvl w:val="2"/>
        <w:rPr>
          <w:sz w:val="24"/>
          <w:lang w:bidi="ar"/>
        </w:rPr>
      </w:pPr>
      <w:r>
        <w:rPr>
          <w:rFonts w:hint="eastAsia"/>
          <w:sz w:val="24"/>
        </w:rPr>
        <w:t>2.1.4</w:t>
      </w:r>
      <w:r>
        <w:rPr>
          <w:rFonts w:hint="eastAsia"/>
          <w:sz w:val="24"/>
          <w:lang w:bidi="ar"/>
        </w:rPr>
        <w:t>带宽服务的运营方案</w:t>
      </w:r>
    </w:p>
    <w:p w14:paraId="5985CC0E">
      <w:pPr>
        <w:widowControl/>
        <w:adjustRightInd w:val="0"/>
        <w:spacing w:line="360" w:lineRule="auto"/>
        <w:ind w:firstLine="480" w:firstLineChars="200"/>
        <w:contextualSpacing/>
        <w:jc w:val="left"/>
        <w:rPr>
          <w:sz w:val="24"/>
          <w:lang w:bidi="ar"/>
        </w:rPr>
      </w:pPr>
      <w:r>
        <w:rPr>
          <w:rFonts w:hint="eastAsia" w:ascii="宋体" w:hAnsi="宋体" w:cs="宋体"/>
          <w:color w:val="000000"/>
          <w:kern w:val="0"/>
          <w:sz w:val="24"/>
          <w:lang w:bidi="ar"/>
        </w:rPr>
        <w:t>提供专业的需求对接、资源调度、开通运维的流程及方法，确保交付即稳定使用。</w:t>
      </w:r>
    </w:p>
    <w:p w14:paraId="2E465AC7">
      <w:pPr>
        <w:widowControl/>
        <w:spacing w:line="360" w:lineRule="auto"/>
        <w:ind w:firstLine="480" w:firstLineChars="200"/>
        <w:contextualSpacing/>
        <w:outlineLvl w:val="2"/>
        <w:rPr>
          <w:sz w:val="24"/>
        </w:rPr>
      </w:pPr>
      <w:r>
        <w:rPr>
          <w:rFonts w:hint="eastAsia"/>
          <w:sz w:val="24"/>
        </w:rPr>
        <w:t>2.1.5培训要求</w:t>
      </w:r>
    </w:p>
    <w:p w14:paraId="35F9FC71">
      <w:pPr>
        <w:widowControl/>
        <w:adjustRightInd w:val="0"/>
        <w:spacing w:line="360" w:lineRule="auto"/>
        <w:ind w:firstLine="480" w:firstLineChars="200"/>
        <w:contextualSpacing/>
        <w:jc w:val="left"/>
        <w:rPr>
          <w:sz w:val="24"/>
        </w:rPr>
      </w:pPr>
      <w:r>
        <w:rPr>
          <w:rFonts w:hint="eastAsia" w:ascii="宋体" w:hAnsi="宋体" w:cs="宋体"/>
          <w:color w:val="000000"/>
          <w:sz w:val="24"/>
        </w:rPr>
        <w:t>提供专业的客户培训，有客户操作培训，确保采购人能够自主管理宽带。</w:t>
      </w:r>
    </w:p>
    <w:p w14:paraId="2E40DCB8">
      <w:pPr>
        <w:widowControl/>
        <w:adjustRightInd w:val="0"/>
        <w:spacing w:line="360" w:lineRule="auto"/>
        <w:ind w:firstLine="480" w:firstLineChars="200"/>
        <w:contextualSpacing/>
        <w:jc w:val="left"/>
        <w:outlineLvl w:val="2"/>
        <w:rPr>
          <w:sz w:val="24"/>
          <w:lang w:bidi="ar"/>
        </w:rPr>
      </w:pPr>
      <w:r>
        <w:rPr>
          <w:rFonts w:hint="eastAsia"/>
          <w:sz w:val="24"/>
        </w:rPr>
        <w:t>2.1.6</w:t>
      </w:r>
      <w:r>
        <w:rPr>
          <w:rFonts w:hint="eastAsia"/>
          <w:sz w:val="24"/>
          <w:lang w:bidi="ar"/>
        </w:rPr>
        <w:t>售后服务方案</w:t>
      </w:r>
    </w:p>
    <w:p w14:paraId="3B951AF9">
      <w:pPr>
        <w:widowControl/>
        <w:spacing w:line="360" w:lineRule="auto"/>
        <w:ind w:firstLine="480" w:firstLineChars="200"/>
        <w:contextualSpacing/>
        <w:rPr>
          <w:sz w:val="24"/>
        </w:rPr>
      </w:pPr>
      <w:r>
        <w:rPr>
          <w:rFonts w:hint="eastAsia"/>
          <w:sz w:val="24"/>
        </w:rPr>
        <w:t>提供无忧售后服务，售后服务 7*24 接收服务需求，确保售后问题及时解决。</w:t>
      </w:r>
    </w:p>
    <w:p w14:paraId="5A252996">
      <w:pPr>
        <w:spacing w:line="360" w:lineRule="auto"/>
        <w:contextualSpacing/>
        <w:rPr>
          <w:i/>
          <w:iCs/>
          <w:sz w:val="24"/>
        </w:rPr>
      </w:pPr>
      <w:r>
        <w:rPr>
          <w:sz w:val="24"/>
        </w:rPr>
        <w:t>3. 验收标准</w:t>
      </w:r>
    </w:p>
    <w:p w14:paraId="554A3084">
      <w:pPr>
        <w:widowControl/>
        <w:spacing w:line="360" w:lineRule="auto"/>
        <w:ind w:firstLine="480" w:firstLineChars="200"/>
        <w:contextualSpacing/>
      </w:pPr>
      <w:r>
        <w:rPr>
          <w:rFonts w:hint="eastAsia"/>
          <w:sz w:val="24"/>
        </w:rPr>
        <w:t>本项目按照</w:t>
      </w:r>
      <w:r>
        <w:rPr>
          <w:rFonts w:hint="eastAsia" w:cs="宋体"/>
          <w:sz w:val="24"/>
        </w:rPr>
        <w:t>招标人</w:t>
      </w:r>
      <w:r>
        <w:rPr>
          <w:rFonts w:hint="eastAsia"/>
          <w:sz w:val="24"/>
        </w:rPr>
        <w:t>要求</w:t>
      </w:r>
      <w:r>
        <w:rPr>
          <w:rFonts w:hint="eastAsia" w:cs="宋体"/>
          <w:sz w:val="24"/>
        </w:rPr>
        <w:t>，参照招标文件、投标文件及合同内容</w:t>
      </w:r>
      <w:r>
        <w:rPr>
          <w:rFonts w:hint="eastAsia"/>
          <w:sz w:val="24"/>
        </w:rPr>
        <w:t>开展验收工作，中标单位需配合</w:t>
      </w:r>
      <w:r>
        <w:rPr>
          <w:rFonts w:hint="eastAsia" w:cs="宋体"/>
          <w:sz w:val="24"/>
        </w:rPr>
        <w:t>招标人</w:t>
      </w:r>
      <w:r>
        <w:rPr>
          <w:rFonts w:hint="eastAsia"/>
          <w:sz w:val="24"/>
        </w:rPr>
        <w:t>准备相关验收材料。</w:t>
      </w:r>
    </w:p>
    <w:p w14:paraId="0B57F906">
      <w:pPr>
        <w:pStyle w:val="17"/>
      </w:pPr>
    </w:p>
    <w:bookmarkEnd w:id="1"/>
    <w:bookmarkEnd w:id="2"/>
    <w:bookmarkEnd w:id="3"/>
    <w:bookmarkEnd w:id="4"/>
    <w:bookmarkEnd w:id="5"/>
    <w:bookmarkEnd w:id="6"/>
    <w:bookmarkEnd w:id="7"/>
    <w:bookmarkEnd w:id="8"/>
    <w:bookmarkEnd w:id="9"/>
    <w:bookmarkEnd w:id="10"/>
    <w:bookmarkEnd w:id="11"/>
    <w:bookmarkEnd w:id="12"/>
    <w:bookmarkEnd w:id="13"/>
    <w:bookmarkEnd w:id="14"/>
    <w:p w14:paraId="462BC05A">
      <w:pPr>
        <w:widowControl/>
        <w:jc w:val="left"/>
        <w:rPr>
          <w:b/>
          <w:sz w:val="36"/>
          <w:szCs w:val="36"/>
        </w:rPr>
      </w:pPr>
      <w:bookmarkStart w:id="15" w:name="_GoBack"/>
      <w:bookmarkEnd w:id="15"/>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B0FA1EA-9A0C-44FC-A3FF-054E81EFB0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0AFBB94-58E6-4C42-91C2-543B6E94F14C}"/>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82A0F05C-CAB9-4BC8-A832-517ED88A61D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swiss"/>
    <w:pitch w:val="default"/>
    <w:sig w:usb0="E10022FF" w:usb1="C000E47F" w:usb2="00000029" w:usb3="00000000" w:csb0="200001DF" w:csb1="20000000"/>
    <w:embedRegular r:id="rId4" w:fontKey="{1E5503DA-113E-4FB2-B14B-B73BB44BA96D}"/>
  </w:font>
  <w:font w:name="仿宋">
    <w:panose1 w:val="02010609060101010101"/>
    <w:charset w:val="86"/>
    <w:family w:val="modern"/>
    <w:pitch w:val="default"/>
    <w:sig w:usb0="800002BF" w:usb1="38CF7CFA" w:usb2="00000016" w:usb3="00000000" w:csb0="00040001" w:csb1="00000000"/>
    <w:embedRegular r:id="rId5" w:fontKey="{54D9BB22-1041-4891-9A22-04450CCC31B0}"/>
  </w:font>
  <w:font w:name="微软雅黑">
    <w:panose1 w:val="020B0503020204020204"/>
    <w:charset w:val="86"/>
    <w:family w:val="swiss"/>
    <w:pitch w:val="default"/>
    <w:sig w:usb0="80000287" w:usb1="280F3C52" w:usb2="00000016" w:usb3="00000000" w:csb0="0004001F" w:csb1="00000000"/>
    <w:embedRegular r:id="rId6" w:fontKey="{31E283A5-F1C7-4483-9406-0B04D624617F}"/>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D67B">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5203"/>
    <w:multiLevelType w:val="singleLevel"/>
    <w:tmpl w:val="81755203"/>
    <w:lvl w:ilvl="0" w:tentative="0">
      <w:start w:val="1"/>
      <w:numFmt w:val="decimal"/>
      <w:suff w:val="space"/>
      <w:lvlText w:val="%1."/>
      <w:lvlJc w:val="left"/>
    </w:lvl>
  </w:abstractNum>
  <w:abstractNum w:abstractNumId="1">
    <w:nsid w:val="CD8EFB13"/>
    <w:multiLevelType w:val="singleLevel"/>
    <w:tmpl w:val="CD8EFB13"/>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0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6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7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66"/>
      <w:lvlText w:val="%1"/>
      <w:lvlJc w:val="left"/>
      <w:pPr>
        <w:ind w:left="680" w:hanging="680"/>
      </w:pPr>
      <w:rPr>
        <w:rFonts w:hint="eastAsia" w:ascii="宋体" w:hAnsi="宋体" w:eastAsia="宋体"/>
      </w:rPr>
    </w:lvl>
    <w:lvl w:ilvl="1" w:tentative="0">
      <w:start w:val="1"/>
      <w:numFmt w:val="decimal"/>
      <w:pStyle w:val="167"/>
      <w:lvlText w:val="%1.%2"/>
      <w:lvlJc w:val="left"/>
      <w:pPr>
        <w:ind w:left="851" w:hanging="851"/>
      </w:pPr>
      <w:rPr>
        <w:rFonts w:hint="eastAsia" w:ascii="宋体" w:hAnsi="宋体" w:eastAsia="宋体"/>
        <w:color w:val="auto"/>
      </w:rPr>
    </w:lvl>
    <w:lvl w:ilvl="2" w:tentative="0">
      <w:start w:val="1"/>
      <w:numFmt w:val="decimal"/>
      <w:pStyle w:val="16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D6EA92"/>
    <w:multiLevelType w:val="singleLevel"/>
    <w:tmpl w:val="4CD6EA92"/>
    <w:lvl w:ilvl="0" w:tentative="0">
      <w:start w:val="3"/>
      <w:numFmt w:val="decimal"/>
      <w:suff w:val="nothing"/>
      <w:lvlText w:val="%1、"/>
      <w:lvlJc w:val="left"/>
    </w:lvl>
  </w:abstractNum>
  <w:abstractNum w:abstractNumId="11">
    <w:nsid w:val="594768C9"/>
    <w:multiLevelType w:val="singleLevel"/>
    <w:tmpl w:val="594768C9"/>
    <w:lvl w:ilvl="0" w:tentative="0">
      <w:start w:val="1"/>
      <w:numFmt w:val="decimal"/>
      <w:suff w:val="nothing"/>
      <w:lvlText w:val="%1、"/>
      <w:lvlJc w:val="left"/>
    </w:lvl>
  </w:abstractNum>
  <w:abstractNum w:abstractNumId="12">
    <w:nsid w:val="59476921"/>
    <w:multiLevelType w:val="singleLevel"/>
    <w:tmpl w:val="59476921"/>
    <w:lvl w:ilvl="0" w:tentative="0">
      <w:start w:val="11"/>
      <w:numFmt w:val="decimal"/>
      <w:suff w:val="nothing"/>
      <w:lvlText w:val="%1、"/>
      <w:lvlJc w:val="left"/>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8"/>
  </w:num>
  <w:num w:numId="8">
    <w:abstractNumId w:val="9"/>
  </w:num>
  <w:num w:numId="9">
    <w:abstractNumId w:val="0"/>
  </w:num>
  <w:num w:numId="10">
    <w:abstractNumId w:val="11"/>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ZlYjU0MGI1ZTg4NTQ4N2RhZjc2YjRkYjUxODE2Nj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37E41"/>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5F0"/>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17B"/>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A27"/>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E6E"/>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700"/>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61F"/>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C2A"/>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4F"/>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54"/>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47B"/>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797"/>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804"/>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4B2"/>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43"/>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103"/>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8C5"/>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4A6"/>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A9A"/>
    <w:rsid w:val="00CA3CE3"/>
    <w:rsid w:val="00CA3D63"/>
    <w:rsid w:val="00CA3DB5"/>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705"/>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49"/>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E3"/>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0E"/>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F3E"/>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F6F57"/>
    <w:rsid w:val="0256755B"/>
    <w:rsid w:val="02754CC0"/>
    <w:rsid w:val="03A818C9"/>
    <w:rsid w:val="044C2A6C"/>
    <w:rsid w:val="05D97CFA"/>
    <w:rsid w:val="05E912CD"/>
    <w:rsid w:val="069B1C16"/>
    <w:rsid w:val="07F36417"/>
    <w:rsid w:val="07F631D1"/>
    <w:rsid w:val="08700EA9"/>
    <w:rsid w:val="08F17FDE"/>
    <w:rsid w:val="09912242"/>
    <w:rsid w:val="0A3665F0"/>
    <w:rsid w:val="0A4F1460"/>
    <w:rsid w:val="0AA2357F"/>
    <w:rsid w:val="0AD26D1E"/>
    <w:rsid w:val="0AEE26D6"/>
    <w:rsid w:val="0B660C1A"/>
    <w:rsid w:val="0BAA5A05"/>
    <w:rsid w:val="0D974E8F"/>
    <w:rsid w:val="0D9D24E2"/>
    <w:rsid w:val="1034712E"/>
    <w:rsid w:val="10853E2D"/>
    <w:rsid w:val="10AF2C58"/>
    <w:rsid w:val="113349F9"/>
    <w:rsid w:val="11B61DC5"/>
    <w:rsid w:val="12C164CC"/>
    <w:rsid w:val="1300779B"/>
    <w:rsid w:val="13713700"/>
    <w:rsid w:val="13E14522"/>
    <w:rsid w:val="14625AD7"/>
    <w:rsid w:val="1507341B"/>
    <w:rsid w:val="15E3203E"/>
    <w:rsid w:val="16610551"/>
    <w:rsid w:val="167E2089"/>
    <w:rsid w:val="17D025BF"/>
    <w:rsid w:val="17EE5225"/>
    <w:rsid w:val="17F93E0B"/>
    <w:rsid w:val="196B04A0"/>
    <w:rsid w:val="198033E4"/>
    <w:rsid w:val="19EA2F53"/>
    <w:rsid w:val="1A2A22F3"/>
    <w:rsid w:val="1A766595"/>
    <w:rsid w:val="1AE1401D"/>
    <w:rsid w:val="1AFC5488"/>
    <w:rsid w:val="1B6B7632"/>
    <w:rsid w:val="1C3861F8"/>
    <w:rsid w:val="1C455CA5"/>
    <w:rsid w:val="1CE222CF"/>
    <w:rsid w:val="1D2C69D2"/>
    <w:rsid w:val="1DBD450F"/>
    <w:rsid w:val="2043516B"/>
    <w:rsid w:val="20987265"/>
    <w:rsid w:val="211D2A9C"/>
    <w:rsid w:val="214100E4"/>
    <w:rsid w:val="214D44F3"/>
    <w:rsid w:val="217C0935"/>
    <w:rsid w:val="21CE3F01"/>
    <w:rsid w:val="21DF2C72"/>
    <w:rsid w:val="22E845A7"/>
    <w:rsid w:val="239E00B4"/>
    <w:rsid w:val="23BD1497"/>
    <w:rsid w:val="23F118DD"/>
    <w:rsid w:val="242332EA"/>
    <w:rsid w:val="243117B8"/>
    <w:rsid w:val="244553D1"/>
    <w:rsid w:val="24CE594B"/>
    <w:rsid w:val="251E74A4"/>
    <w:rsid w:val="255E504B"/>
    <w:rsid w:val="2652435A"/>
    <w:rsid w:val="26831BBC"/>
    <w:rsid w:val="269F57B9"/>
    <w:rsid w:val="277A3B68"/>
    <w:rsid w:val="27843CE5"/>
    <w:rsid w:val="279E1544"/>
    <w:rsid w:val="29235B3A"/>
    <w:rsid w:val="2A7C6EF7"/>
    <w:rsid w:val="2B232846"/>
    <w:rsid w:val="2B4678ED"/>
    <w:rsid w:val="2B9845BD"/>
    <w:rsid w:val="2BDA4BD6"/>
    <w:rsid w:val="2C5D1363"/>
    <w:rsid w:val="2C6222FD"/>
    <w:rsid w:val="2E320ED2"/>
    <w:rsid w:val="2E8700B6"/>
    <w:rsid w:val="2EA469BE"/>
    <w:rsid w:val="2EDF69A7"/>
    <w:rsid w:val="312F300D"/>
    <w:rsid w:val="31754DFF"/>
    <w:rsid w:val="31E84A2F"/>
    <w:rsid w:val="3205668B"/>
    <w:rsid w:val="321715DC"/>
    <w:rsid w:val="3245389A"/>
    <w:rsid w:val="32A63A63"/>
    <w:rsid w:val="32EB653A"/>
    <w:rsid w:val="331C5AD4"/>
    <w:rsid w:val="336D632F"/>
    <w:rsid w:val="34670FD0"/>
    <w:rsid w:val="348E565A"/>
    <w:rsid w:val="34A40CBD"/>
    <w:rsid w:val="34B51085"/>
    <w:rsid w:val="35366BF5"/>
    <w:rsid w:val="35727C2D"/>
    <w:rsid w:val="362F5700"/>
    <w:rsid w:val="377351E9"/>
    <w:rsid w:val="3809239F"/>
    <w:rsid w:val="398F586D"/>
    <w:rsid w:val="39B933C4"/>
    <w:rsid w:val="3A4C5206"/>
    <w:rsid w:val="3BCB6780"/>
    <w:rsid w:val="3C46053C"/>
    <w:rsid w:val="3CC85B63"/>
    <w:rsid w:val="3D5EDF9E"/>
    <w:rsid w:val="3E3D1133"/>
    <w:rsid w:val="3F646FBD"/>
    <w:rsid w:val="3FC44B7C"/>
    <w:rsid w:val="3FEC2370"/>
    <w:rsid w:val="402A14E2"/>
    <w:rsid w:val="40CE4185"/>
    <w:rsid w:val="41843F96"/>
    <w:rsid w:val="41F44774"/>
    <w:rsid w:val="425A2175"/>
    <w:rsid w:val="429F2663"/>
    <w:rsid w:val="42BE1CAA"/>
    <w:rsid w:val="42CD0A98"/>
    <w:rsid w:val="42F253DC"/>
    <w:rsid w:val="431A0C09"/>
    <w:rsid w:val="434B5C0A"/>
    <w:rsid w:val="44AC271E"/>
    <w:rsid w:val="452E518F"/>
    <w:rsid w:val="46382D73"/>
    <w:rsid w:val="46DA52FF"/>
    <w:rsid w:val="47490C0E"/>
    <w:rsid w:val="47EA2725"/>
    <w:rsid w:val="480E2158"/>
    <w:rsid w:val="48C92F1E"/>
    <w:rsid w:val="48D43BCE"/>
    <w:rsid w:val="491A440C"/>
    <w:rsid w:val="4A9542B5"/>
    <w:rsid w:val="4AAF11DC"/>
    <w:rsid w:val="4B65373A"/>
    <w:rsid w:val="4C327140"/>
    <w:rsid w:val="4D00163A"/>
    <w:rsid w:val="4D5068AA"/>
    <w:rsid w:val="4E08517B"/>
    <w:rsid w:val="4EEE3337"/>
    <w:rsid w:val="4F0F5BE3"/>
    <w:rsid w:val="4F995701"/>
    <w:rsid w:val="50055E16"/>
    <w:rsid w:val="514209A3"/>
    <w:rsid w:val="521E0D37"/>
    <w:rsid w:val="52201FF9"/>
    <w:rsid w:val="52422029"/>
    <w:rsid w:val="525A7411"/>
    <w:rsid w:val="52D63A99"/>
    <w:rsid w:val="5327235A"/>
    <w:rsid w:val="545455E7"/>
    <w:rsid w:val="55040901"/>
    <w:rsid w:val="55E0078B"/>
    <w:rsid w:val="56245862"/>
    <w:rsid w:val="569E7C4B"/>
    <w:rsid w:val="56DF05DE"/>
    <w:rsid w:val="56F51D94"/>
    <w:rsid w:val="57675C19"/>
    <w:rsid w:val="57FC6189"/>
    <w:rsid w:val="58426FC6"/>
    <w:rsid w:val="585B4D73"/>
    <w:rsid w:val="58D75E75"/>
    <w:rsid w:val="58E00503"/>
    <w:rsid w:val="59684D1F"/>
    <w:rsid w:val="59F8625A"/>
    <w:rsid w:val="5A0D7420"/>
    <w:rsid w:val="5B27726B"/>
    <w:rsid w:val="5B9205D4"/>
    <w:rsid w:val="5BC27491"/>
    <w:rsid w:val="5D196DAD"/>
    <w:rsid w:val="5D370EBC"/>
    <w:rsid w:val="5D3F3236"/>
    <w:rsid w:val="5E7E532D"/>
    <w:rsid w:val="5E9510CF"/>
    <w:rsid w:val="5F073306"/>
    <w:rsid w:val="5F434264"/>
    <w:rsid w:val="5F5F73B9"/>
    <w:rsid w:val="5F8A531F"/>
    <w:rsid w:val="5FBC2337"/>
    <w:rsid w:val="61021EFD"/>
    <w:rsid w:val="61CB2DA8"/>
    <w:rsid w:val="62F87114"/>
    <w:rsid w:val="6465428E"/>
    <w:rsid w:val="65EB11B2"/>
    <w:rsid w:val="67817BD3"/>
    <w:rsid w:val="6838144E"/>
    <w:rsid w:val="68AA7398"/>
    <w:rsid w:val="68B20200"/>
    <w:rsid w:val="698427D9"/>
    <w:rsid w:val="69C629D5"/>
    <w:rsid w:val="6A0E546F"/>
    <w:rsid w:val="6B19231D"/>
    <w:rsid w:val="6CB07820"/>
    <w:rsid w:val="6CBE2F51"/>
    <w:rsid w:val="6CCD33BF"/>
    <w:rsid w:val="6D7C6B93"/>
    <w:rsid w:val="6DF66946"/>
    <w:rsid w:val="6E027099"/>
    <w:rsid w:val="6E7F0B11"/>
    <w:rsid w:val="6EAB6FA9"/>
    <w:rsid w:val="6EC66318"/>
    <w:rsid w:val="6F5C72FC"/>
    <w:rsid w:val="6FB96C27"/>
    <w:rsid w:val="704011F6"/>
    <w:rsid w:val="712E3AA0"/>
    <w:rsid w:val="71C90E15"/>
    <w:rsid w:val="73037F0B"/>
    <w:rsid w:val="73A53748"/>
    <w:rsid w:val="742C597A"/>
    <w:rsid w:val="74324450"/>
    <w:rsid w:val="747A0F11"/>
    <w:rsid w:val="749D11EB"/>
    <w:rsid w:val="757006B2"/>
    <w:rsid w:val="7648443F"/>
    <w:rsid w:val="77476464"/>
    <w:rsid w:val="77521CC0"/>
    <w:rsid w:val="7979207A"/>
    <w:rsid w:val="7AB51552"/>
    <w:rsid w:val="7AC2642F"/>
    <w:rsid w:val="7B831776"/>
    <w:rsid w:val="7B870239"/>
    <w:rsid w:val="7CC41A3E"/>
    <w:rsid w:val="7CC83BA3"/>
    <w:rsid w:val="7CDB6DB2"/>
    <w:rsid w:val="7D2B513A"/>
    <w:rsid w:val="7D391B81"/>
    <w:rsid w:val="7D722672"/>
    <w:rsid w:val="7E7D0743"/>
    <w:rsid w:val="7EF72447"/>
    <w:rsid w:val="DFFFCE82"/>
    <w:rsid w:val="F19D4332"/>
    <w:rsid w:val="FEFAA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8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3"/>
    <w:qFormat/>
    <w:uiPriority w:val="0"/>
    <w:pPr>
      <w:shd w:val="clear" w:color="auto" w:fill="000080"/>
    </w:pPr>
  </w:style>
  <w:style w:type="paragraph" w:styleId="15">
    <w:name w:val="annotation text"/>
    <w:basedOn w:val="1"/>
    <w:link w:val="194"/>
    <w:qFormat/>
    <w:uiPriority w:val="99"/>
    <w:pPr>
      <w:jc w:val="left"/>
    </w:pPr>
  </w:style>
  <w:style w:type="paragraph" w:styleId="16">
    <w:name w:val="Body Text 3"/>
    <w:basedOn w:val="1"/>
    <w:link w:val="195"/>
    <w:qFormat/>
    <w:uiPriority w:val="0"/>
    <w:pPr>
      <w:spacing w:after="120"/>
    </w:pPr>
    <w:rPr>
      <w:sz w:val="16"/>
      <w:szCs w:val="16"/>
    </w:rPr>
  </w:style>
  <w:style w:type="paragraph" w:styleId="17">
    <w:name w:val="Body Text"/>
    <w:basedOn w:val="1"/>
    <w:next w:val="1"/>
    <w:link w:val="196"/>
    <w:qFormat/>
    <w:uiPriority w:val="0"/>
    <w:pPr>
      <w:tabs>
        <w:tab w:val="left" w:pos="567"/>
      </w:tabs>
      <w:spacing w:before="120" w:line="22" w:lineRule="atLeast"/>
    </w:pPr>
    <w:rPr>
      <w:rFonts w:ascii="宋体" w:hAnsi="宋体"/>
      <w:sz w:val="24"/>
    </w:rPr>
  </w:style>
  <w:style w:type="paragraph" w:styleId="18">
    <w:name w:val="Body Text Indent"/>
    <w:basedOn w:val="1"/>
    <w:link w:val="19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19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199"/>
    <w:qFormat/>
    <w:uiPriority w:val="0"/>
    <w:pPr>
      <w:ind w:left="100" w:leftChars="2500"/>
    </w:pPr>
    <w:rPr>
      <w:rFonts w:ascii="仿宋_GB2312" w:hAnsi="宋体" w:eastAsia="仿宋_GB2312"/>
      <w:color w:val="000000"/>
      <w:sz w:val="24"/>
    </w:rPr>
  </w:style>
  <w:style w:type="paragraph" w:styleId="26">
    <w:name w:val="Body Text Indent 2"/>
    <w:basedOn w:val="1"/>
    <w:link w:val="200"/>
    <w:qFormat/>
    <w:uiPriority w:val="0"/>
    <w:pPr>
      <w:ind w:firstLine="480" w:firstLineChars="200"/>
    </w:pPr>
    <w:rPr>
      <w:rFonts w:ascii="仿宋_GB2312" w:eastAsia="仿宋_GB2312"/>
      <w:sz w:val="24"/>
    </w:rPr>
  </w:style>
  <w:style w:type="paragraph" w:styleId="27">
    <w:name w:val="Balloon Text"/>
    <w:basedOn w:val="1"/>
    <w:link w:val="201"/>
    <w:qFormat/>
    <w:uiPriority w:val="0"/>
    <w:rPr>
      <w:sz w:val="18"/>
      <w:szCs w:val="18"/>
    </w:rPr>
  </w:style>
  <w:style w:type="paragraph" w:styleId="28">
    <w:name w:val="footer"/>
    <w:basedOn w:val="1"/>
    <w:link w:val="20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0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0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206"/>
    <w:qFormat/>
    <w:uiPriority w:val="0"/>
    <w:pPr>
      <w:jc w:val="center"/>
      <w:outlineLvl w:val="0"/>
    </w:pPr>
    <w:rPr>
      <w:b/>
      <w:sz w:val="32"/>
      <w:szCs w:val="20"/>
    </w:rPr>
  </w:style>
  <w:style w:type="paragraph" w:styleId="40">
    <w:name w:val="annotation subject"/>
    <w:basedOn w:val="15"/>
    <w:next w:val="15"/>
    <w:link w:val="207"/>
    <w:qFormat/>
    <w:uiPriority w:val="0"/>
    <w:rPr>
      <w:b/>
      <w:bCs/>
    </w:rPr>
  </w:style>
  <w:style w:type="paragraph" w:styleId="41">
    <w:name w:val="Body Text First Indent 2"/>
    <w:basedOn w:val="18"/>
    <w:link w:val="20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注释"/>
    <w:basedOn w:val="1"/>
    <w:link w:val="212"/>
    <w:qFormat/>
    <w:uiPriority w:val="0"/>
    <w:pPr>
      <w:adjustRightInd w:val="0"/>
      <w:snapToGrid w:val="0"/>
      <w:ind w:left="420" w:hanging="420" w:hangingChars="200"/>
      <w:jc w:val="left"/>
    </w:pPr>
    <w:rPr>
      <w:rFonts w:ascii="宋体" w:hAnsi="宋体"/>
      <w:szCs w:val="21"/>
    </w:rPr>
  </w:style>
  <w:style w:type="paragraph" w:customStyle="1" w:styleId="54">
    <w:name w:val="正文文本缩进1"/>
    <w:basedOn w:val="1"/>
    <w:link w:val="218"/>
    <w:qFormat/>
    <w:uiPriority w:val="0"/>
    <w:pPr>
      <w:spacing w:line="480" w:lineRule="exact"/>
      <w:ind w:firstLine="480" w:firstLineChars="200"/>
    </w:pPr>
    <w:rPr>
      <w:rFonts w:ascii="宋体" w:hAnsi="宋体"/>
      <w:kern w:val="0"/>
      <w:sz w:val="24"/>
    </w:rPr>
  </w:style>
  <w:style w:type="paragraph" w:customStyle="1" w:styleId="55">
    <w:name w:val="正文大标题"/>
    <w:basedOn w:val="56"/>
    <w:next w:val="5"/>
    <w:link w:val="221"/>
    <w:qFormat/>
    <w:uiPriority w:val="0"/>
    <w:pPr>
      <w:jc w:val="center"/>
    </w:pPr>
    <w:rPr>
      <w:i w:val="0"/>
      <w:color w:val="000000"/>
      <w:sz w:val="28"/>
      <w:szCs w:val="21"/>
    </w:rPr>
  </w:style>
  <w:style w:type="paragraph" w:customStyle="1" w:styleId="56">
    <w:name w:val="正文小标题"/>
    <w:basedOn w:val="1"/>
    <w:next w:val="5"/>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7">
    <w:name w:val="List Paragraph"/>
    <w:basedOn w:val="1"/>
    <w:link w:val="224"/>
    <w:qFormat/>
    <w:uiPriority w:val="34"/>
    <w:pPr>
      <w:ind w:firstLine="420" w:firstLineChars="200"/>
    </w:pPr>
    <w:rPr>
      <w:rFonts w:ascii="Calibri" w:hAnsi="Calibri"/>
      <w:szCs w:val="22"/>
    </w:rPr>
  </w:style>
  <w:style w:type="paragraph" w:customStyle="1" w:styleId="58">
    <w:name w:val="正文格式"/>
    <w:basedOn w:val="1"/>
    <w:link w:val="225"/>
    <w:qFormat/>
    <w:uiPriority w:val="0"/>
    <w:pPr>
      <w:spacing w:beforeLines="50" w:line="360" w:lineRule="auto"/>
      <w:ind w:firstLine="480" w:firstLineChars="200"/>
    </w:pPr>
    <w:rPr>
      <w:rFonts w:ascii="宋体" w:hAnsi="宋体"/>
      <w:kern w:val="0"/>
      <w:sz w:val="24"/>
      <w:lang w:val="en-GB"/>
    </w:rPr>
  </w:style>
  <w:style w:type="paragraph" w:customStyle="1" w:styleId="59">
    <w:name w:val="正文缩进1"/>
    <w:basedOn w:val="1"/>
    <w:link w:val="233"/>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0">
    <w:name w:val="正文表格"/>
    <w:basedOn w:val="1"/>
    <w:link w:val="236"/>
    <w:qFormat/>
    <w:uiPriority w:val="0"/>
    <w:pPr>
      <w:adjustRightInd w:val="0"/>
      <w:snapToGrid w:val="0"/>
      <w:jc w:val="left"/>
    </w:pPr>
    <w:rPr>
      <w:rFonts w:ascii="宋体" w:hAnsi="宋体"/>
      <w:color w:val="000000"/>
      <w:szCs w:val="21"/>
    </w:rPr>
  </w:style>
  <w:style w:type="paragraph" w:customStyle="1" w:styleId="61">
    <w:name w:val="正文重点"/>
    <w:basedOn w:val="1"/>
    <w:link w:val="237"/>
    <w:qFormat/>
    <w:uiPriority w:val="0"/>
    <w:pPr>
      <w:adjustRightInd w:val="0"/>
      <w:spacing w:line="360" w:lineRule="auto"/>
      <w:ind w:firstLine="482" w:firstLineChars="200"/>
      <w:jc w:val="left"/>
      <w:textAlignment w:val="baseline"/>
    </w:pPr>
    <w:rPr>
      <w:b/>
      <w:kern w:val="0"/>
      <w:sz w:val="24"/>
      <w:szCs w:val="20"/>
    </w:rPr>
  </w:style>
  <w:style w:type="paragraph" w:customStyle="1" w:styleId="62">
    <w:name w:val="1"/>
    <w:link w:val="249"/>
    <w:qFormat/>
    <w:uiPriority w:val="0"/>
    <w:rPr>
      <w:rFonts w:ascii="Times New Roman" w:hAnsi="Times New Roman" w:eastAsia="宋体" w:cs="Times New Roman"/>
      <w:kern w:val="2"/>
      <w:sz w:val="21"/>
      <w:szCs w:val="24"/>
      <w:lang w:val="zh-CN" w:eastAsia="zh-CN" w:bidi="ar-SA"/>
    </w:rPr>
  </w:style>
  <w:style w:type="paragraph" w:customStyle="1" w:styleId="63">
    <w:name w:val="Char Char Char1"/>
    <w:basedOn w:val="1"/>
    <w:qFormat/>
    <w:uiPriority w:val="0"/>
    <w:rPr>
      <w:rFonts w:ascii="Tahoma" w:hAnsi="Tahoma"/>
      <w:sz w:val="24"/>
      <w:szCs w:val="20"/>
    </w:rPr>
  </w:style>
  <w:style w:type="paragraph" w:customStyle="1" w:styleId="64">
    <w:name w:val="Char3 Char Char Char"/>
    <w:basedOn w:val="1"/>
    <w:qFormat/>
    <w:uiPriority w:val="0"/>
    <w:rPr>
      <w:rFonts w:ascii="Tahoma" w:hAnsi="Tahoma"/>
      <w:sz w:val="24"/>
      <w:szCs w:val="20"/>
    </w:rPr>
  </w:style>
  <w:style w:type="paragraph" w:customStyle="1" w:styleId="65">
    <w:name w:val="一级条标题"/>
    <w:basedOn w:val="66"/>
    <w:next w:val="1"/>
    <w:qFormat/>
    <w:uiPriority w:val="0"/>
    <w:pPr>
      <w:numPr>
        <w:ilvl w:val="1"/>
      </w:numPr>
      <w:tabs>
        <w:tab w:val="left" w:pos="360"/>
        <w:tab w:val="left" w:pos="840"/>
      </w:tabs>
      <w:ind w:left="0" w:hanging="840"/>
      <w:outlineLvl w:val="1"/>
    </w:pPr>
  </w:style>
  <w:style w:type="paragraph" w:customStyle="1" w:styleId="6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9">
    <w:name w:val="默认段落字体 Para Char Char Char Char"/>
    <w:basedOn w:val="1"/>
    <w:qFormat/>
    <w:uiPriority w:val="0"/>
    <w:rPr>
      <w:rFonts w:ascii="Arial" w:hAnsi="Arial" w:cs="Arial"/>
      <w:szCs w:val="21"/>
    </w:rPr>
  </w:style>
  <w:style w:type="paragraph" w:customStyle="1" w:styleId="70">
    <w:name w:val="二级条标题"/>
    <w:basedOn w:val="65"/>
    <w:next w:val="1"/>
    <w:qFormat/>
    <w:uiPriority w:val="0"/>
    <w:pPr>
      <w:numPr>
        <w:ilvl w:val="0"/>
        <w:numId w:val="0"/>
      </w:numPr>
      <w:ind w:hanging="840"/>
      <w:outlineLvl w:val="2"/>
    </w:pPr>
    <w:rPr>
      <w:rFonts w:ascii="宋体" w:eastAsia="宋体"/>
      <w:b w:val="0"/>
    </w:rPr>
  </w:style>
  <w:style w:type="paragraph" w:customStyle="1" w:styleId="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5">
    <w:name w:val="缺省文本"/>
    <w:basedOn w:val="1"/>
    <w:qFormat/>
    <w:uiPriority w:val="0"/>
    <w:pPr>
      <w:autoSpaceDE w:val="0"/>
      <w:autoSpaceDN w:val="0"/>
      <w:adjustRightInd w:val="0"/>
      <w:jc w:val="left"/>
    </w:pPr>
    <w:rPr>
      <w:kern w:val="0"/>
      <w:sz w:val="24"/>
    </w:rPr>
  </w:style>
  <w:style w:type="paragraph" w:customStyle="1" w:styleId="76">
    <w:name w:val="项目编号2"/>
    <w:basedOn w:val="72"/>
    <w:qFormat/>
    <w:uiPriority w:val="0"/>
    <w:pPr>
      <w:numPr>
        <w:numId w:val="3"/>
      </w:numPr>
    </w:pPr>
  </w:style>
  <w:style w:type="paragraph" w:customStyle="1" w:styleId="7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8">
    <w:name w:val="字元 字元"/>
    <w:basedOn w:val="1"/>
    <w:qFormat/>
    <w:uiPriority w:val="0"/>
    <w:rPr>
      <w:rFonts w:ascii="Tahoma" w:hAnsi="Tahoma"/>
      <w:sz w:val="24"/>
      <w:szCs w:val="20"/>
    </w:rPr>
  </w:style>
  <w:style w:type="paragraph" w:customStyle="1" w:styleId="7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0">
    <w:name w:val="图中文字"/>
    <w:basedOn w:val="1"/>
    <w:qFormat/>
    <w:uiPriority w:val="0"/>
    <w:pPr>
      <w:adjustRightInd w:val="0"/>
      <w:snapToGrid w:val="0"/>
      <w:spacing w:line="0" w:lineRule="atLeast"/>
      <w:jc w:val="center"/>
    </w:pPr>
    <w:rPr>
      <w:sz w:val="24"/>
      <w:szCs w:val="20"/>
    </w:rPr>
  </w:style>
  <w:style w:type="paragraph" w:customStyle="1" w:styleId="81">
    <w:name w:val="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四级条标题"/>
    <w:basedOn w:val="84"/>
    <w:next w:val="1"/>
    <w:qFormat/>
    <w:uiPriority w:val="0"/>
    <w:pPr>
      <w:numPr>
        <w:ilvl w:val="4"/>
      </w:numPr>
      <w:tabs>
        <w:tab w:val="left" w:pos="360"/>
        <w:tab w:val="left" w:pos="840"/>
      </w:tabs>
      <w:ind w:left="0" w:hanging="840"/>
      <w:outlineLvl w:val="4"/>
    </w:pPr>
  </w:style>
  <w:style w:type="paragraph" w:customStyle="1" w:styleId="84">
    <w:name w:val="三级条标题"/>
    <w:basedOn w:val="70"/>
    <w:next w:val="1"/>
    <w:qFormat/>
    <w:uiPriority w:val="0"/>
    <w:pPr>
      <w:numPr>
        <w:ilvl w:val="3"/>
        <w:numId w:val="1"/>
      </w:numPr>
      <w:ind w:left="0" w:hanging="840"/>
      <w:outlineLvl w:val="3"/>
    </w:p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样式2"/>
    <w:basedOn w:val="38"/>
    <w:qFormat/>
    <w:uiPriority w:val="0"/>
    <w:pPr>
      <w:spacing w:line="360" w:lineRule="auto"/>
      <w:jc w:val="center"/>
    </w:pPr>
    <w:rPr>
      <w:sz w:val="24"/>
    </w:rPr>
  </w:style>
  <w:style w:type="paragraph" w:customStyle="1" w:styleId="9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4">
    <w:name w:val="五级条标题"/>
    <w:basedOn w:val="83"/>
    <w:next w:val="1"/>
    <w:qFormat/>
    <w:uiPriority w:val="0"/>
    <w:pPr>
      <w:numPr>
        <w:ilvl w:val="5"/>
      </w:numPr>
      <w:ind w:left="0" w:hanging="840"/>
      <w:outlineLvl w:val="5"/>
    </w:p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项目符号1"/>
    <w:basedOn w:val="97"/>
    <w:qFormat/>
    <w:uiPriority w:val="0"/>
    <w:pPr>
      <w:ind w:left="-25" w:firstLine="0"/>
    </w:pPr>
  </w:style>
  <w:style w:type="paragraph" w:customStyle="1" w:styleId="97">
    <w:name w:val="正文文本样式"/>
    <w:basedOn w:val="1"/>
    <w:qFormat/>
    <w:uiPriority w:val="0"/>
    <w:pPr>
      <w:spacing w:line="360" w:lineRule="auto"/>
      <w:ind w:firstLine="482"/>
    </w:pPr>
    <w:rPr>
      <w:rFonts w:cs="宋体"/>
      <w:sz w:val="24"/>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1名"/>
    <w:basedOn w:val="1"/>
    <w:qFormat/>
    <w:uiPriority w:val="0"/>
    <w:pPr>
      <w:numPr>
        <w:ilvl w:val="0"/>
        <w:numId w:val="4"/>
      </w:numPr>
      <w:spacing w:before="120"/>
    </w:pPr>
    <w:rPr>
      <w:rFonts w:ascii="宋体"/>
      <w:sz w:val="28"/>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Char Char Char Char Char Char Char Char Char"/>
    <w:basedOn w:val="1"/>
    <w:qFormat/>
    <w:uiPriority w:val="0"/>
  </w:style>
  <w:style w:type="paragraph" w:customStyle="1" w:styleId="112">
    <w:name w:val="Char"/>
    <w:basedOn w:val="1"/>
    <w:qFormat/>
    <w:uiPriority w:val="0"/>
    <w:pPr>
      <w:tabs>
        <w:tab w:val="left" w:pos="360"/>
      </w:tabs>
    </w:pPr>
    <w:rPr>
      <w:sz w:val="24"/>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4"/>
    <w:qFormat/>
    <w:uiPriority w:val="0"/>
    <w:rPr>
      <w:rFonts w:ascii="Tahoma" w:hAnsi="Tahoma"/>
      <w:sz w:val="24"/>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19">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qFormat/>
    <w:uiPriority w:val="0"/>
    <w:pPr>
      <w:snapToGrid w:val="0"/>
      <w:spacing w:before="120" w:after="120" w:line="180" w:lineRule="auto"/>
    </w:pPr>
    <w:rPr>
      <w:rFonts w:ascii="Arial" w:hAnsi="Arial"/>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1"/>
    <w:basedOn w:val="1"/>
    <w:qFormat/>
    <w:uiPriority w:val="0"/>
    <w:pPr>
      <w:tabs>
        <w:tab w:val="left" w:pos="360"/>
      </w:tabs>
    </w:pPr>
    <w:rPr>
      <w:sz w:val="24"/>
    </w:rPr>
  </w:style>
  <w:style w:type="paragraph" w:customStyle="1" w:styleId="13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正文 + 楷体_GB2312"/>
    <w:basedOn w:val="1"/>
    <w:qFormat/>
    <w:uiPriority w:val="0"/>
    <w:pPr>
      <w:widowControl/>
      <w:jc w:val="left"/>
    </w:pPr>
    <w:rPr>
      <w:rFonts w:ascii="楷体_GB2312" w:eastAsia="楷体_GB2312" w:cs="Arial"/>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0">
    <w:name w:val="1 Char Char Char Char"/>
    <w:basedOn w:val="1"/>
    <w:qFormat/>
    <w:uiPriority w:val="0"/>
    <w:rPr>
      <w:rFonts w:ascii="Tahoma" w:hAnsi="Tahoma"/>
      <w:sz w:val="24"/>
      <w:szCs w:val="20"/>
    </w:rPr>
  </w:style>
  <w:style w:type="paragraph" w:customStyle="1" w:styleId="14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列出段落1"/>
    <w:basedOn w:val="1"/>
    <w:qFormat/>
    <w:uiPriority w:val="0"/>
    <w:pPr>
      <w:ind w:firstLine="420" w:firstLineChars="200"/>
    </w:pPr>
    <w:rPr>
      <w:rFonts w:ascii="Calibri" w:hAnsi="Calibri"/>
      <w:szCs w:val="22"/>
    </w:rPr>
  </w:style>
  <w:style w:type="paragraph" w:customStyle="1" w:styleId="14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字元 字元1"/>
    <w:basedOn w:val="1"/>
    <w:qFormat/>
    <w:uiPriority w:val="0"/>
    <w:rPr>
      <w:rFonts w:ascii="Tahoma" w:hAnsi="Tahoma"/>
      <w:sz w:val="24"/>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项目编号3"/>
    <w:basedOn w:val="97"/>
    <w:qFormat/>
    <w:uiPriority w:val="0"/>
    <w:pPr>
      <w:numPr>
        <w:ilvl w:val="0"/>
        <w:numId w:val="6"/>
      </w:numPr>
    </w:pPr>
  </w:style>
  <w:style w:type="paragraph" w:customStyle="1" w:styleId="148">
    <w:name w:val="Char21"/>
    <w:basedOn w:val="1"/>
    <w:qFormat/>
    <w:uiPriority w:val="0"/>
    <w:rPr>
      <w:rFonts w:ascii="Tahoma" w:hAnsi="Tahoma"/>
      <w:sz w:val="24"/>
      <w:szCs w:val="20"/>
    </w:rPr>
  </w:style>
  <w:style w:type="paragraph" w:customStyle="1" w:styleId="14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1">
    <w:name w:val="Char Char Char Char Char Char Char Char Char Char1"/>
    <w:basedOn w:val="1"/>
    <w:qFormat/>
    <w:uiPriority w:val="0"/>
    <w:rPr>
      <w:rFonts w:ascii="宋体" w:hAnsi="宋体" w:cs="Courier New"/>
      <w:sz w:val="32"/>
      <w:szCs w:val="32"/>
    </w:rPr>
  </w:style>
  <w:style w:type="paragraph" w:customStyle="1" w:styleId="152">
    <w:name w:val="正文文本样式 加粗"/>
    <w:basedOn w:val="97"/>
    <w:qFormat/>
    <w:uiPriority w:val="0"/>
    <w:rPr>
      <w:b/>
    </w:rPr>
  </w:style>
  <w:style w:type="paragraph" w:customStyle="1" w:styleId="15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2 Char Char Char Char Char Char"/>
    <w:basedOn w:val="1"/>
    <w:qFormat/>
    <w:uiPriority w:val="0"/>
    <w:pPr>
      <w:widowControl/>
      <w:spacing w:line="400" w:lineRule="exact"/>
      <w:jc w:val="center"/>
    </w:pPr>
  </w:style>
  <w:style w:type="paragraph" w:customStyle="1" w:styleId="155">
    <w:name w:val="Char Char4"/>
    <w:basedOn w:val="1"/>
    <w:qFormat/>
    <w:uiPriority w:val="0"/>
    <w:pPr>
      <w:widowControl/>
      <w:spacing w:line="400" w:lineRule="exact"/>
      <w:jc w:val="center"/>
    </w:pPr>
  </w:style>
  <w:style w:type="paragraph" w:customStyle="1" w:styleId="156">
    <w:name w:val="Char3 Char Char Char1"/>
    <w:basedOn w:val="1"/>
    <w:qFormat/>
    <w:uiPriority w:val="0"/>
    <w:rPr>
      <w:rFonts w:ascii="Tahoma" w:hAnsi="Tahoma"/>
      <w:sz w:val="24"/>
      <w:szCs w:val="20"/>
    </w:rPr>
  </w:style>
  <w:style w:type="paragraph" w:styleId="15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59">
    <w:name w:val="图例"/>
    <w:basedOn w:val="1"/>
    <w:qFormat/>
    <w:uiPriority w:val="0"/>
    <w:pPr>
      <w:spacing w:before="120" w:after="120" w:line="360" w:lineRule="auto"/>
      <w:jc w:val="center"/>
    </w:pPr>
    <w:rPr>
      <w:rFonts w:eastAsia="仿宋_GB2312"/>
      <w:b/>
      <w:sz w:val="24"/>
      <w:szCs w:val="20"/>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Char22"/>
    <w:basedOn w:val="1"/>
    <w:qFormat/>
    <w:uiPriority w:val="0"/>
    <w:rPr>
      <w:rFonts w:ascii="Tahoma" w:hAnsi="Tahoma"/>
      <w:sz w:val="24"/>
      <w:szCs w:val="2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标题1-附件"/>
    <w:basedOn w:val="2"/>
    <w:qFormat/>
    <w:uiPriority w:val="0"/>
    <w:pPr>
      <w:jc w:val="left"/>
    </w:pPr>
    <w:rPr>
      <w:sz w:val="24"/>
      <w:szCs w:val="24"/>
    </w:rPr>
  </w:style>
  <w:style w:type="paragraph" w:customStyle="1" w:styleId="165">
    <w:name w:val="Char3"/>
    <w:basedOn w:val="1"/>
    <w:qFormat/>
    <w:uiPriority w:val="0"/>
    <w:pPr>
      <w:tabs>
        <w:tab w:val="left" w:pos="360"/>
      </w:tabs>
    </w:pPr>
    <w:rPr>
      <w:sz w:val="24"/>
    </w:rPr>
  </w:style>
  <w:style w:type="paragraph" w:customStyle="1" w:styleId="16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69">
    <w:name w:val="表格1"/>
    <w:basedOn w:val="1"/>
    <w:qFormat/>
    <w:uiPriority w:val="0"/>
    <w:pPr>
      <w:ind w:firstLine="480" w:firstLineChars="200"/>
      <w:jc w:val="center"/>
    </w:pPr>
    <w:rPr>
      <w:sz w:val="24"/>
      <w:szCs w:val="20"/>
    </w:rPr>
  </w:style>
  <w:style w:type="paragraph" w:customStyle="1" w:styleId="170">
    <w:name w:val="字元 字元2"/>
    <w:basedOn w:val="1"/>
    <w:qFormat/>
    <w:uiPriority w:val="0"/>
    <w:rPr>
      <w:rFonts w:ascii="Tahoma" w:hAnsi="Tahoma"/>
      <w:sz w:val="24"/>
      <w:szCs w:val="20"/>
    </w:rPr>
  </w:style>
  <w:style w:type="paragraph" w:customStyle="1" w:styleId="171">
    <w:name w:val="Char3 Char Char Char2"/>
    <w:basedOn w:val="1"/>
    <w:qFormat/>
    <w:uiPriority w:val="0"/>
    <w:rPr>
      <w:rFonts w:ascii="Tahoma" w:hAnsi="Tahoma"/>
      <w:sz w:val="24"/>
      <w:szCs w:val="20"/>
    </w:rPr>
  </w:style>
  <w:style w:type="paragraph" w:customStyle="1" w:styleId="17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3">
    <w:name w:val="列出段落2"/>
    <w:basedOn w:val="1"/>
    <w:qFormat/>
    <w:uiPriority w:val="0"/>
    <w:pPr>
      <w:ind w:firstLine="420" w:firstLineChars="200"/>
    </w:pPr>
    <w:rPr>
      <w:rFonts w:ascii="Calibri" w:hAnsi="Calibri"/>
      <w:szCs w:val="22"/>
    </w:rPr>
  </w:style>
  <w:style w:type="paragraph" w:customStyle="1" w:styleId="174">
    <w:name w:val="Char Char Char1 Char2"/>
    <w:basedOn w:val="1"/>
    <w:qFormat/>
    <w:uiPriority w:val="0"/>
    <w:rPr>
      <w:rFonts w:ascii="Tahoma" w:hAnsi="Tahoma"/>
      <w:sz w:val="24"/>
      <w:szCs w:val="20"/>
    </w:rPr>
  </w:style>
  <w:style w:type="paragraph" w:customStyle="1" w:styleId="175">
    <w:name w:val="Char Char Char2"/>
    <w:basedOn w:val="1"/>
    <w:qFormat/>
    <w:uiPriority w:val="0"/>
    <w:rPr>
      <w:rFonts w:ascii="Tahoma" w:hAnsi="Tahoma"/>
      <w:sz w:val="24"/>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Char Char Char Char Char Char Char Char Char2"/>
    <w:basedOn w:val="1"/>
    <w:qFormat/>
    <w:uiPriority w:val="0"/>
    <w:rPr>
      <w:rFonts w:ascii="宋体" w:hAnsi="宋体" w:cs="Courier New"/>
      <w:sz w:val="32"/>
      <w:szCs w:val="32"/>
    </w:rPr>
  </w:style>
  <w:style w:type="paragraph" w:customStyle="1" w:styleId="180">
    <w:name w:val="Char2 Char Char Char Char Char Char1"/>
    <w:basedOn w:val="1"/>
    <w:qFormat/>
    <w:uiPriority w:val="0"/>
    <w:pPr>
      <w:widowControl/>
      <w:spacing w:line="400" w:lineRule="exact"/>
      <w:jc w:val="center"/>
    </w:pPr>
  </w:style>
  <w:style w:type="paragraph" w:customStyle="1" w:styleId="181">
    <w:name w:val="Char Char41"/>
    <w:basedOn w:val="1"/>
    <w:qFormat/>
    <w:uiPriority w:val="0"/>
    <w:pPr>
      <w:widowControl/>
      <w:spacing w:line="400" w:lineRule="exact"/>
      <w:jc w:val="center"/>
    </w:pPr>
  </w:style>
  <w:style w:type="paragraph" w:customStyle="1" w:styleId="18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3">
    <w:name w:val="标题 1 字符"/>
    <w:link w:val="2"/>
    <w:qFormat/>
    <w:uiPriority w:val="0"/>
    <w:rPr>
      <w:rFonts w:ascii="宋体"/>
      <w:b/>
      <w:kern w:val="44"/>
      <w:sz w:val="32"/>
    </w:rPr>
  </w:style>
  <w:style w:type="character" w:customStyle="1" w:styleId="184">
    <w:name w:val="标题 2 字符"/>
    <w:link w:val="3"/>
    <w:qFormat/>
    <w:uiPriority w:val="0"/>
    <w:rPr>
      <w:rFonts w:ascii="Arial" w:hAnsi="Arial" w:eastAsia="黑体"/>
      <w:b/>
      <w:sz w:val="30"/>
      <w:lang w:val="en-US" w:eastAsia="zh-CN" w:bidi="ar-SA"/>
    </w:rPr>
  </w:style>
  <w:style w:type="character" w:customStyle="1" w:styleId="185">
    <w:name w:val="标题 3 字符"/>
    <w:link w:val="4"/>
    <w:qFormat/>
    <w:uiPriority w:val="0"/>
    <w:rPr>
      <w:rFonts w:ascii="宋体" w:eastAsia="宋体"/>
      <w:b/>
      <w:sz w:val="24"/>
      <w:u w:val="single"/>
      <w:lang w:val="en-US" w:eastAsia="zh-CN" w:bidi="ar-SA"/>
    </w:rPr>
  </w:style>
  <w:style w:type="character" w:customStyle="1" w:styleId="186">
    <w:name w:val="正文缩进 字符"/>
    <w:link w:val="5"/>
    <w:qFormat/>
    <w:uiPriority w:val="0"/>
    <w:rPr>
      <w:rFonts w:ascii="宋体" w:eastAsia="宋体"/>
      <w:kern w:val="2"/>
      <w:sz w:val="24"/>
      <w:szCs w:val="24"/>
      <w:lang w:val="en-US" w:eastAsia="zh-CN" w:bidi="ar-SA"/>
    </w:rPr>
  </w:style>
  <w:style w:type="character" w:customStyle="1" w:styleId="187">
    <w:name w:val="标题 4 字符"/>
    <w:link w:val="6"/>
    <w:qFormat/>
    <w:uiPriority w:val="0"/>
    <w:rPr>
      <w:sz w:val="24"/>
    </w:rPr>
  </w:style>
  <w:style w:type="character" w:customStyle="1" w:styleId="188">
    <w:name w:val="标题 5 字符"/>
    <w:link w:val="7"/>
    <w:qFormat/>
    <w:uiPriority w:val="0"/>
    <w:rPr>
      <w:b/>
      <w:sz w:val="28"/>
    </w:rPr>
  </w:style>
  <w:style w:type="character" w:customStyle="1" w:styleId="189">
    <w:name w:val="标题 6 字符"/>
    <w:link w:val="8"/>
    <w:qFormat/>
    <w:uiPriority w:val="0"/>
    <w:rPr>
      <w:rFonts w:ascii="Arial" w:hAnsi="Arial" w:eastAsia="黑体"/>
      <w:b/>
      <w:sz w:val="24"/>
    </w:rPr>
  </w:style>
  <w:style w:type="character" w:customStyle="1" w:styleId="190">
    <w:name w:val="标题 7 字符"/>
    <w:link w:val="9"/>
    <w:qFormat/>
    <w:uiPriority w:val="0"/>
    <w:rPr>
      <w:b/>
      <w:sz w:val="24"/>
    </w:rPr>
  </w:style>
  <w:style w:type="character" w:customStyle="1" w:styleId="191">
    <w:name w:val="标题 8 字符"/>
    <w:link w:val="10"/>
    <w:qFormat/>
    <w:uiPriority w:val="0"/>
    <w:rPr>
      <w:rFonts w:ascii="Arial" w:hAnsi="Arial" w:eastAsia="黑体"/>
      <w:sz w:val="24"/>
    </w:rPr>
  </w:style>
  <w:style w:type="character" w:customStyle="1" w:styleId="192">
    <w:name w:val="标题 9 字符"/>
    <w:link w:val="11"/>
    <w:qFormat/>
    <w:uiPriority w:val="0"/>
    <w:rPr>
      <w:rFonts w:ascii="Arial" w:hAnsi="Arial" w:eastAsia="黑体"/>
      <w:sz w:val="21"/>
    </w:rPr>
  </w:style>
  <w:style w:type="character" w:customStyle="1" w:styleId="193">
    <w:name w:val="文档结构图 字符"/>
    <w:link w:val="14"/>
    <w:qFormat/>
    <w:uiPriority w:val="0"/>
    <w:rPr>
      <w:kern w:val="2"/>
      <w:sz w:val="21"/>
      <w:szCs w:val="24"/>
      <w:shd w:val="clear" w:color="auto" w:fill="000080"/>
    </w:rPr>
  </w:style>
  <w:style w:type="character" w:customStyle="1" w:styleId="194">
    <w:name w:val="批注文字 字符1"/>
    <w:link w:val="15"/>
    <w:qFormat/>
    <w:uiPriority w:val="99"/>
    <w:rPr>
      <w:kern w:val="2"/>
      <w:sz w:val="21"/>
      <w:szCs w:val="24"/>
    </w:rPr>
  </w:style>
  <w:style w:type="character" w:customStyle="1" w:styleId="195">
    <w:name w:val="正文文本 3 字符"/>
    <w:link w:val="16"/>
    <w:qFormat/>
    <w:uiPriority w:val="0"/>
    <w:rPr>
      <w:kern w:val="2"/>
      <w:sz w:val="16"/>
      <w:szCs w:val="16"/>
    </w:rPr>
  </w:style>
  <w:style w:type="character" w:customStyle="1" w:styleId="196">
    <w:name w:val="正文文本 字符"/>
    <w:link w:val="17"/>
    <w:qFormat/>
    <w:uiPriority w:val="0"/>
    <w:rPr>
      <w:rFonts w:ascii="宋体" w:hAnsi="宋体"/>
      <w:kern w:val="2"/>
      <w:sz w:val="24"/>
      <w:szCs w:val="24"/>
    </w:rPr>
  </w:style>
  <w:style w:type="character" w:customStyle="1" w:styleId="197">
    <w:name w:val="正文文本缩进 字符"/>
    <w:link w:val="18"/>
    <w:qFormat/>
    <w:uiPriority w:val="0"/>
    <w:rPr>
      <w:rFonts w:eastAsia="宋体"/>
      <w:kern w:val="2"/>
      <w:sz w:val="24"/>
      <w:szCs w:val="24"/>
      <w:lang w:val="en-US" w:eastAsia="zh-CN" w:bidi="ar-SA"/>
    </w:rPr>
  </w:style>
  <w:style w:type="character" w:customStyle="1" w:styleId="198">
    <w:name w:val="纯文本 字符2"/>
    <w:link w:val="23"/>
    <w:qFormat/>
    <w:uiPriority w:val="0"/>
    <w:rPr>
      <w:rFonts w:hint="eastAsia" w:ascii="宋体" w:hAnsi="Courier New" w:eastAsia="宋体" w:cs="宋体"/>
      <w:kern w:val="2"/>
      <w:sz w:val="21"/>
    </w:rPr>
  </w:style>
  <w:style w:type="character" w:customStyle="1" w:styleId="199">
    <w:name w:val="日期 字符"/>
    <w:link w:val="25"/>
    <w:qFormat/>
    <w:uiPriority w:val="0"/>
    <w:rPr>
      <w:rFonts w:ascii="仿宋_GB2312" w:hAnsi="宋体" w:eastAsia="仿宋_GB2312"/>
      <w:color w:val="000000"/>
      <w:kern w:val="2"/>
      <w:sz w:val="24"/>
      <w:szCs w:val="24"/>
    </w:rPr>
  </w:style>
  <w:style w:type="character" w:customStyle="1" w:styleId="200">
    <w:name w:val="正文文本缩进 2 字符"/>
    <w:link w:val="26"/>
    <w:qFormat/>
    <w:uiPriority w:val="0"/>
    <w:rPr>
      <w:rFonts w:ascii="仿宋_GB2312" w:eastAsia="仿宋_GB2312"/>
      <w:kern w:val="2"/>
      <w:sz w:val="24"/>
      <w:szCs w:val="24"/>
    </w:rPr>
  </w:style>
  <w:style w:type="character" w:customStyle="1" w:styleId="201">
    <w:name w:val="批注框文本 字符"/>
    <w:link w:val="27"/>
    <w:qFormat/>
    <w:uiPriority w:val="0"/>
    <w:rPr>
      <w:kern w:val="2"/>
      <w:sz w:val="18"/>
      <w:szCs w:val="18"/>
    </w:rPr>
  </w:style>
  <w:style w:type="character" w:customStyle="1" w:styleId="202">
    <w:name w:val="页脚 字符"/>
    <w:link w:val="28"/>
    <w:qFormat/>
    <w:uiPriority w:val="99"/>
    <w:rPr>
      <w:rFonts w:ascii="宋体" w:eastAsia="宋体"/>
      <w:sz w:val="18"/>
      <w:lang w:val="en-US" w:eastAsia="zh-CN" w:bidi="ar-SA"/>
    </w:rPr>
  </w:style>
  <w:style w:type="character" w:customStyle="1" w:styleId="203">
    <w:name w:val="页眉 字符"/>
    <w:link w:val="29"/>
    <w:qFormat/>
    <w:uiPriority w:val="0"/>
    <w:rPr>
      <w:rFonts w:eastAsia="宋体"/>
      <w:kern w:val="2"/>
      <w:sz w:val="18"/>
      <w:szCs w:val="18"/>
      <w:lang w:val="en-US" w:eastAsia="zh-CN" w:bidi="ar-SA"/>
    </w:rPr>
  </w:style>
  <w:style w:type="character" w:customStyle="1" w:styleId="204">
    <w:name w:val="正文文本缩进 3 字符"/>
    <w:link w:val="33"/>
    <w:qFormat/>
    <w:uiPriority w:val="0"/>
    <w:rPr>
      <w:rFonts w:ascii="宋体"/>
      <w:sz w:val="24"/>
    </w:rPr>
  </w:style>
  <w:style w:type="character" w:customStyle="1" w:styleId="205">
    <w:name w:val="HTML 预设格式 字符"/>
    <w:link w:val="36"/>
    <w:qFormat/>
    <w:uiPriority w:val="0"/>
    <w:rPr>
      <w:rFonts w:ascii="宋体" w:hAnsi="宋体" w:cs="宋体"/>
      <w:sz w:val="24"/>
      <w:szCs w:val="24"/>
    </w:rPr>
  </w:style>
  <w:style w:type="character" w:customStyle="1" w:styleId="206">
    <w:name w:val="标题 字符"/>
    <w:link w:val="39"/>
    <w:qFormat/>
    <w:uiPriority w:val="0"/>
    <w:rPr>
      <w:b/>
      <w:kern w:val="2"/>
      <w:sz w:val="32"/>
    </w:rPr>
  </w:style>
  <w:style w:type="character" w:customStyle="1" w:styleId="20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208">
    <w:name w:val="正文首行缩进 2 字符"/>
    <w:link w:val="41"/>
    <w:qFormat/>
    <w:uiPriority w:val="0"/>
    <w:rPr>
      <w:rFonts w:eastAsia="宋体"/>
      <w:kern w:val="2"/>
      <w:sz w:val="24"/>
      <w:szCs w:val="24"/>
      <w:lang w:val="en-US" w:eastAsia="zh-CN" w:bidi="ar-SA"/>
    </w:rPr>
  </w:style>
  <w:style w:type="character" w:customStyle="1" w:styleId="209">
    <w:name w:val="c21"/>
    <w:qFormat/>
    <w:uiPriority w:val="0"/>
    <w:rPr>
      <w:rFonts w:hint="default" w:ascii="ˎ̥" w:hAnsi="ˎ̥"/>
      <w:color w:val="000000"/>
      <w:sz w:val="20"/>
      <w:szCs w:val="20"/>
      <w:u w:val="none"/>
    </w:rPr>
  </w:style>
  <w:style w:type="character" w:customStyle="1" w:styleId="210">
    <w:name w:val="批注文字 Char"/>
    <w:qFormat/>
    <w:uiPriority w:val="99"/>
    <w:rPr>
      <w:kern w:val="2"/>
      <w:sz w:val="21"/>
      <w:szCs w:val="24"/>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注释 Char"/>
    <w:link w:val="53"/>
    <w:qFormat/>
    <w:uiPriority w:val="0"/>
    <w:rPr>
      <w:rFonts w:ascii="宋体" w:hAnsi="宋体"/>
      <w:kern w:val="2"/>
      <w:sz w:val="21"/>
      <w:szCs w:val="21"/>
    </w:rPr>
  </w:style>
  <w:style w:type="character" w:customStyle="1" w:styleId="213">
    <w:name w:val="cf01"/>
    <w:qFormat/>
    <w:uiPriority w:val="0"/>
    <w:rPr>
      <w:rFonts w:hint="eastAsia" w:ascii="Microsoft YaHei UI" w:hAnsi="Microsoft YaHei UI" w:eastAsia="Microsoft YaHei UI"/>
      <w:sz w:val="18"/>
      <w:szCs w:val="18"/>
    </w:rPr>
  </w:style>
  <w:style w:type="character" w:customStyle="1" w:styleId="214">
    <w:name w:val="批注文字 字符"/>
    <w:qFormat/>
    <w:uiPriority w:val="99"/>
    <w:rPr>
      <w:rFonts w:ascii="Times New Roman" w:hAnsi="Times New Roman" w:eastAsia="宋体" w:cs="Times New Roman"/>
      <w:sz w:val="24"/>
      <w:lang w:val="en-US" w:eastAsia="zh-CN" w:bidi="ar-SA"/>
    </w:rPr>
  </w:style>
  <w:style w:type="character" w:customStyle="1" w:styleId="215">
    <w:name w:val="标题 2 Char Char"/>
    <w:qFormat/>
    <w:uiPriority w:val="0"/>
    <w:rPr>
      <w:rFonts w:ascii="Arial" w:hAnsi="Arial" w:eastAsia="黑体"/>
      <w:b/>
      <w:bCs/>
      <w:kern w:val="2"/>
      <w:sz w:val="32"/>
      <w:szCs w:val="32"/>
      <w:lang w:val="en-US" w:eastAsia="zh-CN" w:bidi="ar-SA"/>
    </w:rPr>
  </w:style>
  <w:style w:type="character" w:customStyle="1" w:styleId="216">
    <w:name w:val="chanpin1"/>
    <w:qFormat/>
    <w:uiPriority w:val="0"/>
    <w:rPr>
      <w:rFonts w:hint="default" w:ascii="ˎ̥" w:hAnsi="ˎ̥"/>
      <w:color w:val="000000"/>
      <w:sz w:val="20"/>
      <w:szCs w:val="20"/>
      <w:u w:val="none"/>
    </w:rPr>
  </w:style>
  <w:style w:type="character" w:customStyle="1" w:styleId="217">
    <w:name w:val="txt"/>
    <w:qFormat/>
    <w:uiPriority w:val="0"/>
  </w:style>
  <w:style w:type="character" w:customStyle="1" w:styleId="218">
    <w:name w:val="正文文本缩进 Char1"/>
    <w:link w:val="54"/>
    <w:qFormat/>
    <w:uiPriority w:val="0"/>
    <w:rPr>
      <w:rFonts w:ascii="宋体" w:hAnsi="宋体" w:eastAsia="宋体"/>
      <w:sz w:val="24"/>
      <w:szCs w:val="24"/>
      <w:lang w:bidi="ar-SA"/>
    </w:rPr>
  </w:style>
  <w:style w:type="character" w:customStyle="1" w:styleId="219">
    <w:name w:val="普通文字1 Char1"/>
    <w:qFormat/>
    <w:uiPriority w:val="0"/>
    <w:rPr>
      <w:rFonts w:ascii="宋体" w:hAnsi="Courier New" w:eastAsia="宋体"/>
      <w:kern w:val="2"/>
      <w:sz w:val="21"/>
      <w:lang w:val="en-US" w:eastAsia="zh-CN" w:bidi="ar-SA"/>
    </w:rPr>
  </w:style>
  <w:style w:type="character" w:customStyle="1" w:styleId="220">
    <w:name w:val="Char Char111"/>
    <w:qFormat/>
    <w:uiPriority w:val="0"/>
    <w:rPr>
      <w:rFonts w:ascii="宋体" w:eastAsia="宋体"/>
      <w:b/>
      <w:sz w:val="24"/>
      <w:u w:val="single"/>
      <w:lang w:val="en-US" w:eastAsia="zh-CN" w:bidi="ar-SA"/>
    </w:rPr>
  </w:style>
  <w:style w:type="character" w:customStyle="1" w:styleId="221">
    <w:name w:val="正文大标题 Char"/>
    <w:link w:val="55"/>
    <w:qFormat/>
    <w:uiPriority w:val="0"/>
    <w:rPr>
      <w:rFonts w:ascii="宋体" w:hAnsi="宋体"/>
      <w:b/>
      <w:color w:val="000000"/>
      <w:kern w:val="2"/>
      <w:sz w:val="28"/>
      <w:szCs w:val="21"/>
    </w:rPr>
  </w:style>
  <w:style w:type="character" w:customStyle="1" w:styleId="222">
    <w:name w:val="正文小标题 Char"/>
    <w:link w:val="56"/>
    <w:qFormat/>
    <w:uiPriority w:val="0"/>
    <w:rPr>
      <w:rFonts w:ascii="宋体" w:hAnsi="宋体"/>
      <w:b/>
      <w:i/>
      <w:color w:val="FF0000"/>
      <w:kern w:val="2"/>
      <w:sz w:val="24"/>
    </w:rPr>
  </w:style>
  <w:style w:type="character" w:customStyle="1" w:styleId="223">
    <w:name w:val="纯文本 Char1"/>
    <w:qFormat/>
    <w:uiPriority w:val="0"/>
    <w:rPr>
      <w:rFonts w:ascii="宋体" w:hAnsi="Courier New" w:eastAsia="宋体"/>
      <w:kern w:val="2"/>
      <w:sz w:val="21"/>
      <w:lang w:val="en-US" w:eastAsia="zh-CN" w:bidi="ar-SA"/>
    </w:rPr>
  </w:style>
  <w:style w:type="character" w:customStyle="1" w:styleId="224">
    <w:name w:val="列出段落 字符"/>
    <w:link w:val="57"/>
    <w:qFormat/>
    <w:uiPriority w:val="34"/>
    <w:rPr>
      <w:rFonts w:ascii="Calibri" w:hAnsi="Calibri" w:eastAsia="宋体"/>
      <w:kern w:val="2"/>
      <w:sz w:val="21"/>
      <w:szCs w:val="22"/>
      <w:lang w:val="en-US" w:eastAsia="zh-CN" w:bidi="ar-SA"/>
    </w:rPr>
  </w:style>
  <w:style w:type="character" w:customStyle="1" w:styleId="225">
    <w:name w:val="正文格式 Char"/>
    <w:link w:val="58"/>
    <w:qFormat/>
    <w:locked/>
    <w:uiPriority w:val="0"/>
    <w:rPr>
      <w:rFonts w:ascii="宋体" w:hAnsi="宋体"/>
      <w:sz w:val="24"/>
      <w:szCs w:val="24"/>
      <w:lang w:val="en-GB"/>
    </w:rPr>
  </w:style>
  <w:style w:type="character" w:customStyle="1" w:styleId="226">
    <w:name w:val="纯文本 字符1"/>
    <w:qFormat/>
    <w:uiPriority w:val="0"/>
    <w:rPr>
      <w:rFonts w:ascii="宋体" w:hAnsi="Courier New"/>
    </w:rPr>
  </w:style>
  <w:style w:type="character" w:customStyle="1" w:styleId="227">
    <w:name w:val="bjh-p"/>
    <w:qFormat/>
    <w:uiPriority w:val="0"/>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页脚 Char"/>
    <w:qFormat/>
    <w:uiPriority w:val="0"/>
    <w:rPr>
      <w:rFonts w:ascii="宋体" w:eastAsia="宋体"/>
      <w:sz w:val="18"/>
      <w:lang w:val="en-US" w:eastAsia="zh-CN" w:bidi="ar-SA"/>
    </w:rPr>
  </w:style>
  <w:style w:type="character" w:customStyle="1" w:styleId="231">
    <w:name w:val="cf21"/>
    <w:qFormat/>
    <w:uiPriority w:val="0"/>
    <w:rPr>
      <w:rFonts w:hint="eastAsia" w:ascii="Microsoft YaHei UI" w:hAnsi="Microsoft YaHei UI" w:eastAsia="Microsoft YaHei UI"/>
      <w:sz w:val="18"/>
      <w:szCs w:val="18"/>
      <w:shd w:val="clear" w:color="auto" w:fill="FFFFFF"/>
    </w:rPr>
  </w:style>
  <w:style w:type="character" w:customStyle="1" w:styleId="232">
    <w:name w:val="street-address"/>
    <w:qFormat/>
    <w:uiPriority w:val="0"/>
  </w:style>
  <w:style w:type="character" w:customStyle="1" w:styleId="233">
    <w:name w:val="正文缩进 Char Char"/>
    <w:link w:val="59"/>
    <w:qFormat/>
    <w:uiPriority w:val="0"/>
    <w:rPr>
      <w:rFonts w:ascii="宋体" w:eastAsia="宋体"/>
      <w:snapToGrid w:val="0"/>
      <w:color w:val="000000"/>
      <w:kern w:val="28"/>
      <w:sz w:val="28"/>
      <w:lang w:bidi="ar-SA"/>
    </w:rPr>
  </w:style>
  <w:style w:type="character" w:customStyle="1" w:styleId="234">
    <w:name w:val="Char Char11"/>
    <w:qFormat/>
    <w:uiPriority w:val="0"/>
    <w:rPr>
      <w:rFonts w:ascii="宋体" w:eastAsia="宋体"/>
      <w:b/>
      <w:sz w:val="24"/>
      <w:u w:val="single"/>
      <w:lang w:val="en-US" w:eastAsia="zh-CN" w:bidi="ar-SA"/>
    </w:rPr>
  </w:style>
  <w:style w:type="character" w:customStyle="1" w:styleId="235">
    <w:name w:val="title4"/>
    <w:qFormat/>
    <w:uiPriority w:val="0"/>
    <w:rPr>
      <w:b/>
      <w:bCs/>
      <w:color w:val="1D87B3"/>
      <w:sz w:val="15"/>
      <w:szCs w:val="15"/>
    </w:rPr>
  </w:style>
  <w:style w:type="character" w:customStyle="1" w:styleId="236">
    <w:name w:val="正文表格 Char"/>
    <w:link w:val="60"/>
    <w:qFormat/>
    <w:uiPriority w:val="0"/>
    <w:rPr>
      <w:rFonts w:ascii="宋体" w:hAnsi="宋体"/>
      <w:color w:val="000000"/>
      <w:kern w:val="2"/>
      <w:sz w:val="21"/>
      <w:szCs w:val="21"/>
    </w:rPr>
  </w:style>
  <w:style w:type="character" w:customStyle="1" w:styleId="237">
    <w:name w:val="正文重点 Char"/>
    <w:link w:val="61"/>
    <w:qFormat/>
    <w:uiPriority w:val="0"/>
    <w:rPr>
      <w:b/>
      <w:sz w:val="24"/>
    </w:rPr>
  </w:style>
  <w:style w:type="character" w:customStyle="1" w:styleId="238">
    <w:name w:val="标题 2 Char"/>
    <w:qFormat/>
    <w:uiPriority w:val="0"/>
    <w:rPr>
      <w:rFonts w:ascii="Arial" w:hAnsi="Arial" w:eastAsia="黑体"/>
      <w:b/>
      <w:sz w:val="30"/>
      <w:lang w:val="en-US" w:eastAsia="zh-CN" w:bidi="ar-SA"/>
    </w:rPr>
  </w:style>
  <w:style w:type="character" w:customStyle="1" w:styleId="239">
    <w:name w:val="标题 3 Char"/>
    <w:qFormat/>
    <w:uiPriority w:val="0"/>
    <w:rPr>
      <w:rFonts w:ascii="宋体" w:eastAsia="宋体"/>
      <w:b/>
      <w:sz w:val="24"/>
      <w:u w:val="single"/>
      <w:lang w:val="en-US" w:eastAsia="zh-CN" w:bidi="ar-SA"/>
    </w:rPr>
  </w:style>
  <w:style w:type="character" w:customStyle="1" w:styleId="240">
    <w:name w:val="纯文本 字符"/>
    <w:qFormat/>
    <w:uiPriority w:val="99"/>
    <w:rPr>
      <w:rFonts w:ascii="宋体" w:hAnsi="Courier New" w:eastAsia="宋体" w:cs="Times New Roman"/>
      <w:kern w:val="2"/>
      <w:sz w:val="21"/>
      <w:szCs w:val="21"/>
      <w:lang w:val="en-US" w:eastAsia="zh-CN" w:bidi="ar-SA"/>
    </w:rPr>
  </w:style>
  <w:style w:type="character" w:customStyle="1" w:styleId="241">
    <w:name w:val="列出段落 Char"/>
    <w:qFormat/>
    <w:uiPriority w:val="0"/>
    <w:rPr>
      <w:rFonts w:ascii="Calibri" w:hAnsi="Calibri" w:eastAsia="宋体"/>
      <w:kern w:val="2"/>
      <w:sz w:val="21"/>
      <w:szCs w:val="22"/>
      <w:lang w:val="en-US" w:eastAsia="zh-CN" w:bidi="ar-SA"/>
    </w:rPr>
  </w:style>
  <w:style w:type="character" w:customStyle="1" w:styleId="242">
    <w:name w:val="cf11"/>
    <w:qFormat/>
    <w:uiPriority w:val="0"/>
    <w:rPr>
      <w:rFonts w:hint="eastAsia" w:ascii="Microsoft YaHei UI" w:hAnsi="Microsoft YaHei UI" w:eastAsia="Microsoft YaHei UI"/>
      <w:sz w:val="18"/>
      <w:szCs w:val="18"/>
    </w:rPr>
  </w:style>
  <w:style w:type="character" w:customStyle="1" w:styleId="243">
    <w:name w:val="black1"/>
    <w:qFormat/>
    <w:uiPriority w:val="0"/>
    <w:rPr>
      <w:color w:val="000000"/>
    </w:rPr>
  </w:style>
  <w:style w:type="character" w:customStyle="1" w:styleId="244">
    <w:name w:val="locality"/>
    <w:qFormat/>
    <w:uiPriority w:val="0"/>
  </w:style>
  <w:style w:type="character" w:customStyle="1" w:styleId="245">
    <w:name w:val="标题 3 Char Char"/>
    <w:qFormat/>
    <w:uiPriority w:val="0"/>
    <w:rPr>
      <w:rFonts w:eastAsia="宋体"/>
      <w:b/>
      <w:bCs/>
      <w:kern w:val="2"/>
      <w:sz w:val="32"/>
      <w:szCs w:val="32"/>
      <w:lang w:val="en-US" w:eastAsia="zh-CN" w:bidi="ar-SA"/>
    </w:rPr>
  </w:style>
  <w:style w:type="character" w:customStyle="1" w:styleId="246">
    <w:name w:val="段1 Char"/>
    <w:qFormat/>
    <w:uiPriority w:val="0"/>
    <w:rPr>
      <w:rFonts w:ascii="宋体" w:eastAsia="宋体"/>
      <w:sz w:val="24"/>
      <w:lang w:val="en-US" w:eastAsia="zh-CN" w:bidi="ar-SA"/>
    </w:rPr>
  </w:style>
  <w:style w:type="character" w:customStyle="1" w:styleId="247">
    <w:name w:val="chanpin拷贝"/>
    <w:qFormat/>
    <w:uiPriority w:val="0"/>
  </w:style>
  <w:style w:type="character" w:customStyle="1" w:styleId="248">
    <w:name w:val="apple-style-span"/>
    <w:qFormat/>
    <w:uiPriority w:val="0"/>
    <w:rPr>
      <w:rFonts w:cs="Times New Roman"/>
    </w:rPr>
  </w:style>
  <w:style w:type="character" w:customStyle="1" w:styleId="249">
    <w:name w:val="中等深浅网格 1 - 强调文字颜色 2 Char"/>
    <w:link w:val="62"/>
    <w:qFormat/>
    <w:uiPriority w:val="0"/>
    <w:rPr>
      <w:kern w:val="2"/>
      <w:sz w:val="21"/>
      <w:szCs w:val="24"/>
      <w:lang w:val="zh-CN" w:eastAsia="zh-CN"/>
    </w:rPr>
  </w:style>
  <w:style w:type="character" w:customStyle="1" w:styleId="250">
    <w:name w:val="标题 Char"/>
    <w:qFormat/>
    <w:uiPriority w:val="0"/>
    <w:rPr>
      <w:b/>
      <w:kern w:val="2"/>
      <w:sz w:val="32"/>
    </w:rPr>
  </w:style>
  <w:style w:type="table" w:customStyle="1" w:styleId="2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52">
    <w:name w:val="font51"/>
    <w:qFormat/>
    <w:uiPriority w:val="0"/>
    <w:rPr>
      <w:rFonts w:hint="default" w:ascii="Times New Roman" w:hAnsi="Times New Roman" w:cs="Times New Roman"/>
      <w:color w:val="000000"/>
      <w:sz w:val="21"/>
      <w:szCs w:val="21"/>
      <w:u w:val="none"/>
    </w:rPr>
  </w:style>
  <w:style w:type="paragraph" w:customStyle="1" w:styleId="253">
    <w:name w:val="!BECC正文"/>
    <w:basedOn w:val="1"/>
    <w:qFormat/>
    <w:uiPriority w:val="0"/>
    <w:pPr>
      <w:tabs>
        <w:tab w:val="left" w:pos="0"/>
      </w:tabs>
      <w:spacing w:beforeLines="50" w:line="360" w:lineRule="auto"/>
      <w:ind w:firstLine="200" w:firstLineChars="200"/>
      <w:contextualSpacing/>
    </w:pPr>
    <w:rPr>
      <w:rFonts w:ascii="Calibri" w:hAnsi="Calibri"/>
      <w:kern w:val="0"/>
      <w:sz w:val="24"/>
    </w:rPr>
  </w:style>
  <w:style w:type="paragraph" w:customStyle="1" w:styleId="254">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55">
    <w:name w:val="新正文"/>
    <w:basedOn w:val="1"/>
    <w:qFormat/>
    <w:uiPriority w:val="0"/>
    <w:pPr>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14511</Words>
  <Characters>15267</Characters>
  <Lines>324</Lines>
  <Paragraphs>91</Paragraphs>
  <TotalTime>9</TotalTime>
  <ScaleCrop>false</ScaleCrop>
  <LinksUpToDate>false</LinksUpToDate>
  <CharactersWithSpaces>15404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2025-09-24T00:28:00Z</dcterms:created>
  <dc:creator>Yin Hao</dc:creator>
  <cp:lastModifiedBy>user</cp:lastModifiedBy>
  <cp:lastPrinted>2020-04-01T11:13:00Z</cp:lastPrinted>
  <dcterms:modified xsi:type="dcterms:W3CDTF">2025-09-25T03:13:03Z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1FB7A24E5E2B15A00FC2D068B7162C69_43</vt:lpwstr>
  </property>
  <property fmtid="{D5CDD505-2E9C-101B-9397-08002B2CF9AE}" pid="4" name="KSOTemplateDocerSaveRecord">
    <vt:lpwstr>eyJoZGlkIjoiZDY2ZGE0NTNjMjczYjk4NjU0NDRhYjBhMjQwOTk3ZjUiLCJ1c2VySWQiOiI1ODk3MTQzNjQifQ==</vt:lpwstr>
  </property>
</Properties>
</file>