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AEA0">
      <w:pPr>
        <w:tabs>
          <w:tab w:val="left" w:pos="900"/>
        </w:tabs>
        <w:spacing w:after="0"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采购需求</w:t>
      </w:r>
    </w:p>
    <w:p w14:paraId="1FE6D8B1">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一、采购标的</w:t>
      </w:r>
    </w:p>
    <w:p w14:paraId="5D113C03">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1、采购标的（货物需求一览表或简要服务内容及数量）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81"/>
        <w:gridCol w:w="924"/>
        <w:gridCol w:w="2570"/>
        <w:gridCol w:w="774"/>
        <w:gridCol w:w="1216"/>
        <w:gridCol w:w="1216"/>
        <w:gridCol w:w="672"/>
        <w:gridCol w:w="669"/>
      </w:tblGrid>
      <w:tr w14:paraId="202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1" w:hRule="atLeast"/>
        </w:trPr>
        <w:tc>
          <w:tcPr>
            <w:tcW w:w="282" w:type="pct"/>
            <w:shd w:val="clear" w:color="auto" w:fill="FFFFFF" w:themeFill="background1"/>
            <w:vAlign w:val="center"/>
          </w:tcPr>
          <w:p w14:paraId="19F9E42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包号</w:t>
            </w:r>
          </w:p>
        </w:tc>
        <w:tc>
          <w:tcPr>
            <w:tcW w:w="542" w:type="pct"/>
            <w:shd w:val="clear" w:color="auto" w:fill="FFFFFF" w:themeFill="background1"/>
            <w:vAlign w:val="center"/>
          </w:tcPr>
          <w:p w14:paraId="5679853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品目号</w:t>
            </w:r>
          </w:p>
        </w:tc>
        <w:tc>
          <w:tcPr>
            <w:tcW w:w="1507" w:type="pct"/>
            <w:shd w:val="clear" w:color="auto" w:fill="FFFFFF" w:themeFill="background1"/>
            <w:vAlign w:val="center"/>
          </w:tcPr>
          <w:p w14:paraId="7CE188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品目名称</w:t>
            </w:r>
          </w:p>
        </w:tc>
        <w:tc>
          <w:tcPr>
            <w:tcW w:w="454" w:type="pct"/>
            <w:shd w:val="clear" w:color="auto" w:fill="FFFFFF" w:themeFill="background1"/>
            <w:vAlign w:val="center"/>
          </w:tcPr>
          <w:p w14:paraId="214629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713" w:type="pct"/>
            <w:shd w:val="clear" w:color="auto" w:fill="FFFFFF" w:themeFill="background1"/>
            <w:vAlign w:val="center"/>
          </w:tcPr>
          <w:p w14:paraId="295EC19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最高限价单价（元）</w:t>
            </w:r>
          </w:p>
        </w:tc>
        <w:tc>
          <w:tcPr>
            <w:tcW w:w="713" w:type="pct"/>
            <w:shd w:val="clear" w:color="auto" w:fill="FFFFFF" w:themeFill="background1"/>
            <w:vAlign w:val="center"/>
          </w:tcPr>
          <w:p w14:paraId="528ED40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最高限价总价（元）</w:t>
            </w:r>
          </w:p>
        </w:tc>
        <w:tc>
          <w:tcPr>
            <w:tcW w:w="394" w:type="pct"/>
            <w:shd w:val="clear" w:color="auto" w:fill="FFFFFF" w:themeFill="background1"/>
            <w:vAlign w:val="center"/>
          </w:tcPr>
          <w:p w14:paraId="06E02AF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是否允许进口</w:t>
            </w:r>
          </w:p>
        </w:tc>
        <w:tc>
          <w:tcPr>
            <w:tcW w:w="392" w:type="pct"/>
            <w:shd w:val="clear" w:color="auto" w:fill="FFFFFF" w:themeFill="background1"/>
            <w:vAlign w:val="center"/>
          </w:tcPr>
          <w:p w14:paraId="7E1B8AF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是否属于核心产品</w:t>
            </w:r>
          </w:p>
        </w:tc>
      </w:tr>
      <w:tr w14:paraId="7A32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14B3FF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42" w:type="pct"/>
            <w:shd w:val="clear" w:color="auto" w:fill="FFFFFF" w:themeFill="background1"/>
            <w:vAlign w:val="center"/>
          </w:tcPr>
          <w:p w14:paraId="65DBC8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507" w:type="pct"/>
            <w:shd w:val="clear" w:color="auto" w:fill="FFFFFF" w:themeFill="background1"/>
            <w:vAlign w:val="center"/>
          </w:tcPr>
          <w:p w14:paraId="260BC68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实时活细胞分析系统</w:t>
            </w:r>
          </w:p>
        </w:tc>
        <w:tc>
          <w:tcPr>
            <w:tcW w:w="454" w:type="pct"/>
            <w:shd w:val="clear" w:color="auto" w:fill="FFFFFF" w:themeFill="background1"/>
            <w:vAlign w:val="center"/>
          </w:tcPr>
          <w:p w14:paraId="25C8AEA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683FFA5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2450000</w:t>
            </w:r>
          </w:p>
        </w:tc>
        <w:tc>
          <w:tcPr>
            <w:tcW w:w="713" w:type="pct"/>
            <w:shd w:val="clear" w:color="auto" w:fill="FFFFFF" w:themeFill="background1"/>
            <w:vAlign w:val="center"/>
          </w:tcPr>
          <w:p w14:paraId="11994C3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2450000</w:t>
            </w:r>
          </w:p>
        </w:tc>
        <w:tc>
          <w:tcPr>
            <w:tcW w:w="394" w:type="pct"/>
            <w:shd w:val="clear" w:color="auto" w:fill="FFFFFF" w:themeFill="background1"/>
            <w:vAlign w:val="center"/>
          </w:tcPr>
          <w:p w14:paraId="51B6D4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w:t>
            </w:r>
          </w:p>
        </w:tc>
        <w:tc>
          <w:tcPr>
            <w:tcW w:w="392" w:type="pct"/>
            <w:shd w:val="clear" w:color="auto" w:fill="FFFFFF" w:themeFill="background1"/>
            <w:vAlign w:val="center"/>
          </w:tcPr>
          <w:p w14:paraId="3F0998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w:t>
            </w:r>
          </w:p>
        </w:tc>
      </w:tr>
      <w:tr w14:paraId="7B6C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6C75A7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42" w:type="pct"/>
            <w:shd w:val="clear" w:color="auto" w:fill="FFFFFF" w:themeFill="background1"/>
            <w:vAlign w:val="center"/>
          </w:tcPr>
          <w:p w14:paraId="602D37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507" w:type="pct"/>
            <w:shd w:val="clear" w:color="auto" w:fill="FFFFFF" w:themeFill="background1"/>
            <w:vAlign w:val="center"/>
          </w:tcPr>
          <w:p w14:paraId="5910749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多功能皮肤测试仪</w:t>
            </w:r>
          </w:p>
        </w:tc>
        <w:tc>
          <w:tcPr>
            <w:tcW w:w="454" w:type="pct"/>
            <w:shd w:val="clear" w:color="auto" w:fill="FFFFFF" w:themeFill="background1"/>
            <w:vAlign w:val="center"/>
          </w:tcPr>
          <w:p w14:paraId="625F24B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5CD6E33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600000</w:t>
            </w:r>
          </w:p>
        </w:tc>
        <w:tc>
          <w:tcPr>
            <w:tcW w:w="713" w:type="pct"/>
            <w:shd w:val="clear" w:color="auto" w:fill="FFFFFF" w:themeFill="background1"/>
            <w:vAlign w:val="center"/>
          </w:tcPr>
          <w:p w14:paraId="2D9E390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600000</w:t>
            </w:r>
          </w:p>
        </w:tc>
        <w:tc>
          <w:tcPr>
            <w:tcW w:w="394" w:type="pct"/>
            <w:shd w:val="clear" w:color="auto" w:fill="FFFFFF" w:themeFill="background1"/>
            <w:vAlign w:val="center"/>
          </w:tcPr>
          <w:p w14:paraId="66194B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w:t>
            </w:r>
          </w:p>
        </w:tc>
        <w:tc>
          <w:tcPr>
            <w:tcW w:w="392" w:type="pct"/>
            <w:shd w:val="clear" w:color="auto" w:fill="FFFFFF" w:themeFill="background1"/>
            <w:vAlign w:val="center"/>
          </w:tcPr>
          <w:p w14:paraId="434E2C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r>
      <w:tr w14:paraId="3AF8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3E0063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42" w:type="pct"/>
            <w:shd w:val="clear" w:color="auto" w:fill="FFFFFF" w:themeFill="background1"/>
            <w:vAlign w:val="center"/>
          </w:tcPr>
          <w:p w14:paraId="162182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507" w:type="pct"/>
            <w:shd w:val="clear" w:color="auto" w:fill="FFFFFF" w:themeFill="background1"/>
            <w:vAlign w:val="center"/>
          </w:tcPr>
          <w:p w14:paraId="4D1E3E8D">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电子密度计</w:t>
            </w:r>
          </w:p>
        </w:tc>
        <w:tc>
          <w:tcPr>
            <w:tcW w:w="454" w:type="pct"/>
            <w:shd w:val="clear" w:color="auto" w:fill="FFFFFF" w:themeFill="background1"/>
            <w:vAlign w:val="center"/>
          </w:tcPr>
          <w:p w14:paraId="2EC115FA">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472BE4F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190000</w:t>
            </w:r>
          </w:p>
        </w:tc>
        <w:tc>
          <w:tcPr>
            <w:tcW w:w="713" w:type="pct"/>
            <w:shd w:val="clear" w:color="auto" w:fill="FFFFFF" w:themeFill="background1"/>
            <w:vAlign w:val="center"/>
          </w:tcPr>
          <w:p w14:paraId="260B6FD5">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190000</w:t>
            </w:r>
          </w:p>
        </w:tc>
        <w:tc>
          <w:tcPr>
            <w:tcW w:w="394" w:type="pct"/>
            <w:shd w:val="clear" w:color="auto" w:fill="FFFFFF" w:themeFill="background1"/>
            <w:vAlign w:val="center"/>
          </w:tcPr>
          <w:p w14:paraId="3A28B7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w:t>
            </w:r>
          </w:p>
        </w:tc>
        <w:tc>
          <w:tcPr>
            <w:tcW w:w="392" w:type="pct"/>
            <w:shd w:val="clear" w:color="auto" w:fill="FFFFFF" w:themeFill="background1"/>
            <w:vAlign w:val="center"/>
          </w:tcPr>
          <w:p w14:paraId="3262D6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r>
    </w:tbl>
    <w:p w14:paraId="27FFDAF4">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2、项目背景/项目概述</w:t>
      </w:r>
    </w:p>
    <w:p w14:paraId="214CD538">
      <w:pPr>
        <w:pStyle w:val="7"/>
        <w:spacing w:after="0" w:line="360" w:lineRule="auto"/>
        <w:ind w:firstLine="480"/>
        <w:rPr>
          <w:rFonts w:ascii="宋体" w:hAnsi="宋体" w:cs="宋体"/>
          <w:bCs/>
          <w:color w:val="auto"/>
          <w:sz w:val="24"/>
          <w:szCs w:val="24"/>
          <w:highlight w:val="none"/>
        </w:rPr>
      </w:pPr>
      <w:r>
        <w:rPr>
          <w:rFonts w:hint="eastAsia" w:ascii="宋体" w:hAnsi="宋体" w:cs="宋体"/>
          <w:bCs/>
          <w:color w:val="auto"/>
          <w:sz w:val="24"/>
          <w:szCs w:val="24"/>
          <w:highlight w:val="none"/>
        </w:rPr>
        <w:t>北京市中医药研究所购置一批公共实验平台仪器。</w:t>
      </w:r>
    </w:p>
    <w:p w14:paraId="10AC0720">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二、商务要求</w:t>
      </w:r>
    </w:p>
    <w:p w14:paraId="2CB6FF38">
      <w:pPr>
        <w:spacing w:after="0" w:line="360" w:lineRule="auto"/>
        <w:rPr>
          <w:rFonts w:ascii="宋体" w:hAnsi="宋体" w:cs="宋体"/>
          <w:color w:val="auto"/>
          <w:sz w:val="24"/>
          <w:highlight w:val="none"/>
        </w:rPr>
      </w:pPr>
      <w:r>
        <w:rPr>
          <w:rFonts w:hint="eastAsia" w:ascii="宋体" w:hAnsi="宋体" w:cs="宋体"/>
          <w:color w:val="auto"/>
          <w:sz w:val="24"/>
          <w:highlight w:val="none"/>
        </w:rPr>
        <w:t>1、交付（实施）的时间（期限）和地点（范围）</w:t>
      </w:r>
    </w:p>
    <w:p w14:paraId="394F5295">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交货时间：自合同签订之日起6</w:t>
      </w:r>
      <w:r>
        <w:rPr>
          <w:rFonts w:ascii="宋体" w:hAnsi="宋体" w:cs="宋体"/>
          <w:color w:val="auto"/>
          <w:highlight w:val="none"/>
        </w:rPr>
        <w:t>0</w:t>
      </w:r>
      <w:r>
        <w:rPr>
          <w:rFonts w:hint="eastAsia" w:ascii="宋体" w:hAnsi="宋体" w:cs="宋体"/>
          <w:color w:val="auto"/>
          <w:highlight w:val="none"/>
        </w:rPr>
        <w:t>日内到货。</w:t>
      </w:r>
    </w:p>
    <w:p w14:paraId="72CEC384">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 xml:space="preserve">交货地点：采购人指定地点 </w:t>
      </w:r>
    </w:p>
    <w:p w14:paraId="1B2EF98A">
      <w:pPr>
        <w:pStyle w:val="8"/>
        <w:numPr>
          <w:ilvl w:val="0"/>
          <w:numId w:val="1"/>
        </w:numPr>
        <w:adjustRightInd/>
        <w:spacing w:after="0" w:line="360" w:lineRule="auto"/>
        <w:jc w:val="both"/>
        <w:rPr>
          <w:rFonts w:ascii="宋体" w:hAnsi="宋体" w:cs="宋体"/>
          <w:color w:val="auto"/>
          <w:highlight w:val="none"/>
        </w:rPr>
      </w:pPr>
      <w:r>
        <w:rPr>
          <w:rFonts w:hint="eastAsia" w:ascii="宋体" w:hAnsi="宋体" w:cs="宋体"/>
          <w:color w:val="auto"/>
          <w:highlight w:val="none"/>
        </w:rPr>
        <w:t>付款条件（进度和方式）：详见合同条款</w:t>
      </w:r>
    </w:p>
    <w:p w14:paraId="0BCB4904">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3、包装和运输（如适用，须满足《关于印发〈商品包装政府采购需求标准（试行）〉、〈快递包装政府采购需求标准（试行）〉的通知》（财办库﹝2020﹞123号））</w:t>
      </w:r>
    </w:p>
    <w:p w14:paraId="56A78E56">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4、售后服务：3年</w:t>
      </w:r>
    </w:p>
    <w:p w14:paraId="56B9712A">
      <w:pPr>
        <w:spacing w:after="0" w:line="360" w:lineRule="auto"/>
        <w:rPr>
          <w:rFonts w:ascii="宋体" w:hAnsi="宋体" w:cs="宋体"/>
          <w:color w:val="auto"/>
          <w:sz w:val="24"/>
          <w:highlight w:val="none"/>
        </w:rPr>
      </w:pPr>
      <w:r>
        <w:rPr>
          <w:rFonts w:hint="eastAsia" w:ascii="宋体" w:hAnsi="宋体" w:cs="宋体"/>
          <w:color w:val="auto"/>
          <w:sz w:val="24"/>
          <w:highlight w:val="none"/>
        </w:rPr>
        <w:t>5、保险（如适用）：详见合同条款</w:t>
      </w:r>
    </w:p>
    <w:p w14:paraId="12FD29D9">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三、技术要求</w:t>
      </w:r>
    </w:p>
    <w:p w14:paraId="13B88F0D">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（一）基本要求</w:t>
      </w:r>
    </w:p>
    <w:p w14:paraId="2C73DD8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1、采购标的需实现的功能或者目标</w:t>
      </w:r>
    </w:p>
    <w:p w14:paraId="33B27A6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cs="宋体"/>
          <w:bCs/>
          <w:color w:val="auto"/>
          <w:sz w:val="24"/>
          <w:highlight w:val="none"/>
        </w:rPr>
        <w:t>为北京市中医药研究所购置临床教学设备一批</w:t>
      </w:r>
      <w:r>
        <w:rPr>
          <w:rFonts w:hint="eastAsia" w:ascii="宋体" w:hAnsi="宋体" w:cs="宋体"/>
          <w:color w:val="auto"/>
          <w:sz w:val="24"/>
          <w:highlight w:val="none"/>
        </w:rPr>
        <w:t>，投标人应根据招标文件所提出的采购需求，综合考虑产品的适用性。投标人应以技术先进的产品、优良的服务和优惠的价格，充分显示自己的竞争实力。</w:t>
      </w:r>
    </w:p>
    <w:p w14:paraId="4E421CEB">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★2、需执行的国家相关标准、行业标准、地方标准或者其他标准、规范：</w:t>
      </w:r>
    </w:p>
    <w:p w14:paraId="24050510">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2.1 提供产品属于医疗器械的，根据产品分类应按《医疗器械监督管理条例》，办理医疗器械注册证或者办理备案，供应商须提供对应产品的医疗器械注册证或备案凭证（复印件加盖供应商单位公章）。</w:t>
      </w:r>
    </w:p>
    <w:p w14:paraId="373567F2">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2.2 提供产品属于医疗器械的，供应商为制造商的根据产品分类须提供医疗器械生产许可证或备案凭证（复印件加盖供应商单位公章）。供应商为代理商的根据产品分类须提供医疗器械经营许可证或备案凭证（复印件加盖供应商单位公章）。</w:t>
      </w:r>
    </w:p>
    <w:p w14:paraId="5FCECDF6">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2.3 提供产品属于辐射或射线类的设备或材料的，需提供辐射安全许可证复印件（不适用的情况除外）（复印件加盖供应商单位公章）。所投产品属于压力容器的，供应商需要根据国家特种设备制造相关管理规定，提供所报产品制造商的特种设备制造许可证（压力容器）（复印件加盖供应商单位公章）。</w:t>
      </w:r>
    </w:p>
    <w:p w14:paraId="39FB6D5C">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2.4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3F64A39E">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2.5如投标产品为进口产品时须提供授权书，产品授权链完整，可追溯至投标产品制作商。</w:t>
      </w:r>
    </w:p>
    <w:p w14:paraId="3D222ECE">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3、为落实政府采购政策需满足的要求：</w:t>
      </w:r>
    </w:p>
    <w:p w14:paraId="636A58CB">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3.1 中小企业、监狱企业及残疾人福利性单位；</w:t>
      </w:r>
    </w:p>
    <w:p w14:paraId="01DD5A49">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3.2 政府采购节能产品、环境标志产品；</w:t>
      </w:r>
    </w:p>
    <w:p w14:paraId="23DD63A2">
      <w:pPr>
        <w:pStyle w:val="9"/>
        <w:ind w:firstLine="480"/>
        <w:rPr>
          <w:rFonts w:ascii="宋体" w:hAnsi="宋体" w:cs="宋体"/>
          <w:bCs/>
          <w:color w:val="auto"/>
          <w:sz w:val="24"/>
          <w:highlight w:val="none"/>
        </w:rPr>
      </w:pPr>
      <w:r>
        <w:rPr>
          <w:rFonts w:hint="eastAsia" w:ascii="宋体" w:hAnsi="宋体" w:cs="宋体"/>
          <w:bCs/>
          <w:color w:val="auto"/>
          <w:sz w:val="24"/>
          <w:highlight w:val="none"/>
        </w:rPr>
        <w:t>具体详见投标人须知。</w:t>
      </w:r>
    </w:p>
    <w:p w14:paraId="674FD43F">
      <w:pPr>
        <w:spacing w:after="0" w:line="360" w:lineRule="auto"/>
        <w:rPr>
          <w:rFonts w:ascii="宋体" w:hAnsi="宋体" w:cs="宋体"/>
          <w:b/>
          <w:color w:val="auto"/>
          <w:sz w:val="24"/>
          <w:highlight w:val="none"/>
        </w:rPr>
      </w:pPr>
      <w:r>
        <w:rPr>
          <w:rFonts w:hint="eastAsia" w:ascii="宋体" w:hAnsi="宋体" w:cs="宋体"/>
          <w:b/>
          <w:color w:val="auto"/>
          <w:sz w:val="24"/>
          <w:highlight w:val="none"/>
        </w:rPr>
        <w:t>（二）采购标的需满足的服务标准、其他技术、服务等要求：</w:t>
      </w:r>
    </w:p>
    <w:p w14:paraId="716AB43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1、供应商所提供的部件之间及设备之间的连线或接插件均视为设备内部部件，应包含在相应的配置中。 </w:t>
      </w:r>
    </w:p>
    <w:p w14:paraId="258F9EE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2、工作条件：除了在技术要求中另有规定外，供应商提供的一切仪器、设备和系统，应符合下列条件： </w:t>
      </w:r>
    </w:p>
    <w:p w14:paraId="11D0F64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2.1 仪器设备的插头要符合中国电工标准。如不符合，则应提供适合仪器插头的插座，必须要有接地。</w:t>
      </w:r>
    </w:p>
    <w:p w14:paraId="0DF93FEA">
      <w:pPr>
        <w:spacing w:line="360" w:lineRule="auto"/>
        <w:contextualSpacing/>
        <w:rPr>
          <w:rFonts w:ascii="宋体" w:hAnsi="宋体" w:cs="宋体"/>
          <w:bCs/>
          <w:color w:val="auto"/>
          <w:sz w:val="24"/>
          <w:highlight w:val="none"/>
        </w:rPr>
      </w:pPr>
      <w:r>
        <w:rPr>
          <w:rFonts w:hint="eastAsia" w:ascii="宋体" w:hAnsi="宋体" w:cs="宋体"/>
          <w:color w:val="auto"/>
          <w:sz w:val="24"/>
          <w:highlight w:val="none"/>
        </w:rPr>
        <w:t xml:space="preserve">2.2 如果仪器设备需特殊的工作条件（如：水、电源、磁场强度、特殊温度、湿度、震动强度等），供应商应在有关投标文件中加以说明。 </w:t>
      </w:r>
    </w:p>
    <w:p w14:paraId="47793357">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（三）采购标的需满足的服务标准、期限、效率等要求：</w:t>
      </w:r>
    </w:p>
    <w:p w14:paraId="02E292F2">
      <w:pPr>
        <w:spacing w:after="0" w:line="360" w:lineRule="auto"/>
        <w:rPr>
          <w:rFonts w:ascii="宋体" w:hAnsi="宋体" w:cs="宋体"/>
          <w:color w:val="auto"/>
          <w:sz w:val="24"/>
          <w:highlight w:val="none"/>
        </w:rPr>
      </w:pPr>
      <w:r>
        <w:rPr>
          <w:rFonts w:hint="eastAsia" w:ascii="宋体" w:hAnsi="宋体" w:cs="宋体"/>
          <w:color w:val="auto"/>
          <w:sz w:val="24"/>
          <w:highlight w:val="none"/>
        </w:rPr>
        <w:t>1、设备的维护及技术支持</w:t>
      </w:r>
    </w:p>
    <w:p w14:paraId="2EF66D44">
      <w:pPr>
        <w:spacing w:after="0" w:line="360" w:lineRule="auto"/>
        <w:rPr>
          <w:rFonts w:ascii="宋体" w:hAnsi="宋体" w:cs="宋体"/>
          <w:color w:val="auto"/>
          <w:sz w:val="24"/>
          <w:highlight w:val="none"/>
        </w:rPr>
      </w:pPr>
      <w:r>
        <w:rPr>
          <w:rFonts w:hint="eastAsia" w:ascii="宋体" w:hAnsi="宋体" w:cs="宋体"/>
          <w:color w:val="auto"/>
          <w:sz w:val="24"/>
          <w:highlight w:val="none"/>
        </w:rPr>
        <w:t>1.1经有关部门验收或检测合格后开始计算保修期。</w:t>
      </w:r>
    </w:p>
    <w:p w14:paraId="0F24E189">
      <w:pPr>
        <w:spacing w:after="0" w:line="360" w:lineRule="auto"/>
        <w:rPr>
          <w:rFonts w:ascii="宋体" w:hAnsi="宋体" w:cs="宋体"/>
          <w:color w:val="auto"/>
          <w:sz w:val="24"/>
          <w:highlight w:val="none"/>
        </w:rPr>
      </w:pPr>
      <w:r>
        <w:rPr>
          <w:rFonts w:hint="eastAsia" w:ascii="宋体" w:hAnsi="宋体" w:cs="宋体"/>
          <w:color w:val="auto"/>
          <w:sz w:val="24"/>
          <w:highlight w:val="none"/>
        </w:rPr>
        <w:t>1.2保修期满后整机每年常规保修费用不超过购置费的5%。</w:t>
      </w:r>
    </w:p>
    <w:p w14:paraId="2184B731">
      <w:pPr>
        <w:spacing w:after="0" w:line="360" w:lineRule="auto"/>
        <w:rPr>
          <w:rFonts w:ascii="宋体" w:hAnsi="宋体" w:cs="宋体"/>
          <w:color w:val="auto"/>
          <w:sz w:val="24"/>
          <w:highlight w:val="none"/>
        </w:rPr>
      </w:pPr>
      <w:r>
        <w:rPr>
          <w:rFonts w:hint="eastAsia" w:ascii="宋体" w:hAnsi="宋体" w:cs="宋体"/>
          <w:color w:val="auto"/>
          <w:sz w:val="24"/>
          <w:highlight w:val="none"/>
        </w:rPr>
        <w:t>1.3免费提供软件升级服务。</w:t>
      </w:r>
    </w:p>
    <w:p w14:paraId="7E50F042">
      <w:pPr>
        <w:spacing w:after="0" w:line="360" w:lineRule="auto"/>
        <w:rPr>
          <w:rFonts w:ascii="宋体" w:hAnsi="宋体" w:cs="宋体"/>
          <w:color w:val="auto"/>
          <w:sz w:val="24"/>
          <w:highlight w:val="none"/>
        </w:rPr>
      </w:pPr>
      <w:r>
        <w:rPr>
          <w:rFonts w:hint="eastAsia" w:ascii="宋体" w:hAnsi="宋体" w:cs="宋体"/>
          <w:color w:val="auto"/>
          <w:sz w:val="24"/>
          <w:highlight w:val="none"/>
        </w:rPr>
        <w:t>1.4 所有的替代零配件的提供需得到买方的认可。</w:t>
      </w:r>
    </w:p>
    <w:p w14:paraId="2DC8B4D9">
      <w:pPr>
        <w:spacing w:after="0" w:line="360" w:lineRule="auto"/>
        <w:rPr>
          <w:rFonts w:ascii="宋体" w:hAnsi="宋体" w:cs="宋体"/>
          <w:color w:val="auto"/>
          <w:sz w:val="24"/>
          <w:highlight w:val="none"/>
        </w:rPr>
      </w:pPr>
      <w:r>
        <w:rPr>
          <w:rFonts w:hint="eastAsia" w:ascii="宋体" w:hAnsi="宋体" w:cs="宋体"/>
          <w:color w:val="auto"/>
          <w:sz w:val="24"/>
          <w:highlight w:val="none"/>
        </w:rPr>
        <w:t>1.5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035EDDDB">
      <w:pPr>
        <w:spacing w:after="0" w:line="360" w:lineRule="auto"/>
        <w:rPr>
          <w:rFonts w:ascii="宋体" w:hAnsi="宋体" w:cs="宋体"/>
          <w:color w:val="auto"/>
          <w:sz w:val="24"/>
          <w:highlight w:val="none"/>
        </w:rPr>
      </w:pPr>
      <w:r>
        <w:rPr>
          <w:rFonts w:hint="eastAsia" w:ascii="宋体" w:hAnsi="宋体" w:cs="宋体"/>
          <w:color w:val="auto"/>
          <w:sz w:val="24"/>
          <w:highlight w:val="none"/>
        </w:rPr>
        <w:t>1.5.1 电话咨询：免费提供咨询电话技术支持服务，解答用户的系统使用中遇到的问题，及时提出解决问题的建议和操作方法。</w:t>
      </w:r>
    </w:p>
    <w:p w14:paraId="15E24F99">
      <w:pPr>
        <w:spacing w:after="0" w:line="360" w:lineRule="auto"/>
        <w:rPr>
          <w:rFonts w:ascii="宋体" w:hAnsi="宋体" w:cs="宋体"/>
          <w:color w:val="auto"/>
          <w:sz w:val="24"/>
          <w:highlight w:val="none"/>
        </w:rPr>
      </w:pPr>
      <w:r>
        <w:rPr>
          <w:rFonts w:hint="eastAsia" w:ascii="宋体" w:hAnsi="宋体" w:cs="宋体"/>
          <w:color w:val="auto"/>
          <w:sz w:val="24"/>
          <w:highlight w:val="none"/>
        </w:rPr>
        <w:t>1.5.2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4B88EE66">
      <w:pPr>
        <w:spacing w:after="0" w:line="360" w:lineRule="auto"/>
        <w:rPr>
          <w:rFonts w:ascii="宋体" w:hAnsi="宋体" w:cs="宋体"/>
          <w:color w:val="auto"/>
          <w:sz w:val="24"/>
          <w:highlight w:val="none"/>
        </w:rPr>
      </w:pPr>
      <w:r>
        <w:rPr>
          <w:rFonts w:hint="eastAsia" w:ascii="宋体" w:hAnsi="宋体" w:cs="宋体"/>
          <w:color w:val="auto"/>
          <w:sz w:val="24"/>
          <w:highlight w:val="none"/>
        </w:rPr>
        <w:t>2、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200BE07A">
      <w:pPr>
        <w:spacing w:after="0" w:line="360" w:lineRule="auto"/>
        <w:rPr>
          <w:rFonts w:ascii="宋体" w:hAnsi="宋体" w:cs="宋体"/>
          <w:color w:val="auto"/>
          <w:sz w:val="24"/>
          <w:highlight w:val="none"/>
        </w:rPr>
      </w:pPr>
      <w:r>
        <w:rPr>
          <w:rFonts w:hint="eastAsia" w:ascii="宋体" w:hAnsi="宋体" w:cs="宋体"/>
          <w:color w:val="auto"/>
          <w:sz w:val="24"/>
          <w:highlight w:val="none"/>
        </w:rPr>
        <w:t>注：上述要求如与货物技术规格具体要求以及合同文本冲突则以货物技术规格具体要求以及合同文本要求为准。</w:t>
      </w:r>
    </w:p>
    <w:p w14:paraId="36CB8023">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（四）采购标的的其他技术、服务等要求：</w:t>
      </w:r>
    </w:p>
    <w:p w14:paraId="6D3F063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响应采购需求时，应就“货物技术规格具体要求”进行逐条响应，并针对每个设备（至少包含“★”“▲”号或“#”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6EB07BE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2、对于技术规格要求中标注“★”“▲”号或“#”号（如有）的技术参数，在应答采购需求偏离表时具体到技术支持资料页码及条目号。</w:t>
      </w:r>
    </w:p>
    <w:p w14:paraId="2C21C7EB">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（五）货物技术规格具体要求</w:t>
      </w:r>
    </w:p>
    <w:p w14:paraId="566FE641">
      <w:pPr>
        <w:pStyle w:val="2"/>
        <w:rPr>
          <w:rFonts w:hAnsi="宋体" w:cs="宋体"/>
          <w:color w:val="auto"/>
          <w:highlight w:val="none"/>
        </w:rPr>
      </w:pPr>
      <w:r>
        <w:rPr>
          <w:rFonts w:hint="eastAsia" w:hAnsi="宋体" w:cs="宋体"/>
          <w:color w:val="auto"/>
          <w:highlight w:val="none"/>
        </w:rPr>
        <w:t>第1包：</w:t>
      </w:r>
    </w:p>
    <w:p w14:paraId="43109BED">
      <w:pPr>
        <w:pStyle w:val="4"/>
        <w:numPr>
          <w:ilvl w:val="1"/>
          <w:numId w:val="2"/>
        </w:numPr>
        <w:rPr>
          <w:rFonts w:ascii="宋体" w:hAnsi="宋体" w:cs="宋体"/>
          <w:b/>
          <w:bCs/>
          <w:color w:val="auto"/>
          <w:highlight w:val="none"/>
        </w:rPr>
      </w:pPr>
      <w:r>
        <w:rPr>
          <w:rFonts w:hint="eastAsia" w:ascii="宋体" w:hAnsi="宋体" w:cs="宋体"/>
          <w:b/>
          <w:bCs/>
          <w:color w:val="auto"/>
          <w:highlight w:val="none"/>
        </w:rPr>
        <w:t>实时活细胞分析系统</w:t>
      </w:r>
    </w:p>
    <w:p w14:paraId="5B825BFC">
      <w:pPr>
        <w:widowControl/>
        <w:spacing w:line="360" w:lineRule="auto"/>
        <w:contextualSpacing/>
        <w:textAlignment w:val="top"/>
        <w:rPr>
          <w:rFonts w:ascii="宋体" w:hAnsi="宋体" w:cs="宋体"/>
          <w:b/>
          <w:bCs/>
          <w:color w:val="auto"/>
          <w:sz w:val="24"/>
          <w:highlight w:val="none"/>
        </w:rPr>
      </w:pPr>
      <w:r>
        <w:rPr>
          <w:rFonts w:hint="eastAsia" w:ascii="宋体" w:hAnsi="宋体" w:cs="宋体"/>
          <w:b/>
          <w:bCs/>
          <w:color w:val="auto"/>
          <w:sz w:val="24"/>
          <w:highlight w:val="none"/>
        </w:rPr>
        <w:t>1.主要用途：</w:t>
      </w:r>
    </w:p>
    <w:p w14:paraId="6526ACB5">
      <w:pPr>
        <w:widowControl/>
        <w:spacing w:line="360" w:lineRule="auto"/>
        <w:ind w:firstLine="480" w:firstLineChars="200"/>
        <w:contextualSpacing/>
        <w:textAlignment w:val="top"/>
        <w:rPr>
          <w:rFonts w:ascii="宋体" w:hAnsi="宋体" w:cs="宋体"/>
          <w:color w:val="auto"/>
          <w:sz w:val="24"/>
          <w:highlight w:val="none"/>
        </w:rPr>
      </w:pPr>
      <w:r>
        <w:rPr>
          <w:rFonts w:hint="eastAsia" w:ascii="宋体" w:hAnsi="宋体" w:cs="宋体"/>
          <w:color w:val="auto"/>
          <w:sz w:val="24"/>
          <w:highlight w:val="none"/>
        </w:rPr>
        <w:t xml:space="preserve">用于药物筛选、细胞迁移、干细胞分化、细胞凋亡、免疫肿瘤杀伤、细胞毒性、3D细胞球体、细胞吞噬、癌细胞转移、伤口修复、神经生长及退行、细胞共培养等应用的大规模筛选与长时程生命科学问题的研究。  </w:t>
      </w:r>
    </w:p>
    <w:p w14:paraId="4D0C4383">
      <w:pPr>
        <w:widowControl/>
        <w:numPr>
          <w:ilvl w:val="255"/>
          <w:numId w:val="0"/>
        </w:numPr>
        <w:spacing w:line="360" w:lineRule="auto"/>
        <w:contextualSpacing/>
        <w:textAlignment w:val="top"/>
        <w:rPr>
          <w:rFonts w:ascii="宋体" w:hAnsi="宋体" w:cs="宋体"/>
          <w:b/>
          <w:bCs/>
          <w:color w:val="auto"/>
          <w:sz w:val="24"/>
          <w:highlight w:val="none"/>
        </w:rPr>
      </w:pPr>
      <w:r>
        <w:rPr>
          <w:rFonts w:hint="eastAsia" w:ascii="宋体" w:hAnsi="宋体" w:cs="宋体"/>
          <w:b/>
          <w:bCs/>
          <w:color w:val="auto"/>
          <w:sz w:val="24"/>
          <w:highlight w:val="none"/>
        </w:rPr>
        <w:t>2.功能要求：</w:t>
      </w:r>
    </w:p>
    <w:p w14:paraId="25E16959">
      <w:pPr>
        <w:widowControl/>
        <w:numPr>
          <w:ilvl w:val="255"/>
          <w:numId w:val="0"/>
        </w:numPr>
        <w:spacing w:line="360" w:lineRule="auto"/>
        <w:ind w:firstLine="480" w:firstLineChars="200"/>
        <w:contextualSpacing/>
        <w:textAlignment w:val="top"/>
        <w:rPr>
          <w:rFonts w:ascii="宋体" w:hAnsi="宋体" w:cs="宋体"/>
          <w:color w:val="auto"/>
          <w:sz w:val="24"/>
          <w:highlight w:val="none"/>
        </w:rPr>
      </w:pPr>
      <w:r>
        <w:rPr>
          <w:rFonts w:hint="eastAsia" w:ascii="宋体" w:hAnsi="宋体" w:cs="宋体"/>
          <w:color w:val="auto"/>
          <w:sz w:val="24"/>
          <w:highlight w:val="none"/>
        </w:rPr>
        <w:t xml:space="preserve">可以同时对≥6块常用细胞培养板中细胞样本进行长时间自动成像，捕捉活细胞形态细节的实时改变；可对细胞进行定量分析，捕捉细胞反应的峰值与时效。 </w:t>
      </w:r>
    </w:p>
    <w:p w14:paraId="10C02584">
      <w:pPr>
        <w:widowControl/>
        <w:spacing w:line="360" w:lineRule="auto"/>
        <w:contextualSpacing/>
        <w:textAlignment w:val="top"/>
        <w:rPr>
          <w:rFonts w:ascii="宋体" w:hAnsi="宋体" w:cs="宋体"/>
          <w:b/>
          <w:bCs/>
          <w:color w:val="auto"/>
          <w:sz w:val="24"/>
          <w:highlight w:val="none"/>
        </w:rPr>
      </w:pPr>
      <w:r>
        <w:rPr>
          <w:rFonts w:hint="eastAsia" w:ascii="宋体" w:hAnsi="宋体" w:cs="宋体"/>
          <w:b/>
          <w:bCs/>
          <w:color w:val="auto"/>
          <w:sz w:val="24"/>
          <w:highlight w:val="none"/>
        </w:rPr>
        <w:t>3.主要技术指标：</w:t>
      </w:r>
    </w:p>
    <w:p w14:paraId="6D271974">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rPr>
        <w:tab/>
      </w:r>
      <w:r>
        <w:rPr>
          <w:rFonts w:hint="eastAsia" w:ascii="宋体" w:hAnsi="宋体" w:cs="宋体"/>
          <w:color w:val="auto"/>
          <w:sz w:val="24"/>
          <w:highlight w:val="none"/>
        </w:rPr>
        <w:t>相差、荧光光源：LED光源，寿命：≥20000h；</w:t>
      </w:r>
    </w:p>
    <w:p w14:paraId="01207192">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3.2成像系统：高灵敏cMOS成像系统，传感器像素矩阵：≥5.8μm×5.8μm；</w:t>
      </w:r>
    </w:p>
    <w:p w14:paraId="06FBB46B">
      <w:pPr>
        <w:spacing w:line="360" w:lineRule="auto"/>
        <w:rPr>
          <w:rFonts w:ascii="宋体" w:hAnsi="宋体" w:cs="宋体"/>
          <w:color w:val="auto"/>
          <w:sz w:val="24"/>
          <w:highlight w:val="none"/>
        </w:rPr>
      </w:pPr>
      <w:r>
        <w:rPr>
          <w:rFonts w:hint="eastAsia" w:ascii="宋体" w:hAnsi="宋体" w:cs="宋体"/>
          <w:color w:val="auto"/>
          <w:sz w:val="24"/>
          <w:highlight w:val="none"/>
        </w:rPr>
        <w:t>▲3.3设备显微成像部分须在细胞培养箱中运行，单台设备可同时拍摄≥6块标准384孔板，细胞容器无需反复出入培养箱，拍摄过程中样品固定不动，物镜可自动逐孔移动实现孔板拍摄；</w:t>
      </w:r>
    </w:p>
    <w:p w14:paraId="4DE5D381">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3.3物镜规格：至少有4倍（NA≥0.2）、10倍（NA≥0.3）和20倍（NA≥0.45）三种高清物镜，物镜采集的样本视野尺寸分别为:4倍物镜≥4.00mm×3.20mm，10倍物镜≥1.70mm×1.20mm，20倍物镜≥0.80mm×0.60mm，仪器配置三位物镜转盘，三种镜头可自动进行切换；</w:t>
      </w:r>
    </w:p>
    <w:p w14:paraId="17F3BEDA">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▲3.4成像主机样品仓要求：具备抽屉式样品仓，确保黑暗封闭环境内对样本图像采集稳定清晰，须提供机器实物照片或官方网站截图证明；</w:t>
      </w:r>
    </w:p>
    <w:p w14:paraId="46637A5C">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3.5荧光光学模块：绿色/红色光学模块，兼容GFP/FITC/RFP/PE等荧光通道，其中；绿色荧光激发光波长：≥440-480nm，发射光波长：≥510-540nm；红色荧光激发光波长：≥565-605nm，发射光波长：≥625-705nm；</w:t>
      </w:r>
    </w:p>
    <w:p w14:paraId="43F6C58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3.6成像速度：使用相差通道10倍物镜，≤2min/96孔板，保证每个样本孔采集的图片聚焦清晰,须提供软件功能截图佐证； </w:t>
      </w:r>
    </w:p>
    <w:p w14:paraId="5AEB8D84">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▲3.7仪器运行：能够进行全天候不间断长期成像监测并分析，实验全程中细胞无需反复进出培养环境，须提供单个实验最长连续检测时间≥40天的文献证明；</w:t>
      </w:r>
    </w:p>
    <w:p w14:paraId="2A14D815">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3.8设备自身软件可导出图像视频，图像格式至少包含JPEG、PNG、TIFF和MetaMorph Multi Dimensional File v2.0等，视频格式至少包含WMV、AVI、MPEG-4等；</w:t>
      </w:r>
    </w:p>
    <w:p w14:paraId="26B157B5">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3.9配置专门的服务器级别数据分析系统，适用于大规模数据分析及存储，存储系统为磁盘阵列结构，其中可用硬盘容量：≥26 TB；内存：≥60 GB；处理器：≥20核；</w:t>
      </w:r>
    </w:p>
    <w:p w14:paraId="4A4A8B04">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3.10耗材：支持96/384孔板，可选配T25/T75/T150/T225培养瓶或部分载玻片等细胞实验常用适配器；</w:t>
      </w:r>
    </w:p>
    <w:p w14:paraId="4B0EC47D">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▲3.11具备不同通道指标间运算功能，无需借助第三方软件，可同时进行≥3个通道的数据采集与分析，并可进行荧光通道间或荧光与相差通道之间的相除运算，须提供软件功能截图和视频佐证；</w:t>
      </w:r>
    </w:p>
    <w:p w14:paraId="211AA65E">
      <w:pPr>
        <w:spacing w:line="360" w:lineRule="auto"/>
        <w:rPr>
          <w:rFonts w:ascii="宋体" w:hAnsi="宋体" w:cs="宋体"/>
          <w:color w:val="auto"/>
          <w:sz w:val="24"/>
          <w:highlight w:val="none"/>
        </w:rPr>
      </w:pPr>
      <w:r>
        <w:rPr>
          <w:rFonts w:hint="eastAsia" w:ascii="宋体" w:hAnsi="宋体" w:cs="宋体"/>
          <w:color w:val="auto"/>
          <w:sz w:val="24"/>
          <w:highlight w:val="none"/>
        </w:rPr>
        <w:t>▲3.12仪器软件内置有600多种培养耗材的z轴聚焦参数，试验时无需进行调整优化z轴聚焦平面，须提供软件功能截图和视频佐证；</w:t>
      </w:r>
    </w:p>
    <w:p w14:paraId="0D505011">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▲3.13 具备EC50值自动拟合功能，单个时间点可生成浓度反应曲线并拟合EC50值，且支持生成不同时间点EC50曲线，无需借助第三方软件，须提供软件功能截图和视频佐证；</w:t>
      </w:r>
    </w:p>
    <w:p w14:paraId="586B2AC8">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3.14具备荧光共定位信号定量功能，可特异性分析红绿等荧光共定位信号，并计算共定位信号的百分比，要求提供软件截屏；</w:t>
      </w:r>
    </w:p>
    <w:p w14:paraId="2BB9A884">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3.15具备全孔成像功能，能够全视野观察细胞，不需要用户设置拼接参数，对于6、12、24、96和384孔板可自动获得全孔图像及分析；</w:t>
      </w:r>
    </w:p>
    <w:p w14:paraId="17FAE23D">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3.16在药物梯度稀释时，仅需输入最高浓度和稀释比例即可实现该药物所有样本孔信息的一键录入，须提供软件界面截图佐证；</w:t>
      </w:r>
    </w:p>
    <w:p w14:paraId="45A281D1">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3.17支持类流式分析，无须借助第三方软件，可以在明场成像下对图像进行大数据的高阶分析，导出散点图/直方图等类流式的统计学意义数据，须提供软件功能截图和视频佐证；</w:t>
      </w:r>
    </w:p>
    <w:p w14:paraId="4C4275F5">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▲3.18具备归一化功能，各孔连续检测的数值均与各自特定时间点的值相除，在起始值均为一的情况下比较组间的差异，要求提供软件截屏和视频佐证；</w:t>
      </w:r>
    </w:p>
    <w:p w14:paraId="296E7F7A">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3.19具备高通量划痕器和划痕软件，配置96通道孔板划痕器，完成划痕时间≤2s，在96孔板的每个孔里获得均一的创口，软件可自动进行定量，以创口宽度、创口区细胞汇合度以及相对创口密度定量创口愈合程度；</w:t>
      </w:r>
    </w:p>
    <w:p w14:paraId="16B806D9">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3.20 产品须为市场成熟产品，不接受订制产品。</w:t>
      </w:r>
    </w:p>
    <w:p w14:paraId="12C8D6D0">
      <w:pPr>
        <w:widowControl/>
        <w:spacing w:line="360" w:lineRule="auto"/>
        <w:contextualSpacing/>
        <w:textAlignment w:val="top"/>
        <w:rPr>
          <w:rFonts w:ascii="宋体" w:hAnsi="宋体" w:cs="宋体"/>
          <w:color w:val="auto"/>
          <w:sz w:val="24"/>
          <w:highlight w:val="none"/>
        </w:rPr>
      </w:pPr>
      <w:r>
        <w:rPr>
          <w:rFonts w:hint="eastAsia" w:ascii="宋体" w:hAnsi="宋体" w:cs="宋体"/>
          <w:b/>
          <w:bCs/>
          <w:color w:val="auto"/>
          <w:sz w:val="24"/>
          <w:highlight w:val="none"/>
        </w:rPr>
        <w:t>4 仪器配置：</w:t>
      </w:r>
    </w:p>
    <w:p w14:paraId="06A19A03">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4.1 仪器成像主机1台；</w:t>
      </w:r>
    </w:p>
    <w:p w14:paraId="0B891FE4">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4.2 工作站控制器 1台；</w:t>
      </w:r>
    </w:p>
    <w:p w14:paraId="31161393">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4.3 红、绿荧光成像模块 1套；</w:t>
      </w:r>
    </w:p>
    <w:p w14:paraId="16EEAC7B">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4.4 明场成像模块1套；</w:t>
      </w:r>
    </w:p>
    <w:p w14:paraId="019366F1">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4.5 4x, 10x ,20x物镜各1个；</w:t>
      </w:r>
    </w:p>
    <w:p w14:paraId="60F85873">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4.6 细胞划痕工具套装1个；</w:t>
      </w:r>
    </w:p>
    <w:p w14:paraId="1A133236">
      <w:pPr>
        <w:widowControl/>
        <w:spacing w:line="360" w:lineRule="auto"/>
        <w:contextualSpacing/>
        <w:textAlignment w:val="top"/>
        <w:rPr>
          <w:rFonts w:ascii="宋体" w:hAnsi="宋体" w:cs="宋体"/>
          <w:color w:val="auto"/>
          <w:sz w:val="24"/>
          <w:highlight w:val="none"/>
        </w:rPr>
      </w:pPr>
      <w:r>
        <w:rPr>
          <w:rFonts w:hint="eastAsia" w:ascii="宋体" w:hAnsi="宋体" w:cs="宋体"/>
          <w:color w:val="auto"/>
          <w:sz w:val="24"/>
          <w:highlight w:val="none"/>
        </w:rPr>
        <w:t>4.7 控制分析软件1套；</w:t>
      </w:r>
    </w:p>
    <w:p w14:paraId="540A587B">
      <w:pPr>
        <w:widowControl/>
        <w:contextualSpacing/>
        <w:textAlignment w:val="top"/>
        <w:rPr>
          <w:rFonts w:ascii="宋体" w:hAnsi="宋体" w:cs="宋体"/>
          <w:color w:val="auto"/>
          <w:highlight w:val="none"/>
        </w:rPr>
      </w:pPr>
      <w:r>
        <w:rPr>
          <w:rFonts w:hint="eastAsia" w:ascii="宋体" w:hAnsi="宋体" w:cs="宋体"/>
          <w:color w:val="auto"/>
          <w:sz w:val="24"/>
          <w:highlight w:val="none"/>
        </w:rPr>
        <w:t>4.8 细胞划痕分析模块1套。</w:t>
      </w:r>
    </w:p>
    <w:p w14:paraId="46A47665">
      <w:pPr>
        <w:rPr>
          <w:rFonts w:ascii="宋体" w:hAnsi="宋体" w:cs="宋体"/>
          <w:color w:val="auto"/>
          <w:highlight w:val="none"/>
        </w:rPr>
      </w:pPr>
    </w:p>
    <w:p w14:paraId="7849AD54">
      <w:pPr>
        <w:pStyle w:val="4"/>
        <w:numPr>
          <w:ilvl w:val="1"/>
          <w:numId w:val="2"/>
        </w:numPr>
        <w:rPr>
          <w:rFonts w:ascii="宋体" w:hAnsi="宋体" w:cs="宋体"/>
          <w:b/>
          <w:bCs/>
          <w:color w:val="auto"/>
          <w:highlight w:val="none"/>
        </w:rPr>
      </w:pPr>
      <w:r>
        <w:rPr>
          <w:rFonts w:hint="eastAsia" w:ascii="宋体" w:hAnsi="宋体" w:cs="宋体"/>
          <w:b/>
          <w:bCs/>
          <w:color w:val="auto"/>
          <w:highlight w:val="none"/>
        </w:rPr>
        <w:t>多功能皮肤测试仪</w:t>
      </w:r>
    </w:p>
    <w:p w14:paraId="19E4AB60">
      <w:pPr>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b/>
          <w:bCs/>
          <w:color w:val="auto"/>
          <w:sz w:val="24"/>
          <w:highlight w:val="none"/>
        </w:rPr>
        <w:t>主要技术指标：</w:t>
      </w:r>
    </w:p>
    <w:p w14:paraId="52D6CB1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1、主机：</w:t>
      </w:r>
    </w:p>
    <w:p w14:paraId="0AABAA0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1.1相对湿度:10%至90%的相对湿度，无冷凝</w:t>
      </w:r>
    </w:p>
    <w:p w14:paraId="6E4D1AC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1.2温度:10至35°C</w:t>
      </w:r>
    </w:p>
    <w:p w14:paraId="05D6409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2、皮肤颜色探头：</w:t>
      </w:r>
    </w:p>
    <w:p w14:paraId="43B4A64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2.1、全可见光谱颜色传感器。</w:t>
      </w:r>
    </w:p>
    <w:p w14:paraId="709BF24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2.2、测量孔径：≤8mm </w:t>
      </w:r>
    </w:p>
    <w:p w14:paraId="28E2E72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▲2.3、颜色空间： CIEL*a*b*、CIEL*C*h、CIEXYZ。</w:t>
      </w:r>
    </w:p>
    <w:p w14:paraId="43132CA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2.4、色素沉着测量范围：0.0～99.9。</w:t>
      </w:r>
    </w:p>
    <w:p w14:paraId="71DFD28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2.5、红斑测量范围：0.0–99.9。 </w:t>
      </w:r>
    </w:p>
    <w:p w14:paraId="1BE3A49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▲2.6、光泽度：</w:t>
      </w:r>
      <w:r>
        <w:rPr>
          <w:rFonts w:hint="eastAsia" w:ascii="宋体" w:hAnsi="宋体" w:cs="宋体"/>
          <w:color w:val="auto"/>
          <w:kern w:val="0"/>
          <w:sz w:val="24"/>
          <w:highlight w:val="none"/>
          <w:lang w:bidi="ar"/>
        </w:rPr>
        <w:t xml:space="preserve">60°镜面光泽（GU） </w:t>
      </w:r>
    </w:p>
    <w:p w14:paraId="3649A33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3、超高频超声波探头 </w:t>
      </w:r>
    </w:p>
    <w:p w14:paraId="656093D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▲3.1、中心频率：≥20 MHz.</w:t>
      </w:r>
    </w:p>
    <w:p w14:paraId="7081A11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3.2、分辨率：≤70μm （轴向）。</w:t>
      </w:r>
    </w:p>
    <w:p w14:paraId="6911559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3.3、扫描深度：≥3mm。 </w:t>
      </w:r>
    </w:p>
    <w:p w14:paraId="1C591AE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3.4、扫描直径：≥10mm。 </w:t>
      </w:r>
    </w:p>
    <w:p w14:paraId="18A0ACB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4、水分流失探头：</w:t>
      </w:r>
    </w:p>
    <w:p w14:paraId="4F7C93B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4.1、温度和湿度传感器：≥10个  </w:t>
      </w:r>
    </w:p>
    <w:p w14:paraId="010F098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4.2、水分流失测量范围：0～250g/m</w:t>
      </w:r>
      <w:r>
        <w:rPr>
          <w:rFonts w:hint="eastAsia" w:ascii="宋体" w:hAnsi="宋体" w:cs="宋体"/>
          <w:color w:val="auto"/>
          <w:kern w:val="0"/>
          <w:sz w:val="24"/>
          <w:highlight w:val="none"/>
          <w:vertAlign w:val="superscript"/>
        </w:rPr>
        <w:t>2</w:t>
      </w:r>
      <w:r>
        <w:rPr>
          <w:rFonts w:hint="eastAsia" w:ascii="宋体" w:hAnsi="宋体" w:cs="宋体"/>
          <w:color w:val="auto"/>
          <w:kern w:val="0"/>
          <w:sz w:val="24"/>
          <w:highlight w:val="none"/>
        </w:rPr>
        <w:t>/h。</w:t>
      </w:r>
    </w:p>
    <w:p w14:paraId="5160647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4.3、精度：≤0.1g/m</w:t>
      </w:r>
      <w:r>
        <w:rPr>
          <w:rFonts w:hint="eastAsia" w:ascii="宋体" w:hAnsi="宋体" w:cs="宋体"/>
          <w:color w:val="auto"/>
          <w:kern w:val="0"/>
          <w:sz w:val="24"/>
          <w:highlight w:val="none"/>
          <w:vertAlign w:val="superscript"/>
        </w:rPr>
        <w:t>2</w:t>
      </w:r>
      <w:r>
        <w:rPr>
          <w:rFonts w:hint="eastAsia" w:ascii="宋体" w:hAnsi="宋体" w:cs="宋体"/>
          <w:color w:val="auto"/>
          <w:kern w:val="0"/>
          <w:sz w:val="24"/>
          <w:highlight w:val="none"/>
        </w:rPr>
        <w:t xml:space="preserve"> /h。</w:t>
      </w:r>
    </w:p>
    <w:p w14:paraId="7136E29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4.4、采样次数：≥14个样本/s    </w:t>
      </w:r>
    </w:p>
    <w:p w14:paraId="76CDFC9E">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5、水分检测探头 </w:t>
      </w:r>
    </w:p>
    <w:p w14:paraId="7D06489A">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5.1、测量频率：100kHz～300 kHz</w:t>
      </w:r>
    </w:p>
    <w:p w14:paraId="341336A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5.2、单次测量时间：≤3s</w:t>
      </w:r>
    </w:p>
    <w:p w14:paraId="4FA340C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5.3、测量精度：不超过±5%。</w:t>
      </w:r>
    </w:p>
    <w:p w14:paraId="4E7CF5AB">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6、弹性检测探头  </w:t>
      </w:r>
    </w:p>
    <w:p w14:paraId="7135563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▲6.1、吸放压力和次数可调节 </w:t>
      </w:r>
    </w:p>
    <w:p w14:paraId="6C22BDA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6.2、检测直径≤10 mm  :</w:t>
      </w:r>
    </w:p>
    <w:p w14:paraId="624C11B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7、皮肤温度检测探头 </w:t>
      </w:r>
    </w:p>
    <w:p w14:paraId="453A191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7.1、测量范围: 0～50˚C。</w:t>
      </w:r>
    </w:p>
    <w:p w14:paraId="31B94A6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7.2、误差：不超过±0.1℃。</w:t>
      </w:r>
    </w:p>
    <w:p w14:paraId="4332AC3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8、皮肤pH检测探头：测量范围，1.00～11.00 pH. </w:t>
      </w:r>
    </w:p>
    <w:p w14:paraId="6E804932">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9、皮肤镜</w:t>
      </w:r>
    </w:p>
    <w:p w14:paraId="7E84316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 xml:space="preserve">9.1、像素≥130万像素. </w:t>
      </w:r>
    </w:p>
    <w:p w14:paraId="32284E30">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9.2、放大倍数调节范围: 10×～50×</w:t>
      </w:r>
    </w:p>
    <w:p w14:paraId="45F329D6">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10、皮肤油脂检测范围：0～99%</w:t>
      </w:r>
    </w:p>
    <w:p w14:paraId="0BE3DA6F">
      <w:pPr>
        <w:pStyle w:val="4"/>
        <w:rPr>
          <w:rFonts w:ascii="宋体" w:hAnsi="宋体" w:cs="宋体"/>
          <w:b/>
          <w:bCs/>
          <w:color w:val="auto"/>
          <w:highlight w:val="none"/>
        </w:rPr>
      </w:pPr>
      <w:r>
        <w:rPr>
          <w:rFonts w:hint="eastAsia" w:ascii="宋体" w:hAnsi="宋体" w:cs="宋体"/>
          <w:b/>
          <w:bCs/>
          <w:color w:val="auto"/>
          <w:highlight w:val="none"/>
        </w:rPr>
        <w:t>1-3</w:t>
      </w:r>
      <w:r>
        <w:rPr>
          <w:rFonts w:hint="eastAsia" w:ascii="宋体" w:hAnsi="宋体" w:cs="宋体"/>
          <w:b/>
          <w:bCs/>
          <w:color w:val="auto"/>
          <w:highlight w:val="none"/>
        </w:rPr>
        <w:tab/>
      </w:r>
      <w:r>
        <w:rPr>
          <w:rFonts w:hint="eastAsia" w:ascii="宋体" w:hAnsi="宋体" w:cs="宋体"/>
          <w:b/>
          <w:bCs/>
          <w:color w:val="auto"/>
          <w:highlight w:val="none"/>
        </w:rPr>
        <w:t>电子密度计</w:t>
      </w:r>
    </w:p>
    <w:p w14:paraId="64C1E19F">
      <w:pPr>
        <w:spacing w:line="300" w:lineRule="auto"/>
        <w:jc w:val="left"/>
        <w:rPr>
          <w:rFonts w:ascii="宋体" w:hAnsi="宋体" w:cs="宋体"/>
          <w:b/>
          <w:bCs/>
          <w:color w:val="auto"/>
          <w:sz w:val="24"/>
          <w:highlight w:val="none"/>
        </w:rPr>
      </w:pPr>
      <w:r>
        <w:rPr>
          <w:rFonts w:hint="eastAsia" w:ascii="宋体" w:hAnsi="宋体" w:cs="宋体"/>
          <w:b/>
          <w:bCs/>
          <w:color w:val="auto"/>
          <w:sz w:val="24"/>
          <w:highlight w:val="none"/>
        </w:rPr>
        <w:t>一、主要技术指标：</w:t>
      </w:r>
    </w:p>
    <w:p w14:paraId="56CAC459">
      <w:pPr>
        <w:spacing w:line="300" w:lineRule="auto"/>
        <w:rPr>
          <w:rFonts w:ascii="宋体" w:hAnsi="宋体" w:cs="宋体"/>
          <w:color w:val="auto"/>
          <w:sz w:val="24"/>
          <w:highlight w:val="none"/>
        </w:rPr>
      </w:pPr>
      <w:r>
        <w:rPr>
          <w:rFonts w:hint="eastAsia" w:ascii="宋体" w:hAnsi="宋体" w:cs="宋体"/>
          <w:color w:val="auto"/>
          <w:sz w:val="24"/>
          <w:highlight w:val="none"/>
        </w:rPr>
        <w:t>1、密度量程：0.000～3.000g/cm</w:t>
      </w:r>
      <w:r>
        <w:rPr>
          <w:rFonts w:hint="eastAsia" w:ascii="宋体" w:hAnsi="宋体" w:cs="宋体"/>
          <w:color w:val="auto"/>
          <w:sz w:val="24"/>
          <w:highlight w:val="none"/>
          <w:vertAlign w:val="superscript"/>
        </w:rPr>
        <w:t>3</w:t>
      </w:r>
    </w:p>
    <w:p w14:paraId="66E78DBB">
      <w:pPr>
        <w:spacing w:line="300" w:lineRule="auto"/>
        <w:rPr>
          <w:rFonts w:ascii="宋体" w:hAnsi="宋体" w:cs="宋体"/>
          <w:color w:val="auto"/>
          <w:sz w:val="24"/>
          <w:highlight w:val="none"/>
        </w:rPr>
      </w:pPr>
      <w:r>
        <w:rPr>
          <w:rFonts w:hint="eastAsia" w:ascii="宋体" w:hAnsi="宋体" w:cs="宋体"/>
          <w:color w:val="auto"/>
          <w:sz w:val="24"/>
          <w:highlight w:val="none"/>
        </w:rPr>
        <w:t>2、密度准确度：≤0.0001g/cm</w:t>
      </w:r>
      <w:r>
        <w:rPr>
          <w:rFonts w:hint="eastAsia" w:ascii="宋体" w:hAnsi="宋体" w:cs="宋体"/>
          <w:color w:val="auto"/>
          <w:sz w:val="24"/>
          <w:highlight w:val="none"/>
          <w:vertAlign w:val="superscript"/>
        </w:rPr>
        <w:t>3</w:t>
      </w:r>
    </w:p>
    <w:p w14:paraId="5995CD6F">
      <w:pPr>
        <w:spacing w:line="300" w:lineRule="auto"/>
        <w:rPr>
          <w:rFonts w:ascii="宋体" w:hAnsi="宋体" w:cs="宋体"/>
          <w:color w:val="auto"/>
          <w:sz w:val="24"/>
          <w:highlight w:val="none"/>
        </w:rPr>
      </w:pPr>
      <w:r>
        <w:rPr>
          <w:rFonts w:hint="eastAsia" w:ascii="宋体" w:hAnsi="宋体" w:cs="宋体"/>
          <w:color w:val="auto"/>
          <w:sz w:val="24"/>
          <w:highlight w:val="none"/>
        </w:rPr>
        <w:t>▲3、密度重复性：≤0.00005 g/cm</w:t>
      </w:r>
      <w:r>
        <w:rPr>
          <w:rFonts w:hint="eastAsia" w:ascii="宋体" w:hAnsi="宋体" w:cs="宋体"/>
          <w:color w:val="auto"/>
          <w:sz w:val="24"/>
          <w:highlight w:val="none"/>
          <w:vertAlign w:val="superscript"/>
        </w:rPr>
        <w:t>3</w:t>
      </w:r>
    </w:p>
    <w:p w14:paraId="2AC73674">
      <w:pPr>
        <w:spacing w:line="300" w:lineRule="auto"/>
        <w:rPr>
          <w:rFonts w:ascii="宋体" w:hAnsi="宋体" w:cs="宋体"/>
          <w:color w:val="auto"/>
          <w:sz w:val="24"/>
          <w:highlight w:val="none"/>
        </w:rPr>
      </w:pPr>
      <w:r>
        <w:rPr>
          <w:rFonts w:hint="eastAsia" w:ascii="宋体" w:hAnsi="宋体" w:cs="宋体"/>
          <w:color w:val="auto"/>
          <w:sz w:val="24"/>
          <w:highlight w:val="none"/>
        </w:rPr>
        <w:t>4、密度分辨率：≤0.0001 g/cm</w:t>
      </w:r>
      <w:r>
        <w:rPr>
          <w:rFonts w:hint="eastAsia" w:ascii="宋体" w:hAnsi="宋体" w:cs="宋体"/>
          <w:color w:val="auto"/>
          <w:sz w:val="24"/>
          <w:highlight w:val="none"/>
          <w:vertAlign w:val="superscript"/>
        </w:rPr>
        <w:t>3</w:t>
      </w:r>
    </w:p>
    <w:p w14:paraId="0B933B1E">
      <w:pPr>
        <w:spacing w:line="300" w:lineRule="auto"/>
        <w:rPr>
          <w:rFonts w:ascii="宋体" w:hAnsi="宋体" w:cs="宋体"/>
          <w:color w:val="auto"/>
          <w:sz w:val="24"/>
          <w:highlight w:val="none"/>
        </w:rPr>
      </w:pPr>
      <w:r>
        <w:rPr>
          <w:rFonts w:hint="eastAsia" w:ascii="宋体" w:hAnsi="宋体" w:cs="宋体"/>
          <w:color w:val="auto"/>
          <w:sz w:val="24"/>
          <w:highlight w:val="none"/>
        </w:rPr>
        <w:t>5、温度测量范围：0～95℃</w:t>
      </w:r>
    </w:p>
    <w:p w14:paraId="55751177">
      <w:pPr>
        <w:spacing w:line="300" w:lineRule="auto"/>
        <w:rPr>
          <w:rFonts w:ascii="宋体" w:hAnsi="宋体" w:cs="宋体"/>
          <w:color w:val="auto"/>
          <w:sz w:val="24"/>
          <w:highlight w:val="none"/>
        </w:rPr>
      </w:pPr>
      <w:r>
        <w:rPr>
          <w:rFonts w:hint="eastAsia" w:ascii="宋体" w:hAnsi="宋体" w:cs="宋体"/>
          <w:color w:val="auto"/>
          <w:sz w:val="24"/>
          <w:highlight w:val="none"/>
        </w:rPr>
        <w:t>6、温度测量误差：≤0.03/℃</w:t>
      </w:r>
    </w:p>
    <w:p w14:paraId="312FA22F">
      <w:pPr>
        <w:spacing w:line="300" w:lineRule="auto"/>
        <w:rPr>
          <w:rFonts w:ascii="宋体" w:hAnsi="宋体" w:cs="宋体"/>
          <w:color w:val="auto"/>
          <w:sz w:val="24"/>
          <w:highlight w:val="none"/>
        </w:rPr>
      </w:pPr>
      <w:r>
        <w:rPr>
          <w:rFonts w:hint="eastAsia" w:ascii="宋体" w:hAnsi="宋体" w:cs="宋体"/>
          <w:color w:val="auto"/>
          <w:sz w:val="24"/>
          <w:highlight w:val="none"/>
        </w:rPr>
        <w:t>7、具有压力传感器及粘度自动修正功能。</w:t>
      </w:r>
    </w:p>
    <w:p w14:paraId="16D97869">
      <w:pPr>
        <w:spacing w:line="300" w:lineRule="auto"/>
        <w:rPr>
          <w:rFonts w:ascii="宋体" w:hAnsi="宋体" w:cs="宋体"/>
          <w:color w:val="auto"/>
          <w:sz w:val="24"/>
          <w:highlight w:val="none"/>
        </w:rPr>
      </w:pPr>
      <w:r>
        <w:rPr>
          <w:rFonts w:hint="eastAsia" w:ascii="宋体" w:hAnsi="宋体" w:cs="宋体"/>
          <w:color w:val="auto"/>
          <w:sz w:val="24"/>
          <w:highlight w:val="none"/>
        </w:rPr>
        <w:t>8、液晶触摸显示屏≥7英寸，中文操作界面。</w:t>
      </w:r>
    </w:p>
    <w:p w14:paraId="235E5D87">
      <w:pPr>
        <w:spacing w:line="300" w:lineRule="auto"/>
        <w:rPr>
          <w:rFonts w:ascii="宋体" w:hAnsi="宋体" w:cs="宋体"/>
          <w:color w:val="auto"/>
          <w:sz w:val="24"/>
          <w:highlight w:val="none"/>
        </w:rPr>
      </w:pPr>
      <w:r>
        <w:rPr>
          <w:rFonts w:hint="eastAsia" w:ascii="宋体" w:hAnsi="宋体" w:cs="宋体"/>
          <w:color w:val="auto"/>
          <w:sz w:val="24"/>
          <w:highlight w:val="none"/>
        </w:rPr>
        <w:t>9、存储容量：≥200条测量结果。</w:t>
      </w:r>
    </w:p>
    <w:p w14:paraId="01485491">
      <w:pPr>
        <w:spacing w:line="300" w:lineRule="auto"/>
        <w:rPr>
          <w:rFonts w:ascii="宋体" w:hAnsi="宋体" w:cs="宋体"/>
          <w:color w:val="auto"/>
          <w:sz w:val="24"/>
          <w:highlight w:val="none"/>
        </w:rPr>
      </w:pPr>
      <w:r>
        <w:rPr>
          <w:rFonts w:hint="eastAsia" w:ascii="宋体" w:hAnsi="宋体" w:cs="宋体"/>
          <w:color w:val="auto"/>
          <w:sz w:val="24"/>
          <w:highlight w:val="none"/>
        </w:rPr>
        <w:t>10、具备三重误差检测能力：视频查看、气泡检测、指定STD  和重复性内的多次测量</w:t>
      </w:r>
    </w:p>
    <w:p w14:paraId="6446938C">
      <w:pPr>
        <w:spacing w:line="300" w:lineRule="auto"/>
        <w:rPr>
          <w:rFonts w:ascii="宋体" w:hAnsi="宋体" w:cs="宋体"/>
          <w:color w:val="auto"/>
          <w:sz w:val="24"/>
          <w:highlight w:val="none"/>
        </w:rPr>
      </w:pPr>
      <w:r>
        <w:rPr>
          <w:rFonts w:hint="eastAsia" w:ascii="宋体" w:hAnsi="宋体" w:cs="宋体"/>
          <w:color w:val="auto"/>
          <w:sz w:val="24"/>
          <w:highlight w:val="none"/>
        </w:rPr>
        <w:t>11、具备≥4级用户管理及密码保护功能</w:t>
      </w:r>
    </w:p>
    <w:p w14:paraId="6550888E">
      <w:pPr>
        <w:spacing w:line="300" w:lineRule="auto"/>
        <w:rPr>
          <w:rFonts w:ascii="宋体" w:hAnsi="宋体" w:cs="宋体"/>
          <w:color w:val="auto"/>
          <w:sz w:val="24"/>
          <w:highlight w:val="none"/>
        </w:rPr>
      </w:pPr>
      <w:r>
        <w:rPr>
          <w:rFonts w:hint="eastAsia" w:ascii="宋体" w:hAnsi="宋体" w:cs="宋体"/>
          <w:color w:val="auto"/>
          <w:sz w:val="24"/>
          <w:highlight w:val="none"/>
        </w:rPr>
        <w:t>12、 自定义浓度表≥30个。</w:t>
      </w:r>
    </w:p>
    <w:p w14:paraId="30ABA4E9">
      <w:pPr>
        <w:spacing w:line="300" w:lineRule="auto"/>
        <w:rPr>
          <w:rFonts w:ascii="宋体" w:hAnsi="宋体" w:cs="宋体"/>
          <w:color w:val="auto"/>
          <w:sz w:val="24"/>
          <w:highlight w:val="none"/>
        </w:rPr>
      </w:pPr>
      <w:r>
        <w:rPr>
          <w:rFonts w:hint="eastAsia" w:ascii="宋体" w:hAnsi="宋体" w:cs="宋体"/>
          <w:color w:val="auto"/>
          <w:sz w:val="24"/>
          <w:highlight w:val="none"/>
        </w:rPr>
        <w:t>13、可以连接LIMS系统。</w:t>
      </w:r>
    </w:p>
    <w:p w14:paraId="65137D1B">
      <w:pPr>
        <w:numPr>
          <w:ilvl w:val="0"/>
          <w:numId w:val="3"/>
        </w:numPr>
        <w:spacing w:line="300" w:lineRule="auto"/>
        <w:rPr>
          <w:rFonts w:ascii="宋体" w:hAnsi="宋体" w:cs="宋体"/>
          <w:color w:val="auto"/>
          <w:sz w:val="24"/>
          <w:highlight w:val="none"/>
        </w:rPr>
      </w:pPr>
      <w:r>
        <w:rPr>
          <w:rFonts w:hint="eastAsia" w:ascii="宋体" w:hAnsi="宋体" w:cs="宋体"/>
          <w:color w:val="auto"/>
          <w:sz w:val="24"/>
          <w:highlight w:val="none"/>
        </w:rPr>
        <w:t>内置操作向导模式</w:t>
      </w:r>
    </w:p>
    <w:p w14:paraId="7DE0C8E3">
      <w:pPr>
        <w:numPr>
          <w:ilvl w:val="0"/>
          <w:numId w:val="3"/>
        </w:numPr>
        <w:spacing w:line="300" w:lineRule="auto"/>
      </w:pPr>
      <w:r>
        <w:rPr>
          <w:rFonts w:hint="eastAsia" w:ascii="宋体" w:hAnsi="宋体" w:cs="宋体"/>
          <w:color w:val="auto"/>
          <w:sz w:val="24"/>
          <w:highlight w:val="none"/>
        </w:rPr>
        <w:t>▲控制面板与主机分体式设计</w:t>
      </w:r>
    </w:p>
    <w:p w14:paraId="142FE5E7">
      <w:pPr>
        <w:numPr>
          <w:ilvl w:val="0"/>
          <w:numId w:val="3"/>
        </w:numPr>
        <w:spacing w:line="300" w:lineRule="auto"/>
      </w:pPr>
      <w:bookmarkStart w:id="0" w:name="_GoBack"/>
      <w:bookmarkEnd w:id="0"/>
      <w:r>
        <w:rPr>
          <w:rFonts w:hint="eastAsia" w:ascii="宋体" w:hAnsi="宋体" w:cs="宋体"/>
          <w:color w:val="auto"/>
          <w:sz w:val="24"/>
          <w:highlight w:val="none"/>
        </w:rPr>
        <w:t>▲11.具有状态指示灯，可远距离判断仪器状态及操作进度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09F37"/>
    <w:multiLevelType w:val="multilevel"/>
    <w:tmpl w:val="A0A09F37"/>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C023177B"/>
    <w:multiLevelType w:val="singleLevel"/>
    <w:tmpl w:val="C023177B"/>
    <w:lvl w:ilvl="0" w:tentative="0">
      <w:start w:val="14"/>
      <w:numFmt w:val="decimal"/>
      <w:lvlText w:val="%1."/>
      <w:lvlJc w:val="left"/>
      <w:pPr>
        <w:tabs>
          <w:tab w:val="left" w:pos="312"/>
        </w:tabs>
      </w:pPr>
    </w:lvl>
  </w:abstractNum>
  <w:abstractNum w:abstractNumId="2">
    <w:nsid w:val="D1544DD9"/>
    <w:multiLevelType w:val="singleLevel"/>
    <w:tmpl w:val="D1544DD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319B9"/>
    <w:rsid w:val="2E43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customStyle="1" w:styleId="7">
    <w:name w:val="列表段落1"/>
    <w:basedOn w:val="1"/>
    <w:qFormat/>
    <w:uiPriority w:val="34"/>
    <w:pPr>
      <w:ind w:firstLine="420" w:firstLineChars="200"/>
    </w:pPr>
    <w:rPr>
      <w:rFonts w:ascii="Calibri" w:hAnsi="Calibri"/>
      <w:szCs w:val="22"/>
    </w:rPr>
  </w:style>
  <w:style w:type="paragraph" w:customStyle="1" w:styleId="8">
    <w:name w:val="Default"/>
    <w:next w:val="1"/>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2025-09-23T01:10:00Z</dcterms:created>
  <dc:creator>王昀炜</dc:creator>
  <cp:lastModifiedBy>王昀炜</cp:lastModifiedBy>
  <dcterms:modified xsi:type="dcterms:W3CDTF">2025-09-23T01:11:21Z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386A4C5C51604F6CBF596B7797B4CD47_11</vt:lpwstr>
  </property>
  <property fmtid="{D5CDD505-2E9C-101B-9397-08002B2CF9AE}" pid="4" name="KSOTemplateDocerSaveRecord">
    <vt:lpwstr>eyJoZGlkIjoiMDI5NWUyMzM4OWM3MjdlNTc2ODg5ZGU4ZTgwOTYxOTQiLCJ1c2VySWQiOiI0NjA4OTkwMjQifQ==</vt:lpwstr>
  </property>
</Properties>
</file>