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1D088">
      <w:pPr>
        <w:pStyle w:val="3"/>
        <w:tabs>
          <w:tab w:val="left" w:pos="1630"/>
        </w:tabs>
        <w:spacing w:line="460" w:lineRule="exact"/>
        <w:ind w:left="8"/>
        <w:jc w:val="center"/>
        <w:rPr>
          <w:sz w:val="33"/>
          <w:lang w:eastAsia="zh-CN"/>
        </w:rPr>
      </w:pPr>
      <w:r>
        <w:rPr>
          <w:rFonts w:hint="eastAsia"/>
          <w:b/>
          <w:bCs/>
          <w:lang w:eastAsia="zh-CN"/>
        </w:rPr>
        <w:t>采购需求</w:t>
      </w:r>
    </w:p>
    <w:p w14:paraId="542F1378">
      <w:pPr>
        <w:pStyle w:val="4"/>
        <w:spacing w:before="1"/>
        <w:ind w:left="121"/>
        <w:rPr>
          <w:b/>
          <w:bCs/>
          <w:lang w:eastAsia="zh-CN"/>
        </w:rPr>
      </w:pPr>
      <w:r>
        <w:rPr>
          <w:rFonts w:hint="eastAsia"/>
          <w:b/>
          <w:bCs/>
          <w:lang w:eastAsia="zh-CN"/>
        </w:rPr>
        <w:t>一、采购标的</w:t>
      </w:r>
    </w:p>
    <w:p w14:paraId="233489FB">
      <w:pPr>
        <w:pStyle w:val="8"/>
        <w:tabs>
          <w:tab w:val="left" w:pos="470"/>
          <w:tab w:val="left" w:pos="7040"/>
        </w:tabs>
        <w:spacing w:before="154" w:line="338" w:lineRule="auto"/>
        <w:ind w:left="121" w:right="1830" w:firstLine="273" w:firstLineChars="100"/>
        <w:rPr>
          <w:sz w:val="24"/>
          <w:lang w:eastAsia="zh-CN"/>
        </w:rPr>
      </w:pPr>
      <w:r>
        <w:rPr>
          <w:rFonts w:hint="eastAsia"/>
          <w:w w:val="114"/>
          <w:sz w:val="24"/>
          <w:szCs w:val="24"/>
          <w:lang w:eastAsia="zh-CN"/>
        </w:rPr>
        <w:t>1.</w:t>
      </w:r>
      <w:r>
        <w:rPr>
          <w:rFonts w:hint="eastAsia"/>
          <w:sz w:val="24"/>
          <w:lang w:eastAsia="zh-CN"/>
        </w:rPr>
        <w:t xml:space="preserve">采购标的（货物需求一览表或简要服务内容及数量） </w:t>
      </w:r>
    </w:p>
    <w:tbl>
      <w:tblPr>
        <w:tblStyle w:val="6"/>
        <w:tblW w:w="85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880"/>
        <w:gridCol w:w="1963"/>
        <w:gridCol w:w="1662"/>
        <w:gridCol w:w="1662"/>
        <w:gridCol w:w="1663"/>
      </w:tblGrid>
      <w:tr w14:paraId="1927C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703" w:type="dxa"/>
            <w:vAlign w:val="center"/>
          </w:tcPr>
          <w:p w14:paraId="36D5D167">
            <w:pPr>
              <w:pStyle w:val="9"/>
              <w:jc w:val="center"/>
              <w:rPr>
                <w:sz w:val="24"/>
                <w:szCs w:val="24"/>
                <w:lang w:eastAsia="zh-CN"/>
              </w:rPr>
            </w:pPr>
            <w:r>
              <w:rPr>
                <w:rFonts w:hint="eastAsia"/>
                <w:sz w:val="24"/>
                <w:szCs w:val="24"/>
                <w:lang w:eastAsia="zh-CN"/>
              </w:rPr>
              <w:t>包号</w:t>
            </w:r>
          </w:p>
        </w:tc>
        <w:tc>
          <w:tcPr>
            <w:tcW w:w="880" w:type="dxa"/>
            <w:vAlign w:val="center"/>
          </w:tcPr>
          <w:p w14:paraId="45698F87">
            <w:pPr>
              <w:jc w:val="center"/>
              <w:rPr>
                <w:sz w:val="24"/>
                <w:szCs w:val="24"/>
                <w:lang w:eastAsia="zh-CN"/>
              </w:rPr>
            </w:pPr>
            <w:r>
              <w:rPr>
                <w:rFonts w:hint="eastAsia"/>
                <w:bCs/>
                <w:sz w:val="24"/>
                <w:szCs w:val="24"/>
              </w:rPr>
              <w:t>品目号</w:t>
            </w:r>
          </w:p>
        </w:tc>
        <w:tc>
          <w:tcPr>
            <w:tcW w:w="1963" w:type="dxa"/>
            <w:vAlign w:val="center"/>
          </w:tcPr>
          <w:p w14:paraId="2C87DC18">
            <w:pPr>
              <w:widowControl/>
              <w:jc w:val="center"/>
              <w:textAlignment w:val="center"/>
              <w:rPr>
                <w:bCs/>
                <w:sz w:val="24"/>
                <w:szCs w:val="24"/>
                <w:lang w:eastAsia="zh-CN"/>
              </w:rPr>
            </w:pPr>
            <w:r>
              <w:rPr>
                <w:rFonts w:hint="eastAsia"/>
                <w:bCs/>
                <w:sz w:val="24"/>
                <w:szCs w:val="24"/>
                <w:lang w:eastAsia="zh-CN"/>
              </w:rPr>
              <w:t>品目名称</w:t>
            </w:r>
          </w:p>
        </w:tc>
        <w:tc>
          <w:tcPr>
            <w:tcW w:w="1662" w:type="dxa"/>
            <w:vAlign w:val="center"/>
          </w:tcPr>
          <w:p w14:paraId="238DFC91">
            <w:pPr>
              <w:pStyle w:val="9"/>
              <w:jc w:val="center"/>
              <w:rPr>
                <w:bCs/>
                <w:sz w:val="24"/>
                <w:szCs w:val="24"/>
                <w:lang w:eastAsia="zh-CN"/>
              </w:rPr>
            </w:pPr>
            <w:r>
              <w:rPr>
                <w:rFonts w:hint="eastAsia"/>
                <w:sz w:val="24"/>
                <w:szCs w:val="24"/>
                <w:lang w:eastAsia="zh-CN"/>
              </w:rPr>
              <w:t>数量</w:t>
            </w:r>
          </w:p>
        </w:tc>
        <w:tc>
          <w:tcPr>
            <w:tcW w:w="1662" w:type="dxa"/>
            <w:vAlign w:val="center"/>
          </w:tcPr>
          <w:p w14:paraId="60C2D998">
            <w:pPr>
              <w:pStyle w:val="9"/>
              <w:jc w:val="center"/>
              <w:rPr>
                <w:sz w:val="24"/>
                <w:szCs w:val="24"/>
                <w:lang w:eastAsia="zh-CN"/>
              </w:rPr>
            </w:pPr>
            <w:r>
              <w:rPr>
                <w:rFonts w:hint="eastAsia"/>
                <w:sz w:val="24"/>
                <w:szCs w:val="24"/>
                <w:lang w:eastAsia="zh-CN"/>
              </w:rPr>
              <w:t>单位</w:t>
            </w:r>
          </w:p>
        </w:tc>
        <w:tc>
          <w:tcPr>
            <w:tcW w:w="1663" w:type="dxa"/>
            <w:vAlign w:val="center"/>
          </w:tcPr>
          <w:p w14:paraId="64DE2F3A">
            <w:pPr>
              <w:pStyle w:val="9"/>
              <w:jc w:val="center"/>
              <w:rPr>
                <w:sz w:val="24"/>
                <w:szCs w:val="24"/>
                <w:lang w:eastAsia="zh-CN"/>
              </w:rPr>
            </w:pPr>
            <w:r>
              <w:rPr>
                <w:rFonts w:hint="eastAsia"/>
                <w:sz w:val="24"/>
                <w:szCs w:val="24"/>
                <w:lang w:eastAsia="zh-CN"/>
              </w:rPr>
              <w:t>是否允许采购进口产品</w:t>
            </w:r>
          </w:p>
        </w:tc>
      </w:tr>
      <w:tr w14:paraId="5B3C4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jc w:val="center"/>
        </w:trPr>
        <w:tc>
          <w:tcPr>
            <w:tcW w:w="703" w:type="dxa"/>
            <w:vMerge w:val="restart"/>
            <w:vAlign w:val="center"/>
          </w:tcPr>
          <w:p w14:paraId="45EA01C3">
            <w:pPr>
              <w:pStyle w:val="9"/>
              <w:jc w:val="center"/>
              <w:rPr>
                <w:sz w:val="24"/>
                <w:szCs w:val="24"/>
                <w:lang w:eastAsia="zh-CN"/>
              </w:rPr>
            </w:pPr>
            <w:r>
              <w:rPr>
                <w:rFonts w:hint="eastAsia"/>
                <w:sz w:val="24"/>
                <w:szCs w:val="24"/>
                <w:lang w:eastAsia="zh-CN"/>
              </w:rPr>
              <w:t>01</w:t>
            </w:r>
          </w:p>
        </w:tc>
        <w:tc>
          <w:tcPr>
            <w:tcW w:w="880" w:type="dxa"/>
            <w:vAlign w:val="center"/>
          </w:tcPr>
          <w:p w14:paraId="0D290E6C">
            <w:pPr>
              <w:pStyle w:val="9"/>
              <w:jc w:val="center"/>
              <w:rPr>
                <w:sz w:val="24"/>
                <w:szCs w:val="24"/>
                <w:lang w:eastAsia="zh-CN"/>
              </w:rPr>
            </w:pPr>
            <w:r>
              <w:rPr>
                <w:rFonts w:hint="eastAsia"/>
                <w:sz w:val="24"/>
                <w:szCs w:val="24"/>
                <w:lang w:eastAsia="zh-CN"/>
              </w:rPr>
              <w:t>1-1</w:t>
            </w:r>
          </w:p>
        </w:tc>
        <w:tc>
          <w:tcPr>
            <w:tcW w:w="1963" w:type="dxa"/>
            <w:vAlign w:val="center"/>
          </w:tcPr>
          <w:p w14:paraId="00F84C94">
            <w:pPr>
              <w:adjustRightInd w:val="0"/>
              <w:spacing w:line="520" w:lineRule="exact"/>
              <w:jc w:val="center"/>
              <w:rPr>
                <w:sz w:val="24"/>
                <w:szCs w:val="24"/>
                <w:lang w:eastAsia="zh-CN"/>
              </w:rPr>
            </w:pPr>
            <w:r>
              <w:rPr>
                <w:rFonts w:hint="eastAsia"/>
                <w:sz w:val="24"/>
                <w:szCs w:val="24"/>
                <w:lang w:eastAsia="zh-CN"/>
              </w:rPr>
              <w:t>分布式存储</w:t>
            </w:r>
          </w:p>
        </w:tc>
        <w:tc>
          <w:tcPr>
            <w:tcW w:w="1662" w:type="dxa"/>
            <w:vAlign w:val="center"/>
          </w:tcPr>
          <w:p w14:paraId="5DD432B0">
            <w:pPr>
              <w:adjustRightInd w:val="0"/>
              <w:spacing w:line="520" w:lineRule="exact"/>
              <w:jc w:val="center"/>
              <w:rPr>
                <w:sz w:val="24"/>
                <w:szCs w:val="24"/>
                <w:lang w:eastAsia="zh-CN"/>
              </w:rPr>
            </w:pPr>
            <w:r>
              <w:rPr>
                <w:rFonts w:hint="eastAsia"/>
                <w:sz w:val="24"/>
                <w:szCs w:val="24"/>
                <w:lang w:eastAsia="zh-CN"/>
              </w:rPr>
              <w:t>1</w:t>
            </w:r>
          </w:p>
        </w:tc>
        <w:tc>
          <w:tcPr>
            <w:tcW w:w="1662" w:type="dxa"/>
            <w:vAlign w:val="center"/>
          </w:tcPr>
          <w:p w14:paraId="22B22048">
            <w:pPr>
              <w:adjustRightInd w:val="0"/>
              <w:spacing w:line="520" w:lineRule="exact"/>
              <w:jc w:val="center"/>
              <w:rPr>
                <w:sz w:val="24"/>
                <w:szCs w:val="24"/>
                <w:lang w:eastAsia="zh-CN"/>
              </w:rPr>
            </w:pPr>
            <w:r>
              <w:rPr>
                <w:rFonts w:hint="eastAsia"/>
                <w:sz w:val="24"/>
                <w:szCs w:val="24"/>
                <w:lang w:eastAsia="zh-CN"/>
              </w:rPr>
              <w:t>套</w:t>
            </w:r>
          </w:p>
        </w:tc>
        <w:tc>
          <w:tcPr>
            <w:tcW w:w="1663" w:type="dxa"/>
            <w:vAlign w:val="center"/>
          </w:tcPr>
          <w:p w14:paraId="2AF5C9EA">
            <w:pPr>
              <w:pStyle w:val="9"/>
              <w:jc w:val="center"/>
              <w:rPr>
                <w:sz w:val="24"/>
                <w:szCs w:val="24"/>
                <w:lang w:eastAsia="zh-CN"/>
              </w:rPr>
            </w:pPr>
            <w:r>
              <w:rPr>
                <w:rFonts w:hint="eastAsia"/>
                <w:sz w:val="24"/>
                <w:szCs w:val="24"/>
                <w:lang w:eastAsia="zh-CN"/>
              </w:rPr>
              <w:t>否</w:t>
            </w:r>
          </w:p>
        </w:tc>
      </w:tr>
      <w:tr w14:paraId="5140C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jc w:val="center"/>
        </w:trPr>
        <w:tc>
          <w:tcPr>
            <w:tcW w:w="703" w:type="dxa"/>
            <w:vMerge w:val="continue"/>
            <w:vAlign w:val="center"/>
          </w:tcPr>
          <w:p w14:paraId="2F4443B4">
            <w:pPr>
              <w:pStyle w:val="9"/>
              <w:jc w:val="center"/>
              <w:rPr>
                <w:sz w:val="24"/>
                <w:szCs w:val="24"/>
                <w:lang w:eastAsia="zh-CN"/>
              </w:rPr>
            </w:pPr>
          </w:p>
        </w:tc>
        <w:tc>
          <w:tcPr>
            <w:tcW w:w="880" w:type="dxa"/>
            <w:vAlign w:val="center"/>
          </w:tcPr>
          <w:p w14:paraId="04FB805B">
            <w:pPr>
              <w:pStyle w:val="9"/>
              <w:jc w:val="center"/>
              <w:rPr>
                <w:sz w:val="24"/>
                <w:szCs w:val="24"/>
                <w:lang w:eastAsia="zh-CN"/>
              </w:rPr>
            </w:pPr>
            <w:r>
              <w:rPr>
                <w:rFonts w:hint="eastAsia"/>
                <w:sz w:val="24"/>
                <w:szCs w:val="24"/>
                <w:lang w:eastAsia="zh-CN"/>
              </w:rPr>
              <w:t>1-2</w:t>
            </w:r>
          </w:p>
        </w:tc>
        <w:tc>
          <w:tcPr>
            <w:tcW w:w="1963" w:type="dxa"/>
            <w:vAlign w:val="center"/>
          </w:tcPr>
          <w:p w14:paraId="14BC4A8C">
            <w:pPr>
              <w:adjustRightInd w:val="0"/>
              <w:spacing w:line="520" w:lineRule="exact"/>
              <w:jc w:val="center"/>
              <w:rPr>
                <w:sz w:val="24"/>
                <w:szCs w:val="24"/>
                <w:lang w:eastAsia="zh-CN"/>
              </w:rPr>
            </w:pPr>
            <w:r>
              <w:rPr>
                <w:rFonts w:hint="eastAsia"/>
                <w:sz w:val="24"/>
                <w:szCs w:val="24"/>
                <w:lang w:eastAsia="zh-CN"/>
              </w:rPr>
              <w:t>交换机</w:t>
            </w:r>
          </w:p>
        </w:tc>
        <w:tc>
          <w:tcPr>
            <w:tcW w:w="1662" w:type="dxa"/>
            <w:vAlign w:val="center"/>
          </w:tcPr>
          <w:p w14:paraId="359054FE">
            <w:pPr>
              <w:adjustRightInd w:val="0"/>
              <w:spacing w:line="520" w:lineRule="exact"/>
              <w:jc w:val="center"/>
              <w:rPr>
                <w:sz w:val="24"/>
                <w:szCs w:val="24"/>
                <w:lang w:eastAsia="zh-CN"/>
              </w:rPr>
            </w:pPr>
            <w:r>
              <w:rPr>
                <w:rFonts w:hint="eastAsia"/>
                <w:sz w:val="24"/>
                <w:szCs w:val="24"/>
                <w:lang w:eastAsia="zh-CN"/>
              </w:rPr>
              <w:t>2</w:t>
            </w:r>
          </w:p>
        </w:tc>
        <w:tc>
          <w:tcPr>
            <w:tcW w:w="1662" w:type="dxa"/>
            <w:vAlign w:val="center"/>
          </w:tcPr>
          <w:p w14:paraId="1A2CF55B">
            <w:pPr>
              <w:adjustRightInd w:val="0"/>
              <w:spacing w:line="520" w:lineRule="exact"/>
              <w:jc w:val="center"/>
              <w:rPr>
                <w:sz w:val="24"/>
                <w:szCs w:val="24"/>
                <w:lang w:eastAsia="zh-CN"/>
              </w:rPr>
            </w:pPr>
            <w:r>
              <w:rPr>
                <w:rFonts w:hint="eastAsia"/>
                <w:sz w:val="24"/>
                <w:szCs w:val="24"/>
                <w:lang w:eastAsia="zh-CN"/>
              </w:rPr>
              <w:t>台</w:t>
            </w:r>
          </w:p>
        </w:tc>
        <w:tc>
          <w:tcPr>
            <w:tcW w:w="1663" w:type="dxa"/>
            <w:vAlign w:val="center"/>
          </w:tcPr>
          <w:p w14:paraId="42DA64D7">
            <w:pPr>
              <w:pStyle w:val="9"/>
              <w:jc w:val="center"/>
              <w:rPr>
                <w:sz w:val="24"/>
                <w:szCs w:val="24"/>
                <w:lang w:eastAsia="zh-CN"/>
              </w:rPr>
            </w:pPr>
            <w:r>
              <w:rPr>
                <w:rFonts w:hint="eastAsia"/>
                <w:sz w:val="24"/>
                <w:szCs w:val="24"/>
                <w:lang w:eastAsia="zh-CN"/>
              </w:rPr>
              <w:t>否</w:t>
            </w:r>
          </w:p>
        </w:tc>
      </w:tr>
      <w:tr w14:paraId="3DB27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jc w:val="center"/>
        </w:trPr>
        <w:tc>
          <w:tcPr>
            <w:tcW w:w="703" w:type="dxa"/>
            <w:vMerge w:val="continue"/>
            <w:vAlign w:val="center"/>
          </w:tcPr>
          <w:p w14:paraId="0B89B7D1">
            <w:pPr>
              <w:pStyle w:val="9"/>
              <w:jc w:val="center"/>
              <w:rPr>
                <w:sz w:val="24"/>
                <w:szCs w:val="24"/>
                <w:lang w:eastAsia="zh-CN"/>
              </w:rPr>
            </w:pPr>
          </w:p>
        </w:tc>
        <w:tc>
          <w:tcPr>
            <w:tcW w:w="880" w:type="dxa"/>
            <w:vAlign w:val="center"/>
          </w:tcPr>
          <w:p w14:paraId="018D726E">
            <w:pPr>
              <w:pStyle w:val="9"/>
              <w:jc w:val="center"/>
              <w:rPr>
                <w:sz w:val="24"/>
                <w:szCs w:val="24"/>
                <w:lang w:eastAsia="zh-CN"/>
              </w:rPr>
            </w:pPr>
            <w:r>
              <w:rPr>
                <w:rFonts w:hint="eastAsia"/>
                <w:sz w:val="24"/>
                <w:szCs w:val="24"/>
                <w:lang w:eastAsia="zh-CN"/>
              </w:rPr>
              <w:t>1-3</w:t>
            </w:r>
          </w:p>
        </w:tc>
        <w:tc>
          <w:tcPr>
            <w:tcW w:w="1963" w:type="dxa"/>
            <w:vAlign w:val="center"/>
          </w:tcPr>
          <w:p w14:paraId="790406A6">
            <w:pPr>
              <w:adjustRightInd w:val="0"/>
              <w:spacing w:line="520" w:lineRule="exact"/>
              <w:jc w:val="center"/>
              <w:rPr>
                <w:sz w:val="24"/>
                <w:szCs w:val="24"/>
                <w:lang w:eastAsia="zh-CN"/>
              </w:rPr>
            </w:pPr>
            <w:r>
              <w:rPr>
                <w:rFonts w:hint="eastAsia"/>
                <w:sz w:val="24"/>
                <w:szCs w:val="24"/>
                <w:lang w:eastAsia="zh-CN"/>
              </w:rPr>
              <w:t>硬盘备件</w:t>
            </w:r>
          </w:p>
        </w:tc>
        <w:tc>
          <w:tcPr>
            <w:tcW w:w="1662" w:type="dxa"/>
            <w:vAlign w:val="center"/>
          </w:tcPr>
          <w:p w14:paraId="430367CF">
            <w:pPr>
              <w:adjustRightInd w:val="0"/>
              <w:spacing w:line="520" w:lineRule="exact"/>
              <w:jc w:val="center"/>
              <w:rPr>
                <w:sz w:val="24"/>
                <w:szCs w:val="24"/>
                <w:lang w:eastAsia="zh-CN"/>
              </w:rPr>
            </w:pPr>
            <w:r>
              <w:rPr>
                <w:rFonts w:hint="eastAsia"/>
                <w:sz w:val="24"/>
                <w:szCs w:val="24"/>
                <w:lang w:eastAsia="zh-CN"/>
              </w:rPr>
              <w:t>42</w:t>
            </w:r>
          </w:p>
        </w:tc>
        <w:tc>
          <w:tcPr>
            <w:tcW w:w="1662" w:type="dxa"/>
            <w:vAlign w:val="center"/>
          </w:tcPr>
          <w:p w14:paraId="3711FA4C">
            <w:pPr>
              <w:adjustRightInd w:val="0"/>
              <w:spacing w:line="520" w:lineRule="exact"/>
              <w:jc w:val="center"/>
              <w:rPr>
                <w:sz w:val="24"/>
                <w:szCs w:val="24"/>
                <w:lang w:eastAsia="zh-CN"/>
              </w:rPr>
            </w:pPr>
            <w:r>
              <w:rPr>
                <w:rFonts w:hint="eastAsia"/>
                <w:sz w:val="24"/>
                <w:szCs w:val="24"/>
                <w:lang w:eastAsia="zh-CN"/>
              </w:rPr>
              <w:t>块</w:t>
            </w:r>
          </w:p>
        </w:tc>
        <w:tc>
          <w:tcPr>
            <w:tcW w:w="1663" w:type="dxa"/>
            <w:vAlign w:val="center"/>
          </w:tcPr>
          <w:p w14:paraId="0F5E6173">
            <w:pPr>
              <w:pStyle w:val="9"/>
              <w:jc w:val="center"/>
              <w:rPr>
                <w:sz w:val="24"/>
                <w:szCs w:val="24"/>
                <w:lang w:eastAsia="zh-CN"/>
              </w:rPr>
            </w:pPr>
            <w:r>
              <w:rPr>
                <w:rFonts w:hint="eastAsia"/>
                <w:sz w:val="24"/>
                <w:szCs w:val="24"/>
                <w:lang w:eastAsia="zh-CN"/>
              </w:rPr>
              <w:t>否</w:t>
            </w:r>
          </w:p>
        </w:tc>
      </w:tr>
    </w:tbl>
    <w:p w14:paraId="7EB04461">
      <w:pPr>
        <w:pStyle w:val="10"/>
        <w:spacing w:before="240" w:beforeLines="100" w:line="360" w:lineRule="auto"/>
        <w:ind w:left="499" w:hanging="499" w:firstLineChars="0"/>
        <w:contextualSpacing/>
        <w:rPr>
          <w:rFonts w:ascii="宋体" w:hAnsi="宋体" w:cs="宋体"/>
          <w:b/>
          <w:sz w:val="24"/>
        </w:rPr>
      </w:pPr>
    </w:p>
    <w:p w14:paraId="606FA8B1">
      <w:pPr>
        <w:pStyle w:val="10"/>
        <w:spacing w:before="240" w:beforeLines="100" w:line="360" w:lineRule="auto"/>
        <w:ind w:left="499" w:hanging="499" w:firstLineChars="0"/>
        <w:contextualSpacing/>
        <w:rPr>
          <w:rFonts w:ascii="宋体" w:hAnsi="宋体" w:cs="宋体"/>
          <w:b/>
          <w:sz w:val="24"/>
        </w:rPr>
      </w:pPr>
      <w:r>
        <w:rPr>
          <w:rFonts w:hint="eastAsia" w:ascii="宋体" w:hAnsi="宋体" w:cs="宋体"/>
          <w:b/>
          <w:sz w:val="24"/>
        </w:rPr>
        <w:t>二</w:t>
      </w:r>
      <w:r>
        <w:rPr>
          <w:rFonts w:ascii="宋体" w:hAnsi="宋体" w:cs="宋体"/>
          <w:b/>
          <w:sz w:val="24"/>
        </w:rPr>
        <w:t>、</w:t>
      </w:r>
      <w:r>
        <w:rPr>
          <w:rFonts w:hint="eastAsia" w:ascii="宋体" w:hAnsi="宋体" w:cs="宋体"/>
          <w:b/>
          <w:sz w:val="24"/>
        </w:rPr>
        <w:t>商务要求</w:t>
      </w:r>
    </w:p>
    <w:p w14:paraId="04AF9FB6">
      <w:pPr>
        <w:spacing w:line="360" w:lineRule="auto"/>
        <w:contextualSpacing/>
        <w:rPr>
          <w:sz w:val="24"/>
          <w:lang w:eastAsia="zh-CN"/>
        </w:rPr>
      </w:pPr>
      <w:r>
        <w:rPr>
          <w:rFonts w:hint="eastAsia"/>
          <w:sz w:val="24"/>
        </w:rPr>
        <w:t>★1.</w:t>
      </w:r>
      <w:r>
        <w:rPr>
          <w:rFonts w:hint="eastAsia"/>
          <w:sz w:val="24"/>
          <w:lang w:eastAsia="zh-CN"/>
        </w:rPr>
        <w:t xml:space="preserve"> 实施的期限和地点</w:t>
      </w:r>
    </w:p>
    <w:p w14:paraId="201C1254">
      <w:pPr>
        <w:spacing w:line="360" w:lineRule="auto"/>
        <w:contextualSpacing/>
        <w:rPr>
          <w:sz w:val="24"/>
          <w:lang w:eastAsia="zh-CN"/>
        </w:rPr>
      </w:pPr>
      <w:bookmarkStart w:id="0" w:name="_Toc24426"/>
      <w:bookmarkStart w:id="1" w:name="_Toc30905"/>
      <w:r>
        <w:rPr>
          <w:rFonts w:hint="eastAsia"/>
          <w:sz w:val="24"/>
          <w:lang w:eastAsia="zh-CN"/>
        </w:rPr>
        <w:t>1.1采购项目（标的）实施的时间：</w:t>
      </w:r>
      <w:bookmarkEnd w:id="0"/>
      <w:bookmarkEnd w:id="1"/>
      <w:bookmarkStart w:id="2" w:name="_Toc24878"/>
      <w:bookmarkStart w:id="3" w:name="_Toc31467"/>
      <w:r>
        <w:rPr>
          <w:rFonts w:hint="eastAsia"/>
          <w:sz w:val="24"/>
          <w:lang w:eastAsia="zh-CN"/>
        </w:rPr>
        <w:t>合同签订后3个月内</w:t>
      </w:r>
    </w:p>
    <w:p w14:paraId="3383F7F1">
      <w:pPr>
        <w:spacing w:line="360" w:lineRule="auto"/>
        <w:contextualSpacing/>
        <w:rPr>
          <w:sz w:val="24"/>
          <w:lang w:eastAsia="zh-CN"/>
        </w:rPr>
      </w:pPr>
      <w:r>
        <w:rPr>
          <w:rFonts w:hint="eastAsia"/>
          <w:sz w:val="24"/>
          <w:lang w:eastAsia="zh-CN"/>
        </w:rPr>
        <w:t>1.2采购项目（标的）实施的地点：</w:t>
      </w:r>
      <w:bookmarkEnd w:id="2"/>
      <w:bookmarkEnd w:id="3"/>
      <w:r>
        <w:rPr>
          <w:rFonts w:hint="eastAsia"/>
          <w:sz w:val="24"/>
          <w:lang w:eastAsia="zh-CN"/>
        </w:rPr>
        <w:t>北京市朝阳区东十里铺3号院</w:t>
      </w:r>
    </w:p>
    <w:p w14:paraId="1CB80967">
      <w:pPr>
        <w:spacing w:line="360" w:lineRule="auto"/>
        <w:contextualSpacing/>
        <w:rPr>
          <w:sz w:val="24"/>
          <w:lang w:eastAsia="zh-CN"/>
        </w:rPr>
      </w:pPr>
      <w:r>
        <w:rPr>
          <w:rFonts w:hint="eastAsia"/>
          <w:sz w:val="24"/>
          <w:lang w:eastAsia="zh-CN"/>
        </w:rPr>
        <w:t>2. 付款条件（进度和方式）</w:t>
      </w:r>
    </w:p>
    <w:p w14:paraId="483100EB">
      <w:pPr>
        <w:spacing w:line="360" w:lineRule="auto"/>
        <w:ind w:firstLine="240" w:firstLineChars="100"/>
        <w:contextualSpacing/>
        <w:rPr>
          <w:sz w:val="24"/>
          <w:lang w:eastAsia="zh-CN"/>
        </w:rPr>
      </w:pPr>
      <w:r>
        <w:rPr>
          <w:rFonts w:hint="eastAsia"/>
          <w:sz w:val="24"/>
          <w:lang w:eastAsia="zh-CN"/>
        </w:rPr>
        <w:t>首付款50%，中期款30%，尾款20%</w:t>
      </w:r>
    </w:p>
    <w:p w14:paraId="5C718C5F">
      <w:pPr>
        <w:spacing w:line="360" w:lineRule="auto"/>
        <w:contextualSpacing/>
        <w:rPr>
          <w:sz w:val="24"/>
          <w:lang w:eastAsia="zh-CN"/>
        </w:rPr>
      </w:pPr>
      <w:r>
        <w:rPr>
          <w:rFonts w:hint="eastAsia"/>
          <w:sz w:val="24"/>
          <w:lang w:eastAsia="zh-CN"/>
        </w:rPr>
        <w:t>3. 包装和运输（如适用，须满足《关于印发〈商品包装政府采购需求标准（试行）〉、〈快递包装政府采购需求标准（试行）〉的通知》（财办库﹝2020﹞123号））</w:t>
      </w:r>
    </w:p>
    <w:p w14:paraId="3C2178C5">
      <w:pPr>
        <w:spacing w:line="360" w:lineRule="auto"/>
        <w:contextualSpacing/>
        <w:rPr>
          <w:sz w:val="24"/>
          <w:lang w:eastAsia="zh-CN"/>
        </w:rPr>
      </w:pPr>
      <w:r>
        <w:rPr>
          <w:rFonts w:hint="eastAsia"/>
          <w:sz w:val="24"/>
          <w:lang w:eastAsia="zh-CN"/>
        </w:rPr>
        <w:t>4. 售后服务（质保期）：</w:t>
      </w:r>
    </w:p>
    <w:p w14:paraId="78A83D22">
      <w:pPr>
        <w:spacing w:line="360" w:lineRule="auto"/>
        <w:ind w:firstLine="240" w:firstLineChars="100"/>
        <w:contextualSpacing/>
        <w:rPr>
          <w:sz w:val="24"/>
          <w:lang w:eastAsia="zh-CN"/>
        </w:rPr>
      </w:pPr>
      <w:r>
        <w:rPr>
          <w:rFonts w:hint="eastAsia"/>
          <w:sz w:val="24"/>
          <w:lang w:eastAsia="zh-CN"/>
        </w:rPr>
        <w:t>分布式存储：3年</w:t>
      </w:r>
    </w:p>
    <w:p w14:paraId="47FCA685">
      <w:pPr>
        <w:spacing w:line="360" w:lineRule="auto"/>
        <w:ind w:firstLine="240" w:firstLineChars="100"/>
        <w:contextualSpacing/>
        <w:rPr>
          <w:sz w:val="24"/>
          <w:lang w:eastAsia="zh-CN"/>
        </w:rPr>
      </w:pPr>
      <w:r>
        <w:rPr>
          <w:rFonts w:hint="eastAsia"/>
          <w:sz w:val="24"/>
          <w:lang w:eastAsia="zh-CN"/>
        </w:rPr>
        <w:t>交换机：3年</w:t>
      </w:r>
    </w:p>
    <w:p w14:paraId="21342176">
      <w:pPr>
        <w:pStyle w:val="10"/>
        <w:spacing w:line="360" w:lineRule="auto"/>
        <w:ind w:left="500" w:hanging="500" w:firstLineChars="0"/>
        <w:contextualSpacing/>
        <w:rPr>
          <w:rFonts w:ascii="宋体" w:hAnsi="宋体" w:cs="宋体"/>
          <w:b/>
          <w:sz w:val="24"/>
        </w:rPr>
      </w:pPr>
      <w:r>
        <w:rPr>
          <w:rFonts w:hint="eastAsia" w:ascii="宋体" w:hAnsi="宋体" w:cs="宋体"/>
          <w:b/>
          <w:sz w:val="24"/>
        </w:rPr>
        <w:t>三</w:t>
      </w:r>
      <w:r>
        <w:rPr>
          <w:rFonts w:ascii="宋体" w:hAnsi="宋体" w:cs="宋体"/>
          <w:b/>
          <w:sz w:val="24"/>
        </w:rPr>
        <w:t>、</w:t>
      </w:r>
      <w:r>
        <w:rPr>
          <w:rFonts w:hint="eastAsia" w:ascii="宋体" w:hAnsi="宋体" w:cs="宋体"/>
          <w:b/>
          <w:sz w:val="24"/>
        </w:rPr>
        <w:t>技术要求</w:t>
      </w:r>
    </w:p>
    <w:p w14:paraId="032F9016">
      <w:pPr>
        <w:spacing w:line="360" w:lineRule="auto"/>
        <w:contextualSpacing/>
        <w:rPr>
          <w:sz w:val="24"/>
          <w:lang w:eastAsia="zh-CN"/>
        </w:rPr>
      </w:pPr>
      <w:r>
        <w:rPr>
          <w:rFonts w:hint="eastAsia"/>
          <w:sz w:val="24"/>
          <w:lang w:eastAsia="zh-CN"/>
        </w:rPr>
        <w:t>1. 基本要求</w:t>
      </w:r>
    </w:p>
    <w:p w14:paraId="398E3C14">
      <w:pPr>
        <w:spacing w:line="360" w:lineRule="auto"/>
        <w:ind w:firstLine="480" w:firstLineChars="200"/>
        <w:contextualSpacing/>
        <w:rPr>
          <w:sz w:val="24"/>
          <w:lang w:eastAsia="zh-CN"/>
        </w:rPr>
      </w:pPr>
      <w:r>
        <w:rPr>
          <w:rFonts w:hint="eastAsia"/>
          <w:sz w:val="24"/>
          <w:lang w:eastAsia="zh-CN"/>
        </w:rPr>
        <w:t>1.1 采购标的需实现的功能或者目标</w:t>
      </w:r>
    </w:p>
    <w:p w14:paraId="15EC789A">
      <w:pPr>
        <w:adjustRightInd w:val="0"/>
        <w:spacing w:line="360" w:lineRule="auto"/>
        <w:ind w:firstLine="480" w:firstLineChars="200"/>
        <w:rPr>
          <w:sz w:val="24"/>
          <w:lang w:eastAsia="zh-CN"/>
        </w:rPr>
      </w:pPr>
      <w:r>
        <w:rPr>
          <w:rFonts w:hint="eastAsia"/>
          <w:sz w:val="24"/>
          <w:lang w:eastAsia="zh-CN"/>
        </w:rPr>
        <w:t>本次招标采购是为</w:t>
      </w:r>
      <w:r>
        <w:rPr>
          <w:rFonts w:hint="eastAsia"/>
          <w:kern w:val="2"/>
          <w:sz w:val="24"/>
          <w:szCs w:val="24"/>
          <w:lang w:eastAsia="zh-CN"/>
        </w:rPr>
        <w:t>首都医科大学附属北京朝阳医院</w:t>
      </w:r>
      <w:r>
        <w:rPr>
          <w:rFonts w:hint="eastAsia"/>
          <w:sz w:val="24"/>
          <w:lang w:eastAsia="zh-CN"/>
        </w:rPr>
        <w:t>配置</w:t>
      </w:r>
      <w:r>
        <w:rPr>
          <w:rFonts w:hint="eastAsia"/>
          <w:bCs/>
          <w:sz w:val="24"/>
          <w:szCs w:val="24"/>
          <w:lang w:eastAsia="zh-CN"/>
        </w:rPr>
        <w:t>基本设备</w:t>
      </w:r>
      <w:r>
        <w:rPr>
          <w:rFonts w:hint="eastAsia"/>
          <w:sz w:val="24"/>
          <w:lang w:eastAsia="zh-CN"/>
        </w:rPr>
        <w:t>，供应商应根据招标文件所提出的技术规格和服务要求，综合考虑所投货物的适用性，选择需要最佳性能价格比的货物前来投标。供应商应以先进的技术、优良的服务和优惠的价格，充分显示自己的竞争实力。</w:t>
      </w:r>
    </w:p>
    <w:p w14:paraId="2D1F37EA">
      <w:pPr>
        <w:spacing w:line="360" w:lineRule="auto"/>
        <w:ind w:firstLine="480" w:firstLineChars="200"/>
        <w:contextualSpacing/>
        <w:rPr>
          <w:sz w:val="24"/>
          <w:lang w:eastAsia="zh-CN"/>
        </w:rPr>
      </w:pPr>
      <w:r>
        <w:rPr>
          <w:rFonts w:hint="eastAsia"/>
          <w:sz w:val="24"/>
          <w:lang w:eastAsia="zh-CN"/>
        </w:rPr>
        <w:t>1.2 需执行的国家相关标准、行业标准、地方标准或者其他标准、规范</w:t>
      </w:r>
    </w:p>
    <w:p w14:paraId="52A14E30">
      <w:pPr>
        <w:spacing w:line="360" w:lineRule="auto"/>
        <w:ind w:firstLine="480" w:firstLineChars="200"/>
        <w:rPr>
          <w:sz w:val="24"/>
          <w:lang w:eastAsia="zh-CN"/>
        </w:rPr>
      </w:pPr>
      <w:r>
        <w:rPr>
          <w:rFonts w:hint="eastAsia"/>
          <w:sz w:val="24"/>
          <w:lang w:eastAsia="zh-CN"/>
        </w:rPr>
        <w:t>★</w:t>
      </w:r>
      <w:r>
        <w:rPr>
          <w:rFonts w:hint="eastAsia"/>
          <w:bCs/>
          <w:sz w:val="24"/>
          <w:lang w:eastAsia="zh-CN"/>
        </w:rPr>
        <w:t>(1)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43097793">
      <w:pPr>
        <w:spacing w:line="360" w:lineRule="auto"/>
        <w:contextualSpacing/>
        <w:rPr>
          <w:i/>
          <w:iCs/>
          <w:sz w:val="24"/>
          <w:lang w:eastAsia="zh-CN"/>
        </w:rPr>
      </w:pPr>
      <w:r>
        <w:rPr>
          <w:rFonts w:hint="eastAsia"/>
          <w:sz w:val="24"/>
          <w:lang w:eastAsia="zh-CN"/>
        </w:rPr>
        <w:t>2</w:t>
      </w:r>
      <w:r>
        <w:rPr>
          <w:sz w:val="24"/>
          <w:lang w:eastAsia="zh-CN"/>
        </w:rPr>
        <w:t xml:space="preserve"> 验收标准</w:t>
      </w:r>
    </w:p>
    <w:p w14:paraId="26498E31">
      <w:pPr>
        <w:pStyle w:val="5"/>
        <w:spacing w:line="360" w:lineRule="auto"/>
        <w:jc w:val="both"/>
        <w:outlineLvl w:val="9"/>
        <w:rPr>
          <w:b w:val="0"/>
          <w:sz w:val="24"/>
          <w:szCs w:val="24"/>
          <w:lang w:eastAsia="zh-CN"/>
        </w:rPr>
      </w:pPr>
      <w:bookmarkStart w:id="4" w:name="_Toc470473059"/>
      <w:r>
        <w:rPr>
          <w:rFonts w:hint="eastAsia"/>
          <w:b w:val="0"/>
          <w:sz w:val="24"/>
          <w:szCs w:val="24"/>
          <w:lang w:eastAsia="zh-CN"/>
        </w:rPr>
        <w:t>2.</w:t>
      </w:r>
      <w:r>
        <w:rPr>
          <w:b w:val="0"/>
          <w:sz w:val="24"/>
          <w:szCs w:val="24"/>
          <w:lang w:eastAsia="zh-CN"/>
        </w:rPr>
        <w:t>1</w:t>
      </w:r>
      <w:r>
        <w:rPr>
          <w:rFonts w:hint="eastAsia"/>
          <w:b w:val="0"/>
          <w:sz w:val="24"/>
          <w:szCs w:val="24"/>
          <w:lang w:eastAsia="zh-CN"/>
        </w:rPr>
        <w:t>符合采购人服务范围要求。</w:t>
      </w:r>
      <w:bookmarkEnd w:id="4"/>
    </w:p>
    <w:p w14:paraId="26D3E1CB">
      <w:pPr>
        <w:pStyle w:val="5"/>
        <w:spacing w:line="360" w:lineRule="auto"/>
        <w:jc w:val="both"/>
        <w:outlineLvl w:val="9"/>
        <w:rPr>
          <w:b w:val="0"/>
          <w:sz w:val="24"/>
          <w:szCs w:val="24"/>
          <w:lang w:eastAsia="zh-CN"/>
        </w:rPr>
      </w:pPr>
      <w:bookmarkStart w:id="5" w:name="_Toc205914359"/>
      <w:r>
        <w:rPr>
          <w:rFonts w:hint="eastAsia"/>
          <w:b w:val="0"/>
          <w:sz w:val="24"/>
          <w:szCs w:val="24"/>
          <w:lang w:eastAsia="zh-CN"/>
        </w:rPr>
        <w:t>2.</w:t>
      </w:r>
      <w:r>
        <w:rPr>
          <w:b w:val="0"/>
          <w:sz w:val="24"/>
          <w:szCs w:val="24"/>
          <w:lang w:eastAsia="zh-CN"/>
        </w:rPr>
        <w:t>2</w:t>
      </w:r>
      <w:r>
        <w:rPr>
          <w:rFonts w:hint="eastAsia"/>
          <w:b w:val="0"/>
          <w:sz w:val="24"/>
          <w:szCs w:val="24"/>
          <w:lang w:eastAsia="zh-CN"/>
        </w:rPr>
        <w:t>供应商配置的硬件设备符合采购人要求。</w:t>
      </w:r>
      <w:bookmarkEnd w:id="5"/>
    </w:p>
    <w:p w14:paraId="36DC373B">
      <w:pPr>
        <w:pStyle w:val="5"/>
        <w:spacing w:line="360" w:lineRule="auto"/>
        <w:jc w:val="both"/>
        <w:outlineLvl w:val="9"/>
        <w:rPr>
          <w:b w:val="0"/>
          <w:sz w:val="24"/>
          <w:szCs w:val="24"/>
          <w:lang w:eastAsia="zh-CN"/>
        </w:rPr>
      </w:pPr>
      <w:bookmarkStart w:id="6" w:name="_Toc1206476396"/>
      <w:r>
        <w:rPr>
          <w:rFonts w:hint="eastAsia"/>
          <w:b w:val="0"/>
          <w:sz w:val="24"/>
          <w:szCs w:val="24"/>
          <w:lang w:eastAsia="zh-CN"/>
        </w:rPr>
        <w:t>2.</w:t>
      </w:r>
      <w:r>
        <w:rPr>
          <w:b w:val="0"/>
          <w:sz w:val="24"/>
          <w:szCs w:val="24"/>
          <w:lang w:eastAsia="zh-CN"/>
        </w:rPr>
        <w:t>3</w:t>
      </w:r>
      <w:r>
        <w:rPr>
          <w:rFonts w:hint="eastAsia"/>
          <w:b w:val="0"/>
          <w:sz w:val="24"/>
          <w:szCs w:val="24"/>
          <w:lang w:eastAsia="zh-CN"/>
        </w:rPr>
        <w:t>完成采购人要求的工作内容。</w:t>
      </w:r>
      <w:bookmarkEnd w:id="6"/>
    </w:p>
    <w:p w14:paraId="7FD3ECE2">
      <w:pPr>
        <w:pStyle w:val="5"/>
        <w:spacing w:line="360" w:lineRule="auto"/>
        <w:jc w:val="both"/>
        <w:outlineLvl w:val="9"/>
        <w:rPr>
          <w:b w:val="0"/>
          <w:sz w:val="24"/>
          <w:szCs w:val="24"/>
          <w:lang w:eastAsia="zh-CN"/>
        </w:rPr>
      </w:pPr>
      <w:bookmarkStart w:id="7" w:name="_Toc708192598"/>
      <w:r>
        <w:rPr>
          <w:rFonts w:hint="eastAsia"/>
          <w:b w:val="0"/>
          <w:sz w:val="24"/>
          <w:szCs w:val="24"/>
          <w:lang w:eastAsia="zh-CN"/>
        </w:rPr>
        <w:t>2.</w:t>
      </w:r>
      <w:r>
        <w:rPr>
          <w:b w:val="0"/>
          <w:sz w:val="24"/>
          <w:szCs w:val="24"/>
          <w:lang w:eastAsia="zh-CN"/>
        </w:rPr>
        <w:t>4</w:t>
      </w:r>
      <w:r>
        <w:rPr>
          <w:rFonts w:hint="eastAsia"/>
          <w:b w:val="0"/>
          <w:sz w:val="24"/>
          <w:szCs w:val="24"/>
          <w:lang w:eastAsia="zh-CN"/>
        </w:rPr>
        <w:t>达到采购人要求的服务和质量标准。</w:t>
      </w:r>
      <w:bookmarkEnd w:id="7"/>
    </w:p>
    <w:p w14:paraId="5CEAA7F8">
      <w:pPr>
        <w:pStyle w:val="5"/>
        <w:spacing w:line="360" w:lineRule="auto"/>
        <w:jc w:val="both"/>
        <w:outlineLvl w:val="9"/>
        <w:rPr>
          <w:b w:val="0"/>
          <w:sz w:val="24"/>
          <w:szCs w:val="24"/>
          <w:lang w:eastAsia="zh-CN"/>
        </w:rPr>
      </w:pPr>
      <w:bookmarkStart w:id="8" w:name="_Toc1238622912"/>
      <w:r>
        <w:rPr>
          <w:rFonts w:hint="eastAsia"/>
          <w:b w:val="0"/>
          <w:sz w:val="24"/>
          <w:szCs w:val="24"/>
          <w:lang w:eastAsia="zh-CN"/>
        </w:rPr>
        <w:t>2</w:t>
      </w:r>
      <w:r>
        <w:rPr>
          <w:b w:val="0"/>
          <w:sz w:val="24"/>
          <w:szCs w:val="24"/>
          <w:lang w:eastAsia="zh-CN"/>
        </w:rPr>
        <w:t>.5</w:t>
      </w:r>
      <w:r>
        <w:rPr>
          <w:rFonts w:hint="eastAsia"/>
          <w:b w:val="0"/>
          <w:sz w:val="24"/>
          <w:szCs w:val="24"/>
          <w:lang w:eastAsia="zh-CN"/>
        </w:rPr>
        <w:t>所有指标项通过采购人测试验收。</w:t>
      </w:r>
      <w:bookmarkEnd w:id="8"/>
    </w:p>
    <w:p w14:paraId="670736F1">
      <w:pPr>
        <w:spacing w:line="360" w:lineRule="auto"/>
        <w:contextualSpacing/>
        <w:rPr>
          <w:sz w:val="24"/>
          <w:lang w:eastAsia="zh-CN"/>
        </w:rPr>
      </w:pPr>
      <w:r>
        <w:rPr>
          <w:rFonts w:hint="eastAsia"/>
          <w:sz w:val="24"/>
          <w:lang w:eastAsia="zh-CN"/>
        </w:rPr>
        <w:t>3</w:t>
      </w:r>
      <w:r>
        <w:rPr>
          <w:sz w:val="24"/>
          <w:lang w:eastAsia="zh-CN"/>
        </w:rPr>
        <w:t>. 货物技术要求</w:t>
      </w:r>
    </w:p>
    <w:p w14:paraId="62A66F24">
      <w:pPr>
        <w:widowControl/>
        <w:spacing w:line="360" w:lineRule="auto"/>
        <w:contextualSpacing/>
        <w:rPr>
          <w:sz w:val="24"/>
          <w:lang w:eastAsia="zh-CN"/>
        </w:rPr>
      </w:pPr>
      <w:r>
        <w:rPr>
          <w:rFonts w:hint="eastAsia"/>
          <w:sz w:val="24"/>
          <w:lang w:eastAsia="zh-CN"/>
        </w:rPr>
        <w:t>3</w:t>
      </w:r>
      <w:r>
        <w:rPr>
          <w:sz w:val="24"/>
          <w:lang w:eastAsia="zh-CN"/>
        </w:rPr>
        <w:t>.1采购标的需满足的性能、材料、结构、外观、质量、安全、技术规格、物理特性等要求；</w:t>
      </w:r>
    </w:p>
    <w:p w14:paraId="3317B0D8">
      <w:pPr>
        <w:widowControl/>
        <w:spacing w:line="360" w:lineRule="auto"/>
        <w:ind w:firstLine="480" w:firstLineChars="200"/>
        <w:contextualSpacing/>
        <w:rPr>
          <w:sz w:val="24"/>
          <w:lang w:eastAsia="zh-CN"/>
        </w:rPr>
      </w:pPr>
      <w:r>
        <w:rPr>
          <w:rFonts w:hint="eastAsia"/>
          <w:sz w:val="24"/>
          <w:lang w:eastAsia="zh-CN"/>
        </w:rPr>
        <w:t>详见</w:t>
      </w:r>
      <w:r>
        <w:rPr>
          <w:sz w:val="24"/>
          <w:lang w:eastAsia="zh-CN"/>
        </w:rPr>
        <w:t>其他技术、服务等要求</w:t>
      </w:r>
    </w:p>
    <w:p w14:paraId="36D0E382">
      <w:pPr>
        <w:widowControl/>
        <w:spacing w:line="360" w:lineRule="auto"/>
        <w:contextualSpacing/>
        <w:rPr>
          <w:sz w:val="24"/>
          <w:lang w:eastAsia="zh-CN"/>
        </w:rPr>
      </w:pPr>
      <w:r>
        <w:rPr>
          <w:rFonts w:hint="eastAsia"/>
          <w:sz w:val="24"/>
          <w:lang w:eastAsia="zh-CN"/>
        </w:rPr>
        <w:t>3</w:t>
      </w:r>
      <w:r>
        <w:rPr>
          <w:sz w:val="24"/>
          <w:lang w:eastAsia="zh-CN"/>
        </w:rPr>
        <w:t>.2采购标的需满足的服务标准、期限、效率等要求；</w:t>
      </w:r>
    </w:p>
    <w:p w14:paraId="4B1C2D4C">
      <w:pPr>
        <w:widowControl/>
        <w:spacing w:line="360" w:lineRule="auto"/>
        <w:ind w:firstLine="480" w:firstLineChars="200"/>
        <w:contextualSpacing/>
        <w:rPr>
          <w:sz w:val="24"/>
          <w:lang w:eastAsia="zh-CN"/>
        </w:rPr>
      </w:pPr>
      <w:r>
        <w:rPr>
          <w:rFonts w:hint="eastAsia"/>
          <w:sz w:val="24"/>
          <w:lang w:eastAsia="zh-CN"/>
        </w:rPr>
        <w:t>详见</w:t>
      </w:r>
      <w:r>
        <w:rPr>
          <w:sz w:val="24"/>
          <w:lang w:eastAsia="zh-CN"/>
        </w:rPr>
        <w:t>其他技术、服务等要求</w:t>
      </w:r>
    </w:p>
    <w:p w14:paraId="590A70D2">
      <w:pPr>
        <w:tabs>
          <w:tab w:val="left" w:pos="900"/>
        </w:tabs>
        <w:spacing w:before="120" w:beforeLines="50" w:line="360" w:lineRule="auto"/>
        <w:ind w:left="480" w:hanging="480" w:hangingChars="200"/>
        <w:rPr>
          <w:b/>
          <w:bCs/>
          <w:sz w:val="24"/>
          <w:lang w:eastAsia="zh-CN"/>
        </w:rPr>
      </w:pPr>
      <w:r>
        <w:rPr>
          <w:rFonts w:hint="eastAsia"/>
          <w:sz w:val="24"/>
          <w:lang w:eastAsia="zh-CN"/>
        </w:rPr>
        <w:t>3</w:t>
      </w:r>
      <w:r>
        <w:rPr>
          <w:sz w:val="24"/>
          <w:lang w:eastAsia="zh-CN"/>
        </w:rPr>
        <w:t>.3为落实政府采购政策需满足的要求为落实政府采购政策需满足的要求</w:t>
      </w:r>
      <w:r>
        <w:rPr>
          <w:rFonts w:hint="eastAsia"/>
          <w:b/>
          <w:bCs/>
          <w:sz w:val="24"/>
          <w:lang w:eastAsia="zh-CN"/>
        </w:rPr>
        <w:t>（专门面向中小企业采购或预留份额的情况不享受政策优惠扣除）</w:t>
      </w:r>
    </w:p>
    <w:p w14:paraId="3F34C4F4">
      <w:pPr>
        <w:tabs>
          <w:tab w:val="left" w:pos="900"/>
        </w:tabs>
        <w:spacing w:before="120" w:beforeLines="50" w:line="360" w:lineRule="auto"/>
        <w:rPr>
          <w:sz w:val="24"/>
          <w:lang w:eastAsia="zh-CN"/>
        </w:rPr>
      </w:pPr>
      <w:r>
        <w:rPr>
          <w:rFonts w:hint="eastAsia"/>
          <w:sz w:val="24"/>
          <w:lang w:eastAsia="zh-CN"/>
        </w:rPr>
        <w:t>1）促进中小企业发展政策：根据《政府采购促进中小企业发展管理办法》的通知（财库〔</w:t>
      </w:r>
      <w:r>
        <w:rPr>
          <w:sz w:val="24"/>
          <w:lang w:eastAsia="zh-CN"/>
        </w:rPr>
        <w:t>2020</w:t>
      </w:r>
      <w:r>
        <w:rPr>
          <w:rFonts w:hint="eastAsia"/>
          <w:sz w:val="24"/>
          <w:lang w:eastAsia="zh-CN"/>
        </w:rPr>
        <w:t>〕</w:t>
      </w:r>
      <w:r>
        <w:rPr>
          <w:sz w:val="24"/>
          <w:lang w:eastAsia="zh-CN"/>
        </w:rPr>
        <w:t>46</w:t>
      </w:r>
      <w:r>
        <w:rPr>
          <w:rFonts w:hint="eastAsia"/>
          <w:sz w:val="24"/>
          <w:lang w:eastAsia="zh-CN"/>
        </w:rPr>
        <w:t>号）规定，本项目供应商所投产品为中小企业制造或提供服务由中小企业承接的，</w:t>
      </w:r>
      <w:r>
        <w:rPr>
          <w:rFonts w:hint="eastAsia"/>
          <w:b/>
          <w:bCs/>
          <w:sz w:val="24"/>
          <w:lang w:eastAsia="zh-CN"/>
        </w:rPr>
        <w:t>供应商应出具招标文件要求的《中小企业声明函》给予证明，否则评标时不予认可</w:t>
      </w:r>
      <w:r>
        <w:rPr>
          <w:rFonts w:hint="eastAsia"/>
          <w:sz w:val="24"/>
          <w:lang w:eastAsia="zh-CN"/>
        </w:rPr>
        <w:t>。</w:t>
      </w:r>
      <w:r>
        <w:rPr>
          <w:rFonts w:hint="eastAsia"/>
          <w:b/>
          <w:bCs/>
          <w:sz w:val="24"/>
          <w:lang w:eastAsia="zh-CN"/>
        </w:rPr>
        <w:t>供应商应对提交的中小企业声明函的真实性负责，</w:t>
      </w:r>
      <w:r>
        <w:rPr>
          <w:rFonts w:hint="eastAsia"/>
          <w:sz w:val="24"/>
          <w:lang w:eastAsia="zh-CN"/>
        </w:rPr>
        <w:t>提交的中小企业声明函不真实的，应承担相应的法律责任。</w:t>
      </w:r>
    </w:p>
    <w:p w14:paraId="5CD94DCE">
      <w:pPr>
        <w:tabs>
          <w:tab w:val="left" w:pos="900"/>
        </w:tabs>
        <w:spacing w:before="120" w:beforeLines="50" w:line="360" w:lineRule="auto"/>
        <w:rPr>
          <w:sz w:val="24"/>
          <w:lang w:eastAsia="zh-CN"/>
        </w:rPr>
      </w:pPr>
      <w:r>
        <w:rPr>
          <w:rFonts w:hint="eastAsia"/>
          <w:sz w:val="24"/>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7C85D09F">
      <w:pPr>
        <w:tabs>
          <w:tab w:val="left" w:pos="900"/>
        </w:tabs>
        <w:spacing w:before="120" w:beforeLines="50" w:line="360" w:lineRule="auto"/>
        <w:rPr>
          <w:sz w:val="24"/>
          <w:lang w:eastAsia="zh-CN"/>
        </w:rPr>
      </w:pPr>
      <w:r>
        <w:rPr>
          <w:rFonts w:hint="eastAsia"/>
          <w:sz w:val="24"/>
          <w:lang w:eastAsia="zh-CN"/>
        </w:rPr>
        <w:t>3）促进残疾人就业政府采购政策：根据《三部门联合发布关于促进残疾人就业政府采购政策的通知》（财库〔</w:t>
      </w:r>
      <w:r>
        <w:rPr>
          <w:sz w:val="24"/>
          <w:lang w:eastAsia="zh-CN"/>
        </w:rPr>
        <w:t>2017</w:t>
      </w:r>
      <w:r>
        <w:rPr>
          <w:rFonts w:hint="eastAsia"/>
          <w:sz w:val="24"/>
          <w:lang w:eastAsia="zh-CN"/>
        </w:rPr>
        <w:t>〕</w:t>
      </w:r>
      <w:r>
        <w:rPr>
          <w:sz w:val="24"/>
          <w:lang w:eastAsia="zh-CN"/>
        </w:rPr>
        <w:t>141</w:t>
      </w:r>
      <w:r>
        <w:rPr>
          <w:rFonts w:hint="eastAsia"/>
          <w:sz w:val="24"/>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49E0425D">
      <w:pPr>
        <w:tabs>
          <w:tab w:val="left" w:pos="900"/>
        </w:tabs>
        <w:spacing w:before="120" w:beforeLines="50" w:line="360" w:lineRule="auto"/>
        <w:rPr>
          <w:sz w:val="24"/>
          <w:lang w:eastAsia="zh-CN"/>
        </w:rPr>
      </w:pPr>
      <w:r>
        <w:rPr>
          <w:rFonts w:hint="eastAsia"/>
          <w:sz w:val="24"/>
          <w:lang w:eastAsia="zh-CN"/>
        </w:rPr>
        <w:t>4）鼓励节能、环保政策：依据《财政部发展改革委生态环境部市场监管总局关于调整优化节能产品、环境标志产品政府采购执行机制的通知（财库（</w:t>
      </w:r>
      <w:r>
        <w:rPr>
          <w:sz w:val="24"/>
          <w:lang w:eastAsia="zh-CN"/>
        </w:rPr>
        <w:t>2019</w:t>
      </w:r>
      <w:r>
        <w:rPr>
          <w:rFonts w:hint="eastAsia"/>
          <w:sz w:val="24"/>
          <w:lang w:eastAsia="zh-CN"/>
        </w:rPr>
        <w:t>）</w:t>
      </w:r>
      <w:r>
        <w:rPr>
          <w:sz w:val="24"/>
          <w:lang w:eastAsia="zh-CN"/>
        </w:rPr>
        <w:t>9</w:t>
      </w:r>
      <w:r>
        <w:rPr>
          <w:rFonts w:hint="eastAsia"/>
          <w:sz w:val="24"/>
          <w:lang w:eastAsia="zh-CN"/>
        </w:rPr>
        <w:t>号）》执行。</w:t>
      </w:r>
    </w:p>
    <w:p w14:paraId="45EE0DDF">
      <w:pPr>
        <w:autoSpaceDE/>
        <w:autoSpaceDN/>
        <w:spacing w:line="360" w:lineRule="auto"/>
        <w:rPr>
          <w:sz w:val="24"/>
          <w:lang w:eastAsia="zh-CN"/>
        </w:rPr>
      </w:pPr>
      <w:r>
        <w:rPr>
          <w:rFonts w:hint="eastAsia"/>
          <w:sz w:val="24"/>
          <w:lang w:eastAsia="zh-CN"/>
        </w:rPr>
        <w:t>3.4采购标的的其他技术、服务等要求；</w:t>
      </w:r>
    </w:p>
    <w:p w14:paraId="3D897E54">
      <w:pPr>
        <w:pStyle w:val="8"/>
        <w:spacing w:line="360" w:lineRule="auto"/>
        <w:ind w:firstLine="480"/>
        <w:rPr>
          <w:rFonts w:eastAsia="仿宋"/>
          <w:sz w:val="24"/>
          <w:lang w:eastAsia="zh-CN"/>
        </w:rPr>
      </w:pPr>
      <w:r>
        <w:rPr>
          <w:rFonts w:hint="eastAsia"/>
          <w:sz w:val="24"/>
        </w:rPr>
        <w:t>1.分布式存储</w:t>
      </w:r>
      <w:r>
        <w:rPr>
          <w:rFonts w:hint="eastAsia"/>
          <w:sz w:val="24"/>
          <w:lang w:eastAsia="zh-CN"/>
        </w:rPr>
        <w:t xml:space="preserve">  </w:t>
      </w:r>
    </w:p>
    <w:tbl>
      <w:tblPr>
        <w:tblStyle w:val="6"/>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13"/>
        <w:gridCol w:w="862"/>
        <w:gridCol w:w="5796"/>
        <w:gridCol w:w="1201"/>
      </w:tblGrid>
      <w:tr w14:paraId="411E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1" w:type="dxa"/>
            <w:vAlign w:val="center"/>
          </w:tcPr>
          <w:p w14:paraId="07615ED2">
            <w:pPr>
              <w:jc w:val="center"/>
              <w:textAlignment w:val="top"/>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lang w:bidi="ar"/>
              </w:rPr>
              <w:t>序号</w:t>
            </w:r>
          </w:p>
        </w:tc>
        <w:tc>
          <w:tcPr>
            <w:tcW w:w="713" w:type="dxa"/>
            <w:vAlign w:val="center"/>
          </w:tcPr>
          <w:p w14:paraId="56748F58">
            <w:pPr>
              <w:jc w:val="center"/>
              <w:textAlignment w:val="top"/>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lang w:bidi="ar"/>
              </w:rPr>
              <w:t>重要性</w:t>
            </w:r>
          </w:p>
        </w:tc>
        <w:tc>
          <w:tcPr>
            <w:tcW w:w="862" w:type="dxa"/>
            <w:vAlign w:val="center"/>
          </w:tcPr>
          <w:p w14:paraId="3507A969">
            <w:pPr>
              <w:jc w:val="center"/>
              <w:textAlignment w:val="top"/>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lang w:bidi="ar"/>
              </w:rPr>
              <w:t>指标项目</w:t>
            </w:r>
          </w:p>
        </w:tc>
        <w:tc>
          <w:tcPr>
            <w:tcW w:w="5796" w:type="dxa"/>
            <w:vAlign w:val="center"/>
          </w:tcPr>
          <w:p w14:paraId="4DAFDE8A">
            <w:pPr>
              <w:jc w:val="center"/>
              <w:textAlignment w:val="top"/>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lang w:bidi="ar"/>
              </w:rPr>
              <w:t>指标要求</w:t>
            </w:r>
          </w:p>
        </w:tc>
        <w:tc>
          <w:tcPr>
            <w:tcW w:w="1201" w:type="dxa"/>
            <w:vAlign w:val="center"/>
          </w:tcPr>
          <w:p w14:paraId="20B01CCC">
            <w:pPr>
              <w:jc w:val="center"/>
              <w:textAlignment w:val="top"/>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lang w:bidi="ar"/>
              </w:rPr>
              <w:t>证明材料要求</w:t>
            </w:r>
          </w:p>
        </w:tc>
      </w:tr>
      <w:tr w14:paraId="1A89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81" w:type="dxa"/>
            <w:vAlign w:val="center"/>
          </w:tcPr>
          <w:p w14:paraId="449A4295">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1</w:t>
            </w:r>
          </w:p>
        </w:tc>
        <w:tc>
          <w:tcPr>
            <w:tcW w:w="713" w:type="dxa"/>
            <w:vAlign w:val="center"/>
          </w:tcPr>
          <w:p w14:paraId="13BF20F1">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w:t>
            </w:r>
          </w:p>
        </w:tc>
        <w:tc>
          <w:tcPr>
            <w:tcW w:w="862" w:type="dxa"/>
            <w:vAlign w:val="center"/>
          </w:tcPr>
          <w:p w14:paraId="51409D16">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架构</w:t>
            </w:r>
          </w:p>
        </w:tc>
        <w:tc>
          <w:tcPr>
            <w:tcW w:w="5796" w:type="dxa"/>
            <w:vAlign w:val="center"/>
          </w:tcPr>
          <w:p w14:paraId="017C4EDF">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全冗余架构，采用分布式全对称集群模式，集群内所有节点成员角色平等，没有单独的元数据服务节点。</w:t>
            </w:r>
          </w:p>
        </w:tc>
        <w:tc>
          <w:tcPr>
            <w:tcW w:w="1201" w:type="dxa"/>
            <w:vAlign w:val="center"/>
          </w:tcPr>
          <w:p w14:paraId="5B4E4A56">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否</w:t>
            </w:r>
          </w:p>
        </w:tc>
      </w:tr>
      <w:tr w14:paraId="22EE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1" w:type="dxa"/>
            <w:vAlign w:val="center"/>
          </w:tcPr>
          <w:p w14:paraId="384A9FF2">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2</w:t>
            </w:r>
          </w:p>
        </w:tc>
        <w:tc>
          <w:tcPr>
            <w:tcW w:w="713" w:type="dxa"/>
            <w:vAlign w:val="center"/>
          </w:tcPr>
          <w:p w14:paraId="1B5C069E">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w:t>
            </w:r>
          </w:p>
        </w:tc>
        <w:tc>
          <w:tcPr>
            <w:tcW w:w="862" w:type="dxa"/>
            <w:vAlign w:val="center"/>
          </w:tcPr>
          <w:p w14:paraId="1BBC0820">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产品要求</w:t>
            </w:r>
          </w:p>
        </w:tc>
        <w:tc>
          <w:tcPr>
            <w:tcW w:w="5796" w:type="dxa"/>
            <w:vAlign w:val="center"/>
          </w:tcPr>
          <w:p w14:paraId="1B8F46CC">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投标产品拥有完全的自主知识产权，提供软件著作权登记证书。</w:t>
            </w:r>
          </w:p>
        </w:tc>
        <w:tc>
          <w:tcPr>
            <w:tcW w:w="1201" w:type="dxa"/>
            <w:vAlign w:val="center"/>
          </w:tcPr>
          <w:p w14:paraId="50C4CA39">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是</w:t>
            </w:r>
          </w:p>
        </w:tc>
      </w:tr>
      <w:tr w14:paraId="1344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581" w:type="dxa"/>
            <w:vAlign w:val="center"/>
          </w:tcPr>
          <w:p w14:paraId="58E60947">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3</w:t>
            </w:r>
          </w:p>
        </w:tc>
        <w:tc>
          <w:tcPr>
            <w:tcW w:w="713" w:type="dxa"/>
            <w:vAlign w:val="center"/>
          </w:tcPr>
          <w:p w14:paraId="61372F15">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w:t>
            </w:r>
          </w:p>
        </w:tc>
        <w:tc>
          <w:tcPr>
            <w:tcW w:w="862" w:type="dxa"/>
            <w:vAlign w:val="center"/>
          </w:tcPr>
          <w:p w14:paraId="13996666">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硬件配置</w:t>
            </w:r>
          </w:p>
        </w:tc>
        <w:tc>
          <w:tcPr>
            <w:tcW w:w="5796" w:type="dxa"/>
            <w:vAlign w:val="center"/>
          </w:tcPr>
          <w:p w14:paraId="2D79801A">
            <w:pPr>
              <w:textAlignment w:val="center"/>
              <w:rPr>
                <w:rFonts w:asciiTheme="minorEastAsia" w:hAnsiTheme="minorEastAsia" w:eastAsiaTheme="minorEastAsia" w:cstheme="minorEastAsia"/>
                <w:lang w:eastAsia="zh-CN"/>
              </w:rPr>
            </w:pPr>
            <w:r>
              <w:rPr>
                <w:rStyle w:val="11"/>
                <w:rFonts w:hint="default" w:asciiTheme="minorEastAsia" w:hAnsiTheme="minorEastAsia" w:eastAsiaTheme="minorEastAsia" w:cstheme="minorEastAsia"/>
                <w:sz w:val="24"/>
                <w:szCs w:val="24"/>
                <w:lang w:eastAsia="zh-CN" w:bidi="ar"/>
              </w:rPr>
              <w:t>节点数量：≥3台；每节点内存≥256GB；每节点≥2颗处理器，支持精简指令集；单颗处理器核心数≥48，主频≥2.5GHz；每节点配置不少于2块NVME SSD闪存盘作为缓存盘，单盘容量≥3.2TB；</w:t>
            </w:r>
            <w:r>
              <w:rPr>
                <w:rFonts w:hint="eastAsia" w:asciiTheme="minorEastAsia" w:hAnsiTheme="minorEastAsia" w:eastAsiaTheme="minorEastAsia" w:cstheme="minorEastAsia"/>
                <w:sz w:val="24"/>
                <w:szCs w:val="24"/>
                <w:lang w:eastAsia="zh-CN" w:bidi="ar"/>
              </w:rPr>
              <w:t>每节点配置不少于50块SATA（或者NLSAS）硬盘作为数据盘，单盘容量≥16TB；本套存储整体提供可用容量≥1.35PB；每节点配置不少于4*25GE光口。</w:t>
            </w:r>
          </w:p>
        </w:tc>
        <w:tc>
          <w:tcPr>
            <w:tcW w:w="1201" w:type="dxa"/>
            <w:vAlign w:val="center"/>
          </w:tcPr>
          <w:p w14:paraId="71C8C945">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否</w:t>
            </w:r>
          </w:p>
        </w:tc>
      </w:tr>
      <w:tr w14:paraId="0C30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1" w:type="dxa"/>
            <w:vAlign w:val="center"/>
          </w:tcPr>
          <w:p w14:paraId="3C94F109">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4</w:t>
            </w:r>
          </w:p>
        </w:tc>
        <w:tc>
          <w:tcPr>
            <w:tcW w:w="713" w:type="dxa"/>
            <w:vAlign w:val="center"/>
          </w:tcPr>
          <w:p w14:paraId="24A72753">
            <w:pPr>
              <w:jc w:val="center"/>
              <w:rPr>
                <w:rFonts w:asciiTheme="minorEastAsia" w:hAnsiTheme="minorEastAsia" w:eastAsiaTheme="minorEastAsia" w:cstheme="minorEastAsia"/>
              </w:rPr>
            </w:pPr>
          </w:p>
        </w:tc>
        <w:tc>
          <w:tcPr>
            <w:tcW w:w="862" w:type="dxa"/>
            <w:vAlign w:val="center"/>
          </w:tcPr>
          <w:p w14:paraId="6631159C">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业务网络</w:t>
            </w:r>
          </w:p>
        </w:tc>
        <w:tc>
          <w:tcPr>
            <w:tcW w:w="5796" w:type="dxa"/>
            <w:vAlign w:val="center"/>
          </w:tcPr>
          <w:p w14:paraId="1A8461BF">
            <w:pP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eastAsia="zh-CN" w:bidi="ar"/>
              </w:rPr>
              <w:t>至少</w:t>
            </w:r>
            <w:r>
              <w:rPr>
                <w:rFonts w:hint="eastAsia" w:asciiTheme="minorEastAsia" w:hAnsiTheme="minorEastAsia" w:eastAsiaTheme="minorEastAsia" w:cstheme="minorEastAsia"/>
                <w:sz w:val="24"/>
                <w:szCs w:val="24"/>
                <w:lang w:bidi="ar"/>
              </w:rPr>
              <w:t>支持10GE、25GE、100GE TCP/IP；</w:t>
            </w:r>
            <w:r>
              <w:rPr>
                <w:rFonts w:hint="eastAsia" w:asciiTheme="minorEastAsia" w:hAnsiTheme="minorEastAsia" w:eastAsiaTheme="minorEastAsia" w:cstheme="minorEastAsia"/>
                <w:sz w:val="24"/>
                <w:szCs w:val="24"/>
                <w:lang w:eastAsia="zh-CN" w:bidi="ar"/>
              </w:rPr>
              <w:t>至少</w:t>
            </w:r>
            <w:r>
              <w:rPr>
                <w:rFonts w:hint="eastAsia" w:asciiTheme="minorEastAsia" w:hAnsiTheme="minorEastAsia" w:eastAsiaTheme="minorEastAsia" w:cstheme="minorEastAsia"/>
                <w:sz w:val="24"/>
                <w:szCs w:val="24"/>
                <w:lang w:bidi="ar"/>
              </w:rPr>
              <w:t>支持25GE、100GE RoCE。</w:t>
            </w:r>
          </w:p>
        </w:tc>
        <w:tc>
          <w:tcPr>
            <w:tcW w:w="1201" w:type="dxa"/>
            <w:vAlign w:val="center"/>
          </w:tcPr>
          <w:p w14:paraId="763AD35D">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否</w:t>
            </w:r>
          </w:p>
        </w:tc>
      </w:tr>
      <w:tr w14:paraId="32A2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1" w:type="dxa"/>
            <w:vAlign w:val="center"/>
          </w:tcPr>
          <w:p w14:paraId="0F790064">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5</w:t>
            </w:r>
          </w:p>
        </w:tc>
        <w:tc>
          <w:tcPr>
            <w:tcW w:w="713" w:type="dxa"/>
            <w:vAlign w:val="center"/>
          </w:tcPr>
          <w:p w14:paraId="56F19991">
            <w:pPr>
              <w:jc w:val="center"/>
              <w:rPr>
                <w:rFonts w:asciiTheme="minorEastAsia" w:hAnsiTheme="minorEastAsia" w:eastAsiaTheme="minorEastAsia" w:cstheme="minorEastAsia"/>
              </w:rPr>
            </w:pPr>
          </w:p>
        </w:tc>
        <w:tc>
          <w:tcPr>
            <w:tcW w:w="862" w:type="dxa"/>
            <w:vAlign w:val="center"/>
          </w:tcPr>
          <w:p w14:paraId="38419617">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扩展能力</w:t>
            </w:r>
          </w:p>
        </w:tc>
        <w:tc>
          <w:tcPr>
            <w:tcW w:w="5796" w:type="dxa"/>
            <w:vAlign w:val="center"/>
          </w:tcPr>
          <w:p w14:paraId="010786CF">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节点数量可以在线动态扩展，容量与性能随着扩展同步增加；支持节点扩展数≥240个。</w:t>
            </w:r>
          </w:p>
        </w:tc>
        <w:tc>
          <w:tcPr>
            <w:tcW w:w="1201" w:type="dxa"/>
            <w:vAlign w:val="center"/>
          </w:tcPr>
          <w:p w14:paraId="5411C336">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否</w:t>
            </w:r>
          </w:p>
        </w:tc>
      </w:tr>
      <w:tr w14:paraId="0908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1" w:type="dxa"/>
            <w:vAlign w:val="center"/>
          </w:tcPr>
          <w:p w14:paraId="1FFBA2E5">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6</w:t>
            </w:r>
          </w:p>
        </w:tc>
        <w:tc>
          <w:tcPr>
            <w:tcW w:w="713" w:type="dxa"/>
            <w:vAlign w:val="center"/>
          </w:tcPr>
          <w:p w14:paraId="2F8D2F2A">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w:t>
            </w:r>
          </w:p>
        </w:tc>
        <w:tc>
          <w:tcPr>
            <w:tcW w:w="862" w:type="dxa"/>
            <w:vAlign w:val="center"/>
          </w:tcPr>
          <w:p w14:paraId="163330EE">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数据保护</w:t>
            </w:r>
          </w:p>
        </w:tc>
        <w:tc>
          <w:tcPr>
            <w:tcW w:w="5796" w:type="dxa"/>
            <w:vAlign w:val="center"/>
          </w:tcPr>
          <w:p w14:paraId="071B299B">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支持2副本/3副本、EC的数据保护模式，且支持+2/+3/+4灵活EC配比；支持22+2的大比例EC配比；提供具有CMA或是CNAS标识的第三方测试报告。</w:t>
            </w:r>
          </w:p>
        </w:tc>
        <w:tc>
          <w:tcPr>
            <w:tcW w:w="1201" w:type="dxa"/>
            <w:vAlign w:val="center"/>
          </w:tcPr>
          <w:p w14:paraId="4CF813F1">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是</w:t>
            </w:r>
          </w:p>
        </w:tc>
      </w:tr>
      <w:tr w14:paraId="24C3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1" w:type="dxa"/>
            <w:vAlign w:val="center"/>
          </w:tcPr>
          <w:p w14:paraId="0ADA5D95">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7</w:t>
            </w:r>
          </w:p>
        </w:tc>
        <w:tc>
          <w:tcPr>
            <w:tcW w:w="713" w:type="dxa"/>
            <w:vAlign w:val="center"/>
          </w:tcPr>
          <w:p w14:paraId="0ACA276B">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w:t>
            </w:r>
          </w:p>
        </w:tc>
        <w:tc>
          <w:tcPr>
            <w:tcW w:w="862" w:type="dxa"/>
            <w:vAlign w:val="center"/>
          </w:tcPr>
          <w:p w14:paraId="42F6A824">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冗余保护</w:t>
            </w:r>
          </w:p>
        </w:tc>
        <w:tc>
          <w:tcPr>
            <w:tcW w:w="5796" w:type="dxa"/>
            <w:vAlign w:val="center"/>
          </w:tcPr>
          <w:p w14:paraId="6527C08B">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支持跨节点纠删码及多副本保护技术；跨节点纠删码保护技术最大可支持N+4 保护级别，支持动态EC，当节点故障时，自动调整EC配比，确保新数据可靠性不降级。提供具有CMA或是CNAS标识的第三方测试报告。</w:t>
            </w:r>
          </w:p>
        </w:tc>
        <w:tc>
          <w:tcPr>
            <w:tcW w:w="1201" w:type="dxa"/>
            <w:vAlign w:val="center"/>
          </w:tcPr>
          <w:p w14:paraId="42316638">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是</w:t>
            </w:r>
          </w:p>
        </w:tc>
      </w:tr>
      <w:tr w14:paraId="0755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81" w:type="dxa"/>
            <w:vAlign w:val="center"/>
          </w:tcPr>
          <w:p w14:paraId="03C7D486">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8</w:t>
            </w:r>
          </w:p>
        </w:tc>
        <w:tc>
          <w:tcPr>
            <w:tcW w:w="713" w:type="dxa"/>
            <w:vAlign w:val="center"/>
          </w:tcPr>
          <w:p w14:paraId="2D6CAAB8">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w:t>
            </w:r>
          </w:p>
        </w:tc>
        <w:tc>
          <w:tcPr>
            <w:tcW w:w="862" w:type="dxa"/>
            <w:vAlign w:val="center"/>
          </w:tcPr>
          <w:p w14:paraId="6BEE24D9">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协议支持</w:t>
            </w:r>
          </w:p>
        </w:tc>
        <w:tc>
          <w:tcPr>
            <w:tcW w:w="5796" w:type="dxa"/>
            <w:vAlign w:val="center"/>
          </w:tcPr>
          <w:p w14:paraId="492E165B">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一套存储可至少支持NFS/CIFS/HDFS/S3/FTP/FTPS多种访问协议，无需配置独立的网关节点；提供具有CMA或是CNAS标识的第三方测试报告。</w:t>
            </w:r>
          </w:p>
        </w:tc>
        <w:tc>
          <w:tcPr>
            <w:tcW w:w="1201" w:type="dxa"/>
            <w:vAlign w:val="center"/>
          </w:tcPr>
          <w:p w14:paraId="7B4D7062">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是</w:t>
            </w:r>
          </w:p>
        </w:tc>
      </w:tr>
      <w:tr w14:paraId="28E8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1" w:type="dxa"/>
            <w:vAlign w:val="center"/>
          </w:tcPr>
          <w:p w14:paraId="313AF1AC">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9</w:t>
            </w:r>
          </w:p>
        </w:tc>
        <w:tc>
          <w:tcPr>
            <w:tcW w:w="713" w:type="dxa"/>
            <w:vAlign w:val="center"/>
          </w:tcPr>
          <w:p w14:paraId="4E9358A0">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w:t>
            </w:r>
          </w:p>
        </w:tc>
        <w:tc>
          <w:tcPr>
            <w:tcW w:w="862" w:type="dxa"/>
            <w:vAlign w:val="center"/>
          </w:tcPr>
          <w:p w14:paraId="52DA1DE6">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多租户</w:t>
            </w:r>
          </w:p>
        </w:tc>
        <w:tc>
          <w:tcPr>
            <w:tcW w:w="5796" w:type="dxa"/>
            <w:vAlign w:val="center"/>
          </w:tcPr>
          <w:p w14:paraId="3910EDC1">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支持多个租户，每个租户可以在web界面上配置不同业务网络VLAN实现业务网络隔离，可基于租户设置域控、协议类型、Qos,支持以租户为粒度进行元数据检索和审计日志查询。</w:t>
            </w:r>
          </w:p>
        </w:tc>
        <w:tc>
          <w:tcPr>
            <w:tcW w:w="1201" w:type="dxa"/>
            <w:vAlign w:val="center"/>
          </w:tcPr>
          <w:p w14:paraId="0BA16B54">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是</w:t>
            </w:r>
          </w:p>
        </w:tc>
      </w:tr>
      <w:tr w14:paraId="5F43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81" w:type="dxa"/>
            <w:vAlign w:val="center"/>
          </w:tcPr>
          <w:p w14:paraId="2CB3BB2A">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10</w:t>
            </w:r>
          </w:p>
        </w:tc>
        <w:tc>
          <w:tcPr>
            <w:tcW w:w="713" w:type="dxa"/>
            <w:vAlign w:val="center"/>
          </w:tcPr>
          <w:p w14:paraId="3FF3CC51">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w:t>
            </w:r>
          </w:p>
        </w:tc>
        <w:tc>
          <w:tcPr>
            <w:tcW w:w="862" w:type="dxa"/>
            <w:vAlign w:val="center"/>
          </w:tcPr>
          <w:p w14:paraId="7CB388F0">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数据分级</w:t>
            </w:r>
          </w:p>
        </w:tc>
        <w:tc>
          <w:tcPr>
            <w:tcW w:w="5796" w:type="dxa"/>
            <w:vAlign w:val="center"/>
          </w:tcPr>
          <w:p w14:paraId="54949887">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支持基于文件属性的文件池策略，使得数据可以根据存储策略在不同的硬盘池之间自动迁移，从而在保证高性能的同时，更合理的使用存储空间。</w:t>
            </w:r>
          </w:p>
        </w:tc>
        <w:tc>
          <w:tcPr>
            <w:tcW w:w="1201" w:type="dxa"/>
            <w:vAlign w:val="center"/>
          </w:tcPr>
          <w:p w14:paraId="75552388">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是</w:t>
            </w:r>
          </w:p>
        </w:tc>
      </w:tr>
      <w:tr w14:paraId="3121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81" w:type="dxa"/>
            <w:vAlign w:val="center"/>
          </w:tcPr>
          <w:p w14:paraId="769EF16A">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11</w:t>
            </w:r>
          </w:p>
        </w:tc>
        <w:tc>
          <w:tcPr>
            <w:tcW w:w="713" w:type="dxa"/>
            <w:vAlign w:val="center"/>
          </w:tcPr>
          <w:p w14:paraId="22369634">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w:t>
            </w:r>
          </w:p>
        </w:tc>
        <w:tc>
          <w:tcPr>
            <w:tcW w:w="862" w:type="dxa"/>
            <w:vAlign w:val="center"/>
          </w:tcPr>
          <w:p w14:paraId="08C35095">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私有客户端</w:t>
            </w:r>
          </w:p>
        </w:tc>
        <w:tc>
          <w:tcPr>
            <w:tcW w:w="5796" w:type="dxa"/>
            <w:vAlign w:val="center"/>
          </w:tcPr>
          <w:p w14:paraId="2D2920E8">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支持私有并行客户端，支持MPI-IO，至少兼容OpenMPI、MPICH2，提高单节点数据访问效率。</w:t>
            </w:r>
          </w:p>
        </w:tc>
        <w:tc>
          <w:tcPr>
            <w:tcW w:w="1201" w:type="dxa"/>
            <w:vAlign w:val="center"/>
          </w:tcPr>
          <w:p w14:paraId="750BC60B">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是</w:t>
            </w:r>
          </w:p>
        </w:tc>
      </w:tr>
      <w:tr w14:paraId="3F94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81" w:type="dxa"/>
            <w:vAlign w:val="center"/>
          </w:tcPr>
          <w:p w14:paraId="303DEE01">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12</w:t>
            </w:r>
          </w:p>
        </w:tc>
        <w:tc>
          <w:tcPr>
            <w:tcW w:w="713" w:type="dxa"/>
            <w:vAlign w:val="center"/>
          </w:tcPr>
          <w:p w14:paraId="28CD0E81">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w:t>
            </w:r>
          </w:p>
        </w:tc>
        <w:tc>
          <w:tcPr>
            <w:tcW w:w="862" w:type="dxa"/>
            <w:vAlign w:val="center"/>
          </w:tcPr>
          <w:p w14:paraId="12BCA399">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Qos</w:t>
            </w:r>
          </w:p>
        </w:tc>
        <w:tc>
          <w:tcPr>
            <w:tcW w:w="5796" w:type="dxa"/>
            <w:vAlign w:val="center"/>
          </w:tcPr>
          <w:p w14:paraId="56807A1B">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支持Qos功能，多服务共享一份Qos资源，可限定带宽和IOPS上限，可控制最大链接数、最大打开文件数、最大锁数量。</w:t>
            </w:r>
          </w:p>
        </w:tc>
        <w:tc>
          <w:tcPr>
            <w:tcW w:w="1201" w:type="dxa"/>
            <w:vAlign w:val="center"/>
          </w:tcPr>
          <w:p w14:paraId="1F4B08D3">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是</w:t>
            </w:r>
          </w:p>
        </w:tc>
      </w:tr>
      <w:tr w14:paraId="78CD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1" w:type="dxa"/>
            <w:vAlign w:val="center"/>
          </w:tcPr>
          <w:p w14:paraId="288C2E73">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13</w:t>
            </w:r>
          </w:p>
        </w:tc>
        <w:tc>
          <w:tcPr>
            <w:tcW w:w="713" w:type="dxa"/>
            <w:vAlign w:val="center"/>
          </w:tcPr>
          <w:p w14:paraId="263D7E79">
            <w:pPr>
              <w:jc w:val="center"/>
              <w:rPr>
                <w:rFonts w:asciiTheme="minorEastAsia" w:hAnsiTheme="minorEastAsia" w:eastAsiaTheme="minorEastAsia" w:cstheme="minorEastAsia"/>
              </w:rPr>
            </w:pPr>
          </w:p>
        </w:tc>
        <w:tc>
          <w:tcPr>
            <w:tcW w:w="862" w:type="dxa"/>
            <w:vAlign w:val="center"/>
          </w:tcPr>
          <w:p w14:paraId="022324F4">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全局缓存</w:t>
            </w:r>
          </w:p>
        </w:tc>
        <w:tc>
          <w:tcPr>
            <w:tcW w:w="5796" w:type="dxa"/>
            <w:vAlign w:val="center"/>
          </w:tcPr>
          <w:p w14:paraId="4023C18F">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提供系统支持全局缓存，提高存储访问效率。</w:t>
            </w:r>
          </w:p>
        </w:tc>
        <w:tc>
          <w:tcPr>
            <w:tcW w:w="1201" w:type="dxa"/>
            <w:vAlign w:val="center"/>
          </w:tcPr>
          <w:p w14:paraId="50800DE4">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否</w:t>
            </w:r>
          </w:p>
        </w:tc>
      </w:tr>
      <w:tr w14:paraId="1C95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1" w:type="dxa"/>
            <w:vAlign w:val="center"/>
          </w:tcPr>
          <w:p w14:paraId="5ADEB397">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14</w:t>
            </w:r>
          </w:p>
        </w:tc>
        <w:tc>
          <w:tcPr>
            <w:tcW w:w="713" w:type="dxa"/>
            <w:vAlign w:val="center"/>
          </w:tcPr>
          <w:p w14:paraId="06B0D70F">
            <w:pPr>
              <w:jc w:val="center"/>
              <w:rPr>
                <w:rFonts w:asciiTheme="minorEastAsia" w:hAnsiTheme="minorEastAsia" w:eastAsiaTheme="minorEastAsia" w:cstheme="minorEastAsia"/>
              </w:rPr>
            </w:pPr>
          </w:p>
        </w:tc>
        <w:tc>
          <w:tcPr>
            <w:tcW w:w="862" w:type="dxa"/>
            <w:vAlign w:val="center"/>
          </w:tcPr>
          <w:p w14:paraId="02E18DBF">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IPV6 支持</w:t>
            </w:r>
          </w:p>
        </w:tc>
        <w:tc>
          <w:tcPr>
            <w:tcW w:w="5796" w:type="dxa"/>
            <w:vAlign w:val="center"/>
          </w:tcPr>
          <w:p w14:paraId="024FF482">
            <w:pP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支持IPV6网络接入</w:t>
            </w:r>
          </w:p>
        </w:tc>
        <w:tc>
          <w:tcPr>
            <w:tcW w:w="1201" w:type="dxa"/>
            <w:vAlign w:val="center"/>
          </w:tcPr>
          <w:p w14:paraId="18C2B976">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否</w:t>
            </w:r>
          </w:p>
        </w:tc>
      </w:tr>
      <w:tr w14:paraId="50F8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81" w:type="dxa"/>
            <w:vAlign w:val="center"/>
          </w:tcPr>
          <w:p w14:paraId="4D745EB4">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15</w:t>
            </w:r>
          </w:p>
        </w:tc>
        <w:tc>
          <w:tcPr>
            <w:tcW w:w="713" w:type="dxa"/>
            <w:vAlign w:val="center"/>
          </w:tcPr>
          <w:p w14:paraId="1A16835F">
            <w:pPr>
              <w:jc w:val="center"/>
              <w:rPr>
                <w:rFonts w:asciiTheme="minorEastAsia" w:hAnsiTheme="minorEastAsia" w:eastAsiaTheme="minorEastAsia" w:cstheme="minorEastAsia"/>
              </w:rPr>
            </w:pPr>
          </w:p>
        </w:tc>
        <w:tc>
          <w:tcPr>
            <w:tcW w:w="862" w:type="dxa"/>
            <w:vAlign w:val="center"/>
          </w:tcPr>
          <w:p w14:paraId="64CB3CBE">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亚健康检测</w:t>
            </w:r>
          </w:p>
        </w:tc>
        <w:tc>
          <w:tcPr>
            <w:tcW w:w="5796" w:type="dxa"/>
            <w:vAlign w:val="center"/>
          </w:tcPr>
          <w:p w14:paraId="250EF211">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支持检测磁盘信息，支持慢盘检测，并在磁盘损坏前进行隔离并告警。</w:t>
            </w:r>
          </w:p>
        </w:tc>
        <w:tc>
          <w:tcPr>
            <w:tcW w:w="1201" w:type="dxa"/>
            <w:vAlign w:val="center"/>
          </w:tcPr>
          <w:p w14:paraId="79C0527B">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否</w:t>
            </w:r>
          </w:p>
        </w:tc>
      </w:tr>
      <w:tr w14:paraId="46EB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81" w:type="dxa"/>
            <w:vAlign w:val="center"/>
          </w:tcPr>
          <w:p w14:paraId="025AF3D7">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16</w:t>
            </w:r>
          </w:p>
        </w:tc>
        <w:tc>
          <w:tcPr>
            <w:tcW w:w="713" w:type="dxa"/>
            <w:vAlign w:val="center"/>
          </w:tcPr>
          <w:p w14:paraId="2889B064">
            <w:pPr>
              <w:jc w:val="center"/>
              <w:rPr>
                <w:rFonts w:asciiTheme="minorEastAsia" w:hAnsiTheme="minorEastAsia" w:eastAsiaTheme="minorEastAsia" w:cstheme="minorEastAsia"/>
              </w:rPr>
            </w:pPr>
          </w:p>
        </w:tc>
        <w:tc>
          <w:tcPr>
            <w:tcW w:w="862" w:type="dxa"/>
            <w:vAlign w:val="center"/>
          </w:tcPr>
          <w:p w14:paraId="13F34B27">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网络健康检测</w:t>
            </w:r>
          </w:p>
        </w:tc>
        <w:tc>
          <w:tcPr>
            <w:tcW w:w="5796" w:type="dxa"/>
            <w:vAlign w:val="center"/>
          </w:tcPr>
          <w:p w14:paraId="513DB957">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支持针对存储节点的网络出现丢包、错包、网络时延大、网口协商降速、网口故障故障现象可提供故障告警并隔离。</w:t>
            </w:r>
          </w:p>
        </w:tc>
        <w:tc>
          <w:tcPr>
            <w:tcW w:w="1201" w:type="dxa"/>
            <w:vAlign w:val="center"/>
          </w:tcPr>
          <w:p w14:paraId="58D4BF1E">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否</w:t>
            </w:r>
          </w:p>
        </w:tc>
      </w:tr>
      <w:tr w14:paraId="28A5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1" w:type="dxa"/>
            <w:vAlign w:val="center"/>
          </w:tcPr>
          <w:p w14:paraId="77B8EE4C">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17</w:t>
            </w:r>
          </w:p>
        </w:tc>
        <w:tc>
          <w:tcPr>
            <w:tcW w:w="713" w:type="dxa"/>
            <w:vAlign w:val="center"/>
          </w:tcPr>
          <w:p w14:paraId="426BA854">
            <w:pPr>
              <w:jc w:val="center"/>
              <w:rPr>
                <w:rFonts w:asciiTheme="minorEastAsia" w:hAnsiTheme="minorEastAsia" w:eastAsiaTheme="minorEastAsia" w:cstheme="minorEastAsia"/>
              </w:rPr>
            </w:pPr>
          </w:p>
        </w:tc>
        <w:tc>
          <w:tcPr>
            <w:tcW w:w="862" w:type="dxa"/>
            <w:vAlign w:val="center"/>
          </w:tcPr>
          <w:p w14:paraId="0E60E26A">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智能运维</w:t>
            </w:r>
          </w:p>
        </w:tc>
        <w:tc>
          <w:tcPr>
            <w:tcW w:w="5796" w:type="dxa"/>
            <w:vAlign w:val="center"/>
          </w:tcPr>
          <w:p w14:paraId="73751CB6">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支持自动识别故障部件，智能预测风险，生成修复建议。</w:t>
            </w:r>
          </w:p>
        </w:tc>
        <w:tc>
          <w:tcPr>
            <w:tcW w:w="1201" w:type="dxa"/>
            <w:vAlign w:val="center"/>
          </w:tcPr>
          <w:p w14:paraId="4CC594FC">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否</w:t>
            </w:r>
          </w:p>
        </w:tc>
      </w:tr>
      <w:tr w14:paraId="76E5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81" w:type="dxa"/>
            <w:vAlign w:val="center"/>
          </w:tcPr>
          <w:p w14:paraId="3A5F6AE9">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18</w:t>
            </w:r>
          </w:p>
        </w:tc>
        <w:tc>
          <w:tcPr>
            <w:tcW w:w="713" w:type="dxa"/>
            <w:vAlign w:val="center"/>
          </w:tcPr>
          <w:p w14:paraId="0F24218F">
            <w:pPr>
              <w:jc w:val="center"/>
              <w:rPr>
                <w:rFonts w:asciiTheme="minorEastAsia" w:hAnsiTheme="minorEastAsia" w:eastAsiaTheme="minorEastAsia" w:cstheme="minorEastAsia"/>
              </w:rPr>
            </w:pPr>
          </w:p>
        </w:tc>
        <w:tc>
          <w:tcPr>
            <w:tcW w:w="862" w:type="dxa"/>
            <w:vAlign w:val="center"/>
          </w:tcPr>
          <w:p w14:paraId="0E52A162">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掉电保护</w:t>
            </w:r>
          </w:p>
        </w:tc>
        <w:tc>
          <w:tcPr>
            <w:tcW w:w="5796" w:type="dxa"/>
            <w:vAlign w:val="center"/>
          </w:tcPr>
          <w:p w14:paraId="4CC20714">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支持掉电保护机制，存储整系统掉电后，数据无丢失。</w:t>
            </w:r>
          </w:p>
        </w:tc>
        <w:tc>
          <w:tcPr>
            <w:tcW w:w="1201" w:type="dxa"/>
            <w:vAlign w:val="center"/>
          </w:tcPr>
          <w:p w14:paraId="3C882CE4">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否</w:t>
            </w:r>
          </w:p>
        </w:tc>
      </w:tr>
      <w:tr w14:paraId="7A0F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81" w:type="dxa"/>
            <w:vAlign w:val="center"/>
          </w:tcPr>
          <w:p w14:paraId="4B760348">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19</w:t>
            </w:r>
          </w:p>
        </w:tc>
        <w:tc>
          <w:tcPr>
            <w:tcW w:w="713" w:type="dxa"/>
            <w:vAlign w:val="center"/>
          </w:tcPr>
          <w:p w14:paraId="33E0DC6A">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w:t>
            </w:r>
          </w:p>
        </w:tc>
        <w:tc>
          <w:tcPr>
            <w:tcW w:w="862" w:type="dxa"/>
            <w:vAlign w:val="center"/>
          </w:tcPr>
          <w:p w14:paraId="45FB59BE">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核心处理器</w:t>
            </w:r>
          </w:p>
        </w:tc>
        <w:tc>
          <w:tcPr>
            <w:tcW w:w="5796" w:type="dxa"/>
            <w:vAlign w:val="center"/>
          </w:tcPr>
          <w:p w14:paraId="3F6CBF39">
            <w:pP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bidi="ar"/>
              </w:rPr>
              <w:t>核心处理器通过中国信息安全测评中心测评，符合自主可控要求。提供截图和可查网址。</w:t>
            </w:r>
          </w:p>
        </w:tc>
        <w:tc>
          <w:tcPr>
            <w:tcW w:w="1201" w:type="dxa"/>
            <w:vAlign w:val="center"/>
          </w:tcPr>
          <w:p w14:paraId="54DF0FAB">
            <w:pPr>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bidi="ar"/>
              </w:rPr>
              <w:t>是</w:t>
            </w:r>
          </w:p>
        </w:tc>
      </w:tr>
    </w:tbl>
    <w:p w14:paraId="36DE98FD">
      <w:pPr>
        <w:pStyle w:val="10"/>
        <w:rPr>
          <w:rFonts w:asciiTheme="minorEastAsia" w:hAnsiTheme="minorEastAsia" w:eastAsiaTheme="minorEastAsia" w:cstheme="minorEastAsia"/>
        </w:rPr>
      </w:pPr>
      <w:r>
        <w:rPr>
          <w:rFonts w:hint="eastAsia" w:asciiTheme="minorEastAsia" w:hAnsiTheme="minorEastAsia" w:eastAsiaTheme="minorEastAsia" w:cstheme="minorEastAsia"/>
        </w:rPr>
        <w:t>注：标★为重要指标，必须满足，不满足的取消投标资格。</w:t>
      </w:r>
    </w:p>
    <w:p w14:paraId="062F283B">
      <w:pPr>
        <w:pStyle w:val="10"/>
        <w:ind w:firstLine="428"/>
        <w:rPr>
          <w:rFonts w:asciiTheme="minorEastAsia" w:hAnsiTheme="minorEastAsia" w:eastAsiaTheme="minorEastAsia" w:cstheme="minorEastAsia"/>
          <w:b/>
          <w:color w:val="000000"/>
          <w:kern w:val="0"/>
        </w:rPr>
      </w:pPr>
    </w:p>
    <w:p w14:paraId="039C6CF5">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2.交换机</w:t>
      </w:r>
    </w:p>
    <w:tbl>
      <w:tblPr>
        <w:tblStyle w:val="6"/>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15"/>
        <w:gridCol w:w="902"/>
        <w:gridCol w:w="5678"/>
        <w:gridCol w:w="1260"/>
      </w:tblGrid>
      <w:tr w14:paraId="610C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82" w:type="dxa"/>
            <w:vAlign w:val="center"/>
          </w:tcPr>
          <w:p w14:paraId="04E23402">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rPr>
              <w:t>序号</w:t>
            </w:r>
          </w:p>
        </w:tc>
        <w:tc>
          <w:tcPr>
            <w:tcW w:w="715" w:type="dxa"/>
            <w:vAlign w:val="center"/>
          </w:tcPr>
          <w:p w14:paraId="795603BA">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rPr>
              <w:t>重要性</w:t>
            </w:r>
          </w:p>
        </w:tc>
        <w:tc>
          <w:tcPr>
            <w:tcW w:w="902" w:type="dxa"/>
            <w:vAlign w:val="center"/>
          </w:tcPr>
          <w:p w14:paraId="38775D14">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rPr>
              <w:t>指标项目</w:t>
            </w:r>
          </w:p>
        </w:tc>
        <w:tc>
          <w:tcPr>
            <w:tcW w:w="5678" w:type="dxa"/>
            <w:vAlign w:val="center"/>
          </w:tcPr>
          <w:p w14:paraId="6D166DB7">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rPr>
              <w:t>指标要求</w:t>
            </w:r>
          </w:p>
        </w:tc>
        <w:tc>
          <w:tcPr>
            <w:tcW w:w="1260" w:type="dxa"/>
            <w:vAlign w:val="center"/>
          </w:tcPr>
          <w:p w14:paraId="256304EE">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rPr>
              <w:t>证明材料要求</w:t>
            </w:r>
          </w:p>
        </w:tc>
      </w:tr>
      <w:tr w14:paraId="3D23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82" w:type="dxa"/>
            <w:vAlign w:val="center"/>
          </w:tcPr>
          <w:p w14:paraId="1DCA4516">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1</w:t>
            </w:r>
          </w:p>
        </w:tc>
        <w:tc>
          <w:tcPr>
            <w:tcW w:w="715" w:type="dxa"/>
            <w:vAlign w:val="center"/>
          </w:tcPr>
          <w:p w14:paraId="69C78E0F">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w:t>
            </w:r>
          </w:p>
        </w:tc>
        <w:tc>
          <w:tcPr>
            <w:tcW w:w="902" w:type="dxa"/>
            <w:vAlign w:val="center"/>
          </w:tcPr>
          <w:p w14:paraId="3BCFDFF3">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数量</w:t>
            </w:r>
          </w:p>
        </w:tc>
        <w:tc>
          <w:tcPr>
            <w:tcW w:w="5678" w:type="dxa"/>
            <w:vAlign w:val="center"/>
          </w:tcPr>
          <w:p w14:paraId="3CB791A2">
            <w:pP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2台</w:t>
            </w:r>
          </w:p>
        </w:tc>
        <w:tc>
          <w:tcPr>
            <w:tcW w:w="1260" w:type="dxa"/>
            <w:vAlign w:val="center"/>
          </w:tcPr>
          <w:p w14:paraId="438DBF25">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否</w:t>
            </w:r>
          </w:p>
        </w:tc>
      </w:tr>
      <w:tr w14:paraId="0135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82" w:type="dxa"/>
            <w:vAlign w:val="center"/>
          </w:tcPr>
          <w:p w14:paraId="22BF65C7">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2</w:t>
            </w:r>
          </w:p>
        </w:tc>
        <w:tc>
          <w:tcPr>
            <w:tcW w:w="715" w:type="dxa"/>
            <w:vAlign w:val="center"/>
          </w:tcPr>
          <w:p w14:paraId="692F4FF9">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w:t>
            </w:r>
          </w:p>
        </w:tc>
        <w:tc>
          <w:tcPr>
            <w:tcW w:w="902" w:type="dxa"/>
            <w:vAlign w:val="center"/>
          </w:tcPr>
          <w:p w14:paraId="1D2690C6">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转发性能</w:t>
            </w:r>
          </w:p>
        </w:tc>
        <w:tc>
          <w:tcPr>
            <w:tcW w:w="5678" w:type="dxa"/>
            <w:vAlign w:val="center"/>
          </w:tcPr>
          <w:p w14:paraId="39F62A91">
            <w:pP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交换容量≥8Tbps，包转发率≥2400Mpps，提供官网截图证明材料；</w:t>
            </w:r>
          </w:p>
        </w:tc>
        <w:tc>
          <w:tcPr>
            <w:tcW w:w="1260" w:type="dxa"/>
            <w:vAlign w:val="center"/>
          </w:tcPr>
          <w:p w14:paraId="371D8302">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否</w:t>
            </w:r>
          </w:p>
        </w:tc>
      </w:tr>
      <w:tr w14:paraId="0237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82" w:type="dxa"/>
            <w:vAlign w:val="center"/>
          </w:tcPr>
          <w:p w14:paraId="4CBAAC43">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3</w:t>
            </w:r>
          </w:p>
        </w:tc>
        <w:tc>
          <w:tcPr>
            <w:tcW w:w="715" w:type="dxa"/>
            <w:vAlign w:val="center"/>
          </w:tcPr>
          <w:p w14:paraId="67DE5356">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w:t>
            </w:r>
          </w:p>
        </w:tc>
        <w:tc>
          <w:tcPr>
            <w:tcW w:w="902" w:type="dxa"/>
            <w:vAlign w:val="center"/>
          </w:tcPr>
          <w:p w14:paraId="7818A8B0">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国产化</w:t>
            </w:r>
          </w:p>
        </w:tc>
        <w:tc>
          <w:tcPr>
            <w:tcW w:w="5678" w:type="dxa"/>
            <w:vAlign w:val="center"/>
          </w:tcPr>
          <w:p w14:paraId="22946A73">
            <w:pP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CPU和转发芯片为国产化芯片，提供具有CMA或是CNAS标识的第三方测试报告；</w:t>
            </w:r>
          </w:p>
        </w:tc>
        <w:tc>
          <w:tcPr>
            <w:tcW w:w="1260" w:type="dxa"/>
            <w:vAlign w:val="center"/>
          </w:tcPr>
          <w:p w14:paraId="1887BFA3">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是</w:t>
            </w:r>
          </w:p>
        </w:tc>
      </w:tr>
      <w:tr w14:paraId="007C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82" w:type="dxa"/>
            <w:vAlign w:val="center"/>
          </w:tcPr>
          <w:p w14:paraId="6A6F5681">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4</w:t>
            </w:r>
          </w:p>
        </w:tc>
        <w:tc>
          <w:tcPr>
            <w:tcW w:w="715" w:type="dxa"/>
            <w:vAlign w:val="center"/>
          </w:tcPr>
          <w:p w14:paraId="160DB604">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w:t>
            </w:r>
          </w:p>
        </w:tc>
        <w:tc>
          <w:tcPr>
            <w:tcW w:w="902" w:type="dxa"/>
            <w:vAlign w:val="center"/>
          </w:tcPr>
          <w:p w14:paraId="3D3C9C08">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硬件配置</w:t>
            </w:r>
          </w:p>
        </w:tc>
        <w:tc>
          <w:tcPr>
            <w:tcW w:w="5678" w:type="dxa"/>
            <w:vAlign w:val="center"/>
          </w:tcPr>
          <w:p w14:paraId="47BEEE0F">
            <w:pP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电源槽位≥2个，风扇槽位≥5个，提供官网截图证明材料；</w:t>
            </w:r>
          </w:p>
        </w:tc>
        <w:tc>
          <w:tcPr>
            <w:tcW w:w="1260" w:type="dxa"/>
            <w:vAlign w:val="center"/>
          </w:tcPr>
          <w:p w14:paraId="1B4957BD">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是</w:t>
            </w:r>
          </w:p>
        </w:tc>
      </w:tr>
      <w:tr w14:paraId="6EC4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82" w:type="dxa"/>
            <w:vAlign w:val="center"/>
          </w:tcPr>
          <w:p w14:paraId="54005404">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5</w:t>
            </w:r>
          </w:p>
        </w:tc>
        <w:tc>
          <w:tcPr>
            <w:tcW w:w="715" w:type="dxa"/>
            <w:vAlign w:val="center"/>
          </w:tcPr>
          <w:p w14:paraId="2A9AE462">
            <w:pPr>
              <w:jc w:val="center"/>
              <w:rPr>
                <w:rFonts w:asciiTheme="minorEastAsia" w:hAnsiTheme="minorEastAsia" w:eastAsiaTheme="minorEastAsia" w:cstheme="minorEastAsia"/>
              </w:rPr>
            </w:pPr>
          </w:p>
        </w:tc>
        <w:tc>
          <w:tcPr>
            <w:tcW w:w="902" w:type="dxa"/>
            <w:vAlign w:val="center"/>
          </w:tcPr>
          <w:p w14:paraId="26213B1B">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二层功能</w:t>
            </w:r>
          </w:p>
        </w:tc>
        <w:tc>
          <w:tcPr>
            <w:tcW w:w="5678" w:type="dxa"/>
            <w:vAlign w:val="center"/>
          </w:tcPr>
          <w:p w14:paraId="3B2C4EEA">
            <w:pP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支持M-LAG跨机箱链路捆绑技术；</w:t>
            </w:r>
          </w:p>
        </w:tc>
        <w:tc>
          <w:tcPr>
            <w:tcW w:w="1260" w:type="dxa"/>
            <w:vAlign w:val="center"/>
          </w:tcPr>
          <w:p w14:paraId="54B7FF3F">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否</w:t>
            </w:r>
          </w:p>
        </w:tc>
      </w:tr>
      <w:tr w14:paraId="4DC7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82" w:type="dxa"/>
            <w:vMerge w:val="restart"/>
            <w:vAlign w:val="center"/>
          </w:tcPr>
          <w:p w14:paraId="076950F0">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rPr>
              <w:t>6</w:t>
            </w:r>
          </w:p>
        </w:tc>
        <w:tc>
          <w:tcPr>
            <w:tcW w:w="715" w:type="dxa"/>
            <w:vMerge w:val="restart"/>
            <w:vAlign w:val="center"/>
          </w:tcPr>
          <w:p w14:paraId="316EA4B3">
            <w:pPr>
              <w:jc w:val="center"/>
              <w:rPr>
                <w:rFonts w:asciiTheme="minorEastAsia" w:hAnsiTheme="minorEastAsia" w:eastAsiaTheme="minorEastAsia" w:cstheme="minorEastAsia"/>
              </w:rPr>
            </w:pPr>
          </w:p>
        </w:tc>
        <w:tc>
          <w:tcPr>
            <w:tcW w:w="902" w:type="dxa"/>
            <w:vMerge w:val="restart"/>
            <w:vAlign w:val="center"/>
          </w:tcPr>
          <w:p w14:paraId="2B50EC50">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路由协议</w:t>
            </w:r>
          </w:p>
        </w:tc>
        <w:tc>
          <w:tcPr>
            <w:tcW w:w="5678" w:type="dxa"/>
            <w:vMerge w:val="restart"/>
            <w:vAlign w:val="center"/>
          </w:tcPr>
          <w:p w14:paraId="69998D6A">
            <w:pP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支持RIP、OSPF、ISIS、BGP等IPv4动态路由协议；</w:t>
            </w:r>
          </w:p>
          <w:p w14:paraId="23E55BF3">
            <w:pP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rPr>
              <w:t>支持RIPng、OSPFv3、ISISv6、BGP4+等IPv6动态路由协议；</w:t>
            </w:r>
          </w:p>
        </w:tc>
        <w:tc>
          <w:tcPr>
            <w:tcW w:w="1260" w:type="dxa"/>
            <w:vAlign w:val="center"/>
          </w:tcPr>
          <w:p w14:paraId="14FD38A4">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否</w:t>
            </w:r>
          </w:p>
        </w:tc>
      </w:tr>
      <w:tr w14:paraId="64BE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82" w:type="dxa"/>
            <w:vMerge w:val="continue"/>
            <w:vAlign w:val="center"/>
          </w:tcPr>
          <w:p w14:paraId="723A0FED">
            <w:pPr>
              <w:jc w:val="center"/>
              <w:rPr>
                <w:rFonts w:asciiTheme="minorEastAsia" w:hAnsiTheme="minorEastAsia" w:eastAsiaTheme="minorEastAsia" w:cstheme="minorEastAsia"/>
              </w:rPr>
            </w:pPr>
          </w:p>
        </w:tc>
        <w:tc>
          <w:tcPr>
            <w:tcW w:w="715" w:type="dxa"/>
            <w:vMerge w:val="continue"/>
            <w:vAlign w:val="center"/>
          </w:tcPr>
          <w:p w14:paraId="7A8D29B0">
            <w:pPr>
              <w:jc w:val="center"/>
              <w:rPr>
                <w:rFonts w:asciiTheme="minorEastAsia" w:hAnsiTheme="minorEastAsia" w:eastAsiaTheme="minorEastAsia" w:cstheme="minorEastAsia"/>
              </w:rPr>
            </w:pPr>
          </w:p>
        </w:tc>
        <w:tc>
          <w:tcPr>
            <w:tcW w:w="902" w:type="dxa"/>
            <w:vMerge w:val="continue"/>
            <w:vAlign w:val="center"/>
          </w:tcPr>
          <w:p w14:paraId="0559FB4E">
            <w:pPr>
              <w:jc w:val="center"/>
              <w:rPr>
                <w:rFonts w:asciiTheme="minorEastAsia" w:hAnsiTheme="minorEastAsia" w:eastAsiaTheme="minorEastAsia" w:cstheme="minorEastAsia"/>
              </w:rPr>
            </w:pPr>
          </w:p>
        </w:tc>
        <w:tc>
          <w:tcPr>
            <w:tcW w:w="5678" w:type="dxa"/>
            <w:vMerge w:val="continue"/>
            <w:vAlign w:val="center"/>
          </w:tcPr>
          <w:p w14:paraId="0537405D">
            <w:pPr>
              <w:rPr>
                <w:rFonts w:asciiTheme="minorEastAsia" w:hAnsiTheme="minorEastAsia" w:eastAsiaTheme="minorEastAsia" w:cstheme="minorEastAsia"/>
              </w:rPr>
            </w:pPr>
          </w:p>
        </w:tc>
        <w:tc>
          <w:tcPr>
            <w:tcW w:w="1260" w:type="dxa"/>
            <w:vAlign w:val="center"/>
          </w:tcPr>
          <w:p w14:paraId="1882BA41">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否</w:t>
            </w:r>
          </w:p>
        </w:tc>
      </w:tr>
      <w:tr w14:paraId="0E4D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82" w:type="dxa"/>
            <w:vAlign w:val="center"/>
          </w:tcPr>
          <w:p w14:paraId="67021584">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7</w:t>
            </w:r>
          </w:p>
        </w:tc>
        <w:tc>
          <w:tcPr>
            <w:tcW w:w="715" w:type="dxa"/>
            <w:vAlign w:val="center"/>
          </w:tcPr>
          <w:p w14:paraId="44A19331">
            <w:pPr>
              <w:jc w:val="center"/>
              <w:rPr>
                <w:rFonts w:asciiTheme="minorEastAsia" w:hAnsiTheme="minorEastAsia" w:eastAsiaTheme="minorEastAsia" w:cstheme="minorEastAsia"/>
              </w:rPr>
            </w:pPr>
          </w:p>
        </w:tc>
        <w:tc>
          <w:tcPr>
            <w:tcW w:w="902" w:type="dxa"/>
            <w:vMerge w:val="restart"/>
            <w:vAlign w:val="center"/>
          </w:tcPr>
          <w:p w14:paraId="1852FD0E">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DC特性</w:t>
            </w:r>
          </w:p>
        </w:tc>
        <w:tc>
          <w:tcPr>
            <w:tcW w:w="5678" w:type="dxa"/>
            <w:vAlign w:val="center"/>
          </w:tcPr>
          <w:p w14:paraId="23E6B9F5">
            <w:pP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eastAsia="zh-CN"/>
              </w:rPr>
              <w:t>支持RoCE功能；</w:t>
            </w:r>
          </w:p>
        </w:tc>
        <w:tc>
          <w:tcPr>
            <w:tcW w:w="1260" w:type="dxa"/>
            <w:vAlign w:val="center"/>
          </w:tcPr>
          <w:p w14:paraId="4E89624C">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否</w:t>
            </w:r>
          </w:p>
        </w:tc>
      </w:tr>
      <w:tr w14:paraId="58BB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82" w:type="dxa"/>
            <w:vAlign w:val="center"/>
          </w:tcPr>
          <w:p w14:paraId="47503626">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8</w:t>
            </w:r>
          </w:p>
        </w:tc>
        <w:tc>
          <w:tcPr>
            <w:tcW w:w="715" w:type="dxa"/>
            <w:vAlign w:val="center"/>
          </w:tcPr>
          <w:p w14:paraId="6CF62F10">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w:t>
            </w:r>
          </w:p>
        </w:tc>
        <w:tc>
          <w:tcPr>
            <w:tcW w:w="902" w:type="dxa"/>
            <w:vMerge w:val="continue"/>
            <w:vAlign w:val="center"/>
          </w:tcPr>
          <w:p w14:paraId="76BBEFFA">
            <w:pPr>
              <w:jc w:val="center"/>
              <w:rPr>
                <w:rFonts w:asciiTheme="minorEastAsia" w:hAnsiTheme="minorEastAsia" w:eastAsiaTheme="minorEastAsia" w:cstheme="minorEastAsia"/>
              </w:rPr>
            </w:pPr>
          </w:p>
        </w:tc>
        <w:tc>
          <w:tcPr>
            <w:tcW w:w="5678" w:type="dxa"/>
            <w:vAlign w:val="center"/>
          </w:tcPr>
          <w:p w14:paraId="34553503">
            <w:pP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支持VxLAN广播泛洪抑制，提供具有CMA或是CNAS标识的第三方测试报告；</w:t>
            </w:r>
          </w:p>
        </w:tc>
        <w:tc>
          <w:tcPr>
            <w:tcW w:w="1260" w:type="dxa"/>
            <w:vAlign w:val="center"/>
          </w:tcPr>
          <w:p w14:paraId="0A771D81">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是</w:t>
            </w:r>
          </w:p>
        </w:tc>
      </w:tr>
      <w:tr w14:paraId="3309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82" w:type="dxa"/>
            <w:vAlign w:val="center"/>
          </w:tcPr>
          <w:p w14:paraId="16994B13">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9</w:t>
            </w:r>
          </w:p>
        </w:tc>
        <w:tc>
          <w:tcPr>
            <w:tcW w:w="715" w:type="dxa"/>
            <w:vAlign w:val="center"/>
          </w:tcPr>
          <w:p w14:paraId="4400955D">
            <w:pPr>
              <w:jc w:val="center"/>
              <w:rPr>
                <w:rFonts w:asciiTheme="minorEastAsia" w:hAnsiTheme="minorEastAsia" w:eastAsiaTheme="minorEastAsia" w:cstheme="minorEastAsia"/>
              </w:rPr>
            </w:pPr>
          </w:p>
        </w:tc>
        <w:tc>
          <w:tcPr>
            <w:tcW w:w="902" w:type="dxa"/>
            <w:vAlign w:val="center"/>
          </w:tcPr>
          <w:p w14:paraId="49F521F2">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运维</w:t>
            </w:r>
          </w:p>
        </w:tc>
        <w:tc>
          <w:tcPr>
            <w:tcW w:w="5678" w:type="dxa"/>
            <w:vAlign w:val="center"/>
          </w:tcPr>
          <w:p w14:paraId="3F8E4F6F">
            <w:pP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eastAsia="zh-CN" w:bidi="ar"/>
              </w:rPr>
              <w:t>至少</w:t>
            </w:r>
            <w:r>
              <w:rPr>
                <w:rFonts w:hint="eastAsia" w:asciiTheme="minorEastAsia" w:hAnsiTheme="minorEastAsia" w:eastAsiaTheme="minorEastAsia" w:cstheme="minorEastAsia"/>
                <w:sz w:val="24"/>
                <w:szCs w:val="24"/>
              </w:rPr>
              <w:t>支持SNMP v1/v2/v3、Telnet、RMON、SSH；</w:t>
            </w:r>
          </w:p>
        </w:tc>
        <w:tc>
          <w:tcPr>
            <w:tcW w:w="1260" w:type="dxa"/>
            <w:vAlign w:val="center"/>
          </w:tcPr>
          <w:p w14:paraId="2C638BB6">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否</w:t>
            </w:r>
          </w:p>
        </w:tc>
      </w:tr>
      <w:tr w14:paraId="1A52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82" w:type="dxa"/>
            <w:vAlign w:val="center"/>
          </w:tcPr>
          <w:p w14:paraId="7300BD96">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0</w:t>
            </w:r>
          </w:p>
        </w:tc>
        <w:tc>
          <w:tcPr>
            <w:tcW w:w="715" w:type="dxa"/>
            <w:vAlign w:val="center"/>
          </w:tcPr>
          <w:p w14:paraId="148F4A05">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w:t>
            </w:r>
          </w:p>
        </w:tc>
        <w:tc>
          <w:tcPr>
            <w:tcW w:w="902" w:type="dxa"/>
            <w:vAlign w:val="center"/>
          </w:tcPr>
          <w:p w14:paraId="6C19410C">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实配</w:t>
            </w:r>
          </w:p>
        </w:tc>
        <w:tc>
          <w:tcPr>
            <w:tcW w:w="5678" w:type="dxa"/>
            <w:vAlign w:val="center"/>
          </w:tcPr>
          <w:p w14:paraId="5D4F62CF">
            <w:pP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25GE光接口≥48个，100GE光口≥8个，25G多模光模块≥8个，满配电源模块，满配风扇模块；</w:t>
            </w:r>
          </w:p>
        </w:tc>
        <w:tc>
          <w:tcPr>
            <w:tcW w:w="1260" w:type="dxa"/>
            <w:vAlign w:val="center"/>
          </w:tcPr>
          <w:p w14:paraId="180920F4">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否</w:t>
            </w:r>
          </w:p>
        </w:tc>
      </w:tr>
      <w:tr w14:paraId="2C75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2" w:type="dxa"/>
            <w:vAlign w:val="center"/>
          </w:tcPr>
          <w:p w14:paraId="1016DA40">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1</w:t>
            </w:r>
          </w:p>
        </w:tc>
        <w:tc>
          <w:tcPr>
            <w:tcW w:w="715" w:type="dxa"/>
            <w:vAlign w:val="center"/>
          </w:tcPr>
          <w:p w14:paraId="516D5278">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w:t>
            </w:r>
          </w:p>
        </w:tc>
        <w:tc>
          <w:tcPr>
            <w:tcW w:w="902" w:type="dxa"/>
            <w:vAlign w:val="center"/>
          </w:tcPr>
          <w:p w14:paraId="6DC09160">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统一品牌要求</w:t>
            </w:r>
          </w:p>
        </w:tc>
        <w:tc>
          <w:tcPr>
            <w:tcW w:w="5678" w:type="dxa"/>
            <w:vAlign w:val="center"/>
          </w:tcPr>
          <w:p w14:paraId="2484E817">
            <w:pPr>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为确保系统统一维护，要求本次投标的存储产品和交换机均为同一品牌。</w:t>
            </w:r>
          </w:p>
        </w:tc>
        <w:tc>
          <w:tcPr>
            <w:tcW w:w="1260" w:type="dxa"/>
            <w:vAlign w:val="center"/>
          </w:tcPr>
          <w:p w14:paraId="2308411E">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否</w:t>
            </w:r>
          </w:p>
        </w:tc>
      </w:tr>
      <w:tr w14:paraId="6E8C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82" w:type="dxa"/>
            <w:vAlign w:val="center"/>
          </w:tcPr>
          <w:p w14:paraId="42296D03">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w:t>
            </w:r>
          </w:p>
        </w:tc>
        <w:tc>
          <w:tcPr>
            <w:tcW w:w="715" w:type="dxa"/>
            <w:vAlign w:val="center"/>
          </w:tcPr>
          <w:p w14:paraId="216138E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p>
        </w:tc>
        <w:tc>
          <w:tcPr>
            <w:tcW w:w="902" w:type="dxa"/>
            <w:vAlign w:val="center"/>
          </w:tcPr>
          <w:p w14:paraId="62075D4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资质</w:t>
            </w:r>
          </w:p>
        </w:tc>
        <w:tc>
          <w:tcPr>
            <w:tcW w:w="5678" w:type="dxa"/>
            <w:vAlign w:val="center"/>
          </w:tcPr>
          <w:p w14:paraId="00D2D90A">
            <w:pP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提供有效的国家工业和信息化部颁发的电信设备进网许可证证书原件扫描件。</w:t>
            </w:r>
          </w:p>
        </w:tc>
        <w:tc>
          <w:tcPr>
            <w:tcW w:w="1260" w:type="dxa"/>
            <w:vAlign w:val="center"/>
          </w:tcPr>
          <w:p w14:paraId="200DCAB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是</w:t>
            </w:r>
          </w:p>
        </w:tc>
      </w:tr>
    </w:tbl>
    <w:p w14:paraId="5E77B6C1">
      <w:pPr>
        <w:pStyle w:val="10"/>
        <w:rPr>
          <w:rFonts w:asciiTheme="minorEastAsia" w:hAnsiTheme="minorEastAsia" w:eastAsiaTheme="minorEastAsia" w:cstheme="minorEastAsia"/>
        </w:rPr>
      </w:pPr>
      <w:r>
        <w:rPr>
          <w:rFonts w:hint="eastAsia" w:asciiTheme="minorEastAsia" w:hAnsiTheme="minorEastAsia" w:eastAsiaTheme="minorEastAsia" w:cstheme="minorEastAsia"/>
        </w:rPr>
        <w:t>注：标★为重要指标，必须满足，不满足的取消投标资格。</w:t>
      </w:r>
    </w:p>
    <w:p w14:paraId="5CC4D318">
      <w:pPr>
        <w:pStyle w:val="10"/>
        <w:rPr>
          <w:rFonts w:asciiTheme="minorEastAsia" w:hAnsiTheme="minorEastAsia" w:eastAsiaTheme="minorEastAsia" w:cstheme="minorEastAsia"/>
          <w:b/>
          <w:color w:val="000000"/>
          <w:kern w:val="0"/>
        </w:rPr>
      </w:pPr>
    </w:p>
    <w:p w14:paraId="7A1ACC87">
      <w:pPr>
        <w:pStyle w:val="8"/>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3、硬盘备件</w:t>
      </w:r>
    </w:p>
    <w:tbl>
      <w:tblPr>
        <w:tblStyle w:val="6"/>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15"/>
        <w:gridCol w:w="902"/>
        <w:gridCol w:w="5491"/>
        <w:gridCol w:w="1260"/>
      </w:tblGrid>
      <w:tr w14:paraId="7CDC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82" w:type="dxa"/>
            <w:vAlign w:val="center"/>
          </w:tcPr>
          <w:p w14:paraId="6055060A">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rPr>
              <w:t>序号</w:t>
            </w:r>
          </w:p>
        </w:tc>
        <w:tc>
          <w:tcPr>
            <w:tcW w:w="715" w:type="dxa"/>
            <w:vAlign w:val="center"/>
          </w:tcPr>
          <w:p w14:paraId="62222A36">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rPr>
              <w:t>重要性</w:t>
            </w:r>
          </w:p>
        </w:tc>
        <w:tc>
          <w:tcPr>
            <w:tcW w:w="902" w:type="dxa"/>
            <w:vAlign w:val="center"/>
          </w:tcPr>
          <w:p w14:paraId="106634E8">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rPr>
              <w:t>指标项目</w:t>
            </w:r>
          </w:p>
        </w:tc>
        <w:tc>
          <w:tcPr>
            <w:tcW w:w="5491" w:type="dxa"/>
            <w:vAlign w:val="center"/>
          </w:tcPr>
          <w:p w14:paraId="3F4946FE">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rPr>
              <w:t>指标要求</w:t>
            </w:r>
          </w:p>
        </w:tc>
        <w:tc>
          <w:tcPr>
            <w:tcW w:w="1260" w:type="dxa"/>
            <w:vAlign w:val="center"/>
          </w:tcPr>
          <w:p w14:paraId="3B4BD378">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sz w:val="24"/>
                <w:szCs w:val="24"/>
              </w:rPr>
              <w:t>证明材料要求</w:t>
            </w:r>
          </w:p>
        </w:tc>
      </w:tr>
      <w:tr w14:paraId="098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82" w:type="dxa"/>
            <w:vAlign w:val="center"/>
          </w:tcPr>
          <w:p w14:paraId="2232F82C">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1</w:t>
            </w:r>
          </w:p>
        </w:tc>
        <w:tc>
          <w:tcPr>
            <w:tcW w:w="715" w:type="dxa"/>
            <w:vAlign w:val="center"/>
          </w:tcPr>
          <w:p w14:paraId="7D99BD06">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w:t>
            </w:r>
          </w:p>
        </w:tc>
        <w:tc>
          <w:tcPr>
            <w:tcW w:w="902" w:type="dxa"/>
            <w:vAlign w:val="center"/>
          </w:tcPr>
          <w:p w14:paraId="5E30339C">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数量</w:t>
            </w:r>
          </w:p>
        </w:tc>
        <w:tc>
          <w:tcPr>
            <w:tcW w:w="5491" w:type="dxa"/>
            <w:vAlign w:val="center"/>
          </w:tcPr>
          <w:p w14:paraId="1612247D">
            <w:pP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≥42块</w:t>
            </w:r>
          </w:p>
        </w:tc>
        <w:tc>
          <w:tcPr>
            <w:tcW w:w="1260" w:type="dxa"/>
            <w:vAlign w:val="center"/>
          </w:tcPr>
          <w:p w14:paraId="26B58F2D">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否</w:t>
            </w:r>
          </w:p>
        </w:tc>
      </w:tr>
      <w:tr w14:paraId="758A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82" w:type="dxa"/>
            <w:vAlign w:val="center"/>
          </w:tcPr>
          <w:p w14:paraId="6CF4C6D0">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2</w:t>
            </w:r>
          </w:p>
        </w:tc>
        <w:tc>
          <w:tcPr>
            <w:tcW w:w="715" w:type="dxa"/>
            <w:vAlign w:val="center"/>
          </w:tcPr>
          <w:p w14:paraId="732CC5B1">
            <w:pPr>
              <w:jc w:val="center"/>
              <w:rPr>
                <w:rFonts w:asciiTheme="minorEastAsia" w:hAnsiTheme="minorEastAsia" w:eastAsiaTheme="minorEastAsia" w:cstheme="minorEastAsia"/>
              </w:rPr>
            </w:pPr>
          </w:p>
        </w:tc>
        <w:tc>
          <w:tcPr>
            <w:tcW w:w="902" w:type="dxa"/>
            <w:vAlign w:val="center"/>
          </w:tcPr>
          <w:p w14:paraId="5D7D43EA">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规格</w:t>
            </w:r>
          </w:p>
        </w:tc>
        <w:tc>
          <w:tcPr>
            <w:tcW w:w="5491" w:type="dxa"/>
            <w:vAlign w:val="center"/>
          </w:tcPr>
          <w:p w14:paraId="5648C55A">
            <w:pP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1.92TB SSD、920GB SSD、960GB SSD、900GB SAS、1.8TB SAS、2.4TB SAS、8TB、12TB等。</w:t>
            </w:r>
          </w:p>
        </w:tc>
        <w:tc>
          <w:tcPr>
            <w:tcW w:w="1260" w:type="dxa"/>
            <w:vAlign w:val="center"/>
          </w:tcPr>
          <w:p w14:paraId="3B5399A5">
            <w:pPr>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否</w:t>
            </w:r>
          </w:p>
        </w:tc>
      </w:tr>
    </w:tbl>
    <w:p w14:paraId="292DA743">
      <w:pPr>
        <w:pStyle w:val="8"/>
        <w:spacing w:before="0" w:line="360" w:lineRule="auto"/>
        <w:ind w:left="0" w:firstLine="0"/>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lang w:eastAsia="zh-CN"/>
        </w:rPr>
        <w:t>注：标★为重要指标，必须满足，不满足的取消投标资格。</w:t>
      </w:r>
    </w:p>
    <w:p w14:paraId="06081459">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72548"/>
    <w:rsid w:val="4987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after="160" w:line="278" w:lineRule="auto"/>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Body Text"/>
    <w:basedOn w:val="1"/>
    <w:qFormat/>
    <w:uiPriority w:val="1"/>
    <w:rPr>
      <w:sz w:val="24"/>
      <w:szCs w:val="24"/>
    </w:rPr>
  </w:style>
  <w:style w:type="paragraph" w:styleId="5">
    <w:name w:val="Title"/>
    <w:basedOn w:val="1"/>
    <w:qFormat/>
    <w:uiPriority w:val="0"/>
    <w:pPr>
      <w:jc w:val="center"/>
      <w:outlineLvl w:val="0"/>
    </w:pPr>
    <w:rPr>
      <w:b/>
      <w:sz w:val="32"/>
      <w:szCs w:val="20"/>
    </w:rPr>
  </w:style>
  <w:style w:type="paragraph" w:customStyle="1" w:styleId="8">
    <w:name w:val="列出段落1"/>
    <w:basedOn w:val="1"/>
    <w:qFormat/>
    <w:uiPriority w:val="1"/>
    <w:pPr>
      <w:spacing w:before="134"/>
      <w:ind w:left="1196" w:hanging="720"/>
    </w:pPr>
    <w:rPr>
      <w:sz w:val="20"/>
    </w:rPr>
  </w:style>
  <w:style w:type="paragraph" w:customStyle="1" w:styleId="9">
    <w:name w:val="Table Paragraph"/>
    <w:basedOn w:val="1"/>
    <w:qFormat/>
    <w:uiPriority w:val="1"/>
  </w:style>
  <w:style w:type="paragraph" w:customStyle="1" w:styleId="10">
    <w:name w:val="列表段落1"/>
    <w:basedOn w:val="1"/>
    <w:unhideWhenUsed/>
    <w:qFormat/>
    <w:uiPriority w:val="99"/>
    <w:pPr>
      <w:ind w:firstLine="420" w:firstLineChars="200"/>
      <w:jc w:val="both"/>
    </w:pPr>
    <w:rPr>
      <w:rFonts w:ascii="Times New Roman" w:hAnsi="Times New Roman" w:cs="Times New Roman"/>
      <w:kern w:val="2"/>
      <w:sz w:val="21"/>
      <w:szCs w:val="24"/>
      <w:lang w:eastAsia="zh-CN"/>
    </w:rPr>
  </w:style>
  <w:style w:type="character" w:customStyle="1" w:styleId="11">
    <w:name w:val="font11"/>
    <w:basedOn w:val="7"/>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2025-09-16T07:58:00Z</dcterms:created>
  <dc:creator>王崴</dc:creator>
  <cp:lastModifiedBy>王崴</cp:lastModifiedBy>
  <dcterms:modified xsi:type="dcterms:W3CDTF">2025-09-16T07:59:43Z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49EAD6CD8BA04ACF82F62AB1A82303AC_11</vt:lpwstr>
  </property>
  <property fmtid="{D5CDD505-2E9C-101B-9397-08002B2CF9AE}" pid="4" name="KSOTemplateDocerSaveRecord">
    <vt:lpwstr>eyJoZGlkIjoiNTU3MWFmY2JmYjBmNTA2M2Q0ZWY5MzgxYzE5YjliMzUiLCJ1c2VySWQiOiI4NDYxOTIwMTUifQ==</vt:lpwstr>
  </property>
</Properties>
</file>