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45D245">
      <w:pPr>
        <w:pStyle w:val="2"/>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35393789"/>
      <w:bookmarkStart w:id="1" w:name="_Toc28359001"/>
      <w:r>
        <w:rPr>
          <w:rFonts w:hint="eastAsia" w:ascii="仿宋" w:hAnsi="仿宋" w:eastAsia="仿宋" w:cs="仿宋"/>
          <w:sz w:val="28"/>
          <w:szCs w:val="28"/>
        </w:rPr>
        <w:t>招标公告</w:t>
      </w:r>
      <w:bookmarkEnd w:id="0"/>
      <w:bookmarkEnd w:id="1"/>
    </w:p>
    <w:p w14:paraId="5F355410">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12BB110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北京胸科医院开办费医用设备购置项目第二批(2)</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2025年10月14日下午13时30分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1A206B92">
      <w:pPr>
        <w:rPr>
          <w:rFonts w:ascii="仿宋" w:hAnsi="仿宋" w:eastAsia="仿宋" w:cs="仿宋"/>
          <w:sz w:val="28"/>
          <w:szCs w:val="28"/>
        </w:rPr>
      </w:pPr>
    </w:p>
    <w:p w14:paraId="3592BDE5">
      <w:pPr>
        <w:pStyle w:val="3"/>
        <w:spacing w:before="0" w:line="360" w:lineRule="auto"/>
        <w:rPr>
          <w:rFonts w:ascii="仿宋" w:hAnsi="仿宋" w:eastAsia="仿宋" w:cs="仿宋"/>
          <w:b w:val="0"/>
          <w:sz w:val="28"/>
          <w:szCs w:val="28"/>
        </w:rPr>
      </w:pPr>
      <w:bookmarkStart w:id="2" w:name="_Toc35393790"/>
      <w:bookmarkStart w:id="3" w:name="_Toc35393621"/>
      <w:bookmarkStart w:id="4" w:name="_Toc28359002"/>
      <w:bookmarkStart w:id="5" w:name="_Toc28359079"/>
      <w:bookmarkStart w:id="6" w:name="_Hlk24379207"/>
      <w:r>
        <w:rPr>
          <w:rFonts w:hint="eastAsia" w:ascii="仿宋" w:hAnsi="仿宋" w:eastAsia="仿宋" w:cs="仿宋"/>
          <w:b w:val="0"/>
          <w:sz w:val="28"/>
          <w:szCs w:val="28"/>
        </w:rPr>
        <w:t>一、项目基本情况</w:t>
      </w:r>
      <w:bookmarkEnd w:id="2"/>
      <w:bookmarkEnd w:id="3"/>
      <w:bookmarkEnd w:id="4"/>
      <w:bookmarkEnd w:id="5"/>
    </w:p>
    <w:p w14:paraId="60E62726">
      <w:pPr>
        <w:ind w:firstLine="560" w:firstLineChars="200"/>
        <w:rPr>
          <w:rFonts w:ascii="仿宋" w:hAnsi="仿宋" w:eastAsia="仿宋" w:cs="仿宋"/>
          <w:sz w:val="28"/>
          <w:szCs w:val="28"/>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0686-2511BI042700Z</w:t>
      </w:r>
    </w:p>
    <w:p w14:paraId="7D765BFC">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北京胸科医院开办费医用设备购置项目第二批(2)</w:t>
      </w:r>
    </w:p>
    <w:p w14:paraId="61470349">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val="en-US" w:eastAsia="zh-CN"/>
        </w:rPr>
        <w:t>160</w:t>
      </w:r>
      <w:r>
        <w:rPr>
          <w:rFonts w:hint="eastAsia" w:ascii="仿宋" w:hAnsi="仿宋" w:eastAsia="仿宋" w:cs="仿宋"/>
          <w:sz w:val="28"/>
          <w:szCs w:val="28"/>
          <w:lang w:eastAsia="zh-CN"/>
        </w:rPr>
        <w:t>万元</w:t>
      </w:r>
    </w:p>
    <w:p w14:paraId="4BBC37D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tbl>
      <w:tblPr>
        <w:tblStyle w:val="10"/>
        <w:tblW w:w="97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710"/>
        <w:gridCol w:w="1586"/>
        <w:gridCol w:w="828"/>
        <w:gridCol w:w="1683"/>
        <w:gridCol w:w="1189"/>
        <w:gridCol w:w="2047"/>
      </w:tblGrid>
      <w:tr w14:paraId="33D72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713" w:type="dxa"/>
            <w:vAlign w:val="center"/>
          </w:tcPr>
          <w:p w14:paraId="75B17F06">
            <w:pPr>
              <w:pStyle w:val="48"/>
              <w:jc w:val="center"/>
              <w:rPr>
                <w:sz w:val="24"/>
                <w:szCs w:val="24"/>
                <w:lang w:eastAsia="zh-CN"/>
              </w:rPr>
            </w:pPr>
            <w:r>
              <w:rPr>
                <w:rFonts w:hint="eastAsia"/>
                <w:sz w:val="24"/>
                <w:szCs w:val="24"/>
                <w:lang w:eastAsia="zh-CN"/>
              </w:rPr>
              <w:t>包号</w:t>
            </w:r>
          </w:p>
        </w:tc>
        <w:tc>
          <w:tcPr>
            <w:tcW w:w="1710" w:type="dxa"/>
            <w:vAlign w:val="center"/>
          </w:tcPr>
          <w:p w14:paraId="74DDAB5E">
            <w:pPr>
              <w:pStyle w:val="48"/>
              <w:jc w:val="center"/>
              <w:rPr>
                <w:sz w:val="24"/>
                <w:szCs w:val="24"/>
                <w:lang w:eastAsia="zh-CN"/>
              </w:rPr>
            </w:pPr>
            <w:r>
              <w:rPr>
                <w:rFonts w:hint="eastAsia"/>
                <w:sz w:val="24"/>
                <w:szCs w:val="24"/>
                <w:lang w:eastAsia="zh-CN"/>
              </w:rPr>
              <w:t>采购包预算金额</w:t>
            </w:r>
          </w:p>
          <w:p w14:paraId="3FA2D98E">
            <w:pPr>
              <w:pStyle w:val="48"/>
              <w:jc w:val="center"/>
              <w:rPr>
                <w:sz w:val="24"/>
                <w:szCs w:val="24"/>
                <w:lang w:eastAsia="zh-CN"/>
              </w:rPr>
            </w:pPr>
            <w:r>
              <w:rPr>
                <w:rFonts w:hint="eastAsia"/>
                <w:sz w:val="24"/>
                <w:szCs w:val="24"/>
                <w:lang w:eastAsia="zh-CN"/>
              </w:rPr>
              <w:t>（万元）</w:t>
            </w:r>
          </w:p>
        </w:tc>
        <w:tc>
          <w:tcPr>
            <w:tcW w:w="1586" w:type="dxa"/>
            <w:vAlign w:val="center"/>
          </w:tcPr>
          <w:p w14:paraId="7FD74353">
            <w:pPr>
              <w:pStyle w:val="48"/>
              <w:jc w:val="center"/>
              <w:rPr>
                <w:rFonts w:hint="eastAsia"/>
                <w:sz w:val="24"/>
                <w:szCs w:val="24"/>
                <w:lang w:val="en-US" w:eastAsia="zh-CN"/>
              </w:rPr>
            </w:pPr>
            <w:r>
              <w:rPr>
                <w:rFonts w:hint="eastAsia"/>
                <w:sz w:val="24"/>
                <w:szCs w:val="24"/>
                <w:lang w:val="en-US" w:eastAsia="zh-CN"/>
              </w:rPr>
              <w:t>单价最高限价</w:t>
            </w:r>
          </w:p>
          <w:p w14:paraId="79E7C513">
            <w:pPr>
              <w:pStyle w:val="48"/>
              <w:jc w:val="center"/>
              <w:rPr>
                <w:rFonts w:hint="default"/>
                <w:sz w:val="24"/>
                <w:szCs w:val="24"/>
                <w:lang w:val="en-US" w:eastAsia="zh-CN"/>
              </w:rPr>
            </w:pPr>
            <w:r>
              <w:rPr>
                <w:rFonts w:hint="eastAsia"/>
                <w:sz w:val="24"/>
                <w:szCs w:val="24"/>
                <w:lang w:val="en-US" w:eastAsia="zh-CN"/>
              </w:rPr>
              <w:t>（万元）</w:t>
            </w:r>
          </w:p>
        </w:tc>
        <w:tc>
          <w:tcPr>
            <w:tcW w:w="828" w:type="dxa"/>
            <w:vAlign w:val="center"/>
          </w:tcPr>
          <w:p w14:paraId="61842F7C">
            <w:pPr>
              <w:pStyle w:val="48"/>
              <w:jc w:val="center"/>
              <w:rPr>
                <w:sz w:val="24"/>
                <w:szCs w:val="24"/>
                <w:lang w:eastAsia="zh-CN"/>
              </w:rPr>
            </w:pPr>
            <w:r>
              <w:rPr>
                <w:rFonts w:hint="eastAsia"/>
                <w:sz w:val="24"/>
                <w:szCs w:val="24"/>
                <w:lang w:eastAsia="zh-CN"/>
              </w:rPr>
              <w:t>品目号</w:t>
            </w:r>
          </w:p>
        </w:tc>
        <w:tc>
          <w:tcPr>
            <w:tcW w:w="1683" w:type="dxa"/>
            <w:vAlign w:val="center"/>
          </w:tcPr>
          <w:p w14:paraId="13D0F58E">
            <w:pPr>
              <w:pStyle w:val="48"/>
              <w:jc w:val="center"/>
              <w:rPr>
                <w:sz w:val="24"/>
                <w:szCs w:val="24"/>
                <w:lang w:eastAsia="zh-CN"/>
              </w:rPr>
            </w:pPr>
            <w:r>
              <w:rPr>
                <w:rFonts w:hint="eastAsia"/>
                <w:sz w:val="24"/>
                <w:szCs w:val="24"/>
                <w:lang w:eastAsia="zh-CN"/>
              </w:rPr>
              <w:t>标的名称</w:t>
            </w:r>
          </w:p>
        </w:tc>
        <w:tc>
          <w:tcPr>
            <w:tcW w:w="1189" w:type="dxa"/>
            <w:vAlign w:val="center"/>
          </w:tcPr>
          <w:p w14:paraId="4579A295">
            <w:pPr>
              <w:pStyle w:val="48"/>
              <w:jc w:val="center"/>
              <w:rPr>
                <w:sz w:val="24"/>
                <w:szCs w:val="24"/>
                <w:lang w:eastAsia="zh-CN"/>
              </w:rPr>
            </w:pPr>
            <w:r>
              <w:rPr>
                <w:rFonts w:hint="eastAsia"/>
                <w:sz w:val="24"/>
                <w:szCs w:val="24"/>
                <w:lang w:eastAsia="zh-CN"/>
              </w:rPr>
              <w:t>数量</w:t>
            </w:r>
          </w:p>
        </w:tc>
        <w:tc>
          <w:tcPr>
            <w:tcW w:w="2047" w:type="dxa"/>
            <w:vAlign w:val="center"/>
          </w:tcPr>
          <w:p w14:paraId="17D4B212">
            <w:pPr>
              <w:pStyle w:val="48"/>
              <w:jc w:val="center"/>
              <w:rPr>
                <w:sz w:val="24"/>
                <w:szCs w:val="24"/>
                <w:lang w:eastAsia="zh-CN"/>
              </w:rPr>
            </w:pPr>
            <w:r>
              <w:rPr>
                <w:rFonts w:hint="eastAsia"/>
                <w:sz w:val="24"/>
                <w:szCs w:val="24"/>
                <w:lang w:eastAsia="zh-CN"/>
              </w:rPr>
              <w:t>简要技术需求或服务要求</w:t>
            </w:r>
          </w:p>
        </w:tc>
      </w:tr>
      <w:tr w14:paraId="50852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jc w:val="center"/>
        </w:trPr>
        <w:tc>
          <w:tcPr>
            <w:tcW w:w="713" w:type="dxa"/>
            <w:vAlign w:val="center"/>
          </w:tcPr>
          <w:p w14:paraId="75FD6082">
            <w:pPr>
              <w:pStyle w:val="48"/>
              <w:jc w:val="center"/>
              <w:rPr>
                <w:sz w:val="24"/>
                <w:szCs w:val="24"/>
                <w:lang w:eastAsia="zh-CN"/>
              </w:rPr>
            </w:pPr>
            <w:r>
              <w:rPr>
                <w:rFonts w:hint="eastAsia"/>
                <w:sz w:val="24"/>
                <w:szCs w:val="24"/>
                <w:lang w:eastAsia="zh-CN"/>
              </w:rPr>
              <w:t>1</w:t>
            </w:r>
          </w:p>
        </w:tc>
        <w:tc>
          <w:tcPr>
            <w:tcW w:w="1710" w:type="dxa"/>
            <w:shd w:val="clear" w:color="auto" w:fill="auto"/>
            <w:vAlign w:val="center"/>
          </w:tcPr>
          <w:p w14:paraId="3A843BA7">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cs="宋体"/>
                <w:sz w:val="24"/>
                <w:szCs w:val="24"/>
                <w:lang w:val="en-US" w:eastAsia="zh-CN"/>
              </w:rPr>
              <w:t>160</w:t>
            </w:r>
          </w:p>
        </w:tc>
        <w:tc>
          <w:tcPr>
            <w:tcW w:w="1586" w:type="dxa"/>
            <w:vAlign w:val="center"/>
          </w:tcPr>
          <w:p w14:paraId="2D752D7C">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cs="宋体"/>
                <w:sz w:val="24"/>
                <w:szCs w:val="24"/>
                <w:lang w:val="en-US" w:eastAsia="zh-CN"/>
              </w:rPr>
              <w:t>40</w:t>
            </w:r>
          </w:p>
        </w:tc>
        <w:tc>
          <w:tcPr>
            <w:tcW w:w="828" w:type="dxa"/>
            <w:vAlign w:val="center"/>
          </w:tcPr>
          <w:p w14:paraId="0C653C44">
            <w:pPr>
              <w:pStyle w:val="48"/>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1-1</w:t>
            </w:r>
          </w:p>
        </w:tc>
        <w:tc>
          <w:tcPr>
            <w:tcW w:w="1683" w:type="dxa"/>
            <w:shd w:val="clear" w:color="auto" w:fill="auto"/>
            <w:vAlign w:val="center"/>
          </w:tcPr>
          <w:p w14:paraId="66CD8D45">
            <w:pPr>
              <w:keepNext w:val="0"/>
              <w:keepLines w:val="0"/>
              <w:widowControl/>
              <w:suppressLineNumbers w:val="0"/>
              <w:jc w:val="center"/>
              <w:textAlignment w:val="center"/>
              <w:rPr>
                <w:rFonts w:hint="default" w:ascii="宋体" w:hAnsi="宋体" w:eastAsia="宋体" w:cs="宋体"/>
                <w:spacing w:val="0"/>
                <w:sz w:val="24"/>
                <w:szCs w:val="24"/>
                <w:lang w:val="en-US" w:eastAsia="zh-CN" w:bidi="ar-SA"/>
              </w:rPr>
            </w:pPr>
            <w:r>
              <w:rPr>
                <w:rFonts w:hint="eastAsia" w:cs="宋体"/>
                <w:spacing w:val="0"/>
                <w:sz w:val="24"/>
                <w:szCs w:val="24"/>
                <w:lang w:val="en-US" w:eastAsia="zh-CN" w:bidi="ar-SA"/>
              </w:rPr>
              <w:t>电子肠胃镜</w:t>
            </w:r>
          </w:p>
        </w:tc>
        <w:tc>
          <w:tcPr>
            <w:tcW w:w="1189" w:type="dxa"/>
            <w:vAlign w:val="center"/>
          </w:tcPr>
          <w:p w14:paraId="794D700C">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cs="宋体"/>
                <w:sz w:val="24"/>
                <w:szCs w:val="24"/>
                <w:lang w:val="en-US" w:eastAsia="zh-CN"/>
              </w:rPr>
              <w:t>一批</w:t>
            </w:r>
          </w:p>
        </w:tc>
        <w:tc>
          <w:tcPr>
            <w:tcW w:w="2047" w:type="dxa"/>
            <w:vAlign w:val="center"/>
          </w:tcPr>
          <w:p w14:paraId="565FE8A9">
            <w:pPr>
              <w:pStyle w:val="48"/>
              <w:jc w:val="center"/>
              <w:rPr>
                <w:sz w:val="24"/>
                <w:szCs w:val="24"/>
                <w:lang w:eastAsia="zh-CN"/>
              </w:rPr>
            </w:pPr>
            <w:r>
              <w:rPr>
                <w:rFonts w:hint="eastAsia" w:ascii="宋体" w:hAnsi="宋体" w:eastAsia="宋体"/>
                <w:sz w:val="24"/>
                <w:szCs w:val="24"/>
              </w:rPr>
              <w:t>全防水设计，导光插头一键插拔</w:t>
            </w:r>
          </w:p>
        </w:tc>
      </w:tr>
    </w:tbl>
    <w:p w14:paraId="442F4A8B">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5.合同履行期限：按采购人要求。</w:t>
      </w:r>
    </w:p>
    <w:p w14:paraId="75E1B71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1C37B241">
      <w:pPr>
        <w:pStyle w:val="3"/>
        <w:spacing w:line="360" w:lineRule="auto"/>
        <w:rPr>
          <w:rFonts w:ascii="仿宋" w:hAnsi="仿宋" w:eastAsia="仿宋" w:cs="仿宋"/>
          <w:b w:val="0"/>
          <w:sz w:val="28"/>
          <w:szCs w:val="28"/>
        </w:rPr>
      </w:pPr>
      <w:bookmarkStart w:id="7" w:name="_Toc28359003"/>
      <w:bookmarkStart w:id="8" w:name="_Toc28359080"/>
      <w:bookmarkStart w:id="9" w:name="_Toc35393622"/>
      <w:bookmarkStart w:id="10" w:name="_Toc35393791"/>
      <w:r>
        <w:rPr>
          <w:rFonts w:hint="eastAsia" w:ascii="仿宋" w:hAnsi="仿宋" w:eastAsia="仿宋" w:cs="仿宋"/>
          <w:b w:val="0"/>
          <w:sz w:val="28"/>
          <w:szCs w:val="28"/>
        </w:rPr>
        <w:t>二、申请人的资格要求：</w:t>
      </w:r>
      <w:bookmarkEnd w:id="7"/>
      <w:bookmarkEnd w:id="8"/>
      <w:bookmarkEnd w:id="9"/>
      <w:bookmarkEnd w:id="10"/>
    </w:p>
    <w:p w14:paraId="52E60014">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598B6EF9">
      <w:pPr>
        <w:ind w:firstLine="560" w:firstLineChars="200"/>
        <w:rPr>
          <w:rFonts w:hint="eastAsia" w:ascii="仿宋" w:hAnsi="仿宋" w:eastAsia="仿宋" w:cs="仿宋"/>
          <w:sz w:val="28"/>
          <w:szCs w:val="28"/>
        </w:rPr>
      </w:pPr>
      <w:bookmarkStart w:id="11" w:name="_Toc28359004"/>
      <w:bookmarkStart w:id="12" w:name="_Toc28359081"/>
      <w:r>
        <w:rPr>
          <w:rFonts w:hint="eastAsia" w:ascii="仿宋" w:hAnsi="仿宋" w:eastAsia="仿宋" w:cs="仿宋"/>
          <w:sz w:val="28"/>
          <w:szCs w:val="28"/>
        </w:rPr>
        <w:t>2.落实政府采购政策需满足的资格要求：</w:t>
      </w:r>
    </w:p>
    <w:p w14:paraId="28599A99">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2.1中小企业政策</w:t>
      </w:r>
    </w:p>
    <w:p w14:paraId="5C4E9376">
      <w:pPr>
        <w:ind w:left="559" w:leftChars="266"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■本项目不专门面向中小企业采购。</w:t>
      </w:r>
    </w:p>
    <w:p w14:paraId="028F442B">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2.2其它落实政府采购政策的资格要求：无。</w:t>
      </w:r>
    </w:p>
    <w:p w14:paraId="224167B0">
      <w:pPr>
        <w:ind w:firstLine="560" w:firstLineChars="200"/>
        <w:rPr>
          <w:rFonts w:hint="eastAsia" w:ascii="仿宋" w:hAnsi="仿宋" w:eastAsia="仿宋" w:cs="仿宋"/>
          <w:sz w:val="28"/>
          <w:szCs w:val="28"/>
        </w:rPr>
      </w:pPr>
      <w:r>
        <w:rPr>
          <w:rFonts w:hint="eastAsia" w:ascii="仿宋" w:hAnsi="仿宋" w:eastAsia="仿宋" w:cs="仿宋"/>
          <w:sz w:val="28"/>
          <w:szCs w:val="28"/>
        </w:rPr>
        <w:t>3.本项目的特定资格要求：</w:t>
      </w:r>
      <w:bookmarkStart w:id="13" w:name="_Toc35393792"/>
      <w:bookmarkStart w:id="14" w:name="_Toc35393623"/>
    </w:p>
    <w:p w14:paraId="6E249356">
      <w:pPr>
        <w:ind w:firstLine="840" w:firstLineChars="300"/>
        <w:rPr>
          <w:rFonts w:hint="eastAsia" w:ascii="仿宋" w:hAnsi="仿宋" w:eastAsia="仿宋" w:cs="仿宋"/>
          <w:sz w:val="28"/>
          <w:szCs w:val="28"/>
        </w:rPr>
      </w:pPr>
      <w:r>
        <w:rPr>
          <w:rFonts w:hint="eastAsia" w:ascii="仿宋" w:hAnsi="仿宋" w:eastAsia="仿宋" w:cs="仿宋"/>
          <w:sz w:val="28"/>
          <w:szCs w:val="28"/>
        </w:rPr>
        <w:t>3.1本项目是否接受分支机构参与投标：□是   ■否；</w:t>
      </w:r>
    </w:p>
    <w:p w14:paraId="083E0F3E">
      <w:pPr>
        <w:ind w:firstLine="840" w:firstLineChars="300"/>
        <w:rPr>
          <w:rFonts w:hint="eastAsia" w:ascii="仿宋" w:hAnsi="仿宋" w:eastAsia="仿宋" w:cs="仿宋"/>
          <w:sz w:val="28"/>
          <w:szCs w:val="28"/>
        </w:rPr>
      </w:pPr>
      <w:r>
        <w:rPr>
          <w:rFonts w:hint="eastAsia" w:ascii="仿宋" w:hAnsi="仿宋" w:eastAsia="仿宋" w:cs="仿宋"/>
          <w:sz w:val="28"/>
          <w:szCs w:val="28"/>
        </w:rPr>
        <w:t>3.2本项目是否属于政府购买服务：</w:t>
      </w:r>
    </w:p>
    <w:p w14:paraId="7439699C">
      <w:pPr>
        <w:ind w:firstLine="840" w:firstLineChars="300"/>
        <w:rPr>
          <w:rFonts w:hint="eastAsia" w:ascii="仿宋" w:hAnsi="仿宋" w:eastAsia="仿宋" w:cs="仿宋"/>
          <w:sz w:val="28"/>
          <w:szCs w:val="28"/>
        </w:rPr>
      </w:pPr>
      <w:r>
        <w:rPr>
          <w:rFonts w:hint="eastAsia" w:ascii="仿宋" w:hAnsi="仿宋" w:eastAsia="仿宋" w:cs="仿宋"/>
          <w:sz w:val="28"/>
          <w:szCs w:val="28"/>
        </w:rPr>
        <w:t>■否</w:t>
      </w:r>
    </w:p>
    <w:p w14:paraId="356D1B3B">
      <w:pPr>
        <w:ind w:firstLine="840" w:firstLineChars="300"/>
        <w:rPr>
          <w:rFonts w:hint="eastAsia"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14:paraId="1A4461E5">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3.3其他特定资格要求：</w:t>
      </w:r>
      <w:r>
        <w:rPr>
          <w:rFonts w:hint="eastAsia" w:ascii="仿宋" w:hAnsi="仿宋" w:eastAsia="仿宋" w:cs="仿宋"/>
          <w:sz w:val="28"/>
          <w:szCs w:val="28"/>
          <w:lang w:eastAsia="zh-CN"/>
        </w:rPr>
        <w:t>投标产品属于医疗器械的，供应商如为代理商，应具有合法的医疗器械经营资格；供应商如为制造商，使用自身生产的产品投标时，应具有合法的医疗器械生产资格。</w:t>
      </w:r>
    </w:p>
    <w:p w14:paraId="6A9614ED">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7BC9068D">
      <w:pPr>
        <w:spacing w:line="360" w:lineRule="auto"/>
        <w:ind w:firstLine="560" w:firstLineChars="200"/>
        <w:rPr>
          <w:rFonts w:ascii="仿宋" w:hAnsi="仿宋" w:eastAsia="仿宋" w:cs="仿宋"/>
          <w:sz w:val="28"/>
          <w:szCs w:val="28"/>
          <w:highlight w:val="none"/>
        </w:rPr>
      </w:pPr>
      <w:bookmarkStart w:id="15" w:name="_Toc28359082"/>
      <w:bookmarkStart w:id="16" w:name="_Toc28359005"/>
      <w:bookmarkStart w:id="17" w:name="_Toc35393793"/>
      <w:bookmarkStart w:id="18" w:name="_Toc35393624"/>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9月23日</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9月29日</w:t>
      </w:r>
      <w:r>
        <w:rPr>
          <w:rFonts w:ascii="仿宋" w:hAnsi="仿宋" w:eastAsia="仿宋" w:cs="仿宋"/>
          <w:sz w:val="28"/>
          <w:szCs w:val="28"/>
          <w:highlight w:val="none"/>
        </w:rPr>
        <w:t>，每天上午</w:t>
      </w:r>
      <w:r>
        <w:rPr>
          <w:rFonts w:hint="eastAsia" w:ascii="仿宋" w:hAnsi="仿宋" w:eastAsia="仿宋" w:cs="仿宋"/>
          <w:sz w:val="28"/>
          <w:szCs w:val="28"/>
          <w:highlight w:val="none"/>
          <w:lang w:val="en-US" w:eastAsia="zh-CN"/>
        </w:rPr>
        <w:t>8:30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，下午</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16:30</w:t>
      </w:r>
      <w:r>
        <w:rPr>
          <w:rFonts w:ascii="仿宋" w:hAnsi="仿宋" w:eastAsia="仿宋" w:cs="仿宋"/>
          <w:sz w:val="28"/>
          <w:szCs w:val="28"/>
          <w:highlight w:val="none"/>
        </w:rPr>
        <w:t>（北京时间，法定节假日除外）。</w:t>
      </w:r>
    </w:p>
    <w:p w14:paraId="4B8FFE56">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r>
        <w:rPr>
          <w:rFonts w:hint="eastAsia" w:ascii="仿宋" w:hAnsi="仿宋" w:eastAsia="仿宋" w:cs="仿宋"/>
          <w:sz w:val="28"/>
          <w:szCs w:val="28"/>
          <w:lang w:val="en-US" w:eastAsia="zh-CN"/>
        </w:rPr>
        <w:t>。</w:t>
      </w:r>
    </w:p>
    <w:p w14:paraId="501E35BA">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3.方式：供应商持CA数字认证证书登录北京市政府采购电子交易平台（http://zbcg-bjzc.zhongcy.com/bjczj-portal-site/in</w:t>
      </w:r>
      <w:r>
        <w:rPr>
          <w:rFonts w:hint="eastAsia" w:ascii="仿宋" w:hAnsi="仿宋" w:eastAsia="仿宋" w:cs="仿宋"/>
          <w:sz w:val="28"/>
          <w:szCs w:val="28"/>
          <w:lang w:val="en-US" w:eastAsia="zh-CN"/>
        </w:rPr>
        <w:t>1</w:t>
      </w:r>
      <w:r>
        <w:rPr>
          <w:rFonts w:ascii="仿宋" w:hAnsi="仿宋" w:eastAsia="仿宋" w:cs="仿宋"/>
          <w:sz w:val="28"/>
          <w:szCs w:val="28"/>
        </w:rPr>
        <w:t>dex.html#/home）获取电子版招标文件</w:t>
      </w:r>
      <w:r>
        <w:rPr>
          <w:rFonts w:hint="eastAsia" w:ascii="仿宋" w:hAnsi="仿宋" w:eastAsia="仿宋"/>
          <w:sz w:val="28"/>
          <w:szCs w:val="28"/>
          <w:u w:val="none"/>
          <w:lang w:val="en-US" w:eastAsia="zh-CN"/>
        </w:rPr>
        <w:t>。</w:t>
      </w:r>
    </w:p>
    <w:p w14:paraId="7BFF8471">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02017B79">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713AF0C6">
      <w:pPr>
        <w:spacing w:line="360" w:lineRule="auto"/>
        <w:ind w:firstLine="420" w:firstLineChars="150"/>
        <w:rPr>
          <w:rFonts w:hint="eastAsia" w:ascii="仿宋" w:hAnsi="仿宋" w:eastAsia="仿宋" w:cs="仿宋"/>
          <w:bCs/>
          <w:sz w:val="28"/>
          <w:szCs w:val="28"/>
          <w:highlight w:val="none"/>
        </w:rPr>
      </w:pPr>
      <w:bookmarkStart w:id="19" w:name="_Toc35393794"/>
      <w:bookmarkStart w:id="20" w:name="_Toc35393625"/>
      <w:bookmarkStart w:id="21" w:name="_Toc28359007"/>
      <w:bookmarkStart w:id="22" w:name="_Toc28359084"/>
      <w:r>
        <w:rPr>
          <w:rFonts w:hint="eastAsia" w:ascii="仿宋" w:hAnsi="仿宋" w:eastAsia="仿宋" w:cs="仿宋"/>
          <w:bCs/>
          <w:sz w:val="28"/>
          <w:szCs w:val="28"/>
        </w:rPr>
        <w:t>投标截止时间、开标时</w:t>
      </w:r>
      <w:r>
        <w:rPr>
          <w:rFonts w:hint="eastAsia" w:ascii="仿宋" w:hAnsi="仿宋" w:eastAsia="仿宋" w:cs="仿宋"/>
          <w:bCs/>
          <w:sz w:val="28"/>
          <w:szCs w:val="28"/>
          <w:highlight w:val="none"/>
        </w:rPr>
        <w:t>间：</w:t>
      </w:r>
      <w:r>
        <w:rPr>
          <w:rFonts w:hint="eastAsia" w:ascii="仿宋" w:hAnsi="仿宋" w:eastAsia="仿宋" w:cs="仿宋"/>
          <w:bCs/>
          <w:sz w:val="28"/>
          <w:szCs w:val="28"/>
          <w:highlight w:val="none"/>
          <w:lang w:eastAsia="zh-CN"/>
        </w:rPr>
        <w:t>2025年10月14日下午13时30分</w:t>
      </w:r>
      <w:r>
        <w:rPr>
          <w:rFonts w:hint="eastAsia" w:ascii="仿宋" w:hAnsi="仿宋" w:eastAsia="仿宋" w:cs="仿宋"/>
          <w:bCs/>
          <w:sz w:val="28"/>
          <w:szCs w:val="28"/>
          <w:highlight w:val="none"/>
        </w:rPr>
        <w:t>（北京时间）。</w:t>
      </w:r>
    </w:p>
    <w:p w14:paraId="4AD4D731">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00C35187">
      <w:pPr>
        <w:spacing w:line="360" w:lineRule="auto"/>
        <w:ind w:firstLine="420" w:firstLineChars="150"/>
        <w:rPr>
          <w:rFonts w:hint="eastAsia" w:ascii="仿宋" w:hAnsi="仿宋" w:eastAsia="仿宋" w:cs="仿宋"/>
          <w:bCs/>
          <w:sz w:val="28"/>
          <w:szCs w:val="28"/>
        </w:rPr>
      </w:pPr>
    </w:p>
    <w:p w14:paraId="4BE590BC">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1269691B">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2859E5CF">
      <w:pPr>
        <w:pStyle w:val="3"/>
        <w:numPr>
          <w:ilvl w:val="0"/>
          <w:numId w:val="1"/>
        </w:numPr>
        <w:spacing w:line="240" w:lineRule="auto"/>
        <w:rPr>
          <w:rFonts w:hint="eastAsia" w:ascii="仿宋" w:hAnsi="仿宋" w:eastAsia="仿宋" w:cs="仿宋"/>
          <w:sz w:val="28"/>
          <w:szCs w:val="28"/>
          <w:highlight w:val="none"/>
          <w:lang w:eastAsia="zh-CN"/>
        </w:rPr>
      </w:pPr>
      <w:bookmarkStart w:id="23" w:name="_Toc35393795"/>
      <w:bookmarkStart w:id="24" w:name="_Toc35393626"/>
      <w:r>
        <w:rPr>
          <w:rFonts w:hint="eastAsia" w:ascii="仿宋" w:hAnsi="仿宋" w:eastAsia="仿宋" w:cs="仿宋"/>
          <w:b w:val="0"/>
          <w:sz w:val="28"/>
          <w:szCs w:val="28"/>
        </w:rPr>
        <w:t>其他补充事宜</w:t>
      </w:r>
      <w:bookmarkEnd w:id="23"/>
      <w:bookmarkEnd w:id="24"/>
      <w:bookmarkStart w:id="25" w:name="_Toc35393627"/>
      <w:bookmarkStart w:id="26" w:name="_Toc35393796"/>
      <w:bookmarkStart w:id="27" w:name="_Toc28359085"/>
      <w:bookmarkStart w:id="28" w:name="_Toc28359008"/>
    </w:p>
    <w:p w14:paraId="13B9EF47">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1.本项目需要落实的政府采购政策：</w:t>
      </w:r>
    </w:p>
    <w:p w14:paraId="1DBCE399">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（1）鼓励节能、环保政策：依据《财政部发展改革委生态环境部市场监管总局关于调整</w:t>
      </w:r>
    </w:p>
    <w:p w14:paraId="6B2B7F44">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     优化节能产品、环境标志产品政府采购执行机制的通知（财库（2019）9 号）》执</w:t>
      </w:r>
    </w:p>
    <w:p w14:paraId="7EAFA4F6">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     行。 </w:t>
      </w:r>
    </w:p>
    <w:p w14:paraId="29E40443">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（2）扶持中小企业政策：本项目评审时小型和微型企业产品享受10%的价格折扣。监</w:t>
      </w:r>
    </w:p>
    <w:p w14:paraId="6823E8DD">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     狱企业视同小型、微型企业。残疾人福利性单位视同小型、微型企业。不重复享</w:t>
      </w:r>
    </w:p>
    <w:p w14:paraId="10D20AC7">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     受政策。</w:t>
      </w:r>
    </w:p>
    <w:p w14:paraId="31D78AFC">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（3）本项目采购标的接受进口产品情况：本项目是否接受进口产品见第五章《采购需</w:t>
      </w:r>
    </w:p>
    <w:p w14:paraId="094DF952">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     求》。 </w:t>
      </w:r>
    </w:p>
    <w:p w14:paraId="238EE439">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申请人的资格要求补充： </w:t>
      </w:r>
    </w:p>
    <w:p w14:paraId="530443C5">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（1）被“信用中国”网站（www.creditchina.gov.cn）列入失信被执行人和重大税收</w:t>
      </w:r>
    </w:p>
    <w:p w14:paraId="0C032903">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     违法案件当事人名单的、被“中国政府采购网”网站（www.ccgp.gov.cn）列入政</w:t>
      </w:r>
    </w:p>
    <w:p w14:paraId="707631FB">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     府采购严重违法失信行为记录名单（处罚期限尚未届满的）的供应商，不得参与</w:t>
      </w:r>
    </w:p>
    <w:p w14:paraId="5B9584FA">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 xml:space="preserve">     本项目的政府采购活动。 </w:t>
      </w:r>
    </w:p>
    <w:p w14:paraId="6FBA7FCE">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（2）单位负责人为同一人或者存在直接控股、管理关系的不同供应商，不得参加同一</w:t>
      </w:r>
    </w:p>
    <w:p w14:paraId="51D39D2F">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 xml:space="preserve">     包的投标或者未划分包的同一招</w:t>
      </w:r>
      <w:bookmarkStart w:id="33" w:name="_GoBack"/>
      <w:bookmarkEnd w:id="33"/>
      <w:r>
        <w:rPr>
          <w:rFonts w:hint="eastAsia" w:ascii="仿宋" w:hAnsi="仿宋" w:eastAsia="仿宋" w:cs="仿宋"/>
          <w:b w:val="0"/>
          <w:sz w:val="28"/>
          <w:szCs w:val="28"/>
          <w:lang w:val="en-US" w:eastAsia="zh-CN"/>
        </w:rPr>
        <w:t xml:space="preserve">标项目的投标。 </w:t>
      </w:r>
    </w:p>
    <w:p w14:paraId="1153204C">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 本条所指单位负责人为同一人指单位法定代表人或者法律、行政法规规定代表</w:t>
      </w:r>
    </w:p>
    <w:p w14:paraId="07ACC1BC">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 xml:space="preserve">   单位行使职权的主要负责人。 </w:t>
      </w:r>
    </w:p>
    <w:p w14:paraId="4AC7A75E">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 xml:space="preserve">     2) 本条所指控股关系指单位或股东的控股关系。控股股东指：</w:t>
      </w:r>
    </w:p>
    <w:p w14:paraId="76EE46CA">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      a.出资额占有限责任公司资本总额百分之五十以上或者其持有的股份占股份有限</w:t>
      </w:r>
    </w:p>
    <w:p w14:paraId="6A1BAECE">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 xml:space="preserve">        公司股本总额百分之五十以上的股东； </w:t>
      </w:r>
    </w:p>
    <w:p w14:paraId="1C26E274">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 b.出资额或者持有股份的比例不足百分之五十，但其出资额或者持有的股份所享</w:t>
      </w:r>
    </w:p>
    <w:p w14:paraId="54FF8122">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 xml:space="preserve">   有的表决权已足以对股东会、股东大会的决议产生重大影响的股东。 </w:t>
      </w:r>
    </w:p>
    <w:p w14:paraId="3B78C81A">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3) 本条所指管理关系指不具有出资持股关系的其他单位之间存在的管理与被管理</w:t>
      </w:r>
    </w:p>
    <w:p w14:paraId="2ADCF1CF">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 xml:space="preserve">        关系。 </w:t>
      </w:r>
    </w:p>
    <w:p w14:paraId="025932FD">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注：本条所指的控股、管理关系仅限于直接控股、直接管理关系，不包括间接控</w:t>
      </w:r>
    </w:p>
    <w:p w14:paraId="4B6E72A0">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 xml:space="preserve">股或管理关系。 </w:t>
      </w:r>
    </w:p>
    <w:p w14:paraId="7635949A">
      <w:pPr>
        <w:pStyle w:val="3"/>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（3）为本采购项目提供过整体设计、规范编制或者项目管理、监理、检测等服务的供</w:t>
      </w:r>
    </w:p>
    <w:p w14:paraId="5F9A870D">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 xml:space="preserve">     应商及其附属机构，不得再参加本采购项目的投标活动。 </w:t>
      </w:r>
    </w:p>
    <w:p w14:paraId="23A007FF">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（4）按照招标公告要求获取了招标文件。</w:t>
      </w:r>
    </w:p>
    <w:p w14:paraId="63D9FE58">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（5）符合法律、行政法规规定的其他要求。</w:t>
      </w:r>
    </w:p>
    <w:p w14:paraId="0A6287C0">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3</w:t>
      </w:r>
      <w:r>
        <w:rPr>
          <w:rFonts w:hint="eastAsia" w:ascii="仿宋" w:hAnsi="仿宋" w:eastAsia="仿宋" w:cs="仿宋"/>
          <w:b w:val="0"/>
          <w:sz w:val="28"/>
          <w:szCs w:val="28"/>
          <w:lang w:eastAsia="zh-CN"/>
        </w:rPr>
        <w:t>.本次招标供应商必须以包为单位进行投标响应，评标和合同授予也以包为单位。</w:t>
      </w:r>
    </w:p>
    <w:p w14:paraId="28E4143E">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4</w:t>
      </w:r>
      <w:r>
        <w:rPr>
          <w:rFonts w:hint="eastAsia" w:ascii="仿宋" w:hAnsi="仿宋" w:eastAsia="仿宋" w:cs="仿宋"/>
          <w:b w:val="0"/>
          <w:sz w:val="28"/>
          <w:szCs w:val="28"/>
          <w:lang w:eastAsia="zh-CN"/>
        </w:rPr>
        <w:t>.本项目采用电子化与线下流程结合招标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155D890">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CA 数字证书服务热线 010-58511086</w:t>
      </w:r>
    </w:p>
    <w:p w14:paraId="46703A1F">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电子营业执照服务热线  400-699-7000</w:t>
      </w:r>
    </w:p>
    <w:p w14:paraId="6B4CC916">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技术支持服务热线  010-86483801</w:t>
      </w:r>
    </w:p>
    <w:p w14:paraId="2C69BFA3">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4</w:t>
      </w:r>
      <w:r>
        <w:rPr>
          <w:rFonts w:hint="eastAsia" w:ascii="仿宋" w:hAnsi="仿宋" w:eastAsia="仿宋" w:cs="仿宋"/>
          <w:b w:val="0"/>
          <w:sz w:val="28"/>
          <w:szCs w:val="28"/>
          <w:lang w:eastAsia="zh-CN"/>
        </w:rPr>
        <w:t>.1</w:t>
      </w:r>
      <w:r>
        <w:rPr>
          <w:rFonts w:hint="eastAsia" w:ascii="仿宋" w:hAnsi="仿宋" w:eastAsia="仿宋" w:cs="仿宋"/>
          <w:b w:val="0"/>
          <w:sz w:val="28"/>
          <w:szCs w:val="28"/>
          <w:lang w:val="en-US" w:eastAsia="zh-CN"/>
        </w:rPr>
        <w:t xml:space="preserve"> </w:t>
      </w:r>
      <w:r>
        <w:rPr>
          <w:rFonts w:hint="eastAsia" w:ascii="仿宋" w:hAnsi="仿宋" w:eastAsia="仿宋" w:cs="仿宋"/>
          <w:b w:val="0"/>
          <w:sz w:val="28"/>
          <w:szCs w:val="28"/>
          <w:lang w:eastAsia="zh-CN"/>
        </w:rPr>
        <w:t>办理 CA 数字证书或电子营业执照</w:t>
      </w:r>
    </w:p>
    <w:p w14:paraId="60361C93">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供应商登录北京市政府采购电子交易平台查阅 “用户指南”—“操作指南”—</w:t>
      </w:r>
    </w:p>
    <w:p w14:paraId="1266345B">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“市场主体 CA 办理操作流程指引”/“电子营业执照使用指南”，按照程序要求办理。</w:t>
      </w:r>
    </w:p>
    <w:p w14:paraId="3A88198E">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4</w:t>
      </w:r>
      <w:r>
        <w:rPr>
          <w:rFonts w:hint="eastAsia" w:ascii="仿宋" w:hAnsi="仿宋" w:eastAsia="仿宋" w:cs="仿宋"/>
          <w:b w:val="0"/>
          <w:sz w:val="28"/>
          <w:szCs w:val="28"/>
          <w:lang w:eastAsia="zh-CN"/>
        </w:rPr>
        <w:t>.2</w:t>
      </w:r>
      <w:r>
        <w:rPr>
          <w:rFonts w:hint="eastAsia" w:ascii="仿宋" w:hAnsi="仿宋" w:eastAsia="仿宋" w:cs="仿宋"/>
          <w:b w:val="0"/>
          <w:sz w:val="28"/>
          <w:szCs w:val="28"/>
          <w:lang w:val="en-US" w:eastAsia="zh-CN"/>
        </w:rPr>
        <w:t xml:space="preserve"> </w:t>
      </w:r>
      <w:r>
        <w:rPr>
          <w:rFonts w:hint="eastAsia" w:ascii="仿宋" w:hAnsi="仿宋" w:eastAsia="仿宋" w:cs="仿宋"/>
          <w:b w:val="0"/>
          <w:sz w:val="28"/>
          <w:szCs w:val="28"/>
          <w:lang w:eastAsia="zh-CN"/>
        </w:rPr>
        <w:t>注册</w:t>
      </w:r>
    </w:p>
    <w:p w14:paraId="0D5BE105">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供应商登录北京市政府采购电子交易平台“用户指南”—“操作指南”—“市</w:t>
      </w:r>
    </w:p>
    <w:p w14:paraId="6DB3D0EA">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场主体注册入库操作流程指引”进行自助注册绑定。</w:t>
      </w:r>
    </w:p>
    <w:p w14:paraId="6FE6BC5F">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4</w:t>
      </w:r>
      <w:r>
        <w:rPr>
          <w:rFonts w:hint="eastAsia" w:ascii="仿宋" w:hAnsi="仿宋" w:eastAsia="仿宋" w:cs="仿宋"/>
          <w:b w:val="0"/>
          <w:sz w:val="28"/>
          <w:szCs w:val="28"/>
          <w:lang w:eastAsia="zh-CN"/>
        </w:rPr>
        <w:t>.3</w:t>
      </w:r>
      <w:r>
        <w:rPr>
          <w:rFonts w:hint="eastAsia" w:ascii="仿宋" w:hAnsi="仿宋" w:eastAsia="仿宋" w:cs="仿宋"/>
          <w:b w:val="0"/>
          <w:sz w:val="28"/>
          <w:szCs w:val="28"/>
          <w:lang w:val="en-US" w:eastAsia="zh-CN"/>
        </w:rPr>
        <w:t xml:space="preserve"> </w:t>
      </w:r>
      <w:r>
        <w:rPr>
          <w:rFonts w:hint="eastAsia" w:ascii="仿宋" w:hAnsi="仿宋" w:eastAsia="仿宋" w:cs="仿宋"/>
          <w:b w:val="0"/>
          <w:sz w:val="28"/>
          <w:szCs w:val="28"/>
          <w:lang w:eastAsia="zh-CN"/>
        </w:rPr>
        <w:t>驱动、客户端下载</w:t>
      </w:r>
    </w:p>
    <w:p w14:paraId="2FFE7D92">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供应商登录北京市政府采购电子交易平台“用户指南”—“工具下载”—“招</w:t>
      </w:r>
    </w:p>
    <w:p w14:paraId="52BEA817">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标采购系统文件驱动安装包”下载相关驱动。</w:t>
      </w:r>
    </w:p>
    <w:p w14:paraId="3BD3324F">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供应商登录北京市政府采购电子交易平台“用户指南”—“工具下载”—“投</w:t>
      </w:r>
    </w:p>
    <w:p w14:paraId="5E3C59F8">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标文件编制工具”下载相关客户端。</w:t>
      </w:r>
    </w:p>
    <w:p w14:paraId="12E2906B">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4</w:t>
      </w:r>
      <w:r>
        <w:rPr>
          <w:rFonts w:hint="eastAsia" w:ascii="仿宋" w:hAnsi="仿宋" w:eastAsia="仿宋" w:cs="仿宋"/>
          <w:b w:val="0"/>
          <w:sz w:val="28"/>
          <w:szCs w:val="28"/>
          <w:lang w:eastAsia="zh-CN"/>
        </w:rPr>
        <w:t>.4</w:t>
      </w:r>
      <w:r>
        <w:rPr>
          <w:rFonts w:hint="eastAsia" w:ascii="仿宋" w:hAnsi="仿宋" w:eastAsia="仿宋" w:cs="仿宋"/>
          <w:b w:val="0"/>
          <w:sz w:val="28"/>
          <w:szCs w:val="28"/>
          <w:lang w:val="en-US" w:eastAsia="zh-CN"/>
        </w:rPr>
        <w:t xml:space="preserve"> </w:t>
      </w:r>
      <w:r>
        <w:rPr>
          <w:rFonts w:hint="eastAsia" w:ascii="仿宋" w:hAnsi="仿宋" w:eastAsia="仿宋" w:cs="仿宋"/>
          <w:b w:val="0"/>
          <w:sz w:val="28"/>
          <w:szCs w:val="28"/>
          <w:lang w:eastAsia="zh-CN"/>
        </w:rPr>
        <w:t>获取电子招标文件</w:t>
      </w:r>
    </w:p>
    <w:p w14:paraId="271B651B">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供应商使用 CA 数字证书或电子营业执照登录北京市政府采购电子交易平台获取</w:t>
      </w:r>
    </w:p>
    <w:p w14:paraId="41987BB8">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电子招标文件。</w:t>
      </w:r>
    </w:p>
    <w:p w14:paraId="77E8270B">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供应商如计划参与多个采购包的投标，应在登录北京市政府采购电子交易平台后，在【我的项目】栏目依次选择对应采购包，进入项目工作台招标/采购文件环节</w:t>
      </w:r>
    </w:p>
    <w:p w14:paraId="22658D6B">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分别按采购包下载招标文件电子版。未在规定期限内按上述操作获取招标文件的投标无效。</w:t>
      </w:r>
    </w:p>
    <w:p w14:paraId="3F4E293C">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4</w:t>
      </w:r>
      <w:r>
        <w:rPr>
          <w:rFonts w:hint="eastAsia" w:ascii="仿宋" w:hAnsi="仿宋" w:eastAsia="仿宋" w:cs="仿宋"/>
          <w:b w:val="0"/>
          <w:sz w:val="28"/>
          <w:szCs w:val="28"/>
          <w:lang w:eastAsia="zh-CN"/>
        </w:rPr>
        <w:t>.5</w:t>
      </w:r>
      <w:r>
        <w:rPr>
          <w:rFonts w:hint="eastAsia" w:ascii="仿宋" w:hAnsi="仿宋" w:eastAsia="仿宋" w:cs="仿宋"/>
          <w:b w:val="0"/>
          <w:sz w:val="28"/>
          <w:szCs w:val="28"/>
          <w:lang w:val="en-US" w:eastAsia="zh-CN"/>
        </w:rPr>
        <w:t xml:space="preserve"> </w:t>
      </w:r>
      <w:r>
        <w:rPr>
          <w:rFonts w:hint="eastAsia" w:ascii="仿宋" w:hAnsi="仿宋" w:eastAsia="仿宋" w:cs="仿宋"/>
          <w:b w:val="0"/>
          <w:sz w:val="28"/>
          <w:szCs w:val="28"/>
          <w:lang w:eastAsia="zh-CN"/>
        </w:rPr>
        <w:t>编制电子投标文件（本项目不适用）</w:t>
      </w:r>
    </w:p>
    <w:p w14:paraId="5D37B1A5">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供应商应使用电子投标客户端编制电子投标文件并进行线上投标，供应商电子投标</w:t>
      </w:r>
    </w:p>
    <w:p w14:paraId="2DEB7D21">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文件需要加密并加盖电子签章，如无法按照要求在电子投标文件中加盖电子签章和加密，请及时通过技术支持服务热线联系技术人员。</w:t>
      </w:r>
    </w:p>
    <w:p w14:paraId="4C8538F5">
      <w:pPr>
        <w:pStyle w:val="3"/>
        <w:spacing w:line="360" w:lineRule="auto"/>
        <w:rPr>
          <w:rFonts w:hint="eastAsia" w:ascii="仿宋" w:hAnsi="仿宋" w:eastAsia="仿宋" w:cs="仿宋"/>
          <w:b w:val="0"/>
          <w:sz w:val="28"/>
          <w:szCs w:val="28"/>
          <w:lang w:val="zh-TW" w:eastAsia="zh-CN"/>
        </w:rPr>
      </w:pPr>
      <w:r>
        <w:rPr>
          <w:rFonts w:hint="eastAsia" w:ascii="仿宋" w:hAnsi="仿宋" w:eastAsia="仿宋" w:cs="仿宋"/>
          <w:b w:val="0"/>
          <w:sz w:val="28"/>
          <w:szCs w:val="28"/>
          <w:lang w:val="en-US" w:eastAsia="zh-CN"/>
        </w:rPr>
        <w:t>4</w:t>
      </w:r>
      <w:r>
        <w:rPr>
          <w:rFonts w:hint="eastAsia" w:ascii="仿宋" w:hAnsi="仿宋" w:eastAsia="仿宋" w:cs="仿宋"/>
          <w:b w:val="0"/>
          <w:sz w:val="28"/>
          <w:szCs w:val="28"/>
          <w:lang w:val="zh-TW" w:eastAsia="zh-CN"/>
        </w:rPr>
        <w:t>.6</w:t>
      </w:r>
      <w:r>
        <w:rPr>
          <w:rFonts w:hint="eastAsia" w:ascii="仿宋" w:hAnsi="仿宋" w:eastAsia="仿宋" w:cs="仿宋"/>
          <w:b w:val="0"/>
          <w:sz w:val="28"/>
          <w:szCs w:val="28"/>
          <w:lang w:val="en-US" w:eastAsia="zh-CN"/>
        </w:rPr>
        <w:t xml:space="preserve"> </w:t>
      </w:r>
      <w:r>
        <w:rPr>
          <w:rFonts w:hint="eastAsia" w:ascii="仿宋" w:hAnsi="仿宋" w:eastAsia="仿宋" w:cs="仿宋"/>
          <w:b w:val="0"/>
          <w:sz w:val="28"/>
          <w:szCs w:val="28"/>
          <w:lang w:val="zh-TW" w:eastAsia="zh-CN"/>
        </w:rPr>
        <w:t>提交电子投标文件</w:t>
      </w:r>
      <w:r>
        <w:rPr>
          <w:rFonts w:hint="eastAsia" w:ascii="仿宋" w:hAnsi="仿宋" w:eastAsia="仿宋" w:cs="仿宋"/>
          <w:b w:val="0"/>
          <w:sz w:val="28"/>
          <w:szCs w:val="28"/>
          <w:lang w:eastAsia="zh-CN"/>
        </w:rPr>
        <w:t>（本项目不适用）</w:t>
      </w:r>
    </w:p>
    <w:p w14:paraId="4EDF7A12">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供应商应于投标截止时间前在北京市政府采购电子交易平台提交电子投标文件，上</w:t>
      </w:r>
    </w:p>
    <w:p w14:paraId="62FFB8A3">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eastAsia="zh-CN"/>
        </w:rPr>
        <w:t>传电子投标文件过程中请保持与互联网的连接畅通。</w:t>
      </w:r>
    </w:p>
    <w:p w14:paraId="7F24688F">
      <w:pPr>
        <w:pStyle w:val="3"/>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4</w:t>
      </w:r>
      <w:r>
        <w:rPr>
          <w:rFonts w:hint="eastAsia" w:ascii="仿宋" w:hAnsi="仿宋" w:eastAsia="仿宋" w:cs="仿宋"/>
          <w:b w:val="0"/>
          <w:sz w:val="28"/>
          <w:szCs w:val="28"/>
          <w:lang w:val="zh-TW" w:eastAsia="zh-CN"/>
        </w:rPr>
        <w:t>.7</w:t>
      </w:r>
      <w:r>
        <w:rPr>
          <w:rFonts w:hint="eastAsia" w:ascii="仿宋" w:hAnsi="仿宋" w:eastAsia="仿宋" w:cs="仿宋"/>
          <w:b w:val="0"/>
          <w:sz w:val="28"/>
          <w:szCs w:val="28"/>
          <w:lang w:val="en-US" w:eastAsia="zh-CN"/>
        </w:rPr>
        <w:t xml:space="preserve"> </w:t>
      </w:r>
      <w:r>
        <w:rPr>
          <w:rFonts w:hint="eastAsia" w:ascii="仿宋" w:hAnsi="仿宋" w:eastAsia="仿宋" w:cs="仿宋"/>
          <w:b w:val="0"/>
          <w:sz w:val="28"/>
          <w:szCs w:val="28"/>
          <w:lang w:val="zh-TW" w:eastAsia="zh-CN"/>
        </w:rPr>
        <w:t>电子开标</w:t>
      </w:r>
      <w:r>
        <w:rPr>
          <w:rFonts w:hint="eastAsia" w:ascii="仿宋" w:hAnsi="仿宋" w:eastAsia="仿宋" w:cs="仿宋"/>
          <w:b w:val="0"/>
          <w:sz w:val="28"/>
          <w:szCs w:val="28"/>
          <w:lang w:eastAsia="zh-CN"/>
        </w:rPr>
        <w:t>（本项目不适用）</w:t>
      </w:r>
    </w:p>
    <w:p w14:paraId="4C5C0448">
      <w:pPr>
        <w:pStyle w:val="3"/>
        <w:spacing w:line="360" w:lineRule="auto"/>
        <w:rPr>
          <w:rFonts w:hint="eastAsia"/>
          <w:lang w:eastAsia="zh-CN"/>
        </w:rPr>
      </w:pPr>
      <w:r>
        <w:rPr>
          <w:rFonts w:hint="eastAsia" w:ascii="仿宋" w:hAnsi="仿宋" w:eastAsia="仿宋" w:cs="仿宋"/>
          <w:b w:val="0"/>
          <w:sz w:val="28"/>
          <w:szCs w:val="28"/>
          <w:lang w:val="zh-TW" w:eastAsia="zh-CN"/>
        </w:rPr>
        <w:t>供应商在开标地点使用</w:t>
      </w:r>
      <w:r>
        <w:rPr>
          <w:rFonts w:hint="eastAsia" w:ascii="仿宋" w:hAnsi="仿宋" w:eastAsia="仿宋" w:cs="仿宋"/>
          <w:b w:val="0"/>
          <w:sz w:val="28"/>
          <w:szCs w:val="28"/>
          <w:lang w:eastAsia="zh-CN"/>
        </w:rPr>
        <w:t>CA认证证书</w:t>
      </w:r>
      <w:r>
        <w:rPr>
          <w:rFonts w:hint="eastAsia" w:ascii="仿宋" w:hAnsi="仿宋" w:eastAsia="仿宋" w:cs="仿宋"/>
          <w:b w:val="0"/>
          <w:sz w:val="28"/>
          <w:szCs w:val="28"/>
          <w:lang w:val="zh-TW" w:eastAsia="zh-CN"/>
        </w:rPr>
        <w:t>登录</w:t>
      </w:r>
      <w:r>
        <w:rPr>
          <w:rFonts w:hint="eastAsia" w:ascii="仿宋" w:hAnsi="仿宋" w:eastAsia="仿宋" w:cs="仿宋"/>
          <w:b w:val="0"/>
          <w:sz w:val="28"/>
          <w:szCs w:val="28"/>
          <w:lang w:eastAsia="zh-CN"/>
        </w:rPr>
        <w:t>北京市政府采购电子交易平台进行电子开标</w:t>
      </w:r>
      <w:r>
        <w:rPr>
          <w:rFonts w:hint="eastAsia" w:ascii="仿宋" w:hAnsi="仿宋" w:eastAsia="仿宋" w:cs="仿宋"/>
          <w:b w:val="0"/>
          <w:sz w:val="28"/>
          <w:szCs w:val="28"/>
          <w:lang w:val="zh-TW" w:eastAsia="zh-CN"/>
        </w:rPr>
        <w:t>。</w:t>
      </w:r>
    </w:p>
    <w:p w14:paraId="3F55A46C">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30FF855B">
      <w:pPr>
        <w:widowControl/>
        <w:ind w:firstLine="840" w:firstLineChars="300"/>
        <w:jc w:val="left"/>
        <w:rPr>
          <w:rFonts w:ascii="仿宋" w:hAnsi="仿宋" w:eastAsia="仿宋" w:cs="仿宋"/>
          <w:sz w:val="28"/>
          <w:szCs w:val="28"/>
        </w:rPr>
      </w:pPr>
      <w:r>
        <w:rPr>
          <w:rFonts w:hint="eastAsia" w:ascii="仿宋" w:hAnsi="仿宋" w:eastAsia="仿宋" w:cs="仿宋"/>
          <w:sz w:val="28"/>
          <w:szCs w:val="28"/>
        </w:rPr>
        <w:t>1.采购人信息</w:t>
      </w:r>
    </w:p>
    <w:p w14:paraId="4C86AF3A">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首都医科大学附属北京胸科医院</w:t>
      </w:r>
    </w:p>
    <w:p w14:paraId="13759688">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北京市通州区北关大街9号院</w:t>
      </w:r>
    </w:p>
    <w:p w14:paraId="26F9DCE2">
      <w:pPr>
        <w:spacing w:line="360" w:lineRule="auto"/>
        <w:ind w:left="1129" w:leftChars="371" w:hanging="350" w:hangingChars="125"/>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联系方式：</w:t>
      </w:r>
      <w:bookmarkStart w:id="29" w:name="_Toc28359009"/>
      <w:bookmarkStart w:id="30" w:name="_Toc28359086"/>
      <w:r>
        <w:rPr>
          <w:rFonts w:hint="eastAsia" w:ascii="仿宋" w:hAnsi="仿宋" w:eastAsia="仿宋" w:cs="仿宋"/>
          <w:sz w:val="28"/>
          <w:szCs w:val="28"/>
          <w:u w:val="single"/>
          <w:lang w:eastAsia="zh-CN"/>
        </w:rPr>
        <w:t>010-89509596</w:t>
      </w:r>
    </w:p>
    <w:bookmarkEnd w:id="29"/>
    <w:bookmarkEnd w:id="30"/>
    <w:p w14:paraId="7C317331">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p>
    <w:p w14:paraId="5235D0B3">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14:paraId="09964EC2">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14:paraId="0FFBCF0F">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联系方式：</w:t>
      </w:r>
      <w:bookmarkStart w:id="31" w:name="_Toc28359087"/>
      <w:bookmarkStart w:id="32" w:name="_Toc28359010"/>
      <w:r>
        <w:rPr>
          <w:rFonts w:hint="eastAsia" w:ascii="仿宋" w:hAnsi="仿宋" w:eastAsia="仿宋" w:cs="仿宋"/>
          <w:sz w:val="28"/>
          <w:szCs w:val="28"/>
          <w:lang w:eastAsia="zh-CN"/>
        </w:rPr>
        <w:t>010-85343456</w:t>
      </w:r>
    </w:p>
    <w:p w14:paraId="02249F39">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3.项目联系方式</w:t>
      </w:r>
      <w:bookmarkEnd w:id="31"/>
      <w:bookmarkEnd w:id="32"/>
    </w:p>
    <w:p w14:paraId="0B8F97A4">
      <w:pPr>
        <w:pStyle w:val="8"/>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u w:val="single"/>
          <w:lang w:val="en-US" w:eastAsia="zh-CN"/>
        </w:rPr>
        <w:t>王崴</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张珊、</w:t>
      </w:r>
      <w:r>
        <w:rPr>
          <w:rFonts w:hint="eastAsia" w:ascii="仿宋" w:hAnsi="仿宋" w:eastAsia="仿宋" w:cs="仿宋"/>
          <w:sz w:val="28"/>
          <w:szCs w:val="28"/>
          <w:u w:val="single"/>
          <w:lang w:eastAsia="zh-CN"/>
        </w:rPr>
        <w:t>梁潇</w:t>
      </w:r>
    </w:p>
    <w:p w14:paraId="099E92B4">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sz w:val="28"/>
          <w:szCs w:val="28"/>
        </w:rPr>
        <w:t>电　话：</w:t>
      </w:r>
      <w:r>
        <w:rPr>
          <w:rFonts w:hint="eastAsia" w:ascii="仿宋" w:hAnsi="仿宋" w:eastAsia="仿宋" w:cs="仿宋"/>
          <w:sz w:val="28"/>
          <w:szCs w:val="28"/>
          <w:lang w:eastAsia="zh-CN"/>
        </w:rPr>
        <w:t>010-85343456</w:t>
      </w:r>
    </w:p>
    <w:p w14:paraId="06A0D8F5">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4F7167"/>
    <w:rsid w:val="04923431"/>
    <w:rsid w:val="04B24EC3"/>
    <w:rsid w:val="07A54001"/>
    <w:rsid w:val="07FC3326"/>
    <w:rsid w:val="0854278F"/>
    <w:rsid w:val="090D2269"/>
    <w:rsid w:val="0AF376E5"/>
    <w:rsid w:val="0B616D1D"/>
    <w:rsid w:val="0BA430E7"/>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B0442B0"/>
    <w:rsid w:val="1B4048D1"/>
    <w:rsid w:val="1B866B59"/>
    <w:rsid w:val="1C4972F3"/>
    <w:rsid w:val="1CCA710D"/>
    <w:rsid w:val="1E1411A7"/>
    <w:rsid w:val="1ED35AA3"/>
    <w:rsid w:val="1EE17DC8"/>
    <w:rsid w:val="1F9E2BED"/>
    <w:rsid w:val="205C14B5"/>
    <w:rsid w:val="2113111A"/>
    <w:rsid w:val="21457417"/>
    <w:rsid w:val="2224601B"/>
    <w:rsid w:val="230456A7"/>
    <w:rsid w:val="239B2179"/>
    <w:rsid w:val="243E0FE4"/>
    <w:rsid w:val="256C4FCA"/>
    <w:rsid w:val="25B76FF0"/>
    <w:rsid w:val="25F33BB6"/>
    <w:rsid w:val="25FF1B34"/>
    <w:rsid w:val="26AD7506"/>
    <w:rsid w:val="27401BB2"/>
    <w:rsid w:val="285212FE"/>
    <w:rsid w:val="291C4B35"/>
    <w:rsid w:val="2A874528"/>
    <w:rsid w:val="2BCA04EF"/>
    <w:rsid w:val="2EC63CE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D81DC5"/>
    <w:rsid w:val="387B69BA"/>
    <w:rsid w:val="390377C3"/>
    <w:rsid w:val="3D0657A9"/>
    <w:rsid w:val="3D7344A5"/>
    <w:rsid w:val="3DA90D42"/>
    <w:rsid w:val="3F302C3B"/>
    <w:rsid w:val="40331F2C"/>
    <w:rsid w:val="40E6314D"/>
    <w:rsid w:val="40FD2E2B"/>
    <w:rsid w:val="425D1A0B"/>
    <w:rsid w:val="43CA6B8D"/>
    <w:rsid w:val="440700DA"/>
    <w:rsid w:val="459660BA"/>
    <w:rsid w:val="46AF7F09"/>
    <w:rsid w:val="46CA2B46"/>
    <w:rsid w:val="46D52298"/>
    <w:rsid w:val="48A87680"/>
    <w:rsid w:val="494E49AA"/>
    <w:rsid w:val="49D734B4"/>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C23F57"/>
    <w:rsid w:val="52EF249C"/>
    <w:rsid w:val="531E6325"/>
    <w:rsid w:val="53457C95"/>
    <w:rsid w:val="53A86942"/>
    <w:rsid w:val="53D23BDF"/>
    <w:rsid w:val="548D63DA"/>
    <w:rsid w:val="567B02F2"/>
    <w:rsid w:val="5814071D"/>
    <w:rsid w:val="59413C36"/>
    <w:rsid w:val="5A59165A"/>
    <w:rsid w:val="5B4857A8"/>
    <w:rsid w:val="5BC0634E"/>
    <w:rsid w:val="5C69757C"/>
    <w:rsid w:val="5D5B3753"/>
    <w:rsid w:val="5E127261"/>
    <w:rsid w:val="5F100B70"/>
    <w:rsid w:val="62AC0550"/>
    <w:rsid w:val="62CA27A3"/>
    <w:rsid w:val="63DB4629"/>
    <w:rsid w:val="643D1F77"/>
    <w:rsid w:val="64793376"/>
    <w:rsid w:val="65EE2A50"/>
    <w:rsid w:val="66940DD7"/>
    <w:rsid w:val="66DD3ED2"/>
    <w:rsid w:val="677A75D3"/>
    <w:rsid w:val="68DF504F"/>
    <w:rsid w:val="68E02922"/>
    <w:rsid w:val="69725190"/>
    <w:rsid w:val="69A54848"/>
    <w:rsid w:val="6A373141"/>
    <w:rsid w:val="6B2262B4"/>
    <w:rsid w:val="6C3D7821"/>
    <w:rsid w:val="71EE7763"/>
    <w:rsid w:val="72F23D89"/>
    <w:rsid w:val="73723423"/>
    <w:rsid w:val="74057A00"/>
    <w:rsid w:val="74294E24"/>
    <w:rsid w:val="74A81DB4"/>
    <w:rsid w:val="74AE2CAA"/>
    <w:rsid w:val="750652A7"/>
    <w:rsid w:val="7506570B"/>
    <w:rsid w:val="7522503C"/>
    <w:rsid w:val="76A9682B"/>
    <w:rsid w:val="7747264E"/>
    <w:rsid w:val="77C65F49"/>
    <w:rsid w:val="78B910A6"/>
    <w:rsid w:val="793730E3"/>
    <w:rsid w:val="798538CB"/>
    <w:rsid w:val="7A4A0D23"/>
    <w:rsid w:val="7AE57ADF"/>
    <w:rsid w:val="7BD323FA"/>
    <w:rsid w:val="7BFF4A28"/>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1"/>
    <w:qFormat/>
    <w:uiPriority w:val="0"/>
    <w:pPr>
      <w:spacing w:after="120"/>
    </w:pPr>
    <w:rPr>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character" w:styleId="12">
    <w:name w:val="FollowedHyperlink"/>
    <w:basedOn w:val="11"/>
    <w:qFormat/>
    <w:uiPriority w:val="0"/>
    <w:rPr>
      <w:color w:val="2490F8"/>
      <w:u w:val="single"/>
    </w:rPr>
  </w:style>
  <w:style w:type="character" w:styleId="13">
    <w:name w:val="Hyperlink"/>
    <w:basedOn w:val="11"/>
    <w:qFormat/>
    <w:uiPriority w:val="0"/>
    <w:rPr>
      <w:color w:val="2490F8"/>
      <w:u w:val="single"/>
    </w:rPr>
  </w:style>
  <w:style w:type="paragraph" w:customStyle="1" w:styleId="1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
    <w:name w:val="首行缩进"/>
    <w:basedOn w:val="1"/>
    <w:qFormat/>
    <w:uiPriority w:val="0"/>
    <w:pPr>
      <w:spacing w:line="360" w:lineRule="auto"/>
      <w:ind w:firstLine="480" w:firstLineChars="200"/>
    </w:pPr>
    <w:rPr>
      <w:rFonts w:ascii="宋体" w:hAnsi="宋体" w:cs="宋体"/>
      <w:kern w:val="0"/>
      <w:sz w:val="24"/>
    </w:rPr>
  </w:style>
  <w:style w:type="paragraph" w:customStyle="1" w:styleId="16">
    <w:name w:val="表格文字"/>
    <w:basedOn w:val="1"/>
    <w:qFormat/>
    <w:uiPriority w:val="0"/>
    <w:pPr>
      <w:spacing w:before="25" w:after="25"/>
      <w:jc w:val="left"/>
    </w:pPr>
    <w:rPr>
      <w:bCs/>
      <w:spacing w:val="10"/>
      <w:kern w:val="0"/>
      <w:sz w:val="24"/>
    </w:rPr>
  </w:style>
  <w:style w:type="paragraph" w:customStyle="1" w:styleId="17">
    <w:name w:val="列表段落1"/>
    <w:basedOn w:val="1"/>
    <w:qFormat/>
    <w:uiPriority w:val="34"/>
    <w:pPr>
      <w:ind w:firstLine="420" w:firstLineChars="200"/>
    </w:pPr>
  </w:style>
  <w:style w:type="paragraph" w:customStyle="1" w:styleId="18">
    <w:name w:val="正文3"/>
    <w:qFormat/>
    <w:uiPriority w:val="0"/>
    <w:pPr>
      <w:jc w:val="both"/>
    </w:pPr>
    <w:rPr>
      <w:rFonts w:ascii="Calibri" w:hAnsi="Calibri" w:eastAsia="宋体" w:cs="Times New Roman"/>
      <w:kern w:val="2"/>
      <w:sz w:val="21"/>
      <w:szCs w:val="21"/>
      <w:lang w:val="en-US" w:eastAsia="zh-CN" w:bidi="ar-SA"/>
    </w:rPr>
  </w:style>
  <w:style w:type="character" w:customStyle="1" w:styleId="19">
    <w:name w:val="font21"/>
    <w:basedOn w:val="11"/>
    <w:qFormat/>
    <w:uiPriority w:val="0"/>
    <w:rPr>
      <w:rFonts w:ascii="Tahoma" w:hAnsi="Tahoma" w:eastAsia="Tahoma" w:cs="Tahoma"/>
      <w:color w:val="000000"/>
      <w:sz w:val="22"/>
      <w:szCs w:val="22"/>
      <w:u w:val="none"/>
    </w:rPr>
  </w:style>
  <w:style w:type="character" w:customStyle="1" w:styleId="20">
    <w:name w:val="drapbtn"/>
    <w:basedOn w:val="11"/>
    <w:qFormat/>
    <w:uiPriority w:val="0"/>
  </w:style>
  <w:style w:type="character" w:customStyle="1" w:styleId="21">
    <w:name w:val="button"/>
    <w:basedOn w:val="11"/>
    <w:qFormat/>
    <w:uiPriority w:val="0"/>
  </w:style>
  <w:style w:type="character" w:customStyle="1" w:styleId="22">
    <w:name w:val="iconline2"/>
    <w:basedOn w:val="11"/>
    <w:qFormat/>
    <w:uiPriority w:val="0"/>
  </w:style>
  <w:style w:type="character" w:customStyle="1" w:styleId="23">
    <w:name w:val="icontext3"/>
    <w:basedOn w:val="11"/>
    <w:qFormat/>
    <w:uiPriority w:val="0"/>
  </w:style>
  <w:style w:type="character" w:customStyle="1" w:styleId="24">
    <w:name w:val="after"/>
    <w:basedOn w:val="11"/>
    <w:qFormat/>
    <w:uiPriority w:val="0"/>
    <w:rPr>
      <w:sz w:val="0"/>
      <w:szCs w:val="0"/>
    </w:rPr>
  </w:style>
  <w:style w:type="character" w:customStyle="1" w:styleId="25">
    <w:name w:val="pagechatarealistclose_box"/>
    <w:basedOn w:val="11"/>
    <w:qFormat/>
    <w:uiPriority w:val="0"/>
  </w:style>
  <w:style w:type="character" w:customStyle="1" w:styleId="26">
    <w:name w:val="pagechatarealistclose_box1"/>
    <w:basedOn w:val="11"/>
    <w:qFormat/>
    <w:uiPriority w:val="0"/>
  </w:style>
  <w:style w:type="character" w:customStyle="1" w:styleId="27">
    <w:name w:val="cy"/>
    <w:basedOn w:val="11"/>
    <w:qFormat/>
    <w:uiPriority w:val="0"/>
  </w:style>
  <w:style w:type="character" w:customStyle="1" w:styleId="28">
    <w:name w:val="hilite5"/>
    <w:basedOn w:val="11"/>
    <w:qFormat/>
    <w:uiPriority w:val="0"/>
    <w:rPr>
      <w:color w:val="FFFFFF"/>
      <w:shd w:val="clear" w:fill="666666"/>
    </w:rPr>
  </w:style>
  <w:style w:type="character" w:customStyle="1" w:styleId="29">
    <w:name w:val="layui-layer-tabnow"/>
    <w:basedOn w:val="11"/>
    <w:qFormat/>
    <w:uiPriority w:val="0"/>
    <w:rPr>
      <w:bdr w:val="single" w:color="CCCCCC" w:sz="6" w:space="0"/>
      <w:shd w:val="clear" w:fill="FFFFFF"/>
    </w:rPr>
  </w:style>
  <w:style w:type="character" w:customStyle="1" w:styleId="30">
    <w:name w:val="cdropright"/>
    <w:basedOn w:val="11"/>
    <w:qFormat/>
    <w:uiPriority w:val="0"/>
  </w:style>
  <w:style w:type="character" w:customStyle="1" w:styleId="31">
    <w:name w:val="ico1651"/>
    <w:basedOn w:val="11"/>
    <w:qFormat/>
    <w:uiPriority w:val="0"/>
  </w:style>
  <w:style w:type="character" w:customStyle="1" w:styleId="32">
    <w:name w:val="ico1652"/>
    <w:basedOn w:val="11"/>
    <w:qFormat/>
    <w:uiPriority w:val="0"/>
  </w:style>
  <w:style w:type="character" w:customStyle="1" w:styleId="33">
    <w:name w:val="associateddata"/>
    <w:basedOn w:val="11"/>
    <w:qFormat/>
    <w:uiPriority w:val="0"/>
    <w:rPr>
      <w:shd w:val="clear" w:fill="50A6F9"/>
    </w:rPr>
  </w:style>
  <w:style w:type="character" w:customStyle="1" w:styleId="34">
    <w:name w:val="cdropleft"/>
    <w:basedOn w:val="11"/>
    <w:qFormat/>
    <w:uiPriority w:val="0"/>
  </w:style>
  <w:style w:type="character" w:customStyle="1" w:styleId="35">
    <w:name w:val="active7"/>
    <w:basedOn w:val="11"/>
    <w:qFormat/>
    <w:uiPriority w:val="0"/>
    <w:rPr>
      <w:shd w:val="clear" w:fill="EC3535"/>
    </w:rPr>
  </w:style>
  <w:style w:type="character" w:customStyle="1" w:styleId="36">
    <w:name w:val="active8"/>
    <w:basedOn w:val="11"/>
    <w:qFormat/>
    <w:uiPriority w:val="0"/>
    <w:rPr>
      <w:color w:val="00FF00"/>
      <w:shd w:val="clear" w:fill="111111"/>
    </w:rPr>
  </w:style>
  <w:style w:type="character" w:customStyle="1" w:styleId="37">
    <w:name w:val="icontext2"/>
    <w:basedOn w:val="11"/>
    <w:qFormat/>
    <w:uiPriority w:val="0"/>
  </w:style>
  <w:style w:type="character" w:customStyle="1" w:styleId="38">
    <w:name w:val="tmpztreemove_arrow"/>
    <w:basedOn w:val="11"/>
    <w:qFormat/>
    <w:uiPriority w:val="0"/>
  </w:style>
  <w:style w:type="character" w:customStyle="1" w:styleId="39">
    <w:name w:val="icontext1"/>
    <w:basedOn w:val="11"/>
    <w:qFormat/>
    <w:uiPriority w:val="0"/>
  </w:style>
  <w:style w:type="character" w:customStyle="1" w:styleId="40">
    <w:name w:val="icontext11"/>
    <w:basedOn w:val="11"/>
    <w:qFormat/>
    <w:uiPriority w:val="0"/>
  </w:style>
  <w:style w:type="character" w:customStyle="1" w:styleId="41">
    <w:name w:val="icontext12"/>
    <w:basedOn w:val="11"/>
    <w:qFormat/>
    <w:uiPriority w:val="0"/>
  </w:style>
  <w:style w:type="character" w:customStyle="1" w:styleId="42">
    <w:name w:val="w32"/>
    <w:basedOn w:val="11"/>
    <w:qFormat/>
    <w:uiPriority w:val="0"/>
  </w:style>
  <w:style w:type="character" w:customStyle="1" w:styleId="43">
    <w:name w:val="first-child"/>
    <w:basedOn w:val="11"/>
    <w:qFormat/>
    <w:uiPriority w:val="0"/>
  </w:style>
  <w:style w:type="character" w:customStyle="1" w:styleId="44">
    <w:name w:val="ico1654"/>
    <w:basedOn w:val="11"/>
    <w:qFormat/>
    <w:uiPriority w:val="0"/>
  </w:style>
  <w:style w:type="character" w:customStyle="1" w:styleId="45">
    <w:name w:val="active"/>
    <w:basedOn w:val="11"/>
    <w:qFormat/>
    <w:uiPriority w:val="0"/>
    <w:rPr>
      <w:color w:val="00FF00"/>
      <w:shd w:val="clear" w:fill="111111"/>
    </w:rPr>
  </w:style>
  <w:style w:type="character" w:customStyle="1" w:styleId="46">
    <w:name w:val="active1"/>
    <w:basedOn w:val="11"/>
    <w:qFormat/>
    <w:uiPriority w:val="0"/>
    <w:rPr>
      <w:shd w:val="clear" w:fill="EC3535"/>
    </w:rPr>
  </w:style>
  <w:style w:type="character" w:customStyle="1" w:styleId="47">
    <w:name w:val="hilite6"/>
    <w:basedOn w:val="11"/>
    <w:qFormat/>
    <w:uiPriority w:val="0"/>
    <w:rPr>
      <w:color w:val="FFFFFF"/>
      <w:shd w:val="clear" w:fill="666666"/>
    </w:rPr>
  </w:style>
  <w:style w:type="paragraph" w:customStyle="1" w:styleId="48">
    <w:name w:val="Table Paragraph"/>
    <w:basedOn w:val="1"/>
    <w:qFormat/>
    <w:uiPriority w:val="1"/>
    <w:rPr>
      <w:rFonts w:ascii="宋体" w:hAnsi="宋体" w:eastAsia="宋体" w:cs="宋体"/>
    </w:rPr>
  </w:style>
  <w:style w:type="paragraph" w:customStyle="1" w:styleId="49">
    <w:name w:val="List Paragraph"/>
    <w:basedOn w:val="1"/>
    <w:qFormat/>
    <w:uiPriority w:val="1"/>
    <w:pPr>
      <w:spacing w:before="134"/>
      <w:ind w:left="1196" w:hanging="720"/>
    </w:pPr>
    <w:rPr>
      <w:rFonts w:ascii="宋体" w:hAnsi="宋体" w:eastAsia="宋体"/>
      <w:sz w:val="20"/>
    </w:rPr>
  </w:style>
  <w:style w:type="character" w:customStyle="1" w:styleId="50">
    <w:name w:val="font11"/>
    <w:basedOn w:val="11"/>
    <w:qFormat/>
    <w:uiPriority w:val="0"/>
    <w:rPr>
      <w:rFonts w:hint="eastAsia" w:ascii="宋体" w:hAnsi="宋体" w:eastAsia="宋体" w:cs="宋体"/>
      <w:color w:val="000000"/>
      <w:sz w:val="21"/>
      <w:szCs w:val="21"/>
      <w:u w:val="none"/>
    </w:rPr>
  </w:style>
  <w:style w:type="paragraph" w:customStyle="1" w:styleId="51">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1813</Words>
  <Characters>2120</Characters>
  <Lines>18</Lines>
  <Paragraphs>5</Paragraphs>
  <TotalTime>0</TotalTime>
  <ScaleCrop>false</ScaleCrop>
  <LinksUpToDate>false</LinksUpToDate>
  <CharactersWithSpaces>2147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2025-09-23T05:49:46Z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85F3E1CD7E7F4B559119305EF1AA3DA2_13</vt:lpwstr>
  </property>
  <property fmtid="{D5CDD505-2E9C-101B-9397-08002B2CF9AE}" pid="4" name="KSOTemplateDocerSaveRecord">
    <vt:lpwstr>eyJoZGlkIjoiMDcyMmFjNmZjM2U5ODcyZjQ5NTE0NjNjMjU2OTE5OTIiLCJ1c2VySWQiOiI4NDYxOTIwMTUifQ==</vt:lpwstr>
  </property>
</Properties>
</file>