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01" w:rsidRPr="001F2C01" w:rsidRDefault="001F2C01" w:rsidP="001F2C01">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r w:rsidRPr="001F2C01">
        <w:rPr>
          <w:rFonts w:ascii="Calibri" w:eastAsia="宋体" w:hAnsi="Calibri" w:cs="Times New Roman" w:hint="eastAsia"/>
          <w:b/>
          <w:sz w:val="36"/>
          <w:szCs w:val="36"/>
        </w:rPr>
        <w:t>第五章</w:t>
      </w:r>
      <w:r w:rsidRPr="001F2C01">
        <w:rPr>
          <w:rFonts w:ascii="Calibri" w:eastAsia="宋体" w:hAnsi="Calibri" w:cs="Times New Roman"/>
          <w:b/>
          <w:sz w:val="36"/>
          <w:szCs w:val="36"/>
        </w:rPr>
        <w:t xml:space="preserve">   </w:t>
      </w:r>
      <w:r w:rsidRPr="001F2C01">
        <w:rPr>
          <w:rFonts w:ascii="Calibri" w:eastAsia="宋体" w:hAnsi="Calibri" w:cs="Times New Roman" w:hint="eastAsia"/>
          <w:b/>
          <w:sz w:val="36"/>
          <w:szCs w:val="36"/>
        </w:rPr>
        <w:t>采购需求</w:t>
      </w:r>
      <w:bookmarkEnd w:id="0"/>
    </w:p>
    <w:p w:rsidR="001F2C01" w:rsidRPr="001F2C01" w:rsidRDefault="001F2C01" w:rsidP="001F2C01">
      <w:pPr>
        <w:rPr>
          <w:rFonts w:ascii="Calibri" w:eastAsia="宋体" w:hAnsi="Calibri" w:cs="Times New Roman"/>
          <w:szCs w:val="24"/>
        </w:rPr>
      </w:pPr>
    </w:p>
    <w:p w:rsidR="001F2C01" w:rsidRPr="001F2C01" w:rsidRDefault="001F2C01" w:rsidP="001F2C01">
      <w:pPr>
        <w:snapToGrid w:val="0"/>
        <w:spacing w:beforeLines="50" w:before="120" w:line="360" w:lineRule="auto"/>
        <w:rPr>
          <w:rFonts w:ascii="仿宋" w:eastAsia="仿宋" w:hAnsi="仿宋" w:cs="Times New Roman"/>
          <w:b/>
          <w:sz w:val="24"/>
          <w:szCs w:val="24"/>
        </w:rPr>
      </w:pPr>
      <w:r w:rsidRPr="001F2C01">
        <w:rPr>
          <w:rFonts w:ascii="仿宋" w:eastAsia="仿宋" w:hAnsi="仿宋" w:cs="Times New Roman" w:hint="eastAsia"/>
          <w:b/>
          <w:sz w:val="24"/>
          <w:szCs w:val="24"/>
        </w:rPr>
        <w:t>一、采购标的需实现的功能或者目标，以及为落实政府采购政策需满足的要求</w:t>
      </w:r>
    </w:p>
    <w:p w:rsidR="001F2C01" w:rsidRPr="001F2C01" w:rsidRDefault="001F2C01" w:rsidP="001F2C01">
      <w:pPr>
        <w:tabs>
          <w:tab w:val="left" w:pos="7980"/>
        </w:tabs>
        <w:spacing w:beforeLines="50" w:before="120" w:line="360" w:lineRule="auto"/>
        <w:rPr>
          <w:rFonts w:ascii="仿宋" w:eastAsia="仿宋" w:hAnsi="仿宋" w:cs="Times New Roman" w:hint="eastAsia"/>
          <w:b/>
          <w:bCs/>
          <w:sz w:val="24"/>
          <w:szCs w:val="24"/>
        </w:rPr>
      </w:pPr>
      <w:r w:rsidRPr="001F2C01">
        <w:rPr>
          <w:rFonts w:ascii="仿宋" w:eastAsia="仿宋" w:hAnsi="仿宋" w:cs="Times New Roman" w:hint="eastAsia"/>
          <w:b/>
          <w:bCs/>
          <w:sz w:val="24"/>
          <w:szCs w:val="24"/>
        </w:rPr>
        <w:t>（一）采购标的需实现的功能或者目标：</w:t>
      </w:r>
    </w:p>
    <w:p w:rsidR="001F2C01" w:rsidRPr="001F2C01" w:rsidRDefault="001F2C01" w:rsidP="001F2C01">
      <w:pPr>
        <w:autoSpaceDE w:val="0"/>
        <w:autoSpaceDN w:val="0"/>
        <w:adjustRightInd w:val="0"/>
        <w:spacing w:before="5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本次招标采购是为北京市公安局公安交通管理局车辆管理所采购机动车驾驶证证夹、行驶证证夹，投标人应根据招标文件所提出的技术规格和服务要求，综合考虑设备的适用性，选择需要最佳性能价格比的货物前来投标。投标人应以技术先进的货物、优良的服务和优惠的价格，充分显示自己的竞争实力。</w:t>
      </w:r>
    </w:p>
    <w:p w:rsidR="001F2C01" w:rsidRPr="001F2C01" w:rsidRDefault="001F2C01" w:rsidP="001F2C01">
      <w:pPr>
        <w:spacing w:beforeLines="50" w:before="120" w:line="360" w:lineRule="auto"/>
        <w:rPr>
          <w:rFonts w:ascii="仿宋" w:eastAsia="仿宋" w:hAnsi="仿宋" w:cs="Times New Roman" w:hint="eastAsia"/>
          <w:b/>
          <w:bCs/>
          <w:sz w:val="24"/>
          <w:szCs w:val="24"/>
        </w:rPr>
      </w:pPr>
      <w:r w:rsidRPr="001F2C01">
        <w:rPr>
          <w:rFonts w:ascii="仿宋" w:eastAsia="仿宋" w:hAnsi="仿宋" w:cs="Times New Roman" w:hint="eastAsia"/>
          <w:b/>
          <w:bCs/>
          <w:sz w:val="24"/>
          <w:szCs w:val="24"/>
        </w:rPr>
        <w:t>（二）为落实政府采购政策需满足的要求</w:t>
      </w:r>
    </w:p>
    <w:p w:rsidR="001F2C01" w:rsidRPr="001F2C01" w:rsidRDefault="001F2C01" w:rsidP="001F2C01">
      <w:pPr>
        <w:numPr>
          <w:ilvl w:val="0"/>
          <w:numId w:val="1"/>
        </w:numPr>
        <w:tabs>
          <w:tab w:val="left" w:pos="900"/>
        </w:tabs>
        <w:spacing w:beforeLines="50" w:before="120" w:line="360" w:lineRule="auto"/>
        <w:rPr>
          <w:rFonts w:ascii="仿宋" w:eastAsia="仿宋" w:hAnsi="仿宋" w:cs="Times New Roman" w:hint="eastAsia"/>
          <w:sz w:val="24"/>
          <w:szCs w:val="24"/>
        </w:rPr>
      </w:pPr>
      <w:r w:rsidRPr="001F2C01">
        <w:rPr>
          <w:rFonts w:ascii="仿宋" w:eastAsia="仿宋" w:hAnsi="仿宋" w:cs="Times New Roman" w:hint="eastAsia"/>
          <w:sz w:val="24"/>
          <w:szCs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1F2C01">
        <w:rPr>
          <w:rFonts w:ascii="仿宋" w:eastAsia="仿宋" w:hAnsi="仿宋" w:cs="Times New Roman" w:hint="eastAsia"/>
          <w:sz w:val="24"/>
          <w:szCs w:val="24"/>
        </w:rPr>
        <w:t>声明函不真实</w:t>
      </w:r>
      <w:proofErr w:type="gramEnd"/>
      <w:r w:rsidRPr="001F2C01">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1F2C01">
        <w:rPr>
          <w:rFonts w:ascii="仿宋" w:eastAsia="仿宋" w:hAnsi="仿宋" w:cs="Times New Roman" w:hint="eastAsia"/>
          <w:sz w:val="24"/>
          <w:szCs w:val="24"/>
        </w:rPr>
        <w:t>微企业</w:t>
      </w:r>
      <w:proofErr w:type="gramEnd"/>
      <w:r w:rsidRPr="001F2C01">
        <w:rPr>
          <w:rFonts w:ascii="仿宋" w:eastAsia="仿宋" w:hAnsi="仿宋" w:cs="Times New Roman" w:hint="eastAsia"/>
          <w:sz w:val="24"/>
          <w:szCs w:val="24"/>
        </w:rPr>
        <w:t>不得将合同分包给大中型企业，中型企业不得将合同分包给大型企业。）</w:t>
      </w:r>
    </w:p>
    <w:p w:rsidR="001F2C01" w:rsidRPr="001F2C01" w:rsidRDefault="001F2C01" w:rsidP="001F2C01">
      <w:pPr>
        <w:numPr>
          <w:ilvl w:val="0"/>
          <w:numId w:val="1"/>
        </w:numPr>
        <w:snapToGrid w:val="0"/>
        <w:spacing w:beforeLines="50" w:before="120" w:line="360" w:lineRule="auto"/>
        <w:rPr>
          <w:rFonts w:ascii="仿宋" w:eastAsia="仿宋" w:hAnsi="仿宋" w:cs="Times New Roman" w:hint="eastAsia"/>
          <w:sz w:val="24"/>
          <w:szCs w:val="24"/>
        </w:rPr>
      </w:pPr>
      <w:r w:rsidRPr="001F2C01">
        <w:rPr>
          <w:rFonts w:ascii="仿宋" w:eastAsia="仿宋" w:hAnsi="仿宋" w:cs="Times New Roman" w:hint="eastAsia"/>
          <w:sz w:val="24"/>
          <w:szCs w:val="24"/>
        </w:rPr>
        <w:t>监狱企业扶持政策：</w:t>
      </w:r>
      <w:r w:rsidRPr="001F2C01">
        <w:rPr>
          <w:rFonts w:ascii="仿宋" w:eastAsia="仿宋" w:hAnsi="仿宋" w:cs="Times New Roman" w:hint="eastAsia"/>
          <w:iCs/>
          <w:sz w:val="24"/>
          <w:szCs w:val="24"/>
        </w:rPr>
        <w:t>投标人如为监狱企业将视同为小型或微型企业，</w:t>
      </w:r>
      <w:r w:rsidRPr="001F2C01">
        <w:rPr>
          <w:rFonts w:ascii="仿宋" w:eastAsia="仿宋" w:hAnsi="仿宋" w:cs="Times New Roman" w:hint="eastAsia"/>
          <w:sz w:val="24"/>
          <w:szCs w:val="24"/>
        </w:rPr>
        <w:t>且所投产品为小型或微型企业生产的，</w:t>
      </w:r>
      <w:r w:rsidRPr="001F2C01">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1F2C01">
        <w:rPr>
          <w:rFonts w:ascii="仿宋" w:eastAsia="仿宋" w:hAnsi="仿宋" w:cs="Times New Roman" w:hint="eastAsia"/>
          <w:sz w:val="24"/>
          <w:szCs w:val="24"/>
        </w:rPr>
        <w:t>。</w:t>
      </w:r>
    </w:p>
    <w:p w:rsidR="001F2C01" w:rsidRPr="001F2C01" w:rsidRDefault="001F2C01" w:rsidP="001F2C01">
      <w:pPr>
        <w:numPr>
          <w:ilvl w:val="0"/>
          <w:numId w:val="1"/>
        </w:numPr>
        <w:snapToGrid w:val="0"/>
        <w:spacing w:beforeLines="50" w:before="120" w:line="360" w:lineRule="auto"/>
        <w:rPr>
          <w:rFonts w:ascii="仿宋" w:eastAsia="仿宋" w:hAnsi="仿宋" w:cs="Times New Roman" w:hint="eastAsia"/>
          <w:sz w:val="24"/>
          <w:szCs w:val="24"/>
        </w:rPr>
      </w:pPr>
      <w:r w:rsidRPr="001F2C01">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F2C01" w:rsidRPr="001F2C01" w:rsidRDefault="001F2C01" w:rsidP="001F2C01">
      <w:pPr>
        <w:numPr>
          <w:ilvl w:val="0"/>
          <w:numId w:val="1"/>
        </w:numPr>
        <w:tabs>
          <w:tab w:val="left" w:pos="900"/>
        </w:tabs>
        <w:spacing w:beforeLines="50" w:before="120" w:line="360" w:lineRule="auto"/>
        <w:rPr>
          <w:rFonts w:ascii="仿宋" w:eastAsia="仿宋" w:hAnsi="仿宋" w:cs="Times New Roman" w:hint="eastAsia"/>
          <w:sz w:val="24"/>
          <w:szCs w:val="24"/>
        </w:rPr>
      </w:pPr>
      <w:r w:rsidRPr="001F2C01">
        <w:rPr>
          <w:rFonts w:ascii="仿宋" w:eastAsia="仿宋" w:hAnsi="仿宋" w:cs="Times New Roman" w:hint="eastAsia"/>
          <w:sz w:val="24"/>
          <w:szCs w:val="24"/>
        </w:rPr>
        <w:lastRenderedPageBreak/>
        <w:t>鼓励节能政策：投标人的</w:t>
      </w:r>
      <w:r w:rsidRPr="001F2C01">
        <w:rPr>
          <w:rFonts w:ascii="仿宋" w:eastAsia="仿宋" w:hAnsi="仿宋" w:cs="Times New Roman" w:hint="eastAsia"/>
          <w:kern w:val="0"/>
          <w:sz w:val="24"/>
          <w:szCs w:val="24"/>
        </w:rPr>
        <w:t>投标产品属于财政部、发展改革委公布的“节能产品政府采购品目清单”范围的</w:t>
      </w:r>
      <w:r w:rsidRPr="001F2C01">
        <w:rPr>
          <w:rFonts w:ascii="仿宋" w:eastAsia="仿宋" w:hAnsi="仿宋" w:cs="Times New Roman" w:hint="eastAsia"/>
          <w:sz w:val="24"/>
          <w:szCs w:val="24"/>
        </w:rPr>
        <w:t>，投标人需提供</w:t>
      </w:r>
      <w:r w:rsidRPr="001F2C01">
        <w:rPr>
          <w:rFonts w:ascii="仿宋" w:eastAsia="仿宋" w:hAnsi="仿宋" w:cs="Times New Roman" w:hint="eastAsia"/>
          <w:kern w:val="0"/>
          <w:sz w:val="24"/>
          <w:szCs w:val="24"/>
        </w:rPr>
        <w:t>国家确定的</w:t>
      </w:r>
      <w:r w:rsidRPr="001F2C01">
        <w:rPr>
          <w:rFonts w:ascii="仿宋" w:eastAsia="仿宋" w:hAnsi="仿宋" w:cs="Times New Roman" w:hint="eastAsia"/>
          <w:sz w:val="24"/>
          <w:szCs w:val="24"/>
        </w:rPr>
        <w:t>认证机构出具的、处于有效期之内的节能产品认证证书。</w:t>
      </w:r>
      <w:r w:rsidRPr="001F2C01">
        <w:rPr>
          <w:rFonts w:ascii="仿宋" w:eastAsia="仿宋" w:hAnsi="仿宋" w:cs="Times New Roman" w:hint="eastAsia"/>
          <w:kern w:val="0"/>
          <w:sz w:val="24"/>
          <w:szCs w:val="24"/>
        </w:rPr>
        <w:t>国家确定的</w:t>
      </w:r>
      <w:r w:rsidRPr="001F2C01">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1F2C01" w:rsidRPr="001F2C01" w:rsidRDefault="001F2C01" w:rsidP="001F2C01">
      <w:pPr>
        <w:numPr>
          <w:ilvl w:val="0"/>
          <w:numId w:val="1"/>
        </w:numPr>
        <w:tabs>
          <w:tab w:val="left" w:pos="900"/>
        </w:tabs>
        <w:spacing w:beforeLines="50" w:before="120" w:line="360" w:lineRule="auto"/>
        <w:rPr>
          <w:rFonts w:ascii="仿宋" w:eastAsia="仿宋" w:hAnsi="仿宋" w:cs="Times New Roman" w:hint="eastAsia"/>
          <w:sz w:val="24"/>
          <w:szCs w:val="24"/>
        </w:rPr>
      </w:pPr>
      <w:r w:rsidRPr="001F2C01">
        <w:rPr>
          <w:rFonts w:ascii="仿宋" w:eastAsia="仿宋" w:hAnsi="仿宋" w:cs="Times New Roman" w:hint="eastAsia"/>
          <w:sz w:val="24"/>
          <w:szCs w:val="24"/>
        </w:rPr>
        <w:t>鼓励环保政策：投标人的</w:t>
      </w:r>
      <w:r w:rsidRPr="001F2C01">
        <w:rPr>
          <w:rFonts w:ascii="仿宋" w:eastAsia="仿宋" w:hAnsi="仿宋" w:cs="Times New Roman" w:hint="eastAsia"/>
          <w:kern w:val="0"/>
          <w:sz w:val="24"/>
          <w:szCs w:val="24"/>
        </w:rPr>
        <w:t>投标产品属于财政部、生态环境部公布的“环境标志产品政府采购品目清单”范围的</w:t>
      </w:r>
      <w:r w:rsidRPr="001F2C01">
        <w:rPr>
          <w:rFonts w:ascii="仿宋" w:eastAsia="仿宋" w:hAnsi="仿宋" w:cs="Times New Roman" w:hint="eastAsia"/>
          <w:sz w:val="24"/>
          <w:szCs w:val="24"/>
        </w:rPr>
        <w:t>，投标人需提供</w:t>
      </w:r>
      <w:r w:rsidRPr="001F2C01">
        <w:rPr>
          <w:rFonts w:ascii="仿宋" w:eastAsia="仿宋" w:hAnsi="仿宋" w:cs="Times New Roman" w:hint="eastAsia"/>
          <w:kern w:val="0"/>
          <w:sz w:val="24"/>
          <w:szCs w:val="24"/>
        </w:rPr>
        <w:t>国家确定的</w:t>
      </w:r>
      <w:r w:rsidRPr="001F2C01">
        <w:rPr>
          <w:rFonts w:ascii="仿宋" w:eastAsia="仿宋" w:hAnsi="仿宋" w:cs="Times New Roman" w:hint="eastAsia"/>
          <w:sz w:val="24"/>
          <w:szCs w:val="24"/>
        </w:rPr>
        <w:t>认证机构出具的、处于有效期之内的</w:t>
      </w:r>
      <w:r w:rsidRPr="001F2C01">
        <w:rPr>
          <w:rFonts w:ascii="仿宋" w:eastAsia="仿宋" w:hAnsi="仿宋" w:cs="Times New Roman" w:hint="eastAsia"/>
          <w:kern w:val="0"/>
          <w:sz w:val="24"/>
          <w:szCs w:val="24"/>
        </w:rPr>
        <w:t>环境标志</w:t>
      </w:r>
      <w:r w:rsidRPr="001F2C01">
        <w:rPr>
          <w:rFonts w:ascii="仿宋" w:eastAsia="仿宋" w:hAnsi="仿宋" w:cs="Times New Roman" w:hint="eastAsia"/>
          <w:sz w:val="24"/>
          <w:szCs w:val="24"/>
        </w:rPr>
        <w:t>产品认证证书。</w:t>
      </w:r>
      <w:r w:rsidRPr="001F2C01">
        <w:rPr>
          <w:rFonts w:ascii="仿宋" w:eastAsia="仿宋" w:hAnsi="仿宋" w:cs="Times New Roman" w:hint="eastAsia"/>
          <w:kern w:val="0"/>
          <w:sz w:val="24"/>
          <w:szCs w:val="24"/>
        </w:rPr>
        <w:t>国家确定的</w:t>
      </w:r>
      <w:r w:rsidRPr="001F2C01">
        <w:rPr>
          <w:rFonts w:ascii="仿宋" w:eastAsia="仿宋" w:hAnsi="仿宋" w:cs="Times New Roman" w:hint="eastAsia"/>
          <w:sz w:val="24"/>
          <w:szCs w:val="24"/>
        </w:rPr>
        <w:t>认证机构和</w:t>
      </w:r>
      <w:r w:rsidRPr="001F2C01">
        <w:rPr>
          <w:rFonts w:ascii="仿宋" w:eastAsia="仿宋" w:hAnsi="仿宋" w:cs="Times New Roman" w:hint="eastAsia"/>
          <w:kern w:val="0"/>
          <w:sz w:val="24"/>
          <w:szCs w:val="24"/>
        </w:rPr>
        <w:t>环境标志</w:t>
      </w:r>
      <w:r w:rsidRPr="001F2C01">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1F2C01" w:rsidRPr="001F2C01" w:rsidRDefault="001F2C01" w:rsidP="001F2C01">
      <w:pPr>
        <w:snapToGrid w:val="0"/>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二、采购标的需执行的国家相关标准、行业标准、地方标准或者其他标准、规范</w:t>
      </w:r>
    </w:p>
    <w:p w:rsidR="001F2C01" w:rsidRPr="001F2C01" w:rsidRDefault="001F2C01" w:rsidP="001F2C01">
      <w:pPr>
        <w:tabs>
          <w:tab w:val="left" w:pos="420"/>
        </w:tabs>
        <w:spacing w:before="50" w:line="360" w:lineRule="auto"/>
        <w:ind w:firstLineChars="200" w:firstLine="480"/>
        <w:rPr>
          <w:rFonts w:ascii="仿宋" w:eastAsia="仿宋" w:hAnsi="仿宋" w:cs="Times New Roman" w:hint="eastAsia"/>
          <w:sz w:val="24"/>
          <w:szCs w:val="20"/>
        </w:rPr>
      </w:pPr>
      <w:r w:rsidRPr="001F2C01">
        <w:rPr>
          <w:rFonts w:ascii="仿宋" w:eastAsia="仿宋" w:hAnsi="仿宋" w:cs="Times New Roman" w:hint="eastAsia"/>
          <w:sz w:val="24"/>
          <w:szCs w:val="20"/>
        </w:rPr>
        <w:t>1、《中华人民共和国机动车驾驶证》（GA482-2012）</w:t>
      </w:r>
    </w:p>
    <w:p w:rsidR="001F2C01" w:rsidRPr="001F2C01" w:rsidRDefault="001F2C01" w:rsidP="001F2C01">
      <w:pPr>
        <w:tabs>
          <w:tab w:val="left" w:pos="420"/>
        </w:tabs>
        <w:spacing w:before="50" w:line="360" w:lineRule="auto"/>
        <w:ind w:firstLineChars="200" w:firstLine="480"/>
        <w:rPr>
          <w:rFonts w:ascii="仿宋" w:eastAsia="仿宋" w:hAnsi="仿宋" w:cs="Times New Roman" w:hint="eastAsia"/>
          <w:sz w:val="24"/>
          <w:szCs w:val="20"/>
        </w:rPr>
      </w:pPr>
      <w:r w:rsidRPr="001F2C01">
        <w:rPr>
          <w:rFonts w:ascii="仿宋" w:eastAsia="仿宋" w:hAnsi="仿宋" w:cs="Times New Roman" w:hint="eastAsia"/>
          <w:sz w:val="24"/>
          <w:szCs w:val="20"/>
        </w:rPr>
        <w:t>2、《中华人民共和国机动车行驶证》（GA37-2008）</w:t>
      </w:r>
    </w:p>
    <w:p w:rsidR="001F2C01" w:rsidRPr="001F2C01" w:rsidRDefault="001F2C01" w:rsidP="001F2C01">
      <w:pPr>
        <w:tabs>
          <w:tab w:val="left" w:pos="420"/>
        </w:tabs>
        <w:spacing w:before="50" w:line="360" w:lineRule="auto"/>
        <w:ind w:firstLineChars="200" w:firstLine="480"/>
        <w:rPr>
          <w:rFonts w:ascii="仿宋" w:eastAsia="仿宋" w:hAnsi="仿宋" w:cs="Times New Roman" w:hint="eastAsia"/>
          <w:sz w:val="24"/>
          <w:szCs w:val="20"/>
        </w:rPr>
      </w:pPr>
      <w:proofErr w:type="gramStart"/>
      <w:r w:rsidRPr="001F2C01">
        <w:rPr>
          <w:rFonts w:ascii="仿宋" w:eastAsia="仿宋" w:hAnsi="仿宋" w:cs="Times New Roman" w:hint="eastAsia"/>
          <w:sz w:val="24"/>
          <w:szCs w:val="20"/>
        </w:rPr>
        <w:t>若相关</w:t>
      </w:r>
      <w:proofErr w:type="gramEnd"/>
      <w:r w:rsidRPr="001F2C01">
        <w:rPr>
          <w:rFonts w:ascii="仿宋" w:eastAsia="仿宋" w:hAnsi="仿宋" w:cs="Times New Roman" w:hint="eastAsia"/>
          <w:sz w:val="24"/>
          <w:szCs w:val="20"/>
        </w:rPr>
        <w:t>标准在合同期内有更新，则按照最新颁布实施版本执行。</w:t>
      </w:r>
    </w:p>
    <w:p w:rsidR="001F2C01" w:rsidRPr="001F2C01" w:rsidRDefault="001F2C01" w:rsidP="001F2C01">
      <w:pPr>
        <w:snapToGrid w:val="0"/>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三、采购标的</w:t>
      </w:r>
      <w:proofErr w:type="gramStart"/>
      <w:r w:rsidRPr="001F2C01">
        <w:rPr>
          <w:rFonts w:ascii="仿宋" w:eastAsia="仿宋" w:hAnsi="仿宋" w:cs="Times New Roman" w:hint="eastAsia"/>
          <w:b/>
          <w:sz w:val="24"/>
          <w:szCs w:val="24"/>
        </w:rPr>
        <w:t>的</w:t>
      </w:r>
      <w:proofErr w:type="gramEnd"/>
      <w:r w:rsidRPr="001F2C01">
        <w:rPr>
          <w:rFonts w:ascii="仿宋" w:eastAsia="仿宋" w:hAnsi="仿宋" w:cs="Times New Roman" w:hint="eastAsia"/>
          <w:b/>
          <w:sz w:val="24"/>
          <w:szCs w:val="24"/>
        </w:rPr>
        <w:t>数量、采购项目交付或者实施的时间和地点</w:t>
      </w:r>
    </w:p>
    <w:p w:rsidR="001F2C01" w:rsidRPr="001F2C01" w:rsidRDefault="001F2C01" w:rsidP="001F2C01">
      <w:pPr>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（一）采购标的</w:t>
      </w:r>
      <w:proofErr w:type="gramStart"/>
      <w:r w:rsidRPr="001F2C01">
        <w:rPr>
          <w:rFonts w:ascii="仿宋" w:eastAsia="仿宋" w:hAnsi="仿宋" w:cs="Times New Roman" w:hint="eastAsia"/>
          <w:b/>
          <w:sz w:val="24"/>
          <w:szCs w:val="24"/>
        </w:rPr>
        <w:t>的</w:t>
      </w:r>
      <w:proofErr w:type="gramEnd"/>
      <w:r w:rsidRPr="001F2C01">
        <w:rPr>
          <w:rFonts w:ascii="仿宋" w:eastAsia="仿宋" w:hAnsi="仿宋" w:cs="Times New Roman" w:hint="eastAsia"/>
          <w:b/>
          <w:sz w:val="24"/>
          <w:szCs w:val="24"/>
        </w:rPr>
        <w:t>数量</w:t>
      </w:r>
    </w:p>
    <w:tbl>
      <w:tblPr>
        <w:tblW w:w="82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23"/>
        <w:gridCol w:w="1123"/>
        <w:gridCol w:w="752"/>
        <w:gridCol w:w="1798"/>
        <w:gridCol w:w="708"/>
        <w:gridCol w:w="1985"/>
        <w:gridCol w:w="1211"/>
      </w:tblGrid>
      <w:tr w:rsidR="001F2C01" w:rsidRPr="001F2C01" w:rsidTr="001F2C01">
        <w:trPr>
          <w:trHeight w:val="573"/>
          <w:jc w:val="center"/>
        </w:trPr>
        <w:tc>
          <w:tcPr>
            <w:tcW w:w="624" w:type="dxa"/>
            <w:tcBorders>
              <w:top w:val="double" w:sz="4" w:space="0" w:color="auto"/>
              <w:left w:val="double" w:sz="4" w:space="0" w:color="auto"/>
              <w:bottom w:val="single" w:sz="6" w:space="0" w:color="auto"/>
              <w:right w:val="single" w:sz="6" w:space="0" w:color="auto"/>
            </w:tcBorders>
            <w:noWrap/>
            <w:tcMar>
              <w:top w:w="15" w:type="dxa"/>
              <w:left w:w="15" w:type="dxa"/>
              <w:bottom w:w="0" w:type="dxa"/>
              <w:right w:w="15" w:type="dxa"/>
            </w:tcMar>
            <w:vAlign w:val="center"/>
            <w:hideMark/>
          </w:tcPr>
          <w:p w:rsidR="001F2C01" w:rsidRPr="001F2C01" w:rsidRDefault="001F2C01" w:rsidP="001F2C01">
            <w:pPr>
              <w:jc w:val="center"/>
              <w:rPr>
                <w:rFonts w:ascii="仿宋" w:eastAsia="仿宋" w:hAnsi="仿宋" w:cs="宋体"/>
                <w:b/>
                <w:bCs/>
                <w:szCs w:val="21"/>
              </w:rPr>
            </w:pPr>
            <w:proofErr w:type="gramStart"/>
            <w:r w:rsidRPr="001F2C01">
              <w:rPr>
                <w:rFonts w:ascii="仿宋" w:eastAsia="仿宋" w:hAnsi="仿宋" w:cs="Times New Roman" w:hint="eastAsia"/>
                <w:b/>
                <w:bCs/>
                <w:szCs w:val="21"/>
              </w:rPr>
              <w:t>包号</w:t>
            </w:r>
            <w:proofErr w:type="gramEnd"/>
          </w:p>
        </w:tc>
        <w:tc>
          <w:tcPr>
            <w:tcW w:w="1123" w:type="dxa"/>
            <w:tcBorders>
              <w:top w:val="double" w:sz="4"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b/>
                <w:bCs/>
                <w:szCs w:val="21"/>
              </w:rPr>
            </w:pPr>
            <w:r w:rsidRPr="001F2C01">
              <w:rPr>
                <w:rFonts w:ascii="仿宋" w:eastAsia="仿宋" w:hAnsi="仿宋" w:cs="Times New Roman" w:hint="eastAsia"/>
                <w:b/>
                <w:bCs/>
                <w:szCs w:val="21"/>
              </w:rPr>
              <w:t>标的名称</w:t>
            </w:r>
          </w:p>
        </w:tc>
        <w:tc>
          <w:tcPr>
            <w:tcW w:w="752" w:type="dxa"/>
            <w:tcBorders>
              <w:top w:val="double" w:sz="4"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b/>
                <w:bCs/>
                <w:szCs w:val="21"/>
              </w:rPr>
            </w:pPr>
            <w:r w:rsidRPr="001F2C01">
              <w:rPr>
                <w:rFonts w:ascii="仿宋" w:eastAsia="仿宋" w:hAnsi="仿宋" w:cs="Times New Roman" w:hint="eastAsia"/>
                <w:b/>
                <w:bCs/>
                <w:szCs w:val="21"/>
              </w:rPr>
              <w:t>品目号</w:t>
            </w:r>
          </w:p>
        </w:tc>
        <w:tc>
          <w:tcPr>
            <w:tcW w:w="1798" w:type="dxa"/>
            <w:tcBorders>
              <w:top w:val="double" w:sz="4"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b/>
                <w:bCs/>
                <w:szCs w:val="21"/>
              </w:rPr>
            </w:pPr>
            <w:r w:rsidRPr="001F2C01">
              <w:rPr>
                <w:rFonts w:ascii="仿宋" w:eastAsia="仿宋" w:hAnsi="仿宋" w:cs="Times New Roman" w:hint="eastAsia"/>
                <w:b/>
                <w:bCs/>
                <w:szCs w:val="21"/>
              </w:rPr>
              <w:t>品目名称</w:t>
            </w:r>
          </w:p>
        </w:tc>
        <w:tc>
          <w:tcPr>
            <w:tcW w:w="708" w:type="dxa"/>
            <w:tcBorders>
              <w:top w:val="double" w:sz="4"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b/>
                <w:bCs/>
                <w:szCs w:val="21"/>
              </w:rPr>
            </w:pPr>
            <w:r w:rsidRPr="001F2C01">
              <w:rPr>
                <w:rFonts w:ascii="仿宋" w:eastAsia="仿宋" w:hAnsi="仿宋" w:cs="Times New Roman" w:hint="eastAsia"/>
                <w:b/>
                <w:bCs/>
                <w:szCs w:val="21"/>
              </w:rPr>
              <w:t>单位</w:t>
            </w:r>
          </w:p>
        </w:tc>
        <w:tc>
          <w:tcPr>
            <w:tcW w:w="1985" w:type="dxa"/>
            <w:tcBorders>
              <w:top w:val="double" w:sz="4"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b/>
                <w:bCs/>
                <w:szCs w:val="21"/>
              </w:rPr>
            </w:pPr>
            <w:r w:rsidRPr="001F2C01">
              <w:rPr>
                <w:rFonts w:ascii="仿宋" w:eastAsia="仿宋" w:hAnsi="仿宋" w:cs="Times New Roman" w:hint="eastAsia"/>
                <w:b/>
                <w:bCs/>
                <w:szCs w:val="21"/>
              </w:rPr>
              <w:t>预估数量</w:t>
            </w:r>
          </w:p>
        </w:tc>
        <w:tc>
          <w:tcPr>
            <w:tcW w:w="1211" w:type="dxa"/>
            <w:tcBorders>
              <w:top w:val="double" w:sz="4" w:space="0" w:color="auto"/>
              <w:left w:val="single" w:sz="6" w:space="0" w:color="auto"/>
              <w:bottom w:val="single" w:sz="6" w:space="0" w:color="auto"/>
              <w:right w:val="double" w:sz="4" w:space="0" w:color="auto"/>
            </w:tcBorders>
            <w:tcMar>
              <w:top w:w="15" w:type="dxa"/>
              <w:left w:w="15" w:type="dxa"/>
              <w:bottom w:w="0" w:type="dxa"/>
              <w:right w:w="15" w:type="dxa"/>
            </w:tcMar>
            <w:vAlign w:val="center"/>
            <w:hideMark/>
          </w:tcPr>
          <w:p w:rsidR="001F2C01" w:rsidRPr="001F2C01" w:rsidRDefault="001F2C01" w:rsidP="001F2C01">
            <w:pPr>
              <w:jc w:val="center"/>
              <w:rPr>
                <w:rFonts w:ascii="仿宋" w:eastAsia="仿宋" w:hAnsi="仿宋" w:cs="宋体"/>
                <w:b/>
                <w:bCs/>
                <w:szCs w:val="21"/>
              </w:rPr>
            </w:pPr>
            <w:r w:rsidRPr="001F2C01">
              <w:rPr>
                <w:rFonts w:ascii="仿宋" w:eastAsia="仿宋" w:hAnsi="仿宋" w:cs="Times New Roman" w:hint="eastAsia"/>
                <w:b/>
                <w:bCs/>
                <w:szCs w:val="21"/>
              </w:rPr>
              <w:t>是否接受进口产品</w:t>
            </w:r>
          </w:p>
        </w:tc>
      </w:tr>
      <w:tr w:rsidR="001F2C01" w:rsidRPr="001F2C01" w:rsidTr="001F2C01">
        <w:trPr>
          <w:trHeight w:val="812"/>
          <w:jc w:val="center"/>
        </w:trPr>
        <w:tc>
          <w:tcPr>
            <w:tcW w:w="624" w:type="dxa"/>
            <w:vMerge w:val="restart"/>
            <w:tcBorders>
              <w:top w:val="single" w:sz="6" w:space="0" w:color="auto"/>
              <w:left w:val="double" w:sz="4" w:space="0" w:color="auto"/>
              <w:bottom w:val="double" w:sz="4" w:space="0" w:color="auto"/>
              <w:right w:val="single" w:sz="6" w:space="0" w:color="auto"/>
            </w:tcBorders>
            <w:vAlign w:val="center"/>
            <w:hideMark/>
          </w:tcPr>
          <w:p w:rsidR="001F2C01" w:rsidRPr="001F2C01" w:rsidRDefault="001F2C01" w:rsidP="001F2C01">
            <w:pPr>
              <w:jc w:val="center"/>
              <w:rPr>
                <w:rFonts w:ascii="仿宋" w:eastAsia="仿宋" w:hAnsi="仿宋" w:cs="宋体"/>
                <w:szCs w:val="21"/>
              </w:rPr>
            </w:pPr>
            <w:r w:rsidRPr="001F2C01">
              <w:rPr>
                <w:rFonts w:ascii="仿宋" w:eastAsia="仿宋" w:hAnsi="仿宋" w:cs="宋体" w:hint="eastAsia"/>
                <w:szCs w:val="21"/>
              </w:rPr>
              <w:t>1</w:t>
            </w:r>
          </w:p>
        </w:tc>
        <w:tc>
          <w:tcPr>
            <w:tcW w:w="1123" w:type="dxa"/>
            <w:vMerge w:val="restart"/>
            <w:tcBorders>
              <w:top w:val="single" w:sz="6" w:space="0" w:color="auto"/>
              <w:left w:val="single" w:sz="6" w:space="0" w:color="auto"/>
              <w:bottom w:val="double" w:sz="4" w:space="0" w:color="auto"/>
              <w:right w:val="single" w:sz="6" w:space="0" w:color="auto"/>
            </w:tcBorders>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bCs/>
                <w:kern w:val="0"/>
                <w:szCs w:val="21"/>
              </w:rPr>
              <w:t>机动车驾驶证证夹、机动车</w:t>
            </w:r>
            <w:proofErr w:type="gramStart"/>
            <w:r w:rsidRPr="001F2C01">
              <w:rPr>
                <w:rFonts w:ascii="仿宋" w:eastAsia="仿宋" w:hAnsi="仿宋" w:cs="Times New Roman" w:hint="eastAsia"/>
                <w:bCs/>
                <w:kern w:val="0"/>
                <w:szCs w:val="21"/>
              </w:rPr>
              <w:t>行驶证证夹采购</w:t>
            </w:r>
            <w:proofErr w:type="gramEnd"/>
            <w:r w:rsidRPr="001F2C01">
              <w:rPr>
                <w:rFonts w:ascii="仿宋" w:eastAsia="仿宋" w:hAnsi="仿宋" w:cs="Times New Roman" w:hint="eastAsia"/>
                <w:bCs/>
                <w:kern w:val="0"/>
                <w:szCs w:val="21"/>
              </w:rPr>
              <w:t>项目</w:t>
            </w:r>
          </w:p>
        </w:tc>
        <w:tc>
          <w:tcPr>
            <w:tcW w:w="752" w:type="dxa"/>
            <w:tcBorders>
              <w:top w:val="single" w:sz="6"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1-1</w:t>
            </w:r>
          </w:p>
        </w:tc>
        <w:tc>
          <w:tcPr>
            <w:tcW w:w="1798" w:type="dxa"/>
            <w:tcBorders>
              <w:top w:val="single" w:sz="6"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机动车</w:t>
            </w:r>
            <w:proofErr w:type="gramStart"/>
            <w:r w:rsidRPr="001F2C01">
              <w:rPr>
                <w:rFonts w:ascii="仿宋" w:eastAsia="仿宋" w:hAnsi="仿宋" w:cs="Times New Roman" w:hint="eastAsia"/>
                <w:szCs w:val="21"/>
              </w:rPr>
              <w:t>驾驶证证夹</w:t>
            </w:r>
            <w:proofErr w:type="gramEnd"/>
          </w:p>
        </w:tc>
        <w:tc>
          <w:tcPr>
            <w:tcW w:w="708" w:type="dxa"/>
            <w:tcBorders>
              <w:top w:val="single" w:sz="6"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宋体"/>
                <w:szCs w:val="21"/>
              </w:rPr>
            </w:pPr>
            <w:proofErr w:type="gramStart"/>
            <w:r w:rsidRPr="001F2C01">
              <w:rPr>
                <w:rFonts w:ascii="仿宋" w:eastAsia="仿宋" w:hAnsi="仿宋" w:cs="宋体" w:hint="eastAsia"/>
                <w:szCs w:val="21"/>
              </w:rPr>
              <w:t>个</w:t>
            </w:r>
            <w:proofErr w:type="gramEnd"/>
          </w:p>
        </w:tc>
        <w:tc>
          <w:tcPr>
            <w:tcW w:w="1985" w:type="dxa"/>
            <w:tcBorders>
              <w:top w:val="single" w:sz="6" w:space="0" w:color="auto"/>
              <w:left w:val="single" w:sz="6" w:space="0" w:color="auto"/>
              <w:bottom w:val="single" w:sz="6" w:space="0" w:color="auto"/>
              <w:right w:val="single" w:sz="6" w:space="0" w:color="auto"/>
            </w:tcBorders>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约180万个，以实际需求为准</w:t>
            </w:r>
          </w:p>
        </w:tc>
        <w:tc>
          <w:tcPr>
            <w:tcW w:w="1211" w:type="dxa"/>
            <w:tcBorders>
              <w:top w:val="single" w:sz="6" w:space="0" w:color="auto"/>
              <w:left w:val="single" w:sz="6" w:space="0" w:color="auto"/>
              <w:bottom w:val="single" w:sz="6" w:space="0" w:color="auto"/>
              <w:right w:val="double" w:sz="4" w:space="0" w:color="auto"/>
            </w:tcBorders>
            <w:tcMar>
              <w:top w:w="15" w:type="dxa"/>
              <w:left w:w="15" w:type="dxa"/>
              <w:bottom w:w="0" w:type="dxa"/>
              <w:right w:w="15" w:type="dxa"/>
            </w:tcMar>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否</w:t>
            </w:r>
          </w:p>
        </w:tc>
      </w:tr>
      <w:tr w:rsidR="001F2C01" w:rsidRPr="001F2C01" w:rsidTr="001F2C01">
        <w:trPr>
          <w:trHeight w:val="812"/>
          <w:jc w:val="center"/>
        </w:trPr>
        <w:tc>
          <w:tcPr>
            <w:tcW w:w="624" w:type="dxa"/>
            <w:vMerge/>
            <w:tcBorders>
              <w:top w:val="single" w:sz="6" w:space="0" w:color="auto"/>
              <w:left w:val="double" w:sz="4" w:space="0" w:color="auto"/>
              <w:bottom w:val="double" w:sz="4" w:space="0" w:color="auto"/>
              <w:right w:val="single" w:sz="6" w:space="0" w:color="auto"/>
            </w:tcBorders>
            <w:vAlign w:val="center"/>
            <w:hideMark/>
          </w:tcPr>
          <w:p w:rsidR="001F2C01" w:rsidRPr="001F2C01" w:rsidRDefault="001F2C01" w:rsidP="001F2C01">
            <w:pPr>
              <w:widowControl/>
              <w:jc w:val="left"/>
              <w:rPr>
                <w:rFonts w:ascii="仿宋" w:eastAsia="仿宋" w:hAnsi="仿宋" w:cs="宋体"/>
                <w:szCs w:val="21"/>
              </w:rPr>
            </w:pPr>
          </w:p>
        </w:tc>
        <w:tc>
          <w:tcPr>
            <w:tcW w:w="1123" w:type="dxa"/>
            <w:vMerge/>
            <w:tcBorders>
              <w:top w:val="single" w:sz="6" w:space="0" w:color="auto"/>
              <w:left w:val="single" w:sz="6" w:space="0" w:color="auto"/>
              <w:bottom w:val="double" w:sz="4" w:space="0" w:color="auto"/>
              <w:right w:val="single" w:sz="6" w:space="0" w:color="auto"/>
            </w:tcBorders>
            <w:vAlign w:val="center"/>
            <w:hideMark/>
          </w:tcPr>
          <w:p w:rsidR="001F2C01" w:rsidRPr="001F2C01" w:rsidRDefault="001F2C01" w:rsidP="001F2C01">
            <w:pPr>
              <w:widowControl/>
              <w:jc w:val="left"/>
              <w:rPr>
                <w:rFonts w:ascii="仿宋" w:eastAsia="仿宋" w:hAnsi="仿宋" w:cs="Times New Roman"/>
                <w:szCs w:val="21"/>
              </w:rPr>
            </w:pPr>
          </w:p>
        </w:tc>
        <w:tc>
          <w:tcPr>
            <w:tcW w:w="752" w:type="dxa"/>
            <w:tcBorders>
              <w:top w:val="single" w:sz="6" w:space="0" w:color="auto"/>
              <w:left w:val="single" w:sz="6" w:space="0" w:color="auto"/>
              <w:bottom w:val="double" w:sz="4" w:space="0" w:color="auto"/>
              <w:right w:val="single" w:sz="6" w:space="0" w:color="auto"/>
            </w:tcBorders>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1-2</w:t>
            </w:r>
          </w:p>
        </w:tc>
        <w:tc>
          <w:tcPr>
            <w:tcW w:w="1798" w:type="dxa"/>
            <w:tcBorders>
              <w:top w:val="single" w:sz="6" w:space="0" w:color="auto"/>
              <w:left w:val="single" w:sz="6" w:space="0" w:color="auto"/>
              <w:bottom w:val="double" w:sz="4" w:space="0" w:color="auto"/>
              <w:right w:val="single" w:sz="6" w:space="0" w:color="auto"/>
            </w:tcBorders>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机动车</w:t>
            </w:r>
            <w:proofErr w:type="gramStart"/>
            <w:r w:rsidRPr="001F2C01">
              <w:rPr>
                <w:rFonts w:ascii="仿宋" w:eastAsia="仿宋" w:hAnsi="仿宋" w:cs="Times New Roman" w:hint="eastAsia"/>
                <w:szCs w:val="21"/>
              </w:rPr>
              <w:t>行驶证证夹</w:t>
            </w:r>
            <w:proofErr w:type="gramEnd"/>
          </w:p>
        </w:tc>
        <w:tc>
          <w:tcPr>
            <w:tcW w:w="708" w:type="dxa"/>
            <w:tcBorders>
              <w:top w:val="single" w:sz="6" w:space="0" w:color="auto"/>
              <w:left w:val="single" w:sz="6" w:space="0" w:color="auto"/>
              <w:bottom w:val="double" w:sz="4" w:space="0" w:color="auto"/>
              <w:right w:val="single" w:sz="6" w:space="0" w:color="auto"/>
            </w:tcBorders>
            <w:vAlign w:val="center"/>
            <w:hideMark/>
          </w:tcPr>
          <w:p w:rsidR="001F2C01" w:rsidRPr="001F2C01" w:rsidRDefault="001F2C01" w:rsidP="001F2C01">
            <w:pPr>
              <w:jc w:val="center"/>
              <w:rPr>
                <w:rFonts w:ascii="仿宋" w:eastAsia="仿宋" w:hAnsi="仿宋" w:cs="宋体"/>
                <w:szCs w:val="21"/>
              </w:rPr>
            </w:pPr>
            <w:proofErr w:type="gramStart"/>
            <w:r w:rsidRPr="001F2C01">
              <w:rPr>
                <w:rFonts w:ascii="仿宋" w:eastAsia="仿宋" w:hAnsi="仿宋" w:cs="宋体" w:hint="eastAsia"/>
                <w:szCs w:val="21"/>
              </w:rPr>
              <w:t>个</w:t>
            </w:r>
            <w:proofErr w:type="gramEnd"/>
          </w:p>
        </w:tc>
        <w:tc>
          <w:tcPr>
            <w:tcW w:w="1985" w:type="dxa"/>
            <w:tcBorders>
              <w:top w:val="single" w:sz="6" w:space="0" w:color="auto"/>
              <w:left w:val="single" w:sz="6" w:space="0" w:color="auto"/>
              <w:bottom w:val="double" w:sz="4" w:space="0" w:color="auto"/>
              <w:right w:val="single" w:sz="6" w:space="0" w:color="auto"/>
            </w:tcBorders>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约100万个，以实际需求为准</w:t>
            </w:r>
          </w:p>
        </w:tc>
        <w:tc>
          <w:tcPr>
            <w:tcW w:w="1211" w:type="dxa"/>
            <w:tcBorders>
              <w:top w:val="single" w:sz="6" w:space="0" w:color="auto"/>
              <w:left w:val="single" w:sz="6" w:space="0" w:color="auto"/>
              <w:bottom w:val="double" w:sz="4" w:space="0" w:color="auto"/>
              <w:right w:val="double" w:sz="4" w:space="0" w:color="auto"/>
            </w:tcBorders>
            <w:tcMar>
              <w:top w:w="15" w:type="dxa"/>
              <w:left w:w="15" w:type="dxa"/>
              <w:bottom w:w="0" w:type="dxa"/>
              <w:right w:w="15" w:type="dxa"/>
            </w:tcMar>
            <w:vAlign w:val="center"/>
            <w:hideMark/>
          </w:tcPr>
          <w:p w:rsidR="001F2C01" w:rsidRPr="001F2C01" w:rsidRDefault="001F2C01" w:rsidP="001F2C01">
            <w:pPr>
              <w:jc w:val="center"/>
              <w:rPr>
                <w:rFonts w:ascii="仿宋" w:eastAsia="仿宋" w:hAnsi="仿宋" w:cs="Times New Roman"/>
                <w:szCs w:val="21"/>
              </w:rPr>
            </w:pPr>
            <w:r w:rsidRPr="001F2C01">
              <w:rPr>
                <w:rFonts w:ascii="仿宋" w:eastAsia="仿宋" w:hAnsi="仿宋" w:cs="Times New Roman" w:hint="eastAsia"/>
                <w:szCs w:val="21"/>
              </w:rPr>
              <w:t>否</w:t>
            </w:r>
          </w:p>
        </w:tc>
      </w:tr>
    </w:tbl>
    <w:p w:rsidR="001F2C01" w:rsidRPr="001F2C01" w:rsidRDefault="001F2C01" w:rsidP="001F2C01">
      <w:pPr>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（二）采购项目交付或者实施的时间和地点：</w:t>
      </w:r>
    </w:p>
    <w:p w:rsidR="001F2C01" w:rsidRPr="001F2C01" w:rsidRDefault="001F2C01" w:rsidP="001F2C01">
      <w:pPr>
        <w:tabs>
          <w:tab w:val="left" w:pos="420"/>
        </w:tabs>
        <w:spacing w:before="50" w:line="360" w:lineRule="auto"/>
        <w:ind w:firstLineChars="200" w:firstLine="480"/>
        <w:rPr>
          <w:rFonts w:ascii="仿宋" w:eastAsia="仿宋" w:hAnsi="仿宋" w:cs="Times New Roman" w:hint="eastAsia"/>
          <w:sz w:val="24"/>
          <w:szCs w:val="20"/>
        </w:rPr>
      </w:pPr>
      <w:r w:rsidRPr="001F2C01">
        <w:rPr>
          <w:rFonts w:ascii="仿宋" w:eastAsia="仿宋" w:hAnsi="仿宋" w:cs="Times New Roman" w:hint="eastAsia"/>
          <w:sz w:val="24"/>
          <w:szCs w:val="20"/>
        </w:rPr>
        <w:t>1、采购项目（标的）交付的时间：接到采购</w:t>
      </w:r>
      <w:proofErr w:type="gramStart"/>
      <w:r w:rsidRPr="001F2C01">
        <w:rPr>
          <w:rFonts w:ascii="仿宋" w:eastAsia="仿宋" w:hAnsi="仿宋" w:cs="Times New Roman" w:hint="eastAsia"/>
          <w:sz w:val="24"/>
          <w:szCs w:val="20"/>
        </w:rPr>
        <w:t>人任务</w:t>
      </w:r>
      <w:proofErr w:type="gramEnd"/>
      <w:r w:rsidRPr="001F2C01">
        <w:rPr>
          <w:rFonts w:ascii="仿宋" w:eastAsia="仿宋" w:hAnsi="仿宋" w:cs="Times New Roman" w:hint="eastAsia"/>
          <w:sz w:val="24"/>
          <w:szCs w:val="20"/>
        </w:rPr>
        <w:t>书后10个工作日内送至指定地点；</w:t>
      </w:r>
    </w:p>
    <w:p w:rsidR="001F2C01" w:rsidRPr="001F2C01" w:rsidRDefault="001F2C01" w:rsidP="001F2C01">
      <w:pPr>
        <w:tabs>
          <w:tab w:val="left" w:pos="420"/>
        </w:tabs>
        <w:spacing w:before="50" w:line="360" w:lineRule="auto"/>
        <w:ind w:firstLineChars="200" w:firstLine="480"/>
        <w:rPr>
          <w:rFonts w:ascii="仿宋" w:eastAsia="仿宋" w:hAnsi="仿宋" w:cs="Times New Roman" w:hint="eastAsia"/>
          <w:sz w:val="24"/>
          <w:szCs w:val="20"/>
        </w:rPr>
      </w:pPr>
      <w:r w:rsidRPr="001F2C01">
        <w:rPr>
          <w:rFonts w:ascii="仿宋" w:eastAsia="仿宋" w:hAnsi="仿宋" w:cs="Times New Roman" w:hint="eastAsia"/>
          <w:sz w:val="24"/>
          <w:szCs w:val="20"/>
        </w:rPr>
        <w:t>2、采购项目（标的）交付的地点：北京地区，采购人指定地点。</w:t>
      </w:r>
    </w:p>
    <w:p w:rsidR="001F2C01" w:rsidRPr="001F2C01" w:rsidRDefault="001F2C01" w:rsidP="001F2C01">
      <w:pPr>
        <w:snapToGrid w:val="0"/>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lastRenderedPageBreak/>
        <w:t>四、采购标的需满足的服务标准、期限、效率等要求</w:t>
      </w:r>
    </w:p>
    <w:p w:rsidR="001F2C01" w:rsidRPr="001F2C01" w:rsidRDefault="001F2C01" w:rsidP="001F2C01">
      <w:pPr>
        <w:tabs>
          <w:tab w:val="left" w:pos="900"/>
        </w:tabs>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（一）采购标的需满足的服务标准、效率要求</w:t>
      </w:r>
    </w:p>
    <w:p w:rsidR="001F2C01" w:rsidRPr="001F2C01" w:rsidRDefault="001F2C01" w:rsidP="001F2C01">
      <w:pPr>
        <w:tabs>
          <w:tab w:val="left" w:pos="420"/>
        </w:tabs>
        <w:spacing w:before="50" w:line="360" w:lineRule="auto"/>
        <w:ind w:firstLineChars="200" w:firstLine="480"/>
        <w:rPr>
          <w:rFonts w:ascii="仿宋" w:eastAsia="仿宋" w:hAnsi="仿宋" w:cs="Times New Roman" w:hint="eastAsia"/>
          <w:sz w:val="24"/>
          <w:szCs w:val="20"/>
        </w:rPr>
      </w:pPr>
      <w:r w:rsidRPr="001F2C01">
        <w:rPr>
          <w:rFonts w:ascii="仿宋" w:eastAsia="仿宋" w:hAnsi="仿宋" w:cs="Times New Roman" w:hint="eastAsia"/>
          <w:sz w:val="24"/>
          <w:szCs w:val="20"/>
        </w:rPr>
        <w:t>1、按采购人要求数量分批交货，每批次机动车驾驶证证夹、机动车行驶证</w:t>
      </w:r>
      <w:proofErr w:type="gramStart"/>
      <w:r w:rsidRPr="001F2C01">
        <w:rPr>
          <w:rFonts w:ascii="仿宋" w:eastAsia="仿宋" w:hAnsi="仿宋" w:cs="Times New Roman" w:hint="eastAsia"/>
          <w:sz w:val="24"/>
          <w:szCs w:val="20"/>
        </w:rPr>
        <w:t>证夹数量</w:t>
      </w:r>
      <w:proofErr w:type="gramEnd"/>
      <w:r w:rsidRPr="001F2C01">
        <w:rPr>
          <w:rFonts w:ascii="仿宋" w:eastAsia="仿宋" w:hAnsi="仿宋" w:cs="Times New Roman" w:hint="eastAsia"/>
          <w:sz w:val="24"/>
          <w:szCs w:val="20"/>
        </w:rPr>
        <w:t>各不超过40万个。</w:t>
      </w:r>
    </w:p>
    <w:p w:rsidR="001F2C01" w:rsidRPr="001F2C01" w:rsidRDefault="001F2C01" w:rsidP="001F2C01">
      <w:pPr>
        <w:tabs>
          <w:tab w:val="left" w:pos="420"/>
        </w:tabs>
        <w:spacing w:before="50" w:line="360" w:lineRule="auto"/>
        <w:ind w:firstLineChars="200" w:firstLine="480"/>
        <w:rPr>
          <w:rFonts w:ascii="仿宋" w:eastAsia="仿宋" w:hAnsi="仿宋" w:cs="Times New Roman" w:hint="eastAsia"/>
          <w:sz w:val="24"/>
          <w:szCs w:val="20"/>
        </w:rPr>
      </w:pPr>
      <w:r w:rsidRPr="001F2C01">
        <w:rPr>
          <w:rFonts w:ascii="仿宋" w:eastAsia="仿宋" w:hAnsi="仿宋" w:cs="Times New Roman" w:hint="eastAsia"/>
          <w:sz w:val="24"/>
          <w:szCs w:val="20"/>
        </w:rPr>
        <w:t>2、投标人可在投标文件中提供完整、合理、可行的供货方案。方案应包括从生产地点到发运至采购人指定地点的各时间节点和具体方案。同时，投标人还应充分考虑到采购人需求量集中、用量规模较大时的应急预案及应急措施。</w:t>
      </w:r>
    </w:p>
    <w:p w:rsidR="001F2C01" w:rsidRPr="001F2C01" w:rsidRDefault="001F2C01" w:rsidP="001F2C01">
      <w:pPr>
        <w:tabs>
          <w:tab w:val="left" w:pos="900"/>
        </w:tabs>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（二）采购标的需满足的服务期限（质保期限）要求</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自合同签订生效之日起1年。</w:t>
      </w:r>
    </w:p>
    <w:p w:rsidR="001F2C01" w:rsidRPr="001F2C01" w:rsidRDefault="001F2C01" w:rsidP="001F2C01">
      <w:pPr>
        <w:snapToGrid w:val="0"/>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五、采购标的物验收标准</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1、第一批次交付时，由采购人分别随机抽取机动车</w:t>
      </w:r>
      <w:proofErr w:type="gramStart"/>
      <w:r w:rsidRPr="001F2C01">
        <w:rPr>
          <w:rFonts w:ascii="仿宋" w:eastAsia="仿宋" w:hAnsi="仿宋" w:cs="Times New Roman" w:hint="eastAsia"/>
          <w:sz w:val="24"/>
          <w:szCs w:val="24"/>
        </w:rPr>
        <w:t>驾驶证证夹和</w:t>
      </w:r>
      <w:proofErr w:type="gramEnd"/>
      <w:r w:rsidRPr="001F2C01">
        <w:rPr>
          <w:rFonts w:ascii="仿宋" w:eastAsia="仿宋" w:hAnsi="仿宋" w:cs="Times New Roman" w:hint="eastAsia"/>
          <w:sz w:val="24"/>
          <w:szCs w:val="24"/>
        </w:rPr>
        <w:t>机动车行驶证</w:t>
      </w:r>
      <w:proofErr w:type="gramStart"/>
      <w:r w:rsidRPr="001F2C01">
        <w:rPr>
          <w:rFonts w:ascii="仿宋" w:eastAsia="仿宋" w:hAnsi="仿宋" w:cs="Times New Roman" w:hint="eastAsia"/>
          <w:sz w:val="24"/>
          <w:szCs w:val="24"/>
        </w:rPr>
        <w:t>证夹各</w:t>
      </w:r>
      <w:proofErr w:type="gramEnd"/>
      <w:r w:rsidRPr="001F2C01">
        <w:rPr>
          <w:rFonts w:ascii="仿宋" w:eastAsia="仿宋" w:hAnsi="仿宋" w:cs="Times New Roman" w:hint="eastAsia"/>
          <w:sz w:val="24"/>
          <w:szCs w:val="24"/>
        </w:rPr>
        <w:t>20个，送指定检测机构进行检测（检测费用由中标人支付）。</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2、后续批次交付时，采购人将采取不定期随机抽检的方式进行验收。对抽检不合格的产品投标人须24小时之内响应并免费更换有缺陷的货物。</w:t>
      </w:r>
    </w:p>
    <w:p w:rsidR="001F2C01" w:rsidRPr="001F2C01" w:rsidRDefault="001F2C01" w:rsidP="001F2C01">
      <w:pPr>
        <w:tabs>
          <w:tab w:val="left" w:pos="900"/>
        </w:tabs>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六、采购标的</w:t>
      </w:r>
      <w:proofErr w:type="gramStart"/>
      <w:r w:rsidRPr="001F2C01">
        <w:rPr>
          <w:rFonts w:ascii="仿宋" w:eastAsia="仿宋" w:hAnsi="仿宋" w:cs="Times New Roman" w:hint="eastAsia"/>
          <w:b/>
          <w:sz w:val="24"/>
          <w:szCs w:val="24"/>
        </w:rPr>
        <w:t>的</w:t>
      </w:r>
      <w:proofErr w:type="gramEnd"/>
      <w:r w:rsidRPr="001F2C01">
        <w:rPr>
          <w:rFonts w:ascii="仿宋" w:eastAsia="仿宋" w:hAnsi="仿宋" w:cs="Times New Roman" w:hint="eastAsia"/>
          <w:b/>
          <w:sz w:val="24"/>
          <w:szCs w:val="24"/>
        </w:rPr>
        <w:t>其他技术、服务等要求</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1、所投产品应符合《中华人民共和国机动车驾驶证》（GA482-2012）、《中华人民共和国机动车行驶证》（GA37-2008）中相关要求。投标人应在投标文件中分别提供具备相应检测能力的检测机构出具的带有CMA认定标志的检测报告（检测报告必须在有效期范围内，检测报告须包含材质、式样、规格尺寸、外观、耐温性能等检测内容）。</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2、针对采购人的使用特征，投标人应具有履行合同所必需的设备和专业技术能力，投标人可在投标文件中提供拟投入的专业化生产设备配备情况（设备清单、设备购置年限及原始购买发票复印件等材料）及拟派专业的生产人员情况说明。</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3、为了保证产品的质量，投标人可在投标文件中提供具体的生产工艺流程及产品质量保证措施。</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4、投标人可结合项目特征，在投标文件中提供有针对性的售后服务方案和</w:t>
      </w:r>
      <w:r w:rsidRPr="001F2C01">
        <w:rPr>
          <w:rFonts w:ascii="仿宋" w:eastAsia="仿宋" w:hAnsi="仿宋" w:cs="Times New Roman" w:hint="eastAsia"/>
          <w:sz w:val="24"/>
          <w:szCs w:val="24"/>
        </w:rPr>
        <w:lastRenderedPageBreak/>
        <w:t>明确拟派负责人。</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5、按照以往项目执行经验，本项目在执行过程中可能会出现残次品，投标人须准备一定数量的备品，对出现质量问题</w:t>
      </w:r>
      <w:proofErr w:type="gramStart"/>
      <w:r w:rsidRPr="001F2C01">
        <w:rPr>
          <w:rFonts w:ascii="仿宋" w:eastAsia="仿宋" w:hAnsi="仿宋" w:cs="Times New Roman" w:hint="eastAsia"/>
          <w:sz w:val="24"/>
          <w:szCs w:val="24"/>
        </w:rPr>
        <w:t>的证夹进行</w:t>
      </w:r>
      <w:proofErr w:type="gramEnd"/>
      <w:r w:rsidRPr="001F2C01">
        <w:rPr>
          <w:rFonts w:ascii="仿宋" w:eastAsia="仿宋" w:hAnsi="仿宋" w:cs="Times New Roman" w:hint="eastAsia"/>
          <w:sz w:val="24"/>
          <w:szCs w:val="24"/>
        </w:rPr>
        <w:t>无条件更换。</w:t>
      </w:r>
    </w:p>
    <w:p w:rsidR="001F2C01" w:rsidRPr="001F2C01" w:rsidRDefault="001F2C01" w:rsidP="001F2C01">
      <w:pPr>
        <w:tabs>
          <w:tab w:val="left" w:pos="900"/>
        </w:tabs>
        <w:spacing w:beforeLines="50" w:before="120" w:line="360" w:lineRule="auto"/>
        <w:rPr>
          <w:rFonts w:ascii="仿宋" w:eastAsia="仿宋" w:hAnsi="仿宋" w:cs="Times New Roman" w:hint="eastAsia"/>
          <w:b/>
          <w:sz w:val="24"/>
          <w:szCs w:val="24"/>
        </w:rPr>
      </w:pPr>
      <w:r w:rsidRPr="001F2C01">
        <w:rPr>
          <w:rFonts w:ascii="仿宋" w:eastAsia="仿宋" w:hAnsi="仿宋" w:cs="Times New Roman" w:hint="eastAsia"/>
          <w:b/>
          <w:sz w:val="24"/>
          <w:szCs w:val="24"/>
        </w:rPr>
        <w:t>七、采购标的需满足的质量、安全、技术规格、物理特性等要求：</w:t>
      </w:r>
    </w:p>
    <w:p w:rsidR="001F2C01" w:rsidRPr="001F2C01" w:rsidRDefault="001F2C01" w:rsidP="001F2C01">
      <w:pPr>
        <w:widowControl/>
        <w:spacing w:line="360" w:lineRule="auto"/>
        <w:jc w:val="left"/>
        <w:rPr>
          <w:rFonts w:ascii="仿宋" w:eastAsia="仿宋" w:hAnsi="仿宋" w:cs="Times New Roman"/>
          <w:b/>
          <w:sz w:val="24"/>
          <w:szCs w:val="24"/>
        </w:rPr>
        <w:sectPr w:rsidR="001F2C01" w:rsidRPr="001F2C01">
          <w:pgSz w:w="11907" w:h="16840"/>
          <w:pgMar w:top="1440" w:right="1800" w:bottom="1440" w:left="1800" w:header="851" w:footer="851" w:gutter="0"/>
          <w:cols w:space="720"/>
        </w:sectPr>
      </w:pPr>
    </w:p>
    <w:p w:rsidR="001F2C01" w:rsidRPr="001F2C01" w:rsidRDefault="001F2C01" w:rsidP="001F2C01">
      <w:pPr>
        <w:tabs>
          <w:tab w:val="left" w:pos="900"/>
        </w:tabs>
        <w:spacing w:beforeLines="50" w:before="120" w:line="360" w:lineRule="auto"/>
        <w:jc w:val="center"/>
        <w:rPr>
          <w:rFonts w:ascii="仿宋" w:eastAsia="仿宋" w:hAnsi="仿宋" w:cs="Times New Roman" w:hint="eastAsia"/>
          <w:b/>
          <w:sz w:val="24"/>
          <w:szCs w:val="24"/>
        </w:rPr>
      </w:pPr>
      <w:r w:rsidRPr="001F2C01">
        <w:rPr>
          <w:rFonts w:ascii="仿宋" w:eastAsia="仿宋" w:hAnsi="仿宋" w:cs="Times New Roman" w:hint="eastAsia"/>
          <w:b/>
          <w:sz w:val="24"/>
          <w:szCs w:val="24"/>
        </w:rPr>
        <w:lastRenderedPageBreak/>
        <w:t>第1包 品目1-1机动车驾驶证证夹</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1、式样</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1.1</w:t>
      </w:r>
      <w:proofErr w:type="gramStart"/>
      <w:r w:rsidRPr="001F2C01">
        <w:rPr>
          <w:rFonts w:ascii="仿宋" w:eastAsia="仿宋" w:hAnsi="仿宋" w:cs="Times New Roman" w:hint="eastAsia"/>
          <w:sz w:val="24"/>
          <w:szCs w:val="24"/>
        </w:rPr>
        <w:t>正面压字“中华人民共和国机动车驾驶证”</w:t>
      </w:r>
      <w:proofErr w:type="gramEnd"/>
      <w:r w:rsidRPr="001F2C01">
        <w:rPr>
          <w:rFonts w:ascii="仿宋" w:eastAsia="仿宋" w:hAnsi="仿宋" w:cs="Times New Roman" w:hint="eastAsia"/>
          <w:sz w:val="24"/>
          <w:szCs w:val="24"/>
        </w:rPr>
        <w:t>，其中“中华人民共和国”字体为16pt宋体，“机动车驾驶证”字体为34pt长宋体。</w:t>
      </w:r>
      <w:proofErr w:type="gramStart"/>
      <w:r w:rsidRPr="001F2C01">
        <w:rPr>
          <w:rFonts w:ascii="仿宋" w:eastAsia="仿宋" w:hAnsi="仿宋" w:cs="Times New Roman" w:hint="eastAsia"/>
          <w:sz w:val="24"/>
          <w:szCs w:val="24"/>
        </w:rPr>
        <w:t>压字居中</w:t>
      </w:r>
      <w:proofErr w:type="gramEnd"/>
      <w:r w:rsidRPr="001F2C01">
        <w:rPr>
          <w:rFonts w:ascii="仿宋" w:eastAsia="仿宋" w:hAnsi="仿宋" w:cs="Times New Roman" w:hint="eastAsia"/>
          <w:sz w:val="24"/>
          <w:szCs w:val="24"/>
        </w:rPr>
        <w:t>。</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2、规格</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2.1折叠后：长度为102mm±1mm，宽度为73mm±1mm，圆角半径为4mm±0.1mm。</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3、外观</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3.1</w:t>
      </w:r>
      <w:proofErr w:type="gramStart"/>
      <w:r w:rsidRPr="001F2C01">
        <w:rPr>
          <w:rFonts w:ascii="仿宋" w:eastAsia="仿宋" w:hAnsi="仿宋" w:cs="Times New Roman" w:hint="eastAsia"/>
          <w:sz w:val="24"/>
          <w:szCs w:val="24"/>
        </w:rPr>
        <w:t>证夹外表</w:t>
      </w:r>
      <w:proofErr w:type="gramEnd"/>
      <w:r w:rsidRPr="001F2C01">
        <w:rPr>
          <w:rFonts w:ascii="仿宋" w:eastAsia="仿宋" w:hAnsi="仿宋" w:cs="Times New Roman" w:hint="eastAsia"/>
          <w:sz w:val="24"/>
          <w:szCs w:val="24"/>
        </w:rPr>
        <w:t>手感柔软，无气泡，色泽均匀，压印字清晰无边刺；</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3.2外型规正挺括，折叠后</w:t>
      </w:r>
      <w:proofErr w:type="gramStart"/>
      <w:r w:rsidRPr="001F2C01">
        <w:rPr>
          <w:rFonts w:ascii="仿宋" w:eastAsia="仿宋" w:hAnsi="仿宋" w:cs="Times New Roman" w:hint="eastAsia"/>
          <w:sz w:val="24"/>
          <w:szCs w:val="24"/>
        </w:rPr>
        <w:t>不</w:t>
      </w:r>
      <w:proofErr w:type="gramEnd"/>
      <w:r w:rsidRPr="001F2C01">
        <w:rPr>
          <w:rFonts w:ascii="仿宋" w:eastAsia="仿宋" w:hAnsi="仿宋" w:cs="Times New Roman" w:hint="eastAsia"/>
          <w:sz w:val="24"/>
          <w:szCs w:val="24"/>
        </w:rPr>
        <w:t>错位；</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3.3内皮透明无裂纹、无黑点杂质；</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3.4内外皮封口牢固、均匀、无错位；</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3.5证卡应能轻松地插入和取出。</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4、耐温性能</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4.1证夹在温度-50℃～+60℃的环境下无开裂、脆化、软化等现象。</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5、材质</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5.1外表材料：</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5.1.1外皮为黑色PVC材质，厚度为500μ±10μ；</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5.1.2内皮为透明、无色、无味PVC材质，厚度为210μ±5μ。</w:t>
      </w:r>
    </w:p>
    <w:p w:rsidR="001F2C01" w:rsidRPr="001F2C01" w:rsidRDefault="001F2C01" w:rsidP="001F2C01">
      <w:pPr>
        <w:tabs>
          <w:tab w:val="left" w:pos="900"/>
        </w:tabs>
        <w:spacing w:beforeLines="50" w:before="120"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★5.2材质无挥发性有害物质：邻苯二甲酸</w:t>
      </w:r>
      <w:proofErr w:type="gramStart"/>
      <w:r w:rsidRPr="001F2C01">
        <w:rPr>
          <w:rFonts w:ascii="仿宋" w:eastAsia="仿宋" w:hAnsi="仿宋" w:cs="Times New Roman" w:hint="eastAsia"/>
          <w:sz w:val="24"/>
          <w:szCs w:val="24"/>
        </w:rPr>
        <w:t>二己酯</w:t>
      </w:r>
      <w:proofErr w:type="gramEnd"/>
      <w:r w:rsidRPr="001F2C01">
        <w:rPr>
          <w:rFonts w:ascii="仿宋" w:eastAsia="仿宋" w:hAnsi="仿宋" w:cs="Times New Roman" w:hint="eastAsia"/>
          <w:sz w:val="24"/>
          <w:szCs w:val="24"/>
        </w:rPr>
        <w:t>（DEHP）、邻苯二甲酸二丁酯（DBP）、邻苯二甲酸苯基丁酯（BBP）、邻苯二甲酸二异壬酯（DINP）、邻苯二甲酸二异</w:t>
      </w:r>
      <w:proofErr w:type="gramStart"/>
      <w:r w:rsidRPr="001F2C01">
        <w:rPr>
          <w:rFonts w:ascii="仿宋" w:eastAsia="仿宋" w:hAnsi="仿宋" w:cs="Times New Roman" w:hint="eastAsia"/>
          <w:sz w:val="24"/>
          <w:szCs w:val="24"/>
        </w:rPr>
        <w:t>癸</w:t>
      </w:r>
      <w:proofErr w:type="gramEnd"/>
      <w:r w:rsidRPr="001F2C01">
        <w:rPr>
          <w:rFonts w:ascii="仿宋" w:eastAsia="仿宋" w:hAnsi="仿宋" w:cs="Times New Roman" w:hint="eastAsia"/>
          <w:sz w:val="24"/>
          <w:szCs w:val="24"/>
        </w:rPr>
        <w:t>酯（DIDP）、邻苯二甲酸二辛酯（DNOP）均不超过1000ppm。投标人应在投标文件中提供外皮及内皮材质由具备相应检测能力的检测机构出具的带有CMA认定标志的检测报告（检测报告必须在有效期范围内）。</w:t>
      </w:r>
    </w:p>
    <w:p w:rsidR="001F2C01" w:rsidRPr="001F2C01" w:rsidRDefault="001F2C01" w:rsidP="001F2C01">
      <w:pPr>
        <w:widowControl/>
        <w:spacing w:line="360" w:lineRule="auto"/>
        <w:jc w:val="left"/>
        <w:rPr>
          <w:rFonts w:ascii="仿宋" w:eastAsia="仿宋" w:hAnsi="仿宋" w:cs="Times New Roman"/>
          <w:b/>
          <w:sz w:val="24"/>
          <w:szCs w:val="24"/>
        </w:rPr>
        <w:sectPr w:rsidR="001F2C01" w:rsidRPr="001F2C01">
          <w:pgSz w:w="11907" w:h="16840"/>
          <w:pgMar w:top="1440" w:right="1800" w:bottom="1440" w:left="1800" w:header="851" w:footer="851" w:gutter="0"/>
          <w:cols w:space="720"/>
        </w:sectPr>
      </w:pPr>
    </w:p>
    <w:p w:rsidR="001F2C01" w:rsidRPr="001F2C01" w:rsidRDefault="001F2C01" w:rsidP="001F2C01">
      <w:pPr>
        <w:tabs>
          <w:tab w:val="left" w:pos="900"/>
        </w:tabs>
        <w:spacing w:beforeLines="50" w:before="156" w:line="360" w:lineRule="auto"/>
        <w:jc w:val="center"/>
        <w:rPr>
          <w:rFonts w:ascii="仿宋" w:eastAsia="仿宋" w:hAnsi="仿宋" w:cs="Times New Roman" w:hint="eastAsia"/>
          <w:b/>
          <w:sz w:val="24"/>
          <w:szCs w:val="24"/>
        </w:rPr>
      </w:pPr>
      <w:r w:rsidRPr="001F2C01">
        <w:rPr>
          <w:rFonts w:ascii="仿宋" w:eastAsia="仿宋" w:hAnsi="仿宋" w:cs="Times New Roman" w:hint="eastAsia"/>
          <w:b/>
          <w:sz w:val="24"/>
          <w:szCs w:val="24"/>
        </w:rPr>
        <w:lastRenderedPageBreak/>
        <w:t>第1包 品目1-2机动车行驶证证夹</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1、式样</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1.1</w:t>
      </w:r>
      <w:proofErr w:type="gramStart"/>
      <w:r w:rsidRPr="001F2C01">
        <w:rPr>
          <w:rFonts w:ascii="仿宋" w:eastAsia="仿宋" w:hAnsi="仿宋" w:cs="Times New Roman" w:hint="eastAsia"/>
          <w:sz w:val="24"/>
          <w:szCs w:val="24"/>
        </w:rPr>
        <w:t>正面压字“中华人民共和国机动车行驶证”</w:t>
      </w:r>
      <w:proofErr w:type="gramEnd"/>
      <w:r w:rsidRPr="001F2C01">
        <w:rPr>
          <w:rFonts w:ascii="仿宋" w:eastAsia="仿宋" w:hAnsi="仿宋" w:cs="Times New Roman" w:hint="eastAsia"/>
          <w:sz w:val="24"/>
          <w:szCs w:val="24"/>
        </w:rPr>
        <w:t>，其中“中华人民共和国”字体为16pt宋体，“机动车行驶证”字体为34pt长宋体。</w:t>
      </w:r>
      <w:proofErr w:type="gramStart"/>
      <w:r w:rsidRPr="001F2C01">
        <w:rPr>
          <w:rFonts w:ascii="仿宋" w:eastAsia="仿宋" w:hAnsi="仿宋" w:cs="Times New Roman" w:hint="eastAsia"/>
          <w:sz w:val="24"/>
          <w:szCs w:val="24"/>
        </w:rPr>
        <w:t>压字居中</w:t>
      </w:r>
      <w:proofErr w:type="gramEnd"/>
      <w:r w:rsidRPr="001F2C01">
        <w:rPr>
          <w:rFonts w:ascii="仿宋" w:eastAsia="仿宋" w:hAnsi="仿宋" w:cs="Times New Roman" w:hint="eastAsia"/>
          <w:sz w:val="24"/>
          <w:szCs w:val="24"/>
        </w:rPr>
        <w:t>。</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2、规格</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2.1折叠后：长度为102mm±1mm，宽度为73mm±1mm，圆角半径为4mm±0.1mm。</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3、外观</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3.1</w:t>
      </w:r>
      <w:proofErr w:type="gramStart"/>
      <w:r w:rsidRPr="001F2C01">
        <w:rPr>
          <w:rFonts w:ascii="仿宋" w:eastAsia="仿宋" w:hAnsi="仿宋" w:cs="Times New Roman" w:hint="eastAsia"/>
          <w:sz w:val="24"/>
          <w:szCs w:val="24"/>
        </w:rPr>
        <w:t>证夹外表</w:t>
      </w:r>
      <w:proofErr w:type="gramEnd"/>
      <w:r w:rsidRPr="001F2C01">
        <w:rPr>
          <w:rFonts w:ascii="仿宋" w:eastAsia="仿宋" w:hAnsi="仿宋" w:cs="Times New Roman" w:hint="eastAsia"/>
          <w:sz w:val="24"/>
          <w:szCs w:val="24"/>
        </w:rPr>
        <w:t>手感柔软，无气泡，色泽均匀，压印字清晰无边刺；</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3.2外型规正挺括，折叠后</w:t>
      </w:r>
      <w:proofErr w:type="gramStart"/>
      <w:r w:rsidRPr="001F2C01">
        <w:rPr>
          <w:rFonts w:ascii="仿宋" w:eastAsia="仿宋" w:hAnsi="仿宋" w:cs="Times New Roman" w:hint="eastAsia"/>
          <w:sz w:val="24"/>
          <w:szCs w:val="24"/>
        </w:rPr>
        <w:t>不</w:t>
      </w:r>
      <w:proofErr w:type="gramEnd"/>
      <w:r w:rsidRPr="001F2C01">
        <w:rPr>
          <w:rFonts w:ascii="仿宋" w:eastAsia="仿宋" w:hAnsi="仿宋" w:cs="Times New Roman" w:hint="eastAsia"/>
          <w:sz w:val="24"/>
          <w:szCs w:val="24"/>
        </w:rPr>
        <w:t>错位；</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3.3插页和内皮透明无裂纹；</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3.4内外皮封口牢固、均匀、无错位；</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3.5证卡应能轻松地插入和取出。</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4、耐温性能</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4.1证夹在温度-50℃～+60℃的环境下无开裂、脆化、软化等现象。</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5、材质</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5.1外皮为蓝色人造革；</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5.2插页及内皮为透明无色塑料。</w:t>
      </w:r>
    </w:p>
    <w:p w:rsidR="001F2C01" w:rsidRPr="001F2C01" w:rsidRDefault="001F2C01" w:rsidP="001F2C01">
      <w:pPr>
        <w:tabs>
          <w:tab w:val="left" w:pos="900"/>
        </w:tabs>
        <w:spacing w:beforeLines="50" w:before="156" w:line="360" w:lineRule="auto"/>
        <w:ind w:firstLineChars="200" w:firstLine="480"/>
        <w:rPr>
          <w:rFonts w:ascii="仿宋" w:eastAsia="仿宋" w:hAnsi="仿宋" w:cs="Times New Roman" w:hint="eastAsia"/>
          <w:sz w:val="24"/>
          <w:szCs w:val="24"/>
        </w:rPr>
      </w:pPr>
      <w:r w:rsidRPr="001F2C01">
        <w:rPr>
          <w:rFonts w:ascii="仿宋" w:eastAsia="仿宋" w:hAnsi="仿宋" w:cs="Times New Roman" w:hint="eastAsia"/>
          <w:sz w:val="24"/>
          <w:szCs w:val="24"/>
        </w:rPr>
        <w:t>★5.3材质无挥发性有害物质：邻苯二甲酸</w:t>
      </w:r>
      <w:proofErr w:type="gramStart"/>
      <w:r w:rsidRPr="001F2C01">
        <w:rPr>
          <w:rFonts w:ascii="仿宋" w:eastAsia="仿宋" w:hAnsi="仿宋" w:cs="Times New Roman" w:hint="eastAsia"/>
          <w:sz w:val="24"/>
          <w:szCs w:val="24"/>
        </w:rPr>
        <w:t>二己酯</w:t>
      </w:r>
      <w:proofErr w:type="gramEnd"/>
      <w:r w:rsidRPr="001F2C01">
        <w:rPr>
          <w:rFonts w:ascii="仿宋" w:eastAsia="仿宋" w:hAnsi="仿宋" w:cs="Times New Roman" w:hint="eastAsia"/>
          <w:sz w:val="24"/>
          <w:szCs w:val="24"/>
        </w:rPr>
        <w:t>（DEHP）、邻苯二甲酸二丁酯（DBP）、邻苯二甲酸苯基丁酯（BBP）、邻苯二甲酸二异壬酯（DINP）、邻苯二甲酸二异</w:t>
      </w:r>
      <w:proofErr w:type="gramStart"/>
      <w:r w:rsidRPr="001F2C01">
        <w:rPr>
          <w:rFonts w:ascii="仿宋" w:eastAsia="仿宋" w:hAnsi="仿宋" w:cs="Times New Roman" w:hint="eastAsia"/>
          <w:sz w:val="24"/>
          <w:szCs w:val="24"/>
        </w:rPr>
        <w:t>癸</w:t>
      </w:r>
      <w:proofErr w:type="gramEnd"/>
      <w:r w:rsidRPr="001F2C01">
        <w:rPr>
          <w:rFonts w:ascii="仿宋" w:eastAsia="仿宋" w:hAnsi="仿宋" w:cs="Times New Roman" w:hint="eastAsia"/>
          <w:sz w:val="24"/>
          <w:szCs w:val="24"/>
        </w:rPr>
        <w:t>酯（DIDP）、邻苯二甲酸二辛酯（DNOP）均不超过1000ppm。投标人应在投标文件中提供外皮及内皮材质由具备相应检测能力的检测机构出具的带有CMA认定标志的检测报告（检测报告必须在有效期范围内）。</w:t>
      </w:r>
      <w:bookmarkEnd w:id="1"/>
      <w:bookmarkEnd w:id="2"/>
    </w:p>
    <w:p w:rsidR="00DF3452" w:rsidRPr="001F2C01" w:rsidRDefault="001F2C01">
      <w:bookmarkStart w:id="3" w:name="_GoBack"/>
      <w:bookmarkEnd w:id="3"/>
    </w:p>
    <w:sectPr w:rsidR="00DF3452" w:rsidRPr="001F2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30"/>
    <w:rsid w:val="001F2C01"/>
    <w:rsid w:val="006F1968"/>
    <w:rsid w:val="00AA67FD"/>
    <w:rsid w:val="00BE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0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2025-09-18T06:47:00Z</dcterms:created>
  <dcterms:modified xsi:type="dcterms:W3CDTF">2025-09-18T07:04:00Z</dcterms:modified>
</cp:coreProperties>
</file>