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4848C">
      <w:pPr>
        <w:spacing w:line="360" w:lineRule="auto"/>
        <w:jc w:val="center"/>
        <w:outlineLvl w:val="0"/>
        <w:rPr>
          <w:b/>
          <w:sz w:val="36"/>
          <w:szCs w:val="36"/>
        </w:rPr>
      </w:pPr>
      <w:r>
        <w:rPr>
          <w:b/>
          <w:sz w:val="36"/>
          <w:szCs w:val="36"/>
        </w:rPr>
        <w:t>采购需求</w:t>
      </w:r>
    </w:p>
    <w:p w14:paraId="6754C72B">
      <w:pPr>
        <w:spacing w:line="360" w:lineRule="auto"/>
        <w:ind w:firstLine="0" w:firstLineChars="0"/>
        <w:contextualSpacing/>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第1包：北京信息职业技术学院2026年互联网接入服务采购项目第1包-2026年互联网接入服务办公专线</w:t>
      </w:r>
    </w:p>
    <w:p w14:paraId="35DB4A9E">
      <w:pPr>
        <w:widowControl w:val="0"/>
        <w:numPr>
          <w:ilvl w:val="0"/>
          <w:numId w:val="1"/>
        </w:numPr>
        <w:spacing w:line="360" w:lineRule="auto"/>
        <w:ind w:left="500" w:hanging="500" w:firstLineChars="0"/>
        <w:contextualSpacing/>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采购标的</w:t>
      </w:r>
    </w:p>
    <w:p w14:paraId="1C54033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采购标的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4B8F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6E52B5B7">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355" w:type="dxa"/>
            <w:noWrap w:val="0"/>
            <w:vAlign w:val="center"/>
          </w:tcPr>
          <w:p w14:paraId="06D39A50">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货物或服务名称</w:t>
            </w:r>
          </w:p>
        </w:tc>
        <w:tc>
          <w:tcPr>
            <w:tcW w:w="1697" w:type="dxa"/>
            <w:noWrap w:val="0"/>
            <w:vAlign w:val="center"/>
          </w:tcPr>
          <w:p w14:paraId="21620AFB">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1470" w:type="dxa"/>
            <w:noWrap w:val="0"/>
            <w:vAlign w:val="center"/>
          </w:tcPr>
          <w:p w14:paraId="219ED8D2">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1943" w:type="dxa"/>
            <w:noWrap w:val="0"/>
            <w:vAlign w:val="center"/>
          </w:tcPr>
          <w:p w14:paraId="600F7FE2">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备注（核心产品）</w:t>
            </w:r>
          </w:p>
        </w:tc>
      </w:tr>
      <w:tr w14:paraId="582B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651FAD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55" w:type="dxa"/>
            <w:noWrap w:val="0"/>
            <w:vAlign w:val="top"/>
          </w:tcPr>
          <w:p w14:paraId="53362A9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北京信息职业技术学院2026年互联网接入服务采购项目第1包-2026年互联网接入服务办公专线</w:t>
            </w:r>
          </w:p>
        </w:tc>
        <w:tc>
          <w:tcPr>
            <w:tcW w:w="1697" w:type="dxa"/>
            <w:noWrap w:val="0"/>
            <w:vAlign w:val="top"/>
          </w:tcPr>
          <w:p w14:paraId="1352C93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70" w:type="dxa"/>
            <w:noWrap w:val="0"/>
            <w:vAlign w:val="top"/>
          </w:tcPr>
          <w:p w14:paraId="66D04FC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943" w:type="dxa"/>
            <w:noWrap w:val="0"/>
            <w:vAlign w:val="top"/>
          </w:tcPr>
          <w:p w14:paraId="51E5FF25">
            <w:pPr>
              <w:rPr>
                <w:rFonts w:hint="eastAsia" w:asciiTheme="minorEastAsia" w:hAnsiTheme="minorEastAsia" w:eastAsiaTheme="minorEastAsia" w:cstheme="minorEastAsia"/>
                <w:sz w:val="24"/>
                <w:szCs w:val="24"/>
              </w:rPr>
            </w:pPr>
          </w:p>
        </w:tc>
      </w:tr>
    </w:tbl>
    <w:p w14:paraId="505A290A">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项目背景/项目概述</w:t>
      </w:r>
    </w:p>
    <w:p w14:paraId="14A6E3DD">
      <w:pPr>
        <w:widowControl w:val="0"/>
        <w:tabs>
          <w:tab w:val="right" w:leader="middleDot" w:pos="8820"/>
        </w:tabs>
        <w:spacing w:after="120" w:line="480" w:lineRule="exact"/>
        <w:ind w:left="0" w:leftChars="0" w:firstLine="0" w:firstLineChars="0"/>
        <w:jc w:val="both"/>
        <w:rPr>
          <w:rFonts w:hint="eastAsia" w:asciiTheme="minorEastAsia" w:hAnsiTheme="minorEastAsia" w:eastAsiaTheme="minorEastAsia" w:cstheme="minorEastAsia"/>
          <w:b/>
          <w:color w:val="FF0000"/>
          <w:kern w:val="2"/>
          <w:sz w:val="24"/>
          <w:szCs w:val="24"/>
          <w:highlight w:val="none"/>
          <w:lang w:val="en-US" w:eastAsia="zh-CN" w:bidi="ar-SA"/>
        </w:rPr>
      </w:pPr>
      <w:r>
        <w:rPr>
          <w:rFonts w:hint="eastAsia" w:asciiTheme="minorEastAsia" w:hAnsiTheme="minorEastAsia" w:eastAsiaTheme="minorEastAsia" w:cstheme="minorEastAsia"/>
          <w:bCs/>
          <w:kern w:val="2"/>
          <w:sz w:val="24"/>
          <w:szCs w:val="24"/>
          <w:lang w:val="en-US" w:eastAsia="zh-CN" w:bidi="ar-SA"/>
        </w:rPr>
        <w:t>采购人现需租用一条互联网专用线路，</w:t>
      </w:r>
      <w:r>
        <w:rPr>
          <w:rFonts w:hint="eastAsia" w:asciiTheme="minorEastAsia" w:hAnsiTheme="minorEastAsia" w:eastAsiaTheme="minorEastAsia" w:cstheme="minorEastAsia"/>
          <w:bCs/>
          <w:kern w:val="2"/>
          <w:sz w:val="24"/>
          <w:szCs w:val="24"/>
          <w:highlight w:val="none"/>
          <w:lang w:val="en-US" w:eastAsia="zh-CN" w:bidi="ar-SA"/>
        </w:rPr>
        <w:t>租期一年。投标人需要提供一条上下行带宽分别≥4G的互联网专线，投标人需要提供</w:t>
      </w:r>
      <w:r>
        <w:rPr>
          <w:rFonts w:hint="eastAsia" w:asciiTheme="minorEastAsia" w:hAnsiTheme="minorEastAsia" w:eastAsiaTheme="minorEastAsia" w:cstheme="minorEastAsia"/>
          <w:kern w:val="0"/>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eastAsia="zh-CN" w:bidi="ar-SA"/>
        </w:rPr>
        <w:t>256个IPv4地址，/56（56位掩码）个 IPv6地址，IP地址要求均为北京区域地址归属。</w:t>
      </w:r>
    </w:p>
    <w:p w14:paraId="25F7B17F">
      <w:pPr>
        <w:widowControl w:val="0"/>
        <w:numPr>
          <w:ilvl w:val="0"/>
          <w:numId w:val="1"/>
        </w:numPr>
        <w:spacing w:line="360" w:lineRule="auto"/>
        <w:ind w:left="500" w:hanging="500" w:firstLineChars="0"/>
        <w:contextualSpacing/>
        <w:jc w:val="both"/>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商务要求</w:t>
      </w:r>
    </w:p>
    <w:p w14:paraId="6C3D59CB">
      <w:pPr>
        <w:numPr>
          <w:ilvl w:val="0"/>
          <w:numId w:val="2"/>
        </w:numPr>
        <w:spacing w:line="360" w:lineRule="auto"/>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交付（实施）的时间（期限）和地点（范围）</w:t>
      </w:r>
    </w:p>
    <w:p w14:paraId="46127511">
      <w:pPr>
        <w:numPr>
          <w:ilvl w:val="0"/>
          <w:numId w:val="0"/>
        </w:numPr>
        <w:spacing w:line="360" w:lineRule="auto"/>
        <w:ind w:left="420" w:leftChars="0" w:firstLine="42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合同履行期限：2026.2.1-2027.1.31 </w:t>
      </w:r>
    </w:p>
    <w:p w14:paraId="05F85962">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交货时间：2026年2月1日</w:t>
      </w:r>
    </w:p>
    <w:p w14:paraId="764AB5A0">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交货地点：</w:t>
      </w:r>
      <w:bookmarkStart w:id="0" w:name="OLE_LINK1"/>
      <w:r>
        <w:rPr>
          <w:rFonts w:hint="eastAsia" w:asciiTheme="minorEastAsia" w:hAnsiTheme="minorEastAsia" w:eastAsiaTheme="minorEastAsia" w:cstheme="minorEastAsia"/>
          <w:bCs/>
          <w:kern w:val="2"/>
          <w:sz w:val="24"/>
          <w:szCs w:val="24"/>
          <w:highlight w:val="none"/>
          <w:lang w:val="en-US" w:eastAsia="zh-CN" w:bidi="ar-SA"/>
        </w:rPr>
        <w:t>北京市朝阳区东坝红松园北里甲一号</w:t>
      </w:r>
      <w:bookmarkEnd w:id="0"/>
      <w:r>
        <w:rPr>
          <w:rFonts w:hint="eastAsia" w:asciiTheme="minorEastAsia" w:hAnsiTheme="minorEastAsia" w:eastAsiaTheme="minorEastAsia" w:cstheme="minorEastAsia"/>
          <w:bCs/>
          <w:kern w:val="2"/>
          <w:sz w:val="24"/>
          <w:szCs w:val="24"/>
          <w:highlight w:val="none"/>
          <w:lang w:val="en-US" w:eastAsia="zh-CN" w:bidi="ar-SA"/>
        </w:rPr>
        <w:t xml:space="preserve"> 北京信息职业技术学院东校区。</w:t>
      </w:r>
    </w:p>
    <w:p w14:paraId="68D0E64B">
      <w:pPr>
        <w:rPr>
          <w:rFonts w:hint="eastAsia" w:asciiTheme="minorEastAsia" w:hAnsiTheme="minorEastAsia" w:eastAsiaTheme="minorEastAsia" w:cstheme="minorEastAsia"/>
          <w:sz w:val="24"/>
          <w:szCs w:val="24"/>
          <w:highlight w:val="none"/>
        </w:rPr>
      </w:pPr>
    </w:p>
    <w:p w14:paraId="01748E13">
      <w:pPr>
        <w:spacing w:line="360" w:lineRule="auto"/>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付款条件（进度和方式）</w:t>
      </w:r>
    </w:p>
    <w:p w14:paraId="0F8E8022">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支付方式：转账</w:t>
      </w:r>
    </w:p>
    <w:p w14:paraId="44165E6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本合同的付款方式为：</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2026年财政预资金算拨付到位后，2026年4月30日前</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出具符合</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财务要求的发票，</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支付合同总价的60%。2026年9月30日前</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出具符合</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财务要求的发票，</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支付合同总价的40％。如</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2026年财政预算资金未能及时拨付到位，根据实际情况双方协商另行约定。</w:t>
      </w:r>
    </w:p>
    <w:p w14:paraId="7A4B9647">
      <w:pPr>
        <w:widowControl w:val="0"/>
        <w:autoSpaceDE w:val="0"/>
        <w:autoSpaceDN w:val="0"/>
        <w:adjustRightInd w:val="0"/>
        <w:ind w:firstLine="420"/>
        <w:jc w:val="left"/>
        <w:rPr>
          <w:rFonts w:hint="eastAsia" w:asciiTheme="minorEastAsia" w:hAnsiTheme="minorEastAsia" w:eastAsiaTheme="minorEastAsia" w:cstheme="minorEastAsia"/>
          <w:kern w:val="2"/>
          <w:sz w:val="24"/>
          <w:szCs w:val="24"/>
          <w:lang w:val="en-US" w:eastAsia="zh-CN" w:bidi="ar-SA"/>
        </w:rPr>
      </w:pPr>
    </w:p>
    <w:p w14:paraId="502150DC">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售后服务（质保期）</w:t>
      </w:r>
    </w:p>
    <w:p w14:paraId="1CB0ED0E">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w:t>
      </w:r>
      <w:r>
        <w:rPr>
          <w:rFonts w:hint="eastAsia" w:asciiTheme="minorEastAsia" w:hAnsiTheme="minorEastAsia" w:eastAsiaTheme="minorEastAsia" w:cstheme="minorEastAsia"/>
          <w:bCs/>
          <w:kern w:val="2"/>
          <w:sz w:val="24"/>
          <w:szCs w:val="24"/>
          <w:lang w:val="en-US" w:eastAsia="zh-CN" w:bidi="ar-SA"/>
        </w:rPr>
        <w:t xml:space="preserve"> 质量保证：</w:t>
      </w:r>
    </w:p>
    <w:p w14:paraId="048357AE">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7×24小时质保服务。 投标人提供的服务具体标准满足信息产业部颁布的《电信服务规范》，保证采购人使用通信业务安全畅通。重大活动期间；国庆节、春节等重要节假日；以及采购人指定的其他重点时期的业务连续性。投标人应提供满足上述要求的加盖公章的承诺函。</w:t>
      </w:r>
    </w:p>
    <w:p w14:paraId="30A22342">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故障响应：保修期内，采购人的所有专线问题都可以通过投标人服务专线进行受理，投标人应7×24 小时提供故障受理。故障申报响应时间不超过15分钟，在1小时内现场实施维修故障，修复时间不超过3小时。如果是投标人原因造成故障，在故障后3个工作日内需提供故障报告给采购人，对于超时解决的故障，投标人应分析导致故障超时解决的原因，提出整改建议及措施，且有相应的制度和流程反馈采购人;如有网络调整及线路割接，应提前一周书面/工作邮件方式通知采购人，同意后实施。对于投标人可提供自有建设的固定网络线路资源及自有人员进行故障相应处理的，应优先使用自有资源。</w:t>
      </w:r>
    </w:p>
    <w:p w14:paraId="458C8DD6">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实施人员：在合同期内项目要由专人负责技术支持，如人员替换需及时通</w:t>
      </w:r>
      <w:r>
        <w:rPr>
          <w:rFonts w:hint="eastAsia" w:asciiTheme="minorEastAsia" w:hAnsiTheme="minorEastAsia" w:eastAsiaTheme="minorEastAsia" w:cstheme="minorEastAsia"/>
          <w:bCs/>
          <w:kern w:val="2"/>
          <w:sz w:val="24"/>
          <w:szCs w:val="24"/>
          <w:highlight w:val="none"/>
          <w:lang w:val="en-US" w:eastAsia="zh-CN" w:bidi="ar-SA"/>
        </w:rPr>
        <w:t>知采购人并由采购人书面</w:t>
      </w:r>
      <w:r>
        <w:rPr>
          <w:rFonts w:hint="eastAsia" w:asciiTheme="minorEastAsia" w:hAnsiTheme="minorEastAsia" w:eastAsiaTheme="minorEastAsia" w:cstheme="minorEastAsia"/>
          <w:bCs/>
          <w:kern w:val="2"/>
          <w:sz w:val="24"/>
          <w:szCs w:val="24"/>
          <w:lang w:val="en-US" w:eastAsia="zh-CN" w:bidi="ar-SA"/>
        </w:rPr>
        <w:t>认可，所接替人员必须熟悉本项目的具体情况，并提供人员有效的通讯方式，人员要有备份，确保有事件发生时有人员及时响应。</w:t>
      </w:r>
    </w:p>
    <w:p w14:paraId="4845700E">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3.2培训要求</w:t>
      </w:r>
    </w:p>
    <w:p w14:paraId="42B7E68F">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投标人应为采购人工作人员提供技术培训，以满足工作人员对通道的监视、统计的需求。</w:t>
      </w:r>
    </w:p>
    <w:p w14:paraId="060B4BE0">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注：所有培训费用包括在投标价中。</w:t>
      </w:r>
    </w:p>
    <w:p w14:paraId="5AA5D989">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1）投标人应具备完善的售后服务体系，明确团队成员并提供联系方式，具体内容自拟，但需确保可满足本次招标相关要求。</w:t>
      </w:r>
    </w:p>
    <w:p w14:paraId="71A3D461">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2）投标人需有北京市互联网驻地网；</w:t>
      </w:r>
    </w:p>
    <w:p w14:paraId="3AE48C19">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3）投标人需有预警监控功能的网络管理平台，能够提供实时异常网络流量监控；</w:t>
      </w:r>
    </w:p>
    <w:p w14:paraId="76488C97">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4）投标人具有有效的互联网运营商接入服务的证明；</w:t>
      </w:r>
    </w:p>
    <w:p w14:paraId="7EDB9EF0">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5）投标人能提供有效相关的认证体系证明。</w:t>
      </w:r>
    </w:p>
    <w:p w14:paraId="7F15E2D0">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6）投标人能提供互联网专用线路的合同案例证明</w:t>
      </w:r>
    </w:p>
    <w:p w14:paraId="1F54B0D5">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7）投标人应提供满足运维服务保障的加盖公章的承诺函</w:t>
      </w:r>
    </w:p>
    <w:p w14:paraId="12A17265">
      <w:pPr>
        <w:rPr>
          <w:rFonts w:hint="eastAsia" w:asciiTheme="minorEastAsia" w:hAnsiTheme="minorEastAsia" w:eastAsiaTheme="minorEastAsia" w:cstheme="minorEastAsia"/>
          <w:bCs/>
          <w:sz w:val="24"/>
          <w:szCs w:val="24"/>
        </w:rPr>
      </w:pPr>
    </w:p>
    <w:p w14:paraId="6F31FFFE">
      <w:pPr>
        <w:widowControl w:val="0"/>
        <w:autoSpaceDE w:val="0"/>
        <w:autoSpaceDN w:val="0"/>
        <w:adjustRightInd w:val="0"/>
        <w:ind w:firstLine="420"/>
        <w:jc w:val="left"/>
        <w:rPr>
          <w:rFonts w:hint="eastAsia" w:asciiTheme="minorEastAsia" w:hAnsiTheme="minorEastAsia" w:eastAsiaTheme="minorEastAsia" w:cstheme="minorEastAsia"/>
          <w:kern w:val="2"/>
          <w:sz w:val="24"/>
          <w:szCs w:val="24"/>
          <w:lang w:val="en-US" w:eastAsia="zh-CN" w:bidi="ar-SA"/>
        </w:rPr>
      </w:pPr>
    </w:p>
    <w:p w14:paraId="53F4E55B">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p>
    <w:p w14:paraId="4E7EB150">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3.3人员资质</w:t>
      </w:r>
    </w:p>
    <w:p w14:paraId="00E362E3">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项目团队成员不少于7人，</w:t>
      </w:r>
      <w:r>
        <w:rPr>
          <w:rFonts w:hint="eastAsia" w:asciiTheme="minorEastAsia" w:hAnsiTheme="minorEastAsia" w:eastAsiaTheme="minorEastAsia" w:cstheme="minorEastAsia"/>
          <w:bCs/>
          <w:kern w:val="2"/>
          <w:sz w:val="24"/>
          <w:szCs w:val="24"/>
          <w:lang w:val="en-US" w:eastAsia="zh-CN" w:bidi="ar-SA"/>
        </w:rPr>
        <w:t>项目组成员可提供：</w:t>
      </w:r>
    </w:p>
    <w:p w14:paraId="697C08E9">
      <w:pPr>
        <w:widowControl w:val="0"/>
        <w:numPr>
          <w:ilvl w:val="0"/>
          <w:numId w:val="3"/>
        </w:numPr>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通信方向高级工程师职称；</w:t>
      </w:r>
    </w:p>
    <w:p w14:paraId="26089BE4">
      <w:pPr>
        <w:widowControl w:val="0"/>
        <w:numPr>
          <w:ilvl w:val="0"/>
          <w:numId w:val="3"/>
        </w:numPr>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通信或信息类专业方向的本科及以上学历证书</w:t>
      </w:r>
      <w:r>
        <w:rPr>
          <w:rFonts w:hint="eastAsia" w:asciiTheme="minorEastAsia" w:hAnsiTheme="minorEastAsia" w:eastAsiaTheme="minorEastAsia" w:cstheme="minorEastAsia"/>
          <w:kern w:val="2"/>
          <w:sz w:val="24"/>
          <w:szCs w:val="24"/>
          <w:lang w:val="en-US" w:eastAsia="zh-CN" w:bidi="ar-SA"/>
        </w:rPr>
        <w:t>。</w:t>
      </w:r>
    </w:p>
    <w:p w14:paraId="3BDF626E">
      <w:pPr>
        <w:rPr>
          <w:rFonts w:hint="eastAsia" w:asciiTheme="minorEastAsia" w:hAnsiTheme="minorEastAsia" w:eastAsiaTheme="minorEastAsia" w:cstheme="minorEastAsia"/>
          <w:sz w:val="24"/>
          <w:szCs w:val="24"/>
        </w:rPr>
      </w:pPr>
    </w:p>
    <w:p w14:paraId="04DDF1DD">
      <w:pPr>
        <w:widowControl w:val="0"/>
        <w:numPr>
          <w:ilvl w:val="0"/>
          <w:numId w:val="1"/>
        </w:numPr>
        <w:spacing w:line="360" w:lineRule="auto"/>
        <w:ind w:left="500" w:hanging="500" w:firstLineChars="0"/>
        <w:contextualSpacing/>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技术要求</w:t>
      </w:r>
    </w:p>
    <w:p w14:paraId="3D8D0041">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基本要求</w:t>
      </w:r>
    </w:p>
    <w:p w14:paraId="1DF271C1">
      <w:pPr>
        <w:spacing w:line="360" w:lineRule="auto"/>
        <w:ind w:firstLine="480" w:firstLineChars="200"/>
        <w:contextualSpacing/>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Cs/>
          <w:sz w:val="24"/>
          <w:szCs w:val="24"/>
        </w:rPr>
        <w:t>采购标的为：一条互联网专用线路，租期一年。上下行带宽分别提供≥4G，</w:t>
      </w:r>
    </w:p>
    <w:p w14:paraId="6FE4070A">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服务内容及要求/货物技术要求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52"/>
      </w:tblGrid>
      <w:tr w14:paraId="443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76" w:type="dxa"/>
            <w:noWrap w:val="0"/>
            <w:vAlign w:val="center"/>
          </w:tcPr>
          <w:p w14:paraId="4C442542">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技术需求</w:t>
            </w:r>
          </w:p>
        </w:tc>
        <w:tc>
          <w:tcPr>
            <w:tcW w:w="6652" w:type="dxa"/>
            <w:noWrap w:val="0"/>
            <w:vAlign w:val="center"/>
          </w:tcPr>
          <w:p w14:paraId="3B46D73C">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技术要求</w:t>
            </w:r>
          </w:p>
        </w:tc>
      </w:tr>
      <w:tr w14:paraId="2CE9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59BB8494">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带宽</w:t>
            </w:r>
          </w:p>
        </w:tc>
        <w:tc>
          <w:tcPr>
            <w:tcW w:w="6652" w:type="dxa"/>
            <w:noWrap w:val="0"/>
            <w:vAlign w:val="center"/>
          </w:tcPr>
          <w:p w14:paraId="0D8449EF">
            <w:pPr>
              <w:pBdr>
                <w:top w:val="none" w:color="auto" w:sz="0" w:space="1"/>
                <w:left w:val="none" w:color="auto" w:sz="0" w:space="4"/>
                <w:bottom w:val="none" w:color="auto" w:sz="0" w:space="1"/>
                <w:right w:val="none" w:color="auto" w:sz="0" w:space="4"/>
              </w:pBdr>
              <w:tabs>
                <w:tab w:val="right" w:leader="middleDot" w:pos="8820"/>
              </w:tabs>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上下行带宽分别提供</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4Gbps，且为独立链路独立带宽，链路速率不低于接口理论速率90%，上下行速率对等</w:t>
            </w:r>
          </w:p>
        </w:tc>
      </w:tr>
      <w:tr w14:paraId="677B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216F6820">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公网IP地址</w:t>
            </w:r>
          </w:p>
        </w:tc>
        <w:tc>
          <w:tcPr>
            <w:tcW w:w="6652" w:type="dxa"/>
            <w:noWrap w:val="0"/>
            <w:vAlign w:val="center"/>
          </w:tcPr>
          <w:p w14:paraId="6D9DEE67">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256个IPv4地</w:t>
            </w:r>
            <w:r>
              <w:rPr>
                <w:rFonts w:hint="eastAsia" w:asciiTheme="minorEastAsia" w:hAnsiTheme="minorEastAsia" w:eastAsiaTheme="minorEastAsia" w:cstheme="minorEastAsia"/>
                <w:sz w:val="24"/>
                <w:szCs w:val="24"/>
                <w:highlight w:val="none"/>
              </w:rPr>
              <w:t>址，/56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56位掩码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个IPv</w:t>
            </w:r>
            <w:r>
              <w:rPr>
                <w:rFonts w:hint="eastAsia" w:asciiTheme="minorEastAsia" w:hAnsiTheme="minorEastAsia" w:eastAsiaTheme="minorEastAsia" w:cstheme="minorEastAsia"/>
                <w:sz w:val="24"/>
                <w:szCs w:val="24"/>
              </w:rPr>
              <w:t>6地址，IP地址要求均为北京区域地址归属，各类服务端口可按要求备案后开启</w:t>
            </w:r>
          </w:p>
        </w:tc>
      </w:tr>
      <w:tr w14:paraId="662A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13E96F91">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租期</w:t>
            </w:r>
          </w:p>
        </w:tc>
        <w:tc>
          <w:tcPr>
            <w:tcW w:w="6652" w:type="dxa"/>
            <w:noWrap w:val="0"/>
            <w:vAlign w:val="center"/>
          </w:tcPr>
          <w:p w14:paraId="3DB6B545">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12个月</w:t>
            </w:r>
          </w:p>
        </w:tc>
      </w:tr>
      <w:tr w14:paraId="3AA7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04ED33EF">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链路接口</w:t>
            </w:r>
          </w:p>
        </w:tc>
        <w:tc>
          <w:tcPr>
            <w:tcW w:w="6652" w:type="dxa"/>
            <w:noWrap w:val="0"/>
            <w:vAlign w:val="center"/>
          </w:tcPr>
          <w:p w14:paraId="50C891CD">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链路接口灵活配置，可灵活实现电与光接口的变更，可满足与上级单位网络出口的一致性及稳定性。</w:t>
            </w:r>
          </w:p>
        </w:tc>
      </w:tr>
      <w:tr w14:paraId="1C63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09406F61">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光路衰减</w:t>
            </w:r>
          </w:p>
        </w:tc>
        <w:tc>
          <w:tcPr>
            <w:tcW w:w="6652" w:type="dxa"/>
            <w:noWrap w:val="0"/>
            <w:vAlign w:val="center"/>
          </w:tcPr>
          <w:p w14:paraId="3D27DEB5">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≤20db，单模双芯光纤。损耗符合国家标准规定。</w:t>
            </w:r>
          </w:p>
        </w:tc>
      </w:tr>
      <w:tr w14:paraId="7274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59DDC35D">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安全性要求</w:t>
            </w:r>
          </w:p>
        </w:tc>
        <w:tc>
          <w:tcPr>
            <w:tcW w:w="6652" w:type="dxa"/>
            <w:noWrap w:val="0"/>
            <w:vAlign w:val="center"/>
          </w:tcPr>
          <w:p w14:paraId="6F975FA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须对用户租用的数据专线的安全负责，保证用户数据不被拦截、不被监听、不被篡改，保证用户以外的人不能进入所租数据专线</w:t>
            </w:r>
          </w:p>
        </w:tc>
      </w:tr>
      <w:tr w14:paraId="1EDB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01366896">
            <w:pPr>
              <w:widowControl/>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#网络延时</w:t>
            </w:r>
          </w:p>
        </w:tc>
        <w:tc>
          <w:tcPr>
            <w:tcW w:w="6652" w:type="dxa"/>
            <w:noWrap w:val="0"/>
            <w:vAlign w:val="center"/>
          </w:tcPr>
          <w:p w14:paraId="19EFEDCE">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从网络出口到骨干网延时≤20ms，国内主要网络访问平均延时不超过50毫秒。</w:t>
            </w:r>
            <w:r>
              <w:rPr>
                <w:rFonts w:hint="eastAsia" w:asciiTheme="minorEastAsia" w:hAnsiTheme="minorEastAsia" w:eastAsiaTheme="minorEastAsia" w:cstheme="minorEastAsia"/>
                <w:sz w:val="24"/>
                <w:szCs w:val="24"/>
              </w:rPr>
              <w:t>：TCP包在链路轻载条件（带宽利用率≤40％）下丢包率≤0.05％，TCP包在链路重载条件（带宽的70％～80％）下丢包率≤0.1％。</w:t>
            </w:r>
          </w:p>
        </w:tc>
      </w:tr>
      <w:tr w14:paraId="3C10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1247E18E">
            <w:pPr>
              <w:widowControl/>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#丢包率</w:t>
            </w:r>
          </w:p>
        </w:tc>
        <w:tc>
          <w:tcPr>
            <w:tcW w:w="6652" w:type="dxa"/>
            <w:noWrap w:val="0"/>
            <w:vAlign w:val="center"/>
          </w:tcPr>
          <w:p w14:paraId="260BDDC7">
            <w:pPr>
              <w:widowControl/>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从采购人网络设备端口到投标人局端网络设备网络丢包率≤0.1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从需方网络设备端口到供方局端网络设备网络丢包率≤0.1％，网络时延≤20ms。</w:t>
            </w:r>
          </w:p>
        </w:tc>
      </w:tr>
      <w:tr w14:paraId="20CB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35FB1018">
            <w:pPr>
              <w:widowControl/>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连通率</w:t>
            </w:r>
          </w:p>
        </w:tc>
        <w:tc>
          <w:tcPr>
            <w:tcW w:w="6652" w:type="dxa"/>
            <w:noWrap w:val="0"/>
            <w:vAlign w:val="center"/>
          </w:tcPr>
          <w:p w14:paraId="2EC3AB44">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无故障率和网络连通率：高于99.9%</w:t>
            </w:r>
          </w:p>
        </w:tc>
      </w:tr>
      <w:tr w14:paraId="288E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5D49A016">
            <w:pPr>
              <w:widowControl/>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冗余链路</w:t>
            </w:r>
          </w:p>
        </w:tc>
        <w:tc>
          <w:tcPr>
            <w:tcW w:w="6652" w:type="dxa"/>
            <w:noWrap w:val="0"/>
            <w:vAlign w:val="center"/>
          </w:tcPr>
          <w:p w14:paraId="12792403">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提供冗余主备链路，并提供拓扑图。</w:t>
            </w:r>
          </w:p>
        </w:tc>
      </w:tr>
      <w:tr w14:paraId="582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7377FFAD">
            <w:pPr>
              <w:widowControl/>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线路其他服务</w:t>
            </w:r>
          </w:p>
        </w:tc>
        <w:tc>
          <w:tcPr>
            <w:tcW w:w="6652" w:type="dxa"/>
            <w:noWrap w:val="0"/>
            <w:vAlign w:val="center"/>
          </w:tcPr>
          <w:p w14:paraId="745EE9DE">
            <w:pPr>
              <w:widowControl/>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需支持外部访问服务、WEB服务、VPN服务、MAIL服务、DDOS攻击防御。</w:t>
            </w:r>
          </w:p>
        </w:tc>
      </w:tr>
    </w:tbl>
    <w:p w14:paraId="3A228F40">
      <w:pPr>
        <w:widowControl w:val="0"/>
        <w:adjustRightInd w:val="0"/>
        <w:spacing w:line="360" w:lineRule="auto"/>
        <w:ind w:firstLine="424" w:firstLineChars="177"/>
        <w:contextualSpacing/>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w:t>
      </w:r>
      <w:r>
        <w:rPr>
          <w:rFonts w:hint="eastAsia" w:asciiTheme="minorEastAsia" w:hAnsiTheme="minorEastAsia" w:eastAsiaTheme="minorEastAsia" w:cstheme="minorEastAsia"/>
          <w:b/>
          <w:bCs/>
          <w:kern w:val="2"/>
          <w:sz w:val="24"/>
          <w:szCs w:val="24"/>
          <w:lang w:val="en-US" w:eastAsia="zh-CN" w:bidi="ar-SA"/>
        </w:rPr>
        <w:t>标有“#”项（共2项）为重要指标项</w:t>
      </w:r>
    </w:p>
    <w:p w14:paraId="6B46EC74">
      <w:pPr>
        <w:widowControl w:val="0"/>
        <w:adjustRightInd w:val="0"/>
        <w:spacing w:line="360" w:lineRule="auto"/>
        <w:ind w:firstLine="424" w:firstLineChars="177"/>
        <w:contextualSpacing/>
        <w:jc w:val="left"/>
        <w:rPr>
          <w:rFonts w:hint="eastAsia" w:asciiTheme="minorEastAsia" w:hAnsiTheme="minorEastAsia" w:eastAsiaTheme="minorEastAsia" w:cstheme="minorEastAsia"/>
          <w:kern w:val="2"/>
          <w:sz w:val="24"/>
          <w:szCs w:val="24"/>
          <w:lang w:val="en-US" w:eastAsia="zh-CN" w:bidi="ar-SA"/>
        </w:rPr>
      </w:pPr>
    </w:p>
    <w:p w14:paraId="3D294FA5">
      <w:pPr>
        <w:spacing w:line="360" w:lineRule="auto"/>
        <w:contextualSpacing/>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sz w:val="24"/>
          <w:szCs w:val="24"/>
        </w:rPr>
        <w:t>3. 验收标准</w:t>
      </w:r>
    </w:p>
    <w:p w14:paraId="43C68F8E">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 在投标人施工完毕后，采购人按照标准规程进行验收。如采购人对业务验收有特殊要求，应在本协议签署前提出书面意见，并与投标人协商一致，开通验收时，以双方达成一致的标准进行验收。</w:t>
      </w:r>
    </w:p>
    <w:p w14:paraId="376A268C">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 业务验收应在投标人施工完毕后10个工作日内，由采购人与投标人相关人员共同书面确认，签署《专线验收报告》。如采购人对工程验收有异议，则应在上述期限内提出书面意见；如采购人在上述期限内对验收未提出书面意见也未确认开通的，则视为验收已通过且采购人已同意开通业务。</w:t>
      </w:r>
    </w:p>
    <w:p w14:paraId="0223DD04">
      <w:pPr>
        <w:widowControl w:val="0"/>
        <w:autoSpaceDE w:val="0"/>
        <w:autoSpaceDN w:val="0"/>
        <w:adjustRightInd w:val="0"/>
        <w:ind w:firstLine="420"/>
        <w:jc w:val="left"/>
        <w:rPr>
          <w:rFonts w:hint="eastAsia" w:asciiTheme="minorEastAsia" w:hAnsiTheme="minorEastAsia" w:eastAsiaTheme="minorEastAsia" w:cstheme="minorEastAsia"/>
          <w:bCs/>
          <w:kern w:val="2"/>
          <w:sz w:val="24"/>
          <w:szCs w:val="24"/>
          <w:lang w:val="en-US" w:eastAsia="zh-CN" w:bidi="ar-SA"/>
        </w:rPr>
      </w:pPr>
    </w:p>
    <w:p w14:paraId="27663A5A">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br w:type="page"/>
      </w:r>
      <w:r>
        <w:rPr>
          <w:rFonts w:hint="eastAsia" w:asciiTheme="minorEastAsia" w:hAnsiTheme="minorEastAsia" w:eastAsiaTheme="minorEastAsia" w:cstheme="minorEastAsia"/>
          <w:b/>
          <w:bCs w:val="0"/>
          <w:sz w:val="24"/>
          <w:szCs w:val="24"/>
        </w:rPr>
        <w:t>第2包：北京信息职业技术学院2026年互联网接入服务采购项目第2包-2026年互联网接入服务教学专线</w:t>
      </w:r>
    </w:p>
    <w:p w14:paraId="7A832B60">
      <w:pPr>
        <w:widowControl w:val="0"/>
        <w:numPr>
          <w:ilvl w:val="0"/>
          <w:numId w:val="4"/>
        </w:numPr>
        <w:spacing w:line="360" w:lineRule="auto"/>
        <w:ind w:left="500" w:hanging="500" w:firstLineChars="0"/>
        <w:contextualSpacing/>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采购标的</w:t>
      </w:r>
    </w:p>
    <w:p w14:paraId="4C7E0D12">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采购标的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2BEF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280C54CE">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355" w:type="dxa"/>
            <w:noWrap w:val="0"/>
            <w:vAlign w:val="center"/>
          </w:tcPr>
          <w:p w14:paraId="184553D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货物或服务名称</w:t>
            </w:r>
          </w:p>
        </w:tc>
        <w:tc>
          <w:tcPr>
            <w:tcW w:w="1697" w:type="dxa"/>
            <w:noWrap w:val="0"/>
            <w:vAlign w:val="center"/>
          </w:tcPr>
          <w:p w14:paraId="21ABC5DA">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1470" w:type="dxa"/>
            <w:noWrap w:val="0"/>
            <w:vAlign w:val="center"/>
          </w:tcPr>
          <w:p w14:paraId="21D4E6B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1943" w:type="dxa"/>
            <w:noWrap w:val="0"/>
            <w:vAlign w:val="center"/>
          </w:tcPr>
          <w:p w14:paraId="730AB7B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备注（核心产品）</w:t>
            </w:r>
          </w:p>
        </w:tc>
      </w:tr>
      <w:tr w14:paraId="6705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0DEECE5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55" w:type="dxa"/>
            <w:noWrap w:val="0"/>
            <w:vAlign w:val="top"/>
          </w:tcPr>
          <w:p w14:paraId="6A05063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北京信息职业技术学院2026年互联网接入服务采购项目第2包-2026年互联网接入服务教学专线</w:t>
            </w:r>
          </w:p>
        </w:tc>
        <w:tc>
          <w:tcPr>
            <w:tcW w:w="1697" w:type="dxa"/>
            <w:noWrap w:val="0"/>
            <w:vAlign w:val="top"/>
          </w:tcPr>
          <w:p w14:paraId="519F747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70" w:type="dxa"/>
            <w:noWrap w:val="0"/>
            <w:vAlign w:val="top"/>
          </w:tcPr>
          <w:p w14:paraId="6D26BCC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943" w:type="dxa"/>
            <w:noWrap w:val="0"/>
            <w:vAlign w:val="top"/>
          </w:tcPr>
          <w:p w14:paraId="2A21601F">
            <w:pPr>
              <w:rPr>
                <w:rFonts w:hint="eastAsia" w:asciiTheme="minorEastAsia" w:hAnsiTheme="minorEastAsia" w:eastAsiaTheme="minorEastAsia" w:cstheme="minorEastAsia"/>
                <w:sz w:val="24"/>
                <w:szCs w:val="24"/>
              </w:rPr>
            </w:pPr>
          </w:p>
        </w:tc>
      </w:tr>
    </w:tbl>
    <w:p w14:paraId="1EB82A7D">
      <w:pPr>
        <w:spacing w:line="360" w:lineRule="auto"/>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项目背景/项目概述</w:t>
      </w:r>
    </w:p>
    <w:p w14:paraId="3C9F867A">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采购人现需租用两条互联网专用线路，租期一年。投标人需要提供东坝校区一条下行带宽≥10000M，上行带宽≥5000M的互联网专线，可额外提供上行带宽, 电子城校区一条≥500M上下行对等带宽互联网专线。</w:t>
      </w:r>
      <w:r>
        <w:rPr>
          <w:rFonts w:hint="eastAsia" w:asciiTheme="minorEastAsia" w:hAnsiTheme="minorEastAsia" w:eastAsiaTheme="minorEastAsia" w:cstheme="minorEastAsia"/>
          <w:color w:val="auto"/>
          <w:kern w:val="2"/>
          <w:sz w:val="24"/>
          <w:szCs w:val="24"/>
          <w:highlight w:val="none"/>
          <w:lang w:val="en-US" w:eastAsia="zh-CN" w:bidi="ar-SA"/>
        </w:rPr>
        <w:t>东坝校区专线要求提供不少于256个IPV4地址及/56（56位掩码）个 IPv6地址；酒仙桥校区专线要求提供不少于16个IPV4地址及/56 （56位掩码）个IPv6地址。</w:t>
      </w:r>
      <w:r>
        <w:rPr>
          <w:rFonts w:hint="eastAsia" w:asciiTheme="minorEastAsia" w:hAnsiTheme="minorEastAsia" w:eastAsiaTheme="minorEastAsia" w:cstheme="minorEastAsia"/>
          <w:bCs/>
          <w:color w:val="auto"/>
          <w:kern w:val="2"/>
          <w:sz w:val="24"/>
          <w:szCs w:val="24"/>
          <w:highlight w:val="none"/>
          <w:lang w:val="en-US" w:eastAsia="zh-CN" w:bidi="ar-SA"/>
        </w:rPr>
        <w:t>投标人需要提供电子城校区的无线WIFI网络接入服务，包括至少两个AC，10个AP，及配套网关、交换机、综合布线服务，投标人需负责现场勘察设计、设备安装调试、网络安全设备安装调试、网络监测、故障维修服务。</w:t>
      </w:r>
    </w:p>
    <w:p w14:paraId="1AC743F7">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投标人服务团队成员不得少</w:t>
      </w:r>
      <w:r>
        <w:rPr>
          <w:rFonts w:hint="eastAsia" w:asciiTheme="minorEastAsia" w:hAnsiTheme="minorEastAsia" w:eastAsiaTheme="minorEastAsia" w:cstheme="minorEastAsia"/>
          <w:color w:val="auto"/>
          <w:kern w:val="2"/>
          <w:sz w:val="24"/>
          <w:szCs w:val="24"/>
          <w:lang w:val="en-US" w:eastAsia="zh-CN" w:bidi="ar-SA"/>
        </w:rPr>
        <w:t>于5人。投标人应</w:t>
      </w:r>
      <w:r>
        <w:rPr>
          <w:rFonts w:hint="eastAsia" w:asciiTheme="minorEastAsia" w:hAnsiTheme="minorEastAsia" w:eastAsiaTheme="minorEastAsia" w:cstheme="minorEastAsia"/>
          <w:color w:val="auto"/>
          <w:kern w:val="2"/>
          <w:sz w:val="24"/>
          <w:szCs w:val="24"/>
          <w:highlight w:val="none"/>
          <w:lang w:val="en-US" w:eastAsia="zh-CN" w:bidi="ar-SA"/>
        </w:rPr>
        <w:t>配合</w:t>
      </w:r>
      <w:r>
        <w:rPr>
          <w:rFonts w:hint="eastAsia" w:asciiTheme="minorEastAsia" w:hAnsiTheme="minorEastAsia" w:eastAsiaTheme="minorEastAsia" w:cstheme="minorEastAsia"/>
          <w:color w:val="auto"/>
          <w:kern w:val="2"/>
          <w:sz w:val="24"/>
          <w:szCs w:val="24"/>
          <w:lang w:val="en-US" w:eastAsia="zh-CN" w:bidi="ar-SA"/>
        </w:rPr>
        <w:t>采购人更改网络及服务器配置和所提交的各信息备案</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保证采购人各类基于</w:t>
      </w:r>
      <w:r>
        <w:rPr>
          <w:rFonts w:hint="eastAsia" w:asciiTheme="minorEastAsia" w:hAnsiTheme="minorEastAsia" w:eastAsiaTheme="minorEastAsia" w:cstheme="minorEastAsia"/>
          <w:kern w:val="2"/>
          <w:sz w:val="24"/>
          <w:szCs w:val="24"/>
          <w:lang w:val="en-US" w:eastAsia="zh-CN" w:bidi="ar-SA"/>
        </w:rPr>
        <w:t>互联网的宽带服务能持续使用。</w:t>
      </w:r>
    </w:p>
    <w:p w14:paraId="00792850">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投标人需提供运维保障服务，包括设备配置调试、组网优化及上门巡检服务等。</w:t>
      </w:r>
    </w:p>
    <w:p w14:paraId="0CADF47C">
      <w:pPr>
        <w:widowControl w:val="0"/>
        <w:numPr>
          <w:ilvl w:val="0"/>
          <w:numId w:val="4"/>
        </w:numPr>
        <w:spacing w:line="360" w:lineRule="auto"/>
        <w:ind w:left="500" w:hanging="500" w:firstLineChars="0"/>
        <w:contextualSpacing/>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商务要求</w:t>
      </w:r>
    </w:p>
    <w:p w14:paraId="30843998">
      <w:pPr>
        <w:spacing w:line="360" w:lineRule="auto"/>
        <w:contextualSpacing/>
        <w:rPr>
          <w:rFonts w:hint="eastAsia" w:asciiTheme="minorEastAsia" w:hAnsiTheme="minorEastAsia" w:eastAsiaTheme="minorEastAsia" w:cstheme="minorEastAsia"/>
          <w:i/>
          <w:sz w:val="24"/>
          <w:szCs w:val="24"/>
        </w:rPr>
      </w:pPr>
      <w:r>
        <w:rPr>
          <w:rFonts w:hint="eastAsia" w:asciiTheme="minorEastAsia" w:hAnsiTheme="minorEastAsia" w:eastAsiaTheme="minorEastAsia" w:cstheme="minorEastAsia"/>
          <w:sz w:val="24"/>
          <w:szCs w:val="24"/>
        </w:rPr>
        <w:t>1. 交付（实施）的时间（期限）和地点（范围）</w:t>
      </w:r>
    </w:p>
    <w:p w14:paraId="150B3A75">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交货时间：2026年1月1日</w:t>
      </w:r>
    </w:p>
    <w:p w14:paraId="2575BC39">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交货地点：北京市朝阳区东坝红松园北里甲一号 北京信息职业技术学院东校区。北京市朝阳区酒仙桥北路甲十号201楼B座2层 北京信息职业技术学院电子城校区。</w:t>
      </w:r>
    </w:p>
    <w:p w14:paraId="1603BB02">
      <w:pPr>
        <w:rPr>
          <w:rFonts w:hint="eastAsia" w:asciiTheme="minorEastAsia" w:hAnsiTheme="minorEastAsia" w:eastAsiaTheme="minorEastAsia" w:cstheme="minorEastAsia"/>
          <w:sz w:val="24"/>
          <w:szCs w:val="24"/>
        </w:rPr>
      </w:pPr>
    </w:p>
    <w:p w14:paraId="0FC004D8">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付款条件（进度和方式）</w:t>
      </w:r>
    </w:p>
    <w:p w14:paraId="4E2A625F">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支付方式：转账</w:t>
      </w:r>
    </w:p>
    <w:p w14:paraId="3FC26C73">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本合同的付款方式为：采购人2026年财政预资金算拨付到位后，2026年4月30日前投标人向采购人出具符合采购人财务要求的发票，采购人向投标人支付合同总价的60%。2026年9月30日前投标人向采购人出具符合采购人财务要求的发票，采购人向投标人支付合同总价的40％。如采购人2026年财政预算资金未能及时拨付到位，根据实际情况双方协商另行约定。</w:t>
      </w:r>
    </w:p>
    <w:p w14:paraId="17E6FA22">
      <w:pPr>
        <w:widowControl w:val="0"/>
        <w:autoSpaceDE w:val="0"/>
        <w:autoSpaceDN w:val="0"/>
        <w:adjustRightInd w:val="0"/>
        <w:ind w:firstLine="420"/>
        <w:jc w:val="left"/>
        <w:rPr>
          <w:rFonts w:hint="eastAsia" w:asciiTheme="minorEastAsia" w:hAnsiTheme="minorEastAsia" w:eastAsiaTheme="minorEastAsia" w:cstheme="minorEastAsia"/>
          <w:kern w:val="2"/>
          <w:sz w:val="24"/>
          <w:szCs w:val="24"/>
          <w:lang w:val="en-US" w:eastAsia="zh-CN" w:bidi="ar-SA"/>
        </w:rPr>
      </w:pPr>
    </w:p>
    <w:p w14:paraId="33F0CDC8">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售后服务（质保期）</w:t>
      </w:r>
    </w:p>
    <w:p w14:paraId="0F5437E9">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w:t>
      </w:r>
      <w:r>
        <w:rPr>
          <w:rFonts w:hint="eastAsia" w:asciiTheme="minorEastAsia" w:hAnsiTheme="minorEastAsia" w:eastAsiaTheme="minorEastAsia" w:cstheme="minorEastAsia"/>
          <w:bCs/>
          <w:kern w:val="2"/>
          <w:sz w:val="24"/>
          <w:szCs w:val="24"/>
          <w:lang w:val="en-US" w:eastAsia="zh-CN" w:bidi="ar-SA"/>
        </w:rPr>
        <w:t xml:space="preserve"> 质量保证：</w:t>
      </w:r>
    </w:p>
    <w:p w14:paraId="0018A489">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投标人需提供7×24小时质保服务。 投标人提供的服务具体标准满足信息产业部颁布的《电信服务规范》，保证采购人使用通信业务安全畅通。重大活动期间；国庆节、春节等重要节假日；以及采购人指定的其他重点时期的业务连续性。投标人需要提供电子城校区（北京市朝阳区酒仙桥北路甲十号201楼B座2层）一条≥500M上下行对等带宽。带宽应为互联网独享宽带不能包含投标人的局域网网内带宽并至少提供≥16个公网IPv4地址。投标人需提供电子城校区的无线WIFI网络接入服务包括至少两个AC，≥10个AP，及配套网关、交换机、综合布线服务，投标人需负责现场勘察设计、设备安装调试、网络监测、故障维修服务。</w:t>
      </w:r>
    </w:p>
    <w:p w14:paraId="116D7465">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故障响应：保修期内，采购人的所有专线问题都可以通过投标人服务专线进行受理，投标人应7×24 小时提供故障受理。故障申报响应时间不超过15分钟，在1小时内现场实施维修故障，修复时间不超过3小时。如果是投标人原因造成故障，在故障后3个工作日内需提供故障报告给采购人，对于超时解决的故障，投标人应分析导致故障超时解决的原因，提出整改建议及措施，且有相应的制度和流程反馈采购人;如有网络调整及线路割接，应提前一周书面通知采购人，同意后实施。</w:t>
      </w:r>
    </w:p>
    <w:p w14:paraId="2A0859A4">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实施人员：在合同期内项目要由专人负责技术支持，如人员替换需及时通知采购人并由采购人书面认可，所接替人员必须熟悉本项目的具体情况，并提供人员有效的通讯方式，人员要有备份，确保有事件发生时有人员及时响应。</w:t>
      </w:r>
    </w:p>
    <w:p w14:paraId="0752D6DD">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3.2培训要求</w:t>
      </w:r>
    </w:p>
    <w:p w14:paraId="2F75A687">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投标人应为采购人工作人员提供技术培训，以满足工作人员对通道的监视、统计的需求。</w:t>
      </w:r>
    </w:p>
    <w:p w14:paraId="160E8D71">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注：所有培训费用包括在投标价中。</w:t>
      </w:r>
    </w:p>
    <w:p w14:paraId="51D17C5A">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1）投标人应具备完善的售后服务体系，明确团队成员并提供联系方式，具体内容自拟，但需确保可满足本次招标相关要求。</w:t>
      </w:r>
    </w:p>
    <w:p w14:paraId="231F8AD9">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2）投标人需有北京市互联网驻地网；</w:t>
      </w:r>
    </w:p>
    <w:p w14:paraId="203E6CD8">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3）投标人需有预警监控功能的网络管理平台，能够提供实时异常网络流量监控；</w:t>
      </w:r>
    </w:p>
    <w:p w14:paraId="25B903DE">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4）投标人具有有效的互联网运营商接入服务的证明；</w:t>
      </w:r>
    </w:p>
    <w:p w14:paraId="54C7EC07">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lang w:val="en-US" w:eastAsia="zh-CN" w:bidi="ar-SA"/>
        </w:rPr>
        <w:t>3.3人员</w:t>
      </w:r>
      <w:r>
        <w:rPr>
          <w:rFonts w:hint="eastAsia" w:asciiTheme="minorEastAsia" w:hAnsiTheme="minorEastAsia" w:eastAsiaTheme="minorEastAsia" w:cstheme="minorEastAsia"/>
          <w:bCs/>
          <w:kern w:val="2"/>
          <w:sz w:val="24"/>
          <w:szCs w:val="24"/>
          <w:highlight w:val="none"/>
          <w:lang w:val="en-US" w:eastAsia="zh-CN" w:bidi="ar-SA"/>
        </w:rPr>
        <w:t>资质</w:t>
      </w:r>
    </w:p>
    <w:p w14:paraId="7FA3FE11">
      <w:pPr>
        <w:ind w:firstLine="960" w:firstLineChars="4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color w:val="000000"/>
          <w:sz w:val="24"/>
          <w:szCs w:val="24"/>
          <w:highlight w:val="none"/>
        </w:rPr>
        <w:t>项目团队成员不少于5人，</w:t>
      </w:r>
      <w:r>
        <w:rPr>
          <w:rFonts w:hint="eastAsia" w:asciiTheme="minorEastAsia" w:hAnsiTheme="minorEastAsia" w:eastAsiaTheme="minorEastAsia" w:cstheme="minorEastAsia"/>
          <w:bCs/>
          <w:sz w:val="24"/>
          <w:szCs w:val="24"/>
          <w:highlight w:val="none"/>
        </w:rPr>
        <w:t>项目组成员可提供：</w:t>
      </w:r>
    </w:p>
    <w:p w14:paraId="24BA610B">
      <w:pPr>
        <w:ind w:firstLine="960" w:firstLineChars="400"/>
        <w:rPr>
          <w:rFonts w:hint="eastAsia" w:asciiTheme="minorEastAsia" w:hAnsiTheme="minorEastAsia" w:eastAsiaTheme="minorEastAsia" w:cstheme="minorEastAsia"/>
          <w:bCs/>
          <w:sz w:val="24"/>
          <w:szCs w:val="24"/>
          <w:highlight w:val="none"/>
        </w:rPr>
      </w:pPr>
    </w:p>
    <w:p w14:paraId="42A11127">
      <w:pPr>
        <w:ind w:firstLine="960" w:firstLineChars="400"/>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项目经理需提供信息系统项目管理师、通信专业高级工程师职称证书，</w:t>
      </w:r>
    </w:p>
    <w:p w14:paraId="2ED66975">
      <w:pPr>
        <w:widowControl w:val="0"/>
        <w:tabs>
          <w:tab w:val="right" w:leader="middleDot" w:pos="8820"/>
        </w:tabs>
        <w:spacing w:after="120" w:line="480" w:lineRule="exact"/>
        <w:ind w:left="420" w:leftChars="200" w:firstLine="480" w:firstLineChars="200"/>
        <w:jc w:val="both"/>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color w:val="000000"/>
          <w:kern w:val="2"/>
          <w:sz w:val="24"/>
          <w:szCs w:val="24"/>
          <w:highlight w:val="none"/>
          <w:lang w:val="en-US" w:eastAsia="zh-CN" w:bidi="ar-SA"/>
        </w:rPr>
        <w:t>项目组成员需获得需提供通信专业方向的高级工程师认证，</w:t>
      </w:r>
      <w:r>
        <w:rPr>
          <w:rFonts w:hint="eastAsia" w:asciiTheme="minorEastAsia" w:hAnsiTheme="minorEastAsia" w:eastAsiaTheme="minorEastAsia" w:cstheme="minorEastAsia"/>
          <w:bCs/>
          <w:kern w:val="2"/>
          <w:sz w:val="24"/>
          <w:szCs w:val="24"/>
          <w:highlight w:val="none"/>
          <w:lang w:val="en-US" w:eastAsia="zh-CN" w:bidi="ar-SA"/>
        </w:rPr>
        <w:t>。</w:t>
      </w:r>
    </w:p>
    <w:p w14:paraId="74DF543C">
      <w:pPr>
        <w:rPr>
          <w:rFonts w:hint="eastAsia" w:asciiTheme="minorEastAsia" w:hAnsiTheme="minorEastAsia" w:eastAsiaTheme="minorEastAsia" w:cstheme="minorEastAsia"/>
          <w:sz w:val="24"/>
          <w:szCs w:val="24"/>
        </w:rPr>
      </w:pPr>
    </w:p>
    <w:p w14:paraId="13420F33">
      <w:pPr>
        <w:widowControl w:val="0"/>
        <w:numPr>
          <w:ilvl w:val="0"/>
          <w:numId w:val="4"/>
        </w:numPr>
        <w:spacing w:line="360" w:lineRule="auto"/>
        <w:ind w:left="500" w:hanging="500" w:firstLineChars="0"/>
        <w:contextualSpacing/>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技术要求</w:t>
      </w:r>
    </w:p>
    <w:p w14:paraId="11C7CD4D">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基本要求</w:t>
      </w:r>
    </w:p>
    <w:p w14:paraId="628D4731">
      <w:pPr>
        <w:spacing w:line="360" w:lineRule="auto"/>
        <w:ind w:firstLine="480" w:firstLineChars="200"/>
        <w:contextualSpacing/>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Cs/>
          <w:sz w:val="24"/>
          <w:szCs w:val="24"/>
        </w:rPr>
        <w:t>采购标的为：两条互联网专用线路，租期一年。两条线路总下行带宽≥10.5Gbps，总上行带宽≥5.5Gbps，其中投标人需要提供电子城校区（北京市朝阳区酒仙桥北路甲十号201楼B座2层）一条≥500M上下行对等带宽。</w:t>
      </w:r>
    </w:p>
    <w:p w14:paraId="6A023B3A">
      <w:pPr>
        <w:spacing w:line="36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服务内容及要求/货物技术要求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52"/>
      </w:tblGrid>
      <w:tr w14:paraId="496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76" w:type="dxa"/>
            <w:noWrap w:val="0"/>
            <w:vAlign w:val="center"/>
          </w:tcPr>
          <w:p w14:paraId="39BB0986">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技术需求</w:t>
            </w:r>
          </w:p>
        </w:tc>
        <w:tc>
          <w:tcPr>
            <w:tcW w:w="6652" w:type="dxa"/>
            <w:noWrap w:val="0"/>
            <w:vAlign w:val="center"/>
          </w:tcPr>
          <w:p w14:paraId="0D9600D3">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技术要求</w:t>
            </w:r>
          </w:p>
        </w:tc>
      </w:tr>
      <w:tr w14:paraId="1A8D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640F3B78">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带宽</w:t>
            </w:r>
          </w:p>
        </w:tc>
        <w:tc>
          <w:tcPr>
            <w:tcW w:w="6652" w:type="dxa"/>
            <w:noWrap w:val="0"/>
            <w:vAlign w:val="center"/>
          </w:tcPr>
          <w:p w14:paraId="5782DC4A">
            <w:pPr>
              <w:widowControl w:val="0"/>
              <w:tabs>
                <w:tab w:val="right" w:leader="middleDot" w:pos="8820"/>
              </w:tabs>
              <w:spacing w:after="120" w:line="480" w:lineRule="exact"/>
              <w:ind w:left="0" w:leftChars="0"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两条线路总下行带宽≥10.5Gbps，总上行带宽≥5.5Gbps，</w:t>
            </w:r>
            <w:r>
              <w:rPr>
                <w:rFonts w:hint="eastAsia" w:asciiTheme="minorEastAsia" w:hAnsiTheme="minorEastAsia" w:eastAsiaTheme="minorEastAsia" w:cstheme="minorEastAsia"/>
                <w:color w:val="auto"/>
                <w:kern w:val="2"/>
                <w:sz w:val="24"/>
                <w:szCs w:val="24"/>
                <w:highlight w:val="none"/>
                <w:lang w:val="en-US" w:eastAsia="zh-CN" w:bidi="ar-SA"/>
              </w:rPr>
              <w:t>且为独立链路独立带宽，链路速率不低于接口理论速率90%，其中投标人需要提供电子城校区（北京市朝阳区酒仙桥北路甲十号201楼B座2层）一条≥500M上下行对等带宽以及网络安全、WIFI等服务。</w:t>
            </w:r>
          </w:p>
        </w:tc>
      </w:tr>
      <w:tr w14:paraId="40DA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32B54EEC">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公网IP地址</w:t>
            </w:r>
          </w:p>
        </w:tc>
        <w:tc>
          <w:tcPr>
            <w:tcW w:w="6652" w:type="dxa"/>
            <w:noWrap w:val="0"/>
            <w:vAlign w:val="center"/>
          </w:tcPr>
          <w:p w14:paraId="6E9FC5B2">
            <w:pPr>
              <w:widowControl w:val="0"/>
              <w:spacing w:line="36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256个IPv4地址，/56 （56位掩码）个IPv6地址，IP地址要求均为北京区域地址归属，其中包含电子城校区</w:t>
            </w:r>
            <w:r>
              <w:rPr>
                <w:rFonts w:hint="eastAsia" w:asciiTheme="minorEastAsia" w:hAnsiTheme="minorEastAsia" w:eastAsiaTheme="minorEastAsia" w:cstheme="minorEastAsia"/>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16个公网IPv4地址。各类服务端口可按要求备案后开启</w:t>
            </w:r>
          </w:p>
        </w:tc>
      </w:tr>
      <w:tr w14:paraId="0608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7A92D850">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租期</w:t>
            </w:r>
          </w:p>
        </w:tc>
        <w:tc>
          <w:tcPr>
            <w:tcW w:w="6652" w:type="dxa"/>
            <w:noWrap w:val="0"/>
            <w:vAlign w:val="center"/>
          </w:tcPr>
          <w:p w14:paraId="4E0D7BD0">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12个月</w:t>
            </w:r>
          </w:p>
        </w:tc>
      </w:tr>
      <w:tr w14:paraId="7CBA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65FA4477">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链路接口</w:t>
            </w:r>
          </w:p>
        </w:tc>
        <w:tc>
          <w:tcPr>
            <w:tcW w:w="6652" w:type="dxa"/>
            <w:noWrap w:val="0"/>
            <w:vAlign w:val="center"/>
          </w:tcPr>
          <w:p w14:paraId="0B0A4A3B">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链路接口灵活配置，可灵活实现电与光接口的变更，可满足与上级单位网络出口的一致性及稳定性。</w:t>
            </w:r>
          </w:p>
        </w:tc>
      </w:tr>
      <w:tr w14:paraId="5BB2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76" w:type="dxa"/>
            <w:noWrap w:val="0"/>
            <w:vAlign w:val="center"/>
          </w:tcPr>
          <w:p w14:paraId="28312231">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光路衰减</w:t>
            </w:r>
          </w:p>
        </w:tc>
        <w:tc>
          <w:tcPr>
            <w:tcW w:w="6652" w:type="dxa"/>
            <w:noWrap w:val="0"/>
            <w:vAlign w:val="center"/>
          </w:tcPr>
          <w:p w14:paraId="70E01331">
            <w:pPr>
              <w:pBdr>
                <w:top w:val="none" w:color="auto" w:sz="0" w:space="1"/>
                <w:left w:val="none" w:color="auto" w:sz="0" w:space="4"/>
                <w:bottom w:val="none" w:color="auto" w:sz="0" w:space="1"/>
                <w:right w:val="none" w:color="auto" w:sz="0" w:space="4"/>
              </w:pBd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≤20db，单模双芯光纤。损耗符合国家标准规定。</w:t>
            </w:r>
          </w:p>
        </w:tc>
      </w:tr>
      <w:tr w14:paraId="38D5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41603889">
            <w:pPr>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安全性要求</w:t>
            </w:r>
          </w:p>
        </w:tc>
        <w:tc>
          <w:tcPr>
            <w:tcW w:w="6652" w:type="dxa"/>
            <w:noWrap w:val="0"/>
            <w:vAlign w:val="center"/>
          </w:tcPr>
          <w:p w14:paraId="2AF9477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须对用户租用的数据专线的安全负责，保证用户数据不被拦截、不被监听、不被篡改，保证用户以外的人不能进入所租数据专线</w:t>
            </w:r>
          </w:p>
        </w:tc>
      </w:tr>
      <w:tr w14:paraId="418F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6008EFB6">
            <w:pPr>
              <w:widowControl/>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网络延时</w:t>
            </w:r>
          </w:p>
        </w:tc>
        <w:tc>
          <w:tcPr>
            <w:tcW w:w="6652" w:type="dxa"/>
            <w:noWrap w:val="0"/>
            <w:vAlign w:val="center"/>
          </w:tcPr>
          <w:p w14:paraId="53FA108B">
            <w:pPr>
              <w:widowControl/>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从网络出口到骨干网延时≤20ms，国内主要网络访问平均延时不超过50毫秒。</w:t>
            </w:r>
            <w:r>
              <w:rPr>
                <w:rFonts w:hint="eastAsia" w:asciiTheme="minorEastAsia" w:hAnsiTheme="minorEastAsia" w:eastAsiaTheme="minorEastAsia" w:cstheme="minorEastAsia"/>
                <w:color w:val="auto"/>
                <w:sz w:val="24"/>
                <w:szCs w:val="24"/>
                <w:highlight w:val="none"/>
              </w:rPr>
              <w:t>：TCP包在链路轻载条件（带宽利用率≤40％）下丢包率≤0.05％，TCP包在链路重载条件（带宽的70％～80％）下丢包率≤0.1％。</w:t>
            </w:r>
          </w:p>
        </w:tc>
      </w:tr>
      <w:tr w14:paraId="513A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5BC9956D">
            <w:pPr>
              <w:widowControl/>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丢包率</w:t>
            </w:r>
          </w:p>
        </w:tc>
        <w:tc>
          <w:tcPr>
            <w:tcW w:w="6652" w:type="dxa"/>
            <w:noWrap w:val="0"/>
            <w:vAlign w:val="center"/>
          </w:tcPr>
          <w:p w14:paraId="5A07ECF2">
            <w:pPr>
              <w:widowControl/>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从采购人网络设备端口到投标人局端网络设备网络丢包率≤0.1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网络设备端口到</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局端网络设备网络丢包率≤0.1％，网络时延≤20ms。</w:t>
            </w:r>
          </w:p>
        </w:tc>
      </w:tr>
      <w:tr w14:paraId="4473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4B930650">
            <w:pPr>
              <w:widowControl/>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连通率</w:t>
            </w:r>
          </w:p>
        </w:tc>
        <w:tc>
          <w:tcPr>
            <w:tcW w:w="6652" w:type="dxa"/>
            <w:noWrap w:val="0"/>
            <w:vAlign w:val="center"/>
          </w:tcPr>
          <w:p w14:paraId="7F01907C">
            <w:pPr>
              <w:widowControl/>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无故障率和网络连通率：高于99.9%</w:t>
            </w:r>
          </w:p>
        </w:tc>
      </w:tr>
      <w:tr w14:paraId="1C95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376" w:type="dxa"/>
            <w:noWrap w:val="0"/>
            <w:vAlign w:val="center"/>
          </w:tcPr>
          <w:p w14:paraId="446968C9">
            <w:pPr>
              <w:widowControl/>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线路其他服务</w:t>
            </w:r>
          </w:p>
        </w:tc>
        <w:tc>
          <w:tcPr>
            <w:tcW w:w="6652" w:type="dxa"/>
            <w:noWrap w:val="0"/>
            <w:vAlign w:val="center"/>
          </w:tcPr>
          <w:p w14:paraId="17D09514">
            <w:pPr>
              <w:widowControl/>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需支持外部访问服务、WEB服务、VPN服务、MAIL服务、DDOS攻击</w:t>
            </w:r>
            <w:r>
              <w:rPr>
                <w:rFonts w:hint="eastAsia" w:asciiTheme="minorEastAsia" w:hAnsiTheme="minorEastAsia" w:eastAsiaTheme="minorEastAsia" w:cstheme="minorEastAsia"/>
                <w:color w:val="auto"/>
                <w:sz w:val="24"/>
                <w:szCs w:val="24"/>
                <w:highlight w:val="none"/>
              </w:rPr>
              <w:t>流量清洗</w:t>
            </w:r>
            <w:r>
              <w:rPr>
                <w:rFonts w:hint="eastAsia" w:asciiTheme="minorEastAsia" w:hAnsiTheme="minorEastAsia" w:eastAsiaTheme="minorEastAsia" w:cstheme="minorEastAsia"/>
                <w:bCs/>
                <w:color w:val="auto"/>
                <w:sz w:val="24"/>
                <w:szCs w:val="24"/>
                <w:highlight w:val="none"/>
              </w:rPr>
              <w:t>服务。</w:t>
            </w:r>
          </w:p>
        </w:tc>
      </w:tr>
    </w:tbl>
    <w:p w14:paraId="113330D8">
      <w:pPr>
        <w:widowControl w:val="0"/>
        <w:adjustRightInd w:val="0"/>
        <w:spacing w:line="360" w:lineRule="auto"/>
        <w:ind w:firstLine="424" w:firstLineChars="177"/>
        <w:contextualSpacing/>
        <w:jc w:val="left"/>
        <w:rPr>
          <w:rFonts w:hint="eastAsia" w:asciiTheme="minorEastAsia" w:hAnsiTheme="minorEastAsia" w:eastAsiaTheme="minorEastAsia" w:cstheme="minorEastAsia"/>
          <w:color w:val="auto"/>
          <w:kern w:val="2"/>
          <w:sz w:val="24"/>
          <w:szCs w:val="24"/>
          <w:highlight w:val="none"/>
          <w:lang w:val="en-US" w:eastAsia="zh-CN" w:bidi="ar-SA"/>
        </w:rPr>
      </w:pPr>
    </w:p>
    <w:p w14:paraId="28FAEDC4">
      <w:pPr>
        <w:spacing w:line="360" w:lineRule="auto"/>
        <w:contextualSpacing/>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sz w:val="24"/>
          <w:szCs w:val="24"/>
        </w:rPr>
        <w:t>3. 验收标准</w:t>
      </w:r>
    </w:p>
    <w:p w14:paraId="4CCAF149">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 在投标人施工完毕后，采购人按照标准规程进行验收。如采购人对业务验收有特殊要求，应在本协议签署前提出书面意见，并与投标人协商一致，开通验收时，以双方达成一致的标准进行验收。</w:t>
      </w:r>
    </w:p>
    <w:p w14:paraId="1A7ADD8B">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 业务验收应在投标人施工完毕后10个工作日内，由采购人与投标人相关人员共同书面确认，签署《专线验收报告》。如采购人对工程验收有异议，则应在上述期限内提出书面意见；如采购人在上述期限内对验收未提出书面意见也未确认开通的，则视为验收已通过且采购人已同意开通业务。</w:t>
      </w:r>
    </w:p>
    <w:p w14:paraId="0AF2F344">
      <w:pPr>
        <w:widowControl/>
        <w:spacing w:line="360" w:lineRule="auto"/>
        <w:ind w:firstLine="480" w:firstLineChars="200"/>
        <w:contextualSpacing/>
        <w:rPr>
          <w:rFonts w:hint="eastAsia" w:asciiTheme="minorEastAsia" w:hAnsiTheme="minorEastAsia" w:eastAsiaTheme="minorEastAsia" w:cstheme="minorEastAsia"/>
          <w:sz w:val="24"/>
          <w:szCs w:val="24"/>
        </w:rPr>
      </w:pPr>
    </w:p>
    <w:p w14:paraId="428D3731"/>
    <w:p w14:paraId="261D358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7C37"/>
    <w:multiLevelType w:val="multilevel"/>
    <w:tmpl w:val="AFFD7C3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72D744C"/>
    <w:multiLevelType w:val="singleLevel"/>
    <w:tmpl w:val="C72D744C"/>
    <w:lvl w:ilvl="0" w:tentative="0">
      <w:start w:val="1"/>
      <w:numFmt w:val="decimal"/>
      <w:suff w:val="nothing"/>
      <w:lvlText w:val="%1）"/>
      <w:lvlJc w:val="left"/>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191BEF"/>
    <w:multiLevelType w:val="singleLevel"/>
    <w:tmpl w:val="3D191BEF"/>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04A09"/>
    <w:rsid w:val="6A480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Indent"/>
    <w:basedOn w:val="1"/>
    <w:qFormat/>
    <w:uiPriority w:val="0"/>
    <w:pPr>
      <w:spacing w:line="360" w:lineRule="auto"/>
      <w:ind w:firstLine="570"/>
    </w:pPr>
    <w:rPr>
      <w:sz w:val="24"/>
    </w:rPr>
  </w:style>
  <w:style w:type="paragraph" w:styleId="4">
    <w:name w:val="Body Text First Indent 2"/>
    <w:basedOn w:val="3"/>
    <w:qFormat/>
    <w:uiPriority w:val="0"/>
    <w:pPr>
      <w:spacing w:after="120" w:line="480" w:lineRule="exact"/>
      <w:ind w:left="420" w:leftChars="200" w:firstLine="420" w:firstLineChars="200"/>
    </w:pPr>
    <w:rPr>
      <w:szCs w:val="20"/>
    </w:rPr>
  </w:style>
  <w:style w:type="character" w:styleId="7">
    <w:name w:val="annotation reference"/>
    <w:qFormat/>
    <w:uiPriority w:val="99"/>
    <w:rPr>
      <w:sz w:val="21"/>
      <w:szCs w:val="21"/>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4571</Words>
  <Characters>4928</Characters>
  <Lines>0</Lines>
  <Paragraphs>0</Paragraphs>
  <TotalTime>2</TotalTime>
  <ScaleCrop>false</ScaleCrop>
  <LinksUpToDate>false</LinksUpToDate>
  <CharactersWithSpaces>4962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2025-09-28T07:17:00Z</dcterms:created>
  <dc:creator>user</dc:creator>
  <cp:lastModifiedBy>HJT</cp:lastModifiedBy>
  <dcterms:modified xsi:type="dcterms:W3CDTF">2025-09-28T08:40:44Z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E365075381244FD48AF73E7844DF4CC2_13</vt:lpwstr>
  </property>
</Properties>
</file>