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257B">
      <w:pPr>
        <w:pStyle w:val="2"/>
        <w:numPr>
          <w:numId w:val="0"/>
        </w:numPr>
        <w:tabs>
          <w:tab w:val="left" w:pos="1630"/>
        </w:tabs>
        <w:spacing w:line="460" w:lineRule="exact"/>
        <w:jc w:val="center"/>
        <w:rPr>
          <w:rFonts w:hint="eastAsia" w:ascii="宋体" w:hAnsi="宋体" w:eastAsia="宋体" w:cs="宋体"/>
          <w:b/>
          <w:bCs/>
        </w:rPr>
      </w:pPr>
      <w:bookmarkStart w:id="0" w:name="_Toc22302"/>
      <w:bookmarkStart w:id="1" w:name="_Toc30533"/>
      <w:bookmarkStart w:id="2" w:name="_Toc16033"/>
      <w:bookmarkStart w:id="17" w:name="_GoBack"/>
      <w:r>
        <w:rPr>
          <w:rFonts w:hint="eastAsia" w:ascii="宋体" w:hAnsi="宋体" w:eastAsia="宋体" w:cs="宋体"/>
          <w:b/>
          <w:bCs/>
        </w:rPr>
        <w:t>采购需求</w:t>
      </w:r>
      <w:bookmarkEnd w:id="0"/>
      <w:bookmarkEnd w:id="1"/>
      <w:bookmarkEnd w:id="17"/>
    </w:p>
    <w:p w14:paraId="761BC4C4">
      <w:pPr>
        <w:numPr>
          <w:ilvl w:val="0"/>
          <w:numId w:val="0"/>
        </w:numPr>
        <w:rPr>
          <w:rFonts w:hint="eastAsia" w:ascii="宋体" w:hAnsi="宋体" w:eastAsia="宋体" w:cs="宋体"/>
        </w:rPr>
      </w:pPr>
    </w:p>
    <w:p w14:paraId="3E900991">
      <w:pPr>
        <w:pStyle w:val="3"/>
        <w:spacing w:before="1"/>
        <w:ind w:left="121"/>
        <w:rPr>
          <w:rFonts w:hint="eastAsia" w:ascii="宋体" w:hAnsi="宋体" w:eastAsia="宋体" w:cs="宋体"/>
          <w:b/>
          <w:bCs/>
        </w:rPr>
      </w:pPr>
      <w:r>
        <w:rPr>
          <w:rFonts w:hint="eastAsia" w:ascii="宋体" w:hAnsi="宋体" w:eastAsia="宋体" w:cs="宋体"/>
          <w:b/>
          <w:bCs/>
        </w:rPr>
        <w:t>一、采购标的</w:t>
      </w:r>
    </w:p>
    <w:p w14:paraId="0280D779">
      <w:pPr>
        <w:pStyle w:val="7"/>
        <w:tabs>
          <w:tab w:val="left" w:pos="470"/>
          <w:tab w:val="left" w:pos="7040"/>
        </w:tabs>
        <w:spacing w:before="154" w:line="338" w:lineRule="auto"/>
        <w:ind w:left="121" w:right="1830" w:firstLine="269" w:firstLineChars="100"/>
        <w:rPr>
          <w:rFonts w:hint="eastAsia" w:ascii="宋体" w:hAnsi="宋体" w:eastAsia="宋体" w:cs="宋体"/>
          <w:sz w:val="24"/>
          <w:lang w:eastAsia="zh-CN"/>
        </w:rPr>
      </w:pPr>
      <w:r>
        <w:rPr>
          <w:rFonts w:hint="eastAsia" w:ascii="宋体" w:hAnsi="宋体" w:eastAsia="宋体" w:cs="宋体"/>
          <w:spacing w:val="-2"/>
          <w:w w:val="114"/>
          <w:sz w:val="24"/>
          <w:szCs w:val="24"/>
          <w:lang w:eastAsia="zh-CN"/>
        </w:rPr>
        <w:t>1.</w:t>
      </w:r>
      <w:r>
        <w:rPr>
          <w:rFonts w:hint="eastAsia" w:ascii="宋体" w:hAnsi="宋体" w:eastAsia="宋体" w:cs="宋体"/>
          <w:sz w:val="24"/>
          <w:lang w:eastAsia="zh-CN"/>
        </w:rPr>
        <w:t>采购标的（货物需求一览表）</w:t>
      </w:r>
    </w:p>
    <w:tbl>
      <w:tblPr>
        <w:tblStyle w:val="5"/>
        <w:tblW w:w="71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200"/>
        <w:gridCol w:w="2396"/>
        <w:gridCol w:w="1275"/>
        <w:gridCol w:w="1411"/>
      </w:tblGrid>
      <w:tr w14:paraId="61C6D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915" w:type="dxa"/>
            <w:vAlign w:val="center"/>
          </w:tcPr>
          <w:p w14:paraId="24C83410">
            <w:pPr>
              <w:pStyle w:val="8"/>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lang w:eastAsia="zh-CN"/>
              </w:rPr>
              <w:t>包号</w:t>
            </w:r>
          </w:p>
        </w:tc>
        <w:tc>
          <w:tcPr>
            <w:tcW w:w="1200" w:type="dxa"/>
            <w:vAlign w:val="center"/>
          </w:tcPr>
          <w:p w14:paraId="6C1CD3E9">
            <w:pPr>
              <w:pStyle w:val="8"/>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品目号</w:t>
            </w:r>
          </w:p>
        </w:tc>
        <w:tc>
          <w:tcPr>
            <w:tcW w:w="2396" w:type="dxa"/>
            <w:vAlign w:val="center"/>
          </w:tcPr>
          <w:p w14:paraId="01FAF642">
            <w:pPr>
              <w:pStyle w:val="8"/>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lang w:val="en-US" w:eastAsia="zh-CN"/>
              </w:rPr>
              <w:t>标的名称</w:t>
            </w:r>
          </w:p>
        </w:tc>
        <w:tc>
          <w:tcPr>
            <w:tcW w:w="1275" w:type="dxa"/>
            <w:vAlign w:val="center"/>
          </w:tcPr>
          <w:p w14:paraId="24AA78B5">
            <w:pPr>
              <w:pStyle w:val="8"/>
              <w:jc w:val="center"/>
              <w:rPr>
                <w:rFonts w:hint="eastAsia" w:ascii="宋体" w:hAnsi="宋体" w:eastAsia="宋体" w:cs="宋体"/>
                <w:b/>
                <w:bCs/>
                <w:sz w:val="24"/>
                <w:szCs w:val="24"/>
                <w:lang w:eastAsia="zh-CN"/>
              </w:rPr>
            </w:pPr>
            <w:r>
              <w:rPr>
                <w:rFonts w:hint="eastAsia" w:ascii="宋体" w:hAnsi="宋体" w:eastAsia="宋体" w:cs="宋体"/>
                <w:b/>
                <w:bCs/>
                <w:sz w:val="24"/>
                <w:szCs w:val="24"/>
              </w:rPr>
              <w:t>数量</w:t>
            </w:r>
          </w:p>
        </w:tc>
        <w:tc>
          <w:tcPr>
            <w:tcW w:w="1411" w:type="dxa"/>
            <w:vAlign w:val="center"/>
          </w:tcPr>
          <w:p w14:paraId="510CC743">
            <w:pPr>
              <w:pStyle w:val="8"/>
              <w:jc w:val="center"/>
              <w:rPr>
                <w:rFonts w:hint="eastAsia" w:ascii="宋体" w:hAnsi="宋体" w:eastAsia="宋体" w:cs="宋体"/>
                <w:b/>
                <w:bCs/>
                <w:sz w:val="24"/>
                <w:szCs w:val="24"/>
              </w:rPr>
            </w:pPr>
            <w:r>
              <w:rPr>
                <w:rFonts w:hint="eastAsia" w:ascii="宋体" w:hAnsi="宋体" w:eastAsia="宋体" w:cs="宋体"/>
                <w:b/>
                <w:bCs/>
                <w:spacing w:val="0"/>
                <w:sz w:val="24"/>
                <w:szCs w:val="24"/>
                <w:highlight w:val="none"/>
                <w:lang w:eastAsia="zh-CN"/>
              </w:rPr>
              <w:t>是否允许采购进口产品</w:t>
            </w:r>
          </w:p>
        </w:tc>
      </w:tr>
      <w:tr w14:paraId="7696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15" w:type="dxa"/>
            <w:vAlign w:val="center"/>
          </w:tcPr>
          <w:p w14:paraId="2E5087E8">
            <w:pPr>
              <w:pStyle w:val="8"/>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1200" w:type="dxa"/>
            <w:vAlign w:val="center"/>
          </w:tcPr>
          <w:p w14:paraId="3A4DCEFC">
            <w:pPr>
              <w:pStyle w:val="8"/>
              <w:jc w:val="center"/>
              <w:rPr>
                <w:rFonts w:hint="eastAsia" w:ascii="宋体" w:hAnsi="宋体" w:eastAsia="宋体" w:cs="宋体"/>
                <w:spacing w:val="0"/>
                <w:sz w:val="24"/>
                <w:szCs w:val="24"/>
                <w:highlight w:val="none"/>
                <w:lang w:val="en-US" w:eastAsia="zh-CN"/>
              </w:rPr>
            </w:pPr>
            <w:r>
              <w:rPr>
                <w:rFonts w:hint="eastAsia" w:ascii="宋体" w:hAnsi="宋体" w:eastAsia="宋体" w:cs="宋体"/>
                <w:sz w:val="24"/>
                <w:szCs w:val="24"/>
                <w:lang w:eastAsia="zh-CN"/>
              </w:rPr>
              <w:t>1-1</w:t>
            </w:r>
          </w:p>
        </w:tc>
        <w:tc>
          <w:tcPr>
            <w:tcW w:w="2396" w:type="dxa"/>
            <w:vAlign w:val="center"/>
          </w:tcPr>
          <w:p w14:paraId="379F80B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cs="宋体"/>
                <w:spacing w:val="0"/>
                <w:sz w:val="24"/>
                <w:szCs w:val="24"/>
                <w:lang w:val="en-US" w:eastAsia="zh-CN" w:bidi="ar-SA"/>
              </w:rPr>
              <w:t>电子肠胃镜</w:t>
            </w:r>
          </w:p>
        </w:tc>
        <w:tc>
          <w:tcPr>
            <w:tcW w:w="1275" w:type="dxa"/>
            <w:vAlign w:val="center"/>
          </w:tcPr>
          <w:p w14:paraId="2145AB1B">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一批</w:t>
            </w:r>
          </w:p>
        </w:tc>
        <w:tc>
          <w:tcPr>
            <w:tcW w:w="1411" w:type="dxa"/>
            <w:vAlign w:val="center"/>
          </w:tcPr>
          <w:p w14:paraId="555276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bl>
    <w:p w14:paraId="63ECAA21">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4B4DE5C1">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3ABBCD3">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3" w:name="_Toc14802"/>
      <w:bookmarkStart w:id="4" w:name="_Toc24278"/>
      <w:bookmarkStart w:id="5" w:name="_Toc8925"/>
      <w:bookmarkStart w:id="6" w:name="_Toc256196753"/>
      <w:bookmarkStart w:id="7" w:name="_Toc23382"/>
      <w:r>
        <w:rPr>
          <w:rFonts w:hint="eastAsia" w:ascii="宋体" w:hAnsi="宋体" w:eastAsia="宋体" w:cs="宋体"/>
          <w:b w:val="0"/>
          <w:bCs w:val="0"/>
          <w:color w:val="auto"/>
          <w:sz w:val="24"/>
          <w:szCs w:val="24"/>
          <w:highlight w:val="none"/>
          <w:lang w:val="en-US" w:eastAsia="zh-CN" w:bidi="ar-SA"/>
        </w:rPr>
        <w:t>1.1 交货时间：</w:t>
      </w:r>
      <w:bookmarkEnd w:id="3"/>
      <w:bookmarkEnd w:id="4"/>
      <w:bookmarkEnd w:id="5"/>
      <w:bookmarkEnd w:id="6"/>
      <w:bookmarkEnd w:id="7"/>
      <w:r>
        <w:rPr>
          <w:rFonts w:hint="eastAsia" w:ascii="宋体" w:hAnsi="宋体" w:eastAsia="宋体" w:cs="宋体"/>
          <w:b w:val="0"/>
          <w:bCs w:val="0"/>
          <w:color w:val="auto"/>
          <w:sz w:val="24"/>
          <w:szCs w:val="24"/>
          <w:highlight w:val="none"/>
          <w:lang w:val="en-US" w:eastAsia="zh-CN" w:bidi="ar-SA"/>
        </w:rPr>
        <w:t>合同签订之日起90个日历日内。</w:t>
      </w:r>
    </w:p>
    <w:p w14:paraId="1383E1A9">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8" w:name="_Toc194115436"/>
      <w:bookmarkStart w:id="9" w:name="_Toc19535"/>
      <w:bookmarkStart w:id="10" w:name="_Toc8853"/>
      <w:bookmarkStart w:id="11" w:name="_Toc30936"/>
      <w:bookmarkStart w:id="12" w:name="_Toc6107"/>
      <w:r>
        <w:rPr>
          <w:rFonts w:hint="eastAsia" w:ascii="宋体" w:hAnsi="宋体" w:eastAsia="宋体" w:cs="宋体"/>
          <w:b w:val="0"/>
          <w:bCs w:val="0"/>
          <w:color w:val="auto"/>
          <w:sz w:val="24"/>
          <w:szCs w:val="24"/>
          <w:highlight w:val="none"/>
          <w:lang w:val="en-US" w:eastAsia="zh-CN" w:bidi="ar-SA"/>
        </w:rPr>
        <w:t>1.2 交货地点：</w:t>
      </w:r>
      <w:bookmarkEnd w:id="8"/>
      <w:bookmarkEnd w:id="9"/>
      <w:bookmarkEnd w:id="10"/>
      <w:bookmarkEnd w:id="11"/>
      <w:bookmarkEnd w:id="12"/>
      <w:r>
        <w:rPr>
          <w:rFonts w:hint="eastAsia" w:cs="宋体"/>
          <w:sz w:val="24"/>
          <w:szCs w:val="24"/>
          <w:highlight w:val="none"/>
          <w:lang w:eastAsia="zh-CN"/>
        </w:rPr>
        <w:t>首都医科大学附属北京胸科医院</w:t>
      </w:r>
      <w:r>
        <w:rPr>
          <w:rFonts w:hint="eastAsia" w:cs="宋体"/>
          <w:b w:val="0"/>
          <w:bCs w:val="0"/>
          <w:spacing w:val="0"/>
          <w:sz w:val="24"/>
          <w:szCs w:val="24"/>
          <w:highlight w:val="none"/>
          <w:lang w:val="en-US" w:eastAsia="zh-CN"/>
        </w:rPr>
        <w:t>指定地点。</w:t>
      </w:r>
    </w:p>
    <w:p w14:paraId="1316C0B3">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p>
    <w:p w14:paraId="526F3F1E">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签订合同后，供方出具100%金额发票，需方取得全额发票后根据财政资金拨付情况向供方支付首款，首款占合同总价的25%，即人民币___________元；在货物到货且需方验收合格后，根据财政资金拨付情况向供方支付尾款，尾款占合同总价的75%，即人民币___________元。</w:t>
      </w:r>
    </w:p>
    <w:p w14:paraId="32A795E0">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3.包装和运输（如适用，须满足《关于印发〈商品包装政府采购需求标准（试行）〉、〈快递包装政府采购需求标准（试行）〉的通知》（财办库﹝2020﹞123号））</w:t>
      </w:r>
    </w:p>
    <w:p w14:paraId="58503F4F">
      <w:pPr>
        <w:pStyle w:val="9"/>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585A193A">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cs="宋体"/>
          <w:color w:val="auto"/>
          <w:sz w:val="24"/>
          <w:szCs w:val="24"/>
          <w:highlight w:val="none"/>
          <w:lang w:val="en-US" w:eastAsia="zh-CN"/>
        </w:rPr>
        <w:t>1.1、质保期限：5年；</w:t>
      </w:r>
    </w:p>
    <w:p w14:paraId="75F122BB">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提供设备售后服务承诺：承诺</w:t>
      </w:r>
      <w:r>
        <w:rPr>
          <w:rFonts w:hint="eastAsia" w:cs="宋体"/>
          <w:color w:val="auto"/>
          <w:sz w:val="24"/>
          <w:szCs w:val="24"/>
          <w:highlight w:val="none"/>
          <w:lang w:val="en-US" w:eastAsia="zh-CN"/>
        </w:rPr>
        <w:t>质保期内</w:t>
      </w:r>
      <w:r>
        <w:rPr>
          <w:rFonts w:hint="eastAsia" w:ascii="宋体" w:hAnsi="宋体" w:eastAsia="宋体" w:cs="宋体"/>
          <w:color w:val="auto"/>
          <w:sz w:val="24"/>
          <w:szCs w:val="24"/>
          <w:highlight w:val="none"/>
          <w:lang w:val="en-US" w:eastAsia="zh-CN"/>
        </w:rPr>
        <w:t>整机质保，终身维修服务。负责提供技术服务与技术支持，软件免费升级。</w:t>
      </w:r>
      <w:r>
        <w:rPr>
          <w:rFonts w:hint="eastAsia" w:cs="宋体"/>
          <w:color w:val="auto"/>
          <w:sz w:val="24"/>
          <w:szCs w:val="24"/>
          <w:highlight w:val="none"/>
          <w:lang w:val="en-US" w:eastAsia="zh-CN"/>
        </w:rPr>
        <w:t>（投标人和制造商需要同时提供承诺函并加盖单位公章）</w:t>
      </w:r>
    </w:p>
    <w:p w14:paraId="5A3D3A27">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w:t>
      </w:r>
      <w:r>
        <w:rPr>
          <w:rFonts w:hint="eastAsia"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质保</w:t>
      </w:r>
      <w:r>
        <w:rPr>
          <w:rFonts w:hint="eastAsia" w:cs="宋体"/>
          <w:color w:val="auto"/>
          <w:sz w:val="24"/>
          <w:szCs w:val="24"/>
          <w:highlight w:val="none"/>
          <w:lang w:val="en-US" w:eastAsia="zh-CN"/>
        </w:rPr>
        <w:t>期起算时间</w:t>
      </w:r>
      <w:r>
        <w:rPr>
          <w:rFonts w:hint="eastAsia" w:ascii="宋体" w:hAnsi="宋体" w:eastAsia="宋体" w:cs="宋体"/>
          <w:color w:val="auto"/>
          <w:sz w:val="24"/>
          <w:szCs w:val="24"/>
          <w:highlight w:val="none"/>
          <w:lang w:val="en-US" w:eastAsia="zh-CN"/>
        </w:rPr>
        <w:t>。在质保内，任何由于机器质量原因或正常使用引起的故障及损坏，除人为因素损坏外，由原厂提供免费维修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1ADFBB0E">
      <w:pPr>
        <w:pStyle w:val="4"/>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终身维修指：原厂对所售产品提供终身维修服务。如果因为该产品生产年限过长，零配件无法供应，维修方案将与用户协商解决。  </w:t>
      </w:r>
    </w:p>
    <w:p w14:paraId="4E9724A3">
      <w:pPr>
        <w:pStyle w:val="4"/>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160CAF9">
      <w:pPr>
        <w:pStyle w:val="7"/>
        <w:keepNext w:val="0"/>
        <w:keepLines w:val="0"/>
        <w:pageBreakBefore w:val="0"/>
        <w:widowControl w:val="0"/>
        <w:tabs>
          <w:tab w:val="left" w:pos="880"/>
        </w:tabs>
        <w:kinsoku/>
        <w:wordWrap/>
        <w:overflowPunct/>
        <w:topLinePunct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三、技术要求</w:t>
      </w:r>
    </w:p>
    <w:p w14:paraId="3CF37A56">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1. 基本要求</w:t>
      </w:r>
    </w:p>
    <w:p w14:paraId="7600E0D8">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lang w:eastAsia="zh-CN"/>
        </w:rPr>
        <w:t>1.1 采购标的需实现的</w:t>
      </w:r>
      <w:r>
        <w:rPr>
          <w:rFonts w:hint="eastAsia" w:ascii="宋体" w:hAnsi="宋体" w:eastAsia="宋体" w:cs="宋体"/>
          <w:b/>
          <w:bCs/>
          <w:spacing w:val="0"/>
          <w:sz w:val="24"/>
          <w:szCs w:val="24"/>
          <w:highlight w:val="none"/>
          <w:lang w:eastAsia="zh-CN"/>
        </w:rPr>
        <w:t>功能或者目标</w:t>
      </w:r>
    </w:p>
    <w:p w14:paraId="49EF15FC">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spacing w:val="0"/>
          <w:kern w:val="2"/>
          <w:sz w:val="24"/>
          <w:szCs w:val="24"/>
          <w:highlight w:val="none"/>
          <w:lang w:eastAsia="zh-CN"/>
        </w:rPr>
        <w:t>首都医科大学附属北京胸科医院</w:t>
      </w:r>
      <w:r>
        <w:rPr>
          <w:rFonts w:hint="eastAsia"/>
          <w:sz w:val="24"/>
          <w:lang w:eastAsia="zh-CN"/>
        </w:rPr>
        <w:t>配置</w:t>
      </w:r>
      <w:r>
        <w:rPr>
          <w:rFonts w:hint="eastAsia" w:ascii="Arial Regular" w:hAnsi="Arial Regular" w:cs="Arial Regular"/>
          <w:bCs/>
          <w:sz w:val="24"/>
          <w:szCs w:val="24"/>
          <w:lang w:eastAsia="zh-CN"/>
        </w:rPr>
        <w:t>基本设备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DED983B">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6526333D">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投标产品属于医疗器械的，中华人民共和国境内制造商应按原国家食品药品监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督管理总局颁发的《医疗器械生产监督管理办法》，办理医疗器械生产许可证或者办理备案，供应商须提供医疗器械生产许可证复印件或备案凭证。</w:t>
      </w:r>
    </w:p>
    <w:p w14:paraId="68201F00">
      <w:pPr>
        <w:keepNext w:val="0"/>
        <w:keepLines w:val="0"/>
        <w:pageBreakBefore w:val="0"/>
        <w:widowControl w:val="0"/>
        <w:kinsoku/>
        <w:wordWrap/>
        <w:overflowPunct/>
        <w:topLinePunct w:val="0"/>
        <w:autoSpaceDE/>
        <w:autoSpaceDN/>
        <w:bidi w:val="0"/>
        <w:adjustRightInd/>
        <w:snapToGrid/>
        <w:spacing w:line="486" w:lineRule="exact"/>
        <w:ind w:left="240" w:leftChars="109" w:firstLine="240" w:firstLineChars="1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3533FA3A">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color w:val="auto"/>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4B2FD020">
      <w:pPr>
        <w:spacing w:line="360" w:lineRule="auto"/>
        <w:rPr>
          <w:rFonts w:ascii="宋体" w:hAnsi="宋体" w:eastAsia="宋体"/>
          <w:sz w:val="24"/>
          <w:szCs w:val="24"/>
        </w:rPr>
      </w:pPr>
      <w:r>
        <w:rPr>
          <w:rFonts w:hint="eastAsia" w:ascii="宋体" w:hAnsi="宋体" w:eastAsia="宋体"/>
          <w:sz w:val="24"/>
          <w:szCs w:val="24"/>
        </w:rPr>
        <w:t>一、技术参数：</w:t>
      </w:r>
    </w:p>
    <w:p w14:paraId="5D5F584D">
      <w:pPr>
        <w:spacing w:line="360" w:lineRule="auto"/>
        <w:rPr>
          <w:rFonts w:ascii="宋体" w:hAnsi="宋体" w:eastAsia="宋体"/>
          <w:sz w:val="24"/>
          <w:szCs w:val="24"/>
        </w:rPr>
      </w:pPr>
      <w:r>
        <w:rPr>
          <w:rFonts w:hint="eastAsia" w:ascii="宋体" w:hAnsi="宋体" w:eastAsia="宋体"/>
          <w:sz w:val="24"/>
          <w:szCs w:val="24"/>
        </w:rPr>
        <w:t>1、电子</w:t>
      </w:r>
      <w:r>
        <w:rPr>
          <w:rFonts w:ascii="宋体" w:hAnsi="宋体" w:eastAsia="宋体"/>
          <w:sz w:val="24"/>
          <w:szCs w:val="24"/>
        </w:rPr>
        <w:t>胃镜</w:t>
      </w:r>
      <w:r>
        <w:rPr>
          <w:rFonts w:hint="eastAsia" w:ascii="宋体" w:hAnsi="宋体" w:eastAsia="宋体"/>
          <w:sz w:val="24"/>
          <w:szCs w:val="24"/>
        </w:rPr>
        <w:t>一</w:t>
      </w:r>
    </w:p>
    <w:p w14:paraId="21EA6FF2">
      <w:pPr>
        <w:spacing w:line="360" w:lineRule="auto"/>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HDTV高清图像，</w:t>
      </w:r>
      <w:r>
        <w:rPr>
          <w:rFonts w:hint="eastAsia" w:ascii="宋体" w:hAnsi="宋体" w:eastAsia="宋体"/>
          <w:sz w:val="24"/>
          <w:szCs w:val="24"/>
        </w:rPr>
        <w:t>可对不同波长的照明光成像。</w:t>
      </w:r>
    </w:p>
    <w:p w14:paraId="188E10D6">
      <w:pPr>
        <w:spacing w:line="360" w:lineRule="auto"/>
        <w:rPr>
          <w:rFonts w:ascii="宋体" w:hAnsi="宋体" w:eastAsia="宋体"/>
          <w:sz w:val="24"/>
          <w:szCs w:val="24"/>
        </w:rPr>
      </w:pPr>
      <w:r>
        <w:rPr>
          <w:rFonts w:hint="eastAsia" w:ascii="宋体" w:hAnsi="宋体" w:eastAsia="宋体"/>
          <w:sz w:val="24"/>
          <w:szCs w:val="24"/>
        </w:rPr>
        <w:t>▲1.2、具有常规焦距模式和近焦模式，可一键</w:t>
      </w:r>
      <w:r>
        <w:rPr>
          <w:rFonts w:ascii="宋体" w:hAnsi="宋体" w:eastAsia="宋体"/>
          <w:sz w:val="24"/>
          <w:szCs w:val="24"/>
        </w:rPr>
        <w:t>切换</w:t>
      </w:r>
      <w:r>
        <w:rPr>
          <w:rFonts w:hint="eastAsia" w:ascii="宋体" w:hAnsi="宋体" w:eastAsia="宋体"/>
          <w:sz w:val="24"/>
          <w:szCs w:val="24"/>
        </w:rPr>
        <w:t>。</w:t>
      </w:r>
    </w:p>
    <w:p w14:paraId="3B59D29D">
      <w:pPr>
        <w:spacing w:line="360" w:lineRule="auto"/>
        <w:rPr>
          <w:rFonts w:ascii="宋体" w:hAnsi="宋体" w:eastAsia="宋体"/>
          <w:sz w:val="24"/>
          <w:szCs w:val="24"/>
        </w:rPr>
      </w:pPr>
      <w:r>
        <w:rPr>
          <w:rFonts w:hint="eastAsia" w:ascii="宋体" w:hAnsi="宋体" w:eastAsia="宋体"/>
          <w:sz w:val="24"/>
          <w:szCs w:val="24"/>
        </w:rPr>
        <w:t>1.3、视野角：常规焦距模式，≥</w:t>
      </w:r>
      <w:r>
        <w:rPr>
          <w:rFonts w:ascii="宋体" w:hAnsi="宋体" w:eastAsia="宋体"/>
          <w:sz w:val="24"/>
          <w:szCs w:val="24"/>
        </w:rPr>
        <w:t>140</w:t>
      </w:r>
      <w:r>
        <w:rPr>
          <w:rFonts w:hint="eastAsia" w:ascii="宋体" w:hAnsi="宋体" w:eastAsia="宋体"/>
          <w:sz w:val="24"/>
          <w:szCs w:val="24"/>
        </w:rPr>
        <w:t>°；近</w:t>
      </w:r>
      <w:r>
        <w:rPr>
          <w:rFonts w:hint="eastAsia" w:ascii="宋体" w:hAnsi="宋体" w:eastAsia="宋体"/>
          <w:sz w:val="24"/>
          <w:szCs w:val="24"/>
          <w:highlight w:val="none"/>
        </w:rPr>
        <w:t>焦模式，≥</w:t>
      </w:r>
      <w:r>
        <w:rPr>
          <w:rFonts w:ascii="宋体" w:hAnsi="宋体" w:eastAsia="宋体"/>
          <w:sz w:val="24"/>
          <w:szCs w:val="24"/>
          <w:highlight w:val="none"/>
        </w:rPr>
        <w:t>14</w:t>
      </w:r>
      <w:r>
        <w:rPr>
          <w:rFonts w:hint="eastAsia" w:ascii="宋体" w:hAnsi="宋体" w:eastAsia="宋体"/>
          <w:sz w:val="24"/>
          <w:szCs w:val="24"/>
          <w:highlight w:val="none"/>
        </w:rPr>
        <w:t>0°。</w:t>
      </w:r>
    </w:p>
    <w:p w14:paraId="01DD4556">
      <w:pPr>
        <w:spacing w:line="360" w:lineRule="auto"/>
        <w:rPr>
          <w:rFonts w:ascii="宋体" w:hAnsi="宋体" w:eastAsia="宋体"/>
          <w:sz w:val="24"/>
          <w:szCs w:val="24"/>
        </w:rPr>
      </w:pPr>
      <w:r>
        <w:rPr>
          <w:rFonts w:hint="eastAsia" w:ascii="宋体" w:hAnsi="宋体" w:eastAsia="宋体"/>
          <w:sz w:val="24"/>
          <w:szCs w:val="24"/>
        </w:rPr>
        <w:t>1.4、常规焦距模式最大景深≥100mm；近焦模式最小景深≤3mm。</w:t>
      </w:r>
    </w:p>
    <w:p w14:paraId="3F0BB161">
      <w:pPr>
        <w:spacing w:line="360" w:lineRule="auto"/>
        <w:rPr>
          <w:rFonts w:ascii="宋体" w:hAnsi="宋体" w:eastAsia="宋体"/>
          <w:sz w:val="24"/>
          <w:szCs w:val="24"/>
        </w:rPr>
      </w:pPr>
      <w:r>
        <w:rPr>
          <w:rFonts w:hint="eastAsia" w:ascii="宋体" w:hAnsi="宋体" w:eastAsia="宋体"/>
          <w:sz w:val="24"/>
          <w:szCs w:val="24"/>
        </w:rPr>
        <w:t>1.5、具有副送水功能</w:t>
      </w:r>
    </w:p>
    <w:p w14:paraId="13CA6C99">
      <w:pPr>
        <w:spacing w:line="360" w:lineRule="auto"/>
        <w:rPr>
          <w:rFonts w:ascii="宋体" w:hAnsi="宋体" w:eastAsia="宋体"/>
          <w:sz w:val="24"/>
          <w:szCs w:val="24"/>
        </w:rPr>
      </w:pPr>
      <w:r>
        <w:rPr>
          <w:rFonts w:hint="eastAsia" w:ascii="宋体" w:hAnsi="宋体" w:eastAsia="宋体"/>
          <w:sz w:val="24"/>
          <w:szCs w:val="24"/>
        </w:rPr>
        <w:t>1.6、全防水设计，导光插头一键插拔。</w:t>
      </w:r>
    </w:p>
    <w:p w14:paraId="0AD86625">
      <w:pPr>
        <w:spacing w:line="360" w:lineRule="auto"/>
        <w:rPr>
          <w:rFonts w:ascii="宋体" w:hAnsi="宋体" w:eastAsia="宋体"/>
          <w:sz w:val="24"/>
          <w:szCs w:val="24"/>
        </w:rPr>
      </w:pPr>
      <w:r>
        <w:rPr>
          <w:rFonts w:hint="eastAsia" w:ascii="宋体" w:hAnsi="宋体" w:eastAsia="宋体"/>
          <w:sz w:val="24"/>
          <w:szCs w:val="24"/>
        </w:rPr>
        <w:t>1.7、先端外径：≤10.5mm, 插入部外径：≤10mm。</w:t>
      </w:r>
    </w:p>
    <w:p w14:paraId="0D5E7649">
      <w:pPr>
        <w:spacing w:line="360" w:lineRule="auto"/>
        <w:rPr>
          <w:rFonts w:ascii="宋体" w:hAnsi="宋体" w:eastAsia="宋体"/>
          <w:sz w:val="24"/>
          <w:szCs w:val="24"/>
        </w:rPr>
      </w:pPr>
      <w:r>
        <w:rPr>
          <w:rFonts w:hint="eastAsia" w:ascii="宋体" w:hAnsi="宋体" w:eastAsia="宋体"/>
          <w:sz w:val="24"/>
          <w:szCs w:val="24"/>
        </w:rPr>
        <w:t>1.8、弯曲角度：上≥</w:t>
      </w:r>
      <w:r>
        <w:rPr>
          <w:rFonts w:ascii="宋体" w:hAnsi="宋体" w:eastAsia="宋体"/>
          <w:sz w:val="24"/>
          <w:szCs w:val="24"/>
        </w:rPr>
        <w:t>210</w:t>
      </w:r>
      <w:r>
        <w:rPr>
          <w:rFonts w:hint="eastAsia" w:ascii="宋体" w:hAnsi="宋体" w:eastAsia="宋体"/>
          <w:sz w:val="24"/>
          <w:szCs w:val="24"/>
        </w:rPr>
        <w:t>°、下≥</w:t>
      </w:r>
      <w:r>
        <w:rPr>
          <w:rFonts w:ascii="宋体" w:hAnsi="宋体" w:eastAsia="宋体"/>
          <w:sz w:val="24"/>
          <w:szCs w:val="24"/>
        </w:rPr>
        <w:t>90</w:t>
      </w:r>
      <w:r>
        <w:rPr>
          <w:rFonts w:hint="eastAsia" w:ascii="宋体" w:hAnsi="宋体" w:eastAsia="宋体"/>
          <w:sz w:val="24"/>
          <w:szCs w:val="24"/>
        </w:rPr>
        <w:t>°；左≥</w:t>
      </w:r>
      <w:r>
        <w:rPr>
          <w:rFonts w:ascii="宋体" w:hAnsi="宋体" w:eastAsia="宋体"/>
          <w:sz w:val="24"/>
          <w:szCs w:val="24"/>
        </w:rPr>
        <w:t>100</w:t>
      </w:r>
      <w:r>
        <w:rPr>
          <w:rFonts w:hint="eastAsia" w:ascii="宋体" w:hAnsi="宋体" w:eastAsia="宋体"/>
          <w:sz w:val="24"/>
          <w:szCs w:val="24"/>
        </w:rPr>
        <w:t>°、右≥</w:t>
      </w:r>
      <w:r>
        <w:rPr>
          <w:rFonts w:ascii="宋体" w:hAnsi="宋体" w:eastAsia="宋体"/>
          <w:sz w:val="24"/>
          <w:szCs w:val="24"/>
        </w:rPr>
        <w:t>100</w:t>
      </w:r>
      <w:r>
        <w:rPr>
          <w:rFonts w:hint="eastAsia" w:ascii="宋体" w:hAnsi="宋体" w:eastAsia="宋体"/>
          <w:sz w:val="24"/>
          <w:szCs w:val="24"/>
        </w:rPr>
        <w:t>°。</w:t>
      </w:r>
    </w:p>
    <w:p w14:paraId="4B70F350">
      <w:pPr>
        <w:spacing w:line="360" w:lineRule="auto"/>
        <w:rPr>
          <w:rFonts w:ascii="宋体" w:hAnsi="宋体" w:eastAsia="宋体"/>
          <w:sz w:val="24"/>
          <w:szCs w:val="24"/>
        </w:rPr>
      </w:pPr>
      <w:r>
        <w:rPr>
          <w:rFonts w:hint="eastAsia" w:ascii="宋体" w:hAnsi="宋体" w:eastAsia="宋体"/>
          <w:sz w:val="24"/>
          <w:szCs w:val="24"/>
        </w:rPr>
        <w:t>1.9、钳子管道内径：</w:t>
      </w:r>
      <w:bookmarkStart w:id="13" w:name="_Hlk205983853"/>
      <w:r>
        <w:rPr>
          <w:rFonts w:hint="eastAsia" w:ascii="宋体" w:hAnsi="宋体" w:eastAsia="宋体"/>
          <w:sz w:val="24"/>
          <w:szCs w:val="24"/>
        </w:rPr>
        <w:t>≥</w:t>
      </w:r>
      <w:bookmarkEnd w:id="13"/>
      <w:r>
        <w:rPr>
          <w:rFonts w:ascii="宋体" w:hAnsi="宋体" w:eastAsia="宋体"/>
          <w:sz w:val="24"/>
          <w:szCs w:val="24"/>
        </w:rPr>
        <w:t>2.8mm</w:t>
      </w:r>
      <w:r>
        <w:rPr>
          <w:rFonts w:hint="eastAsia" w:ascii="宋体" w:hAnsi="宋体" w:eastAsia="宋体"/>
          <w:sz w:val="24"/>
          <w:szCs w:val="24"/>
        </w:rPr>
        <w:t>。</w:t>
      </w:r>
    </w:p>
    <w:p w14:paraId="2C6BDFF4">
      <w:pPr>
        <w:spacing w:line="360" w:lineRule="auto"/>
        <w:rPr>
          <w:rFonts w:ascii="宋体" w:hAnsi="宋体" w:eastAsia="宋体"/>
          <w:sz w:val="24"/>
          <w:szCs w:val="24"/>
        </w:rPr>
      </w:pPr>
      <w:r>
        <w:rPr>
          <w:rFonts w:hint="eastAsia" w:ascii="宋体" w:hAnsi="宋体" w:eastAsia="宋体"/>
          <w:sz w:val="24"/>
          <w:szCs w:val="24"/>
        </w:rPr>
        <w:t>1.10、有效长度：≥1030mm。</w:t>
      </w:r>
    </w:p>
    <w:p w14:paraId="20A3D8D9">
      <w:pPr>
        <w:spacing w:line="360" w:lineRule="auto"/>
        <w:rPr>
          <w:rFonts w:ascii="宋体" w:hAnsi="宋体" w:eastAsia="宋体"/>
          <w:sz w:val="24"/>
          <w:szCs w:val="24"/>
        </w:rPr>
      </w:pPr>
      <w:r>
        <w:rPr>
          <w:rFonts w:hint="eastAsia" w:ascii="宋体" w:hAnsi="宋体" w:eastAsia="宋体"/>
          <w:sz w:val="24"/>
          <w:szCs w:val="24"/>
        </w:rPr>
        <w:t>2、电子结肠</w:t>
      </w:r>
      <w:r>
        <w:rPr>
          <w:rFonts w:ascii="宋体" w:hAnsi="宋体" w:eastAsia="宋体"/>
          <w:sz w:val="24"/>
          <w:szCs w:val="24"/>
        </w:rPr>
        <w:t>镜</w:t>
      </w:r>
      <w:r>
        <w:rPr>
          <w:rFonts w:hint="eastAsia" w:ascii="宋体" w:hAnsi="宋体" w:eastAsia="宋体"/>
          <w:sz w:val="24"/>
          <w:szCs w:val="24"/>
        </w:rPr>
        <w:t>一</w:t>
      </w:r>
    </w:p>
    <w:p w14:paraId="7F8E55D3">
      <w:pPr>
        <w:spacing w:line="360" w:lineRule="auto"/>
        <w:rPr>
          <w:rFonts w:ascii="宋体" w:hAnsi="宋体" w:eastAsia="宋体"/>
          <w:sz w:val="24"/>
          <w:szCs w:val="24"/>
        </w:rPr>
      </w:pPr>
      <w:r>
        <w:rPr>
          <w:rFonts w:hint="eastAsia" w:ascii="宋体" w:hAnsi="宋体" w:eastAsia="宋体"/>
          <w:sz w:val="24"/>
          <w:szCs w:val="24"/>
        </w:rPr>
        <w:t>▲2.1、HDTV高清图像，可对不同波长的照明光成像。</w:t>
      </w:r>
    </w:p>
    <w:p w14:paraId="2081316B">
      <w:pPr>
        <w:spacing w:line="360" w:lineRule="auto"/>
        <w:rPr>
          <w:rFonts w:ascii="宋体" w:hAnsi="宋体" w:eastAsia="宋体"/>
          <w:sz w:val="24"/>
          <w:szCs w:val="24"/>
        </w:rPr>
      </w:pPr>
      <w:r>
        <w:rPr>
          <w:rFonts w:hint="eastAsia" w:ascii="宋体" w:hAnsi="宋体" w:eastAsia="宋体"/>
          <w:sz w:val="24"/>
          <w:szCs w:val="24"/>
        </w:rPr>
        <w:t>▲2.2、</w:t>
      </w:r>
      <w:r>
        <w:rPr>
          <w:rFonts w:ascii="宋体" w:hAnsi="宋体" w:eastAsia="宋体"/>
          <w:sz w:val="24"/>
          <w:szCs w:val="24"/>
        </w:rPr>
        <w:t>具有常规焦距模式和近焦模式，</w:t>
      </w:r>
      <w:r>
        <w:rPr>
          <w:rFonts w:hint="eastAsia" w:ascii="宋体" w:hAnsi="宋体" w:eastAsia="宋体"/>
          <w:sz w:val="24"/>
          <w:szCs w:val="24"/>
        </w:rPr>
        <w:t>可</w:t>
      </w:r>
      <w:r>
        <w:rPr>
          <w:rFonts w:ascii="宋体" w:hAnsi="宋体" w:eastAsia="宋体"/>
          <w:sz w:val="24"/>
          <w:szCs w:val="24"/>
        </w:rPr>
        <w:t>一键切换</w:t>
      </w:r>
      <w:r>
        <w:rPr>
          <w:rFonts w:hint="eastAsia" w:ascii="宋体" w:hAnsi="宋体" w:eastAsia="宋体"/>
          <w:sz w:val="24"/>
          <w:szCs w:val="24"/>
        </w:rPr>
        <w:t>。</w:t>
      </w:r>
    </w:p>
    <w:p w14:paraId="4E539772">
      <w:pPr>
        <w:spacing w:line="360" w:lineRule="auto"/>
        <w:rPr>
          <w:rFonts w:ascii="宋体" w:hAnsi="宋体" w:eastAsia="宋体"/>
          <w:sz w:val="24"/>
          <w:szCs w:val="24"/>
        </w:rPr>
      </w:pPr>
      <w:r>
        <w:rPr>
          <w:rFonts w:hint="eastAsia" w:ascii="宋体" w:hAnsi="宋体" w:eastAsia="宋体"/>
          <w:sz w:val="24"/>
          <w:szCs w:val="24"/>
        </w:rPr>
        <w:t>2.3、视野角：常规</w:t>
      </w:r>
      <w:r>
        <w:rPr>
          <w:rFonts w:ascii="宋体" w:hAnsi="宋体" w:eastAsia="宋体"/>
          <w:sz w:val="24"/>
          <w:szCs w:val="24"/>
        </w:rPr>
        <w:t>焦距模式</w:t>
      </w:r>
      <w:r>
        <w:rPr>
          <w:rFonts w:hint="eastAsia" w:ascii="宋体" w:hAnsi="宋体" w:eastAsia="宋体"/>
          <w:sz w:val="24"/>
          <w:szCs w:val="24"/>
        </w:rPr>
        <w:t>，≥170°；近焦模式，≥160°。</w:t>
      </w:r>
    </w:p>
    <w:p w14:paraId="6DF05AF8">
      <w:pPr>
        <w:spacing w:line="360" w:lineRule="auto"/>
        <w:rPr>
          <w:rFonts w:ascii="宋体" w:hAnsi="宋体" w:eastAsia="宋体"/>
          <w:sz w:val="24"/>
          <w:szCs w:val="24"/>
        </w:rPr>
      </w:pPr>
      <w:r>
        <w:rPr>
          <w:rFonts w:hint="eastAsia" w:ascii="宋体" w:hAnsi="宋体" w:eastAsia="宋体"/>
          <w:sz w:val="24"/>
          <w:szCs w:val="24"/>
        </w:rPr>
        <w:t>2.4、常规焦距模式最大景深：≥100mm；近焦模式最小景深≤4mm。</w:t>
      </w:r>
    </w:p>
    <w:p w14:paraId="00FA3BF6">
      <w:pPr>
        <w:spacing w:line="360" w:lineRule="auto"/>
        <w:rPr>
          <w:rFonts w:ascii="宋体" w:hAnsi="宋体" w:eastAsia="宋体"/>
          <w:sz w:val="24"/>
          <w:szCs w:val="24"/>
        </w:rPr>
      </w:pPr>
      <w:r>
        <w:rPr>
          <w:rFonts w:hint="eastAsia" w:ascii="宋体" w:hAnsi="宋体" w:eastAsia="宋体"/>
          <w:sz w:val="24"/>
          <w:szCs w:val="24"/>
        </w:rPr>
        <w:t>2.5、具有副送水功能。</w:t>
      </w:r>
    </w:p>
    <w:p w14:paraId="3B3D2093">
      <w:pPr>
        <w:spacing w:line="360" w:lineRule="auto"/>
        <w:rPr>
          <w:rFonts w:ascii="宋体" w:hAnsi="宋体" w:eastAsia="宋体"/>
          <w:sz w:val="24"/>
          <w:szCs w:val="24"/>
        </w:rPr>
      </w:pPr>
      <w:r>
        <w:rPr>
          <w:rFonts w:hint="eastAsia" w:ascii="宋体" w:hAnsi="宋体" w:eastAsia="宋体"/>
          <w:sz w:val="24"/>
          <w:szCs w:val="24"/>
        </w:rPr>
        <w:t>▲2.6、具有反应</w:t>
      </w:r>
      <w:r>
        <w:rPr>
          <w:rFonts w:ascii="宋体" w:hAnsi="宋体" w:eastAsia="宋体"/>
          <w:sz w:val="24"/>
          <w:szCs w:val="24"/>
        </w:rPr>
        <w:t>性插入技术</w:t>
      </w:r>
      <w:r>
        <w:rPr>
          <w:rFonts w:hint="eastAsia" w:ascii="宋体" w:hAnsi="宋体" w:eastAsia="宋体"/>
          <w:sz w:val="24"/>
          <w:szCs w:val="24"/>
        </w:rPr>
        <w:t>，包括智能弯曲、强力传导、可变硬度。</w:t>
      </w:r>
    </w:p>
    <w:p w14:paraId="0AEBF27F">
      <w:pPr>
        <w:spacing w:line="360" w:lineRule="auto"/>
        <w:rPr>
          <w:rFonts w:ascii="宋体" w:hAnsi="宋体" w:eastAsia="宋体"/>
          <w:sz w:val="24"/>
          <w:szCs w:val="24"/>
        </w:rPr>
      </w:pPr>
      <w:r>
        <w:rPr>
          <w:rFonts w:hint="eastAsia" w:ascii="宋体" w:hAnsi="宋体" w:eastAsia="宋体"/>
          <w:sz w:val="24"/>
          <w:szCs w:val="24"/>
        </w:rPr>
        <w:t>2.7、</w:t>
      </w:r>
      <w:r>
        <w:rPr>
          <w:rFonts w:ascii="宋体" w:hAnsi="宋体" w:eastAsia="宋体"/>
          <w:sz w:val="24"/>
          <w:szCs w:val="24"/>
        </w:rPr>
        <w:t>全防水设计</w:t>
      </w:r>
      <w:r>
        <w:rPr>
          <w:rFonts w:hint="eastAsia" w:ascii="宋体" w:hAnsi="宋体" w:eastAsia="宋体"/>
          <w:sz w:val="24"/>
          <w:szCs w:val="24"/>
        </w:rPr>
        <w:t>，</w:t>
      </w:r>
      <w:r>
        <w:rPr>
          <w:rFonts w:ascii="宋体" w:hAnsi="宋体" w:eastAsia="宋体"/>
          <w:sz w:val="24"/>
          <w:szCs w:val="24"/>
        </w:rPr>
        <w:t>导光插头一键插拔</w:t>
      </w:r>
      <w:r>
        <w:rPr>
          <w:rFonts w:hint="eastAsia" w:ascii="宋体" w:hAnsi="宋体" w:eastAsia="宋体"/>
          <w:sz w:val="24"/>
          <w:szCs w:val="24"/>
        </w:rPr>
        <w:t>。</w:t>
      </w:r>
      <w:r>
        <w:rPr>
          <w:rFonts w:ascii="宋体" w:hAnsi="宋体" w:eastAsia="宋体"/>
          <w:sz w:val="24"/>
          <w:szCs w:val="24"/>
        </w:rPr>
        <w:t xml:space="preserve"> </w:t>
      </w:r>
    </w:p>
    <w:p w14:paraId="01E9B555">
      <w:pPr>
        <w:spacing w:line="360" w:lineRule="auto"/>
        <w:rPr>
          <w:rFonts w:ascii="宋体" w:hAnsi="宋体" w:eastAsia="宋体"/>
          <w:sz w:val="24"/>
          <w:szCs w:val="24"/>
        </w:rPr>
      </w:pPr>
      <w:r>
        <w:rPr>
          <w:rFonts w:hint="eastAsia" w:ascii="宋体" w:hAnsi="宋体" w:eastAsia="宋体"/>
          <w:sz w:val="24"/>
          <w:szCs w:val="24"/>
        </w:rPr>
        <w:t>2.8、弯曲角度：上≥180°、下≥180°、左≥160°、右≥160°。</w:t>
      </w:r>
    </w:p>
    <w:p w14:paraId="7E605203">
      <w:pPr>
        <w:spacing w:line="360" w:lineRule="auto"/>
        <w:rPr>
          <w:rFonts w:ascii="宋体" w:hAnsi="宋体" w:eastAsia="宋体"/>
          <w:sz w:val="24"/>
          <w:szCs w:val="24"/>
        </w:rPr>
      </w:pPr>
      <w:r>
        <w:rPr>
          <w:rFonts w:hint="eastAsia" w:ascii="宋体" w:hAnsi="宋体" w:eastAsia="宋体"/>
          <w:sz w:val="24"/>
          <w:szCs w:val="24"/>
        </w:rPr>
        <w:t>2.9、先端外径：≤13.3mm、 插入部外径：≤13mm</w:t>
      </w:r>
    </w:p>
    <w:p w14:paraId="1F61BF33">
      <w:pPr>
        <w:spacing w:line="360" w:lineRule="auto"/>
        <w:rPr>
          <w:rFonts w:ascii="宋体" w:hAnsi="宋体" w:eastAsia="宋体"/>
          <w:sz w:val="24"/>
          <w:szCs w:val="24"/>
        </w:rPr>
      </w:pPr>
      <w:r>
        <w:rPr>
          <w:rFonts w:hint="eastAsia" w:ascii="宋体" w:hAnsi="宋体" w:eastAsia="宋体"/>
          <w:sz w:val="24"/>
          <w:szCs w:val="24"/>
        </w:rPr>
        <w:t>2.10、钳子管道内径：</w:t>
      </w:r>
      <w:bookmarkStart w:id="14" w:name="_Hlk205983978"/>
      <w:r>
        <w:rPr>
          <w:rFonts w:hint="eastAsia" w:ascii="宋体" w:hAnsi="宋体" w:eastAsia="宋体"/>
          <w:sz w:val="24"/>
          <w:szCs w:val="24"/>
        </w:rPr>
        <w:t>≥</w:t>
      </w:r>
      <w:bookmarkEnd w:id="14"/>
      <w:r>
        <w:rPr>
          <w:rFonts w:hint="eastAsia" w:ascii="宋体" w:hAnsi="宋体" w:eastAsia="宋体"/>
          <w:sz w:val="24"/>
          <w:szCs w:val="24"/>
        </w:rPr>
        <w:t>3.7mm</w:t>
      </w:r>
    </w:p>
    <w:p w14:paraId="13DBB492">
      <w:pPr>
        <w:spacing w:line="360" w:lineRule="auto"/>
        <w:rPr>
          <w:rFonts w:ascii="宋体" w:hAnsi="宋体" w:eastAsia="宋体"/>
          <w:sz w:val="24"/>
          <w:szCs w:val="24"/>
        </w:rPr>
      </w:pPr>
      <w:r>
        <w:rPr>
          <w:rFonts w:hint="eastAsia" w:ascii="宋体" w:hAnsi="宋体" w:eastAsia="宋体"/>
          <w:sz w:val="24"/>
          <w:szCs w:val="24"/>
        </w:rPr>
        <w:t>2.11、插入</w:t>
      </w:r>
      <w:r>
        <w:rPr>
          <w:rFonts w:ascii="宋体" w:hAnsi="宋体" w:eastAsia="宋体"/>
          <w:sz w:val="24"/>
          <w:szCs w:val="24"/>
        </w:rPr>
        <w:t>部</w:t>
      </w:r>
      <w:r>
        <w:rPr>
          <w:rFonts w:hint="eastAsia" w:ascii="宋体" w:hAnsi="宋体" w:eastAsia="宋体"/>
          <w:sz w:val="24"/>
          <w:szCs w:val="24"/>
        </w:rPr>
        <w:t>有效</w:t>
      </w:r>
      <w:r>
        <w:rPr>
          <w:rFonts w:ascii="宋体" w:hAnsi="宋体" w:eastAsia="宋体"/>
          <w:sz w:val="24"/>
          <w:szCs w:val="24"/>
        </w:rPr>
        <w:t>长度</w:t>
      </w:r>
      <w:r>
        <w:rPr>
          <w:rFonts w:hint="eastAsia" w:ascii="宋体" w:hAnsi="宋体" w:eastAsia="宋体"/>
          <w:sz w:val="24"/>
          <w:szCs w:val="24"/>
        </w:rPr>
        <w:t>：≥133</w:t>
      </w:r>
      <w:r>
        <w:rPr>
          <w:rFonts w:ascii="宋体" w:hAnsi="宋体" w:eastAsia="宋体"/>
          <w:sz w:val="24"/>
          <w:szCs w:val="24"/>
        </w:rPr>
        <w:t>0mm</w:t>
      </w:r>
    </w:p>
    <w:p w14:paraId="69E364CE">
      <w:pPr>
        <w:spacing w:line="360" w:lineRule="auto"/>
        <w:rPr>
          <w:rFonts w:ascii="宋体" w:hAnsi="宋体" w:eastAsia="宋体"/>
          <w:sz w:val="24"/>
          <w:szCs w:val="24"/>
        </w:rPr>
      </w:pPr>
      <w:r>
        <w:rPr>
          <w:rFonts w:hint="eastAsia" w:ascii="宋体" w:hAnsi="宋体" w:eastAsia="宋体"/>
          <w:sz w:val="24"/>
          <w:szCs w:val="24"/>
        </w:rPr>
        <w:t>3、电子胃镜二：</w:t>
      </w:r>
    </w:p>
    <w:p w14:paraId="5582D00A">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3.1、</w:t>
      </w:r>
      <w:r>
        <w:rPr>
          <w:rFonts w:hint="eastAsia" w:ascii="宋体" w:hAnsi="宋体" w:eastAsia="宋体"/>
          <w:sz w:val="24"/>
          <w:szCs w:val="24"/>
        </w:rPr>
        <w:t>HDTV高清图像，可对不同波长的照明光成像。</w:t>
      </w:r>
    </w:p>
    <w:p w14:paraId="76949165">
      <w:pPr>
        <w:pStyle w:val="10"/>
        <w:spacing w:line="360" w:lineRule="auto"/>
        <w:ind w:firstLine="0" w:firstLineChars="0"/>
        <w:jc w:val="left"/>
        <w:rPr>
          <w:rFonts w:ascii="宋体" w:hAnsi="宋体" w:eastAsia="宋体"/>
          <w:sz w:val="24"/>
          <w:szCs w:val="24"/>
        </w:rPr>
      </w:pPr>
      <w:r>
        <w:rPr>
          <w:rFonts w:hint="eastAsia" w:ascii="宋体" w:hAnsi="宋体" w:eastAsia="宋体"/>
          <w:sz w:val="24"/>
          <w:szCs w:val="24"/>
        </w:rPr>
        <w:t>3.2、视野角：≥140°。</w:t>
      </w:r>
    </w:p>
    <w:p w14:paraId="1DFE92CD">
      <w:pPr>
        <w:pStyle w:val="10"/>
        <w:spacing w:line="360" w:lineRule="auto"/>
        <w:ind w:firstLine="0" w:firstLineChars="0"/>
        <w:jc w:val="left"/>
        <w:rPr>
          <w:rFonts w:ascii="宋体" w:hAnsi="宋体" w:eastAsia="宋体"/>
          <w:sz w:val="24"/>
          <w:szCs w:val="24"/>
        </w:rPr>
      </w:pPr>
      <w:r>
        <w:rPr>
          <w:rFonts w:hint="eastAsia" w:ascii="宋体" w:hAnsi="宋体" w:eastAsia="宋体"/>
          <w:sz w:val="24"/>
          <w:szCs w:val="24"/>
        </w:rPr>
        <w:t>3.3、景深范围：3mm～100mm。</w:t>
      </w:r>
    </w:p>
    <w:p w14:paraId="33C458B1">
      <w:pPr>
        <w:spacing w:line="360" w:lineRule="auto"/>
        <w:rPr>
          <w:rFonts w:ascii="宋体" w:hAnsi="宋体" w:eastAsia="宋体"/>
          <w:sz w:val="24"/>
          <w:szCs w:val="24"/>
        </w:rPr>
      </w:pPr>
      <w:r>
        <w:rPr>
          <w:rFonts w:hint="eastAsia" w:ascii="宋体" w:hAnsi="宋体" w:eastAsia="宋体"/>
          <w:sz w:val="24"/>
          <w:szCs w:val="24"/>
        </w:rPr>
        <w:t>3.4、全防水设计，导光插头一键插拔。</w:t>
      </w:r>
    </w:p>
    <w:p w14:paraId="67034D58">
      <w:pPr>
        <w:spacing w:line="360" w:lineRule="auto"/>
        <w:rPr>
          <w:rFonts w:ascii="宋体" w:hAnsi="宋体" w:eastAsia="宋体"/>
          <w:sz w:val="24"/>
          <w:szCs w:val="24"/>
        </w:rPr>
      </w:pPr>
      <w:r>
        <w:rPr>
          <w:rFonts w:hint="eastAsia" w:ascii="宋体" w:hAnsi="宋体" w:eastAsia="宋体"/>
          <w:sz w:val="24"/>
          <w:szCs w:val="24"/>
        </w:rPr>
        <w:t>3.5、先端外径≤10mm, 插入部外径≤10mm。</w:t>
      </w:r>
    </w:p>
    <w:p w14:paraId="4E9E5B01">
      <w:pPr>
        <w:pStyle w:val="10"/>
        <w:spacing w:line="360" w:lineRule="auto"/>
        <w:ind w:firstLine="0" w:firstLineChars="0"/>
        <w:jc w:val="left"/>
        <w:rPr>
          <w:rFonts w:ascii="宋体" w:hAnsi="宋体" w:eastAsia="宋体"/>
          <w:sz w:val="24"/>
          <w:szCs w:val="24"/>
        </w:rPr>
      </w:pPr>
      <w:r>
        <w:rPr>
          <w:rFonts w:hint="eastAsia" w:ascii="宋体" w:hAnsi="宋体" w:eastAsia="宋体"/>
          <w:sz w:val="24"/>
          <w:szCs w:val="24"/>
        </w:rPr>
        <w:t>3.6、弯曲角度：上≥210°、下≥120°、左≥100°、右≥100°。</w:t>
      </w:r>
    </w:p>
    <w:p w14:paraId="1C481322">
      <w:pPr>
        <w:pStyle w:val="10"/>
        <w:spacing w:line="360" w:lineRule="auto"/>
        <w:ind w:firstLine="0" w:firstLineChars="0"/>
        <w:jc w:val="left"/>
        <w:rPr>
          <w:rFonts w:ascii="宋体" w:hAnsi="宋体" w:eastAsia="宋体"/>
          <w:sz w:val="24"/>
          <w:szCs w:val="24"/>
        </w:rPr>
      </w:pPr>
      <w:r>
        <w:rPr>
          <w:rFonts w:hint="eastAsia" w:ascii="宋体" w:hAnsi="宋体" w:eastAsia="宋体"/>
          <w:sz w:val="24"/>
          <w:szCs w:val="24"/>
        </w:rPr>
        <w:t>3.7、管道内径：</w:t>
      </w:r>
      <w:bookmarkStart w:id="15" w:name="_Hlk205984105"/>
      <w:r>
        <w:rPr>
          <w:rFonts w:hint="eastAsia" w:ascii="宋体" w:hAnsi="宋体" w:eastAsia="宋体"/>
          <w:sz w:val="24"/>
          <w:szCs w:val="24"/>
        </w:rPr>
        <w:t>≥</w:t>
      </w:r>
      <w:bookmarkEnd w:id="15"/>
      <w:r>
        <w:rPr>
          <w:rFonts w:hint="eastAsia" w:ascii="宋体" w:hAnsi="宋体" w:eastAsia="宋体"/>
          <w:sz w:val="24"/>
          <w:szCs w:val="24"/>
        </w:rPr>
        <w:t>3.2mm。</w:t>
      </w:r>
    </w:p>
    <w:p w14:paraId="5FCADCC0">
      <w:pPr>
        <w:pStyle w:val="10"/>
        <w:spacing w:line="360" w:lineRule="auto"/>
        <w:ind w:firstLine="0" w:firstLineChars="0"/>
        <w:jc w:val="left"/>
        <w:rPr>
          <w:rFonts w:ascii="宋体" w:hAnsi="宋体" w:eastAsia="宋体"/>
          <w:sz w:val="24"/>
          <w:szCs w:val="24"/>
        </w:rPr>
      </w:pPr>
      <w:r>
        <w:rPr>
          <w:rFonts w:hint="eastAsia" w:ascii="宋体" w:hAnsi="宋体" w:eastAsia="宋体"/>
          <w:sz w:val="24"/>
          <w:szCs w:val="24"/>
        </w:rPr>
        <w:t>3.8、具有副送水功能。</w:t>
      </w:r>
    </w:p>
    <w:p w14:paraId="0B72A9FD">
      <w:pPr>
        <w:spacing w:line="360" w:lineRule="auto"/>
        <w:rPr>
          <w:rFonts w:ascii="宋体" w:hAnsi="宋体" w:eastAsia="宋体"/>
          <w:sz w:val="24"/>
          <w:szCs w:val="24"/>
        </w:rPr>
      </w:pPr>
      <w:r>
        <w:rPr>
          <w:rFonts w:hint="eastAsia" w:ascii="宋体" w:hAnsi="宋体" w:eastAsia="宋体"/>
          <w:sz w:val="24"/>
          <w:szCs w:val="24"/>
        </w:rPr>
        <w:t>4、电子结肠镜二：</w:t>
      </w:r>
    </w:p>
    <w:p w14:paraId="7D03C666">
      <w:pPr>
        <w:spacing w:line="360" w:lineRule="auto"/>
        <w:rPr>
          <w:rFonts w:ascii="宋体" w:hAnsi="宋体" w:eastAsia="宋体"/>
          <w:sz w:val="24"/>
          <w:szCs w:val="24"/>
        </w:rPr>
      </w:pPr>
      <w:r>
        <w:rPr>
          <w:rFonts w:hint="eastAsia" w:ascii="宋体" w:hAnsi="宋体" w:eastAsia="宋体"/>
          <w:sz w:val="24"/>
          <w:szCs w:val="24"/>
        </w:rPr>
        <w:t>▲4.1、HDTV高清图像，可对不同波长的照明光成像。</w:t>
      </w:r>
    </w:p>
    <w:p w14:paraId="20342FEF">
      <w:pPr>
        <w:spacing w:line="360" w:lineRule="auto"/>
        <w:rPr>
          <w:rFonts w:ascii="宋体" w:hAnsi="宋体" w:eastAsia="宋体"/>
          <w:sz w:val="24"/>
          <w:szCs w:val="24"/>
        </w:rPr>
      </w:pPr>
      <w:r>
        <w:rPr>
          <w:rFonts w:hint="eastAsia" w:ascii="宋体" w:hAnsi="宋体" w:eastAsia="宋体"/>
          <w:sz w:val="24"/>
          <w:szCs w:val="24"/>
        </w:rPr>
        <w:t>4.2、视野角：≥140°。</w:t>
      </w:r>
    </w:p>
    <w:p w14:paraId="429957D4">
      <w:pPr>
        <w:spacing w:line="360" w:lineRule="auto"/>
        <w:rPr>
          <w:rFonts w:ascii="宋体" w:hAnsi="宋体" w:eastAsia="宋体"/>
          <w:sz w:val="24"/>
          <w:szCs w:val="24"/>
        </w:rPr>
      </w:pPr>
      <w:r>
        <w:rPr>
          <w:rFonts w:hint="eastAsia" w:ascii="宋体" w:hAnsi="宋体" w:eastAsia="宋体"/>
          <w:sz w:val="24"/>
          <w:szCs w:val="24"/>
        </w:rPr>
        <w:t>4.3、景深：5mm～100mm。</w:t>
      </w:r>
    </w:p>
    <w:p w14:paraId="5A304A4C">
      <w:pPr>
        <w:spacing w:line="360" w:lineRule="auto"/>
        <w:rPr>
          <w:rFonts w:ascii="宋体" w:hAnsi="宋体" w:eastAsia="宋体"/>
          <w:sz w:val="24"/>
          <w:szCs w:val="24"/>
        </w:rPr>
      </w:pPr>
      <w:r>
        <w:rPr>
          <w:rFonts w:hint="eastAsia" w:ascii="宋体" w:hAnsi="宋体" w:eastAsia="宋体"/>
          <w:sz w:val="24"/>
          <w:szCs w:val="24"/>
        </w:rPr>
        <w:t>4.4、具有副送水功能</w:t>
      </w:r>
    </w:p>
    <w:p w14:paraId="06DF0D53">
      <w:pPr>
        <w:spacing w:line="360" w:lineRule="auto"/>
        <w:rPr>
          <w:rFonts w:ascii="宋体" w:hAnsi="宋体" w:eastAsia="宋体"/>
          <w:sz w:val="24"/>
          <w:szCs w:val="24"/>
        </w:rPr>
      </w:pPr>
      <w:r>
        <w:rPr>
          <w:rFonts w:hint="eastAsia" w:ascii="宋体" w:hAnsi="宋体" w:eastAsia="宋体"/>
          <w:sz w:val="24"/>
          <w:szCs w:val="24"/>
        </w:rPr>
        <w:t>▲4.5、</w:t>
      </w:r>
      <w:r>
        <w:rPr>
          <w:rFonts w:ascii="宋体" w:hAnsi="宋体" w:eastAsia="宋体"/>
          <w:sz w:val="24"/>
          <w:szCs w:val="24"/>
        </w:rPr>
        <w:t>具有强力传导、可变硬度</w:t>
      </w:r>
      <w:r>
        <w:rPr>
          <w:rFonts w:hint="eastAsia" w:ascii="宋体" w:hAnsi="宋体" w:eastAsia="宋体"/>
          <w:sz w:val="24"/>
          <w:szCs w:val="24"/>
        </w:rPr>
        <w:t>功能。</w:t>
      </w:r>
    </w:p>
    <w:p w14:paraId="54DD11F1">
      <w:pPr>
        <w:spacing w:line="360" w:lineRule="auto"/>
        <w:rPr>
          <w:rFonts w:ascii="宋体" w:hAnsi="宋体" w:eastAsia="宋体"/>
          <w:sz w:val="24"/>
          <w:szCs w:val="24"/>
        </w:rPr>
      </w:pPr>
      <w:r>
        <w:rPr>
          <w:rFonts w:hint="eastAsia" w:ascii="宋体" w:hAnsi="宋体" w:eastAsia="宋体"/>
          <w:sz w:val="24"/>
          <w:szCs w:val="24"/>
        </w:rPr>
        <w:t>4.6、</w:t>
      </w:r>
      <w:r>
        <w:rPr>
          <w:rFonts w:ascii="宋体" w:hAnsi="宋体" w:eastAsia="宋体"/>
          <w:sz w:val="24"/>
          <w:szCs w:val="24"/>
        </w:rPr>
        <w:t>全防水设计</w:t>
      </w:r>
      <w:r>
        <w:rPr>
          <w:rFonts w:hint="eastAsia" w:ascii="宋体" w:hAnsi="宋体" w:eastAsia="宋体"/>
          <w:sz w:val="24"/>
          <w:szCs w:val="24"/>
        </w:rPr>
        <w:t>，</w:t>
      </w:r>
      <w:r>
        <w:rPr>
          <w:rFonts w:ascii="宋体" w:hAnsi="宋体" w:eastAsia="宋体"/>
          <w:sz w:val="24"/>
          <w:szCs w:val="24"/>
        </w:rPr>
        <w:t>导光插头一键插拔</w:t>
      </w:r>
      <w:r>
        <w:rPr>
          <w:rFonts w:hint="eastAsia" w:ascii="宋体" w:hAnsi="宋体" w:eastAsia="宋体"/>
          <w:sz w:val="24"/>
          <w:szCs w:val="24"/>
        </w:rPr>
        <w:t>。</w:t>
      </w:r>
    </w:p>
    <w:p w14:paraId="42448948">
      <w:pPr>
        <w:spacing w:line="360" w:lineRule="auto"/>
        <w:rPr>
          <w:rFonts w:ascii="宋体" w:hAnsi="宋体" w:eastAsia="宋体"/>
          <w:sz w:val="24"/>
          <w:szCs w:val="24"/>
        </w:rPr>
      </w:pPr>
      <w:r>
        <w:rPr>
          <w:rFonts w:hint="eastAsia" w:ascii="宋体" w:hAnsi="宋体" w:eastAsia="宋体"/>
          <w:sz w:val="24"/>
          <w:szCs w:val="24"/>
        </w:rPr>
        <w:t>4.7、弯曲角度：上≥210°、下≥180°、左≥160°、右≥160°。</w:t>
      </w:r>
    </w:p>
    <w:p w14:paraId="68D38E40">
      <w:pPr>
        <w:spacing w:line="360" w:lineRule="auto"/>
        <w:rPr>
          <w:rFonts w:ascii="宋体" w:hAnsi="宋体" w:eastAsia="宋体"/>
          <w:sz w:val="24"/>
          <w:szCs w:val="24"/>
        </w:rPr>
      </w:pPr>
      <w:r>
        <w:rPr>
          <w:rFonts w:hint="eastAsia" w:ascii="宋体" w:hAnsi="宋体" w:eastAsia="宋体"/>
          <w:sz w:val="24"/>
          <w:szCs w:val="24"/>
        </w:rPr>
        <w:t>4.8、先端外径：≤10mm、 插入部外径：≤10.5mm</w:t>
      </w:r>
    </w:p>
    <w:p w14:paraId="47BB8ED5">
      <w:pPr>
        <w:spacing w:line="360" w:lineRule="auto"/>
        <w:rPr>
          <w:rFonts w:ascii="宋体" w:hAnsi="宋体" w:eastAsia="宋体"/>
          <w:sz w:val="24"/>
          <w:szCs w:val="24"/>
        </w:rPr>
      </w:pPr>
      <w:r>
        <w:rPr>
          <w:rFonts w:hint="eastAsia" w:ascii="宋体" w:hAnsi="宋体" w:eastAsia="宋体"/>
          <w:sz w:val="24"/>
          <w:szCs w:val="24"/>
        </w:rPr>
        <w:t>4.9、钳子管道内径：≥3.2mm</w:t>
      </w:r>
    </w:p>
    <w:p w14:paraId="0BDD9C9B">
      <w:pPr>
        <w:spacing w:line="360" w:lineRule="auto"/>
        <w:rPr>
          <w:rFonts w:ascii="宋体" w:hAnsi="宋体" w:eastAsia="宋体"/>
          <w:sz w:val="24"/>
          <w:szCs w:val="24"/>
        </w:rPr>
      </w:pPr>
      <w:r>
        <w:rPr>
          <w:rFonts w:hint="eastAsia" w:ascii="宋体" w:hAnsi="宋体" w:eastAsia="宋体"/>
          <w:sz w:val="24"/>
          <w:szCs w:val="24"/>
        </w:rPr>
        <w:t>4.10、插入</w:t>
      </w:r>
      <w:r>
        <w:rPr>
          <w:rFonts w:ascii="宋体" w:hAnsi="宋体" w:eastAsia="宋体"/>
          <w:sz w:val="24"/>
          <w:szCs w:val="24"/>
        </w:rPr>
        <w:t>部</w:t>
      </w:r>
      <w:r>
        <w:rPr>
          <w:rFonts w:hint="eastAsia" w:ascii="宋体" w:hAnsi="宋体" w:eastAsia="宋体"/>
          <w:sz w:val="24"/>
          <w:szCs w:val="24"/>
        </w:rPr>
        <w:t>有效</w:t>
      </w:r>
      <w:r>
        <w:rPr>
          <w:rFonts w:ascii="宋体" w:hAnsi="宋体" w:eastAsia="宋体"/>
          <w:sz w:val="24"/>
          <w:szCs w:val="24"/>
        </w:rPr>
        <w:t>长度</w:t>
      </w:r>
      <w:r>
        <w:rPr>
          <w:rFonts w:hint="eastAsia" w:ascii="宋体" w:hAnsi="宋体" w:eastAsia="宋体"/>
          <w:sz w:val="24"/>
          <w:szCs w:val="24"/>
        </w:rPr>
        <w:t>：≥133</w:t>
      </w:r>
      <w:r>
        <w:rPr>
          <w:rFonts w:ascii="宋体" w:hAnsi="宋体" w:eastAsia="宋体"/>
          <w:sz w:val="24"/>
          <w:szCs w:val="24"/>
        </w:rPr>
        <w:t>0mm</w:t>
      </w:r>
    </w:p>
    <w:p w14:paraId="5B80C098">
      <w:pPr>
        <w:spacing w:line="360" w:lineRule="auto"/>
        <w:rPr>
          <w:rFonts w:ascii="宋体" w:hAnsi="宋体" w:eastAsia="宋体"/>
          <w:sz w:val="24"/>
          <w:szCs w:val="24"/>
        </w:rPr>
      </w:pPr>
      <w:r>
        <w:rPr>
          <w:rFonts w:hint="eastAsia" w:ascii="宋体" w:hAnsi="宋体" w:eastAsia="宋体"/>
          <w:sz w:val="24"/>
          <w:szCs w:val="24"/>
        </w:rPr>
        <w:t>★5、所配</w:t>
      </w:r>
      <w:r>
        <w:rPr>
          <w:rFonts w:ascii="宋体" w:hAnsi="宋体" w:eastAsia="宋体"/>
          <w:sz w:val="24"/>
          <w:szCs w:val="24"/>
        </w:rPr>
        <w:t>胃镜</w:t>
      </w:r>
      <w:r>
        <w:rPr>
          <w:rFonts w:hint="eastAsia" w:ascii="宋体" w:hAnsi="宋体" w:eastAsia="宋体"/>
          <w:sz w:val="24"/>
          <w:szCs w:val="24"/>
        </w:rPr>
        <w:t>、肠镜均</w:t>
      </w:r>
      <w:r>
        <w:rPr>
          <w:rFonts w:ascii="宋体" w:hAnsi="宋体" w:eastAsia="宋体"/>
          <w:sz w:val="24"/>
          <w:szCs w:val="24"/>
        </w:rPr>
        <w:t>可与医院</w:t>
      </w:r>
      <w:r>
        <w:rPr>
          <w:rFonts w:hint="eastAsia" w:ascii="宋体" w:hAnsi="宋体" w:eastAsia="宋体"/>
          <w:sz w:val="24"/>
          <w:szCs w:val="24"/>
        </w:rPr>
        <w:t>欧林巴斯</w:t>
      </w:r>
      <w:r>
        <w:rPr>
          <w:rFonts w:ascii="宋体" w:hAnsi="宋体" w:eastAsia="宋体"/>
          <w:sz w:val="24"/>
          <w:szCs w:val="24"/>
        </w:rPr>
        <w:t>CV-290</w:t>
      </w:r>
      <w:r>
        <w:rPr>
          <w:rFonts w:hint="eastAsia" w:ascii="宋体" w:hAnsi="宋体" w:eastAsia="宋体"/>
          <w:sz w:val="24"/>
          <w:szCs w:val="24"/>
        </w:rPr>
        <w:t>光源、</w:t>
      </w:r>
      <w:r>
        <w:rPr>
          <w:rFonts w:ascii="宋体" w:hAnsi="宋体" w:eastAsia="宋体"/>
          <w:sz w:val="24"/>
          <w:szCs w:val="24"/>
        </w:rPr>
        <w:t>CLV-290SL</w:t>
      </w:r>
      <w:r>
        <w:rPr>
          <w:rFonts w:hint="eastAsia" w:ascii="宋体" w:hAnsi="宋体" w:eastAsia="宋体"/>
          <w:sz w:val="24"/>
          <w:szCs w:val="24"/>
        </w:rPr>
        <w:t>图像处理器直接连接</w:t>
      </w:r>
      <w:r>
        <w:rPr>
          <w:rFonts w:ascii="宋体" w:hAnsi="宋体" w:eastAsia="宋体"/>
          <w:sz w:val="24"/>
          <w:szCs w:val="24"/>
        </w:rPr>
        <w:t>使用</w:t>
      </w:r>
      <w:r>
        <w:rPr>
          <w:rFonts w:hint="eastAsia" w:ascii="宋体" w:hAnsi="宋体" w:eastAsia="宋体"/>
          <w:sz w:val="24"/>
          <w:szCs w:val="24"/>
        </w:rPr>
        <w:t>；如无法满足，需额外提供与所配</w:t>
      </w:r>
      <w:r>
        <w:rPr>
          <w:rFonts w:ascii="宋体" w:hAnsi="宋体" w:eastAsia="宋体"/>
          <w:sz w:val="24"/>
          <w:szCs w:val="24"/>
        </w:rPr>
        <w:t>胃镜</w:t>
      </w:r>
      <w:r>
        <w:rPr>
          <w:rFonts w:hint="eastAsia" w:ascii="宋体" w:hAnsi="宋体" w:eastAsia="宋体"/>
          <w:sz w:val="24"/>
          <w:szCs w:val="24"/>
        </w:rPr>
        <w:t>、肠镜配套使用的光源、图像处理器、独立报告工作站、配套水泵、气泵各1套。</w:t>
      </w:r>
    </w:p>
    <w:p w14:paraId="44FF52A4">
      <w:pPr>
        <w:rPr>
          <w:rFonts w:ascii="宋体" w:hAnsi="宋体" w:eastAsia="宋体"/>
          <w:sz w:val="24"/>
          <w:szCs w:val="24"/>
        </w:rPr>
      </w:pPr>
      <w:r>
        <w:rPr>
          <w:rFonts w:hint="eastAsia" w:ascii="宋体" w:hAnsi="宋体" w:eastAsia="宋体"/>
          <w:sz w:val="24"/>
          <w:szCs w:val="24"/>
        </w:rPr>
        <w:t>二、主要配置</w:t>
      </w:r>
    </w:p>
    <w:p w14:paraId="05646594">
      <w:pPr>
        <w:spacing w:line="360" w:lineRule="auto"/>
        <w:rPr>
          <w:rFonts w:ascii="宋体" w:hAnsi="宋体" w:eastAsia="宋体"/>
          <w:sz w:val="24"/>
          <w:szCs w:val="24"/>
        </w:rPr>
      </w:pPr>
      <w:r>
        <w:rPr>
          <w:rFonts w:hint="eastAsia" w:ascii="宋体" w:hAnsi="宋体" w:eastAsia="宋体"/>
          <w:sz w:val="24"/>
          <w:szCs w:val="24"/>
        </w:rPr>
        <w:t>1、电子</w:t>
      </w:r>
      <w:r>
        <w:rPr>
          <w:rFonts w:ascii="宋体" w:hAnsi="宋体" w:eastAsia="宋体"/>
          <w:sz w:val="24"/>
          <w:szCs w:val="24"/>
        </w:rPr>
        <w:t>胃镜</w:t>
      </w:r>
      <w:r>
        <w:rPr>
          <w:rFonts w:hint="eastAsia" w:ascii="宋体" w:hAnsi="宋体" w:eastAsia="宋体"/>
          <w:sz w:val="24"/>
          <w:szCs w:val="24"/>
        </w:rPr>
        <w:t>一：1条。</w:t>
      </w:r>
    </w:p>
    <w:p w14:paraId="5284B6A1">
      <w:pPr>
        <w:spacing w:line="360" w:lineRule="auto"/>
        <w:rPr>
          <w:rFonts w:ascii="宋体" w:hAnsi="宋体" w:eastAsia="宋体"/>
          <w:sz w:val="24"/>
          <w:szCs w:val="24"/>
        </w:rPr>
      </w:pPr>
      <w:r>
        <w:rPr>
          <w:rFonts w:hint="eastAsia" w:ascii="宋体" w:hAnsi="宋体" w:eastAsia="宋体"/>
          <w:sz w:val="24"/>
          <w:szCs w:val="24"/>
        </w:rPr>
        <w:t>2、电子结肠</w:t>
      </w:r>
      <w:r>
        <w:rPr>
          <w:rFonts w:ascii="宋体" w:hAnsi="宋体" w:eastAsia="宋体"/>
          <w:sz w:val="24"/>
          <w:szCs w:val="24"/>
        </w:rPr>
        <w:t>镜</w:t>
      </w:r>
      <w:r>
        <w:rPr>
          <w:rFonts w:hint="eastAsia" w:ascii="宋体" w:hAnsi="宋体" w:eastAsia="宋体"/>
          <w:sz w:val="24"/>
          <w:szCs w:val="24"/>
        </w:rPr>
        <w:t>一：1条。</w:t>
      </w:r>
    </w:p>
    <w:p w14:paraId="12DD6182">
      <w:pPr>
        <w:pStyle w:val="10"/>
        <w:spacing w:line="360" w:lineRule="auto"/>
        <w:ind w:firstLine="0" w:firstLineChars="0"/>
        <w:jc w:val="left"/>
        <w:rPr>
          <w:rFonts w:ascii="宋体" w:hAnsi="宋体" w:eastAsia="宋体"/>
          <w:sz w:val="24"/>
          <w:szCs w:val="24"/>
        </w:rPr>
      </w:pPr>
      <w:r>
        <w:rPr>
          <w:rFonts w:hint="eastAsia" w:ascii="宋体" w:hAnsi="宋体" w:eastAsia="宋体"/>
          <w:sz w:val="24"/>
          <w:szCs w:val="24"/>
        </w:rPr>
        <w:t>3、电子胃镜二：1条。</w:t>
      </w:r>
    </w:p>
    <w:p w14:paraId="0040C292">
      <w:pPr>
        <w:pStyle w:val="10"/>
        <w:spacing w:line="360" w:lineRule="auto"/>
        <w:ind w:firstLine="0" w:firstLineChars="0"/>
        <w:jc w:val="left"/>
        <w:rPr>
          <w:rFonts w:ascii="宋体" w:hAnsi="宋体" w:eastAsia="宋体"/>
          <w:color w:val="000000"/>
          <w:sz w:val="24"/>
          <w:szCs w:val="24"/>
        </w:rPr>
      </w:pPr>
      <w:r>
        <w:rPr>
          <w:rFonts w:hint="eastAsia" w:ascii="宋体" w:hAnsi="宋体" w:eastAsia="宋体"/>
          <w:color w:val="000000"/>
          <w:sz w:val="24"/>
          <w:szCs w:val="24"/>
        </w:rPr>
        <w:t>4、电子结肠镜二：1条。</w:t>
      </w:r>
    </w:p>
    <w:p w14:paraId="4DB3494A">
      <w:pPr>
        <w:keepNext w:val="0"/>
        <w:keepLines w:val="0"/>
        <w:pageBreakBefore w:val="0"/>
        <w:widowControl/>
        <w:kinsoku/>
        <w:wordWrap/>
        <w:overflowPunct/>
        <w:topLinePunct w:val="0"/>
        <w:bidi w:val="0"/>
        <w:snapToGrid/>
        <w:spacing w:line="480" w:lineRule="auto"/>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5C165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6BC8D686">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786C9E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3C41C91">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301149CA">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4B229093">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110F99E8">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BF35D43">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6B26D688">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28D08F97">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E5BE662">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6949A114">
      <w:pPr>
        <w:pStyle w:val="4"/>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1150F9B2">
      <w:pPr>
        <w:pStyle w:val="4"/>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321C6D0F">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6263568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72F2AE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18B37A4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bookmarkEnd w:id="2"/>
    <w:p w14:paraId="2B1C905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6"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26CB60A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20672CBC">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60A82D0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1A4FCF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6CE6BD77">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2）如果仪器设备需特殊的工作条件（如：水、电源、磁场强度、特殊温度、湿度、震动强度等），投标人应在有关投标文件中加以说明。</w:t>
      </w:r>
    </w:p>
    <w:p w14:paraId="7CA04C6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w:t>
      </w:r>
    </w:p>
    <w:bookmarkEnd w:id="16"/>
    <w:p w14:paraId="188F749C">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1CE24FA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347C8BF2">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3130C"/>
    <w:rsid w:val="1F3313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customStyle="1" w:styleId="7">
    <w:name w:val="列表段落1"/>
    <w:basedOn w:val="1"/>
    <w:qFormat/>
    <w:uiPriority w:val="1"/>
    <w:pPr>
      <w:spacing w:before="134"/>
      <w:ind w:left="1196" w:hanging="720"/>
    </w:pPr>
    <w:rPr>
      <w:sz w:val="20"/>
    </w:rPr>
  </w:style>
  <w:style w:type="paragraph" w:customStyle="1" w:styleId="8">
    <w:name w:val="Table Paragraph"/>
    <w:basedOn w:val="1"/>
    <w:qFormat/>
    <w:uiPriority w:val="1"/>
  </w:style>
  <w:style w:type="paragraph" w:customStyle="1" w:styleId="9">
    <w:name w:val="列出段落1"/>
    <w:basedOn w:val="1"/>
    <w:qFormat/>
    <w:uiPriority w:val="1"/>
    <w:pPr>
      <w:spacing w:before="134"/>
      <w:ind w:left="1196" w:hanging="720"/>
    </w:pPr>
    <w:rPr>
      <w:sz w:val="20"/>
    </w:rPr>
  </w:style>
  <w:style w:type="paragraph" w:customStyle="1" w:styleId="10">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2025-09-23T05:38:00Z</dcterms:created>
  <dc:creator>王崴</dc:creator>
  <cp:lastModifiedBy>王崴</cp:lastModifiedBy>
  <dcterms:modified xsi:type="dcterms:W3CDTF">2025-09-23T05:39:56Z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D24629E8E423464A9FA3167F2700927D_11</vt:lpwstr>
  </property>
  <property fmtid="{D5CDD505-2E9C-101B-9397-08002B2CF9AE}" pid="4" name="KSOTemplateDocerSaveRecord">
    <vt:lpwstr>eyJoZGlkIjoiMDcyMmFjNmZjM2U5ODcyZjQ5NTE0NjNjMjU2OTE5OTIiLCJ1c2VySWQiOiI4NDYxOTIwMTUifQ==</vt:lpwstr>
  </property>
</Properties>
</file>