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AD37">
      <w:pPr>
        <w:jc w:val="center"/>
        <w:rPr>
          <w:rFonts w:hint="default" w:ascii="Times New Roman" w:hAnsi="Times New Roman" w:eastAsia="宋体" w:cs="Times New Roman"/>
          <w:b/>
          <w:bCs/>
          <w:sz w:val="32"/>
          <w:szCs w:val="40"/>
        </w:rPr>
      </w:pPr>
      <w:r>
        <w:rPr>
          <w:rFonts w:hint="default" w:ascii="Times New Roman" w:hAnsi="Times New Roman" w:eastAsia="宋体" w:cs="Times New Roman"/>
          <w:b/>
          <w:bCs/>
          <w:sz w:val="32"/>
          <w:szCs w:val="40"/>
        </w:rPr>
        <w:t>首都图书馆互联网专线接入费及政务云服务（馆际专线）</w:t>
      </w:r>
    </w:p>
    <w:p w14:paraId="337C472E">
      <w:pPr>
        <w:jc w:val="center"/>
        <w:rPr>
          <w:rFonts w:hint="default" w:ascii="Times New Roman" w:hAnsi="Times New Roman" w:eastAsia="宋体" w:cs="Times New Roman"/>
          <w:b/>
          <w:bCs/>
          <w:sz w:val="32"/>
          <w:szCs w:val="40"/>
          <w:lang w:val="en-US" w:eastAsia="zh-CN"/>
        </w:rPr>
      </w:pPr>
      <w:r>
        <w:rPr>
          <w:rFonts w:hint="default" w:ascii="Times New Roman" w:hAnsi="Times New Roman" w:eastAsia="宋体" w:cs="Times New Roman"/>
          <w:b/>
          <w:bCs/>
          <w:sz w:val="32"/>
          <w:szCs w:val="40"/>
          <w:lang w:val="en-US" w:eastAsia="zh-CN"/>
        </w:rPr>
        <w:t>招标公告</w:t>
      </w:r>
    </w:p>
    <w:p w14:paraId="2CDF41B3">
      <w:pPr>
        <w:pStyle w:val="3"/>
        <w:spacing w:before="0" w:line="360" w:lineRule="auto"/>
        <w:jc w:val="left"/>
        <w:rPr>
          <w:rFonts w:hint="default" w:ascii="Times New Roman" w:hAnsi="Times New Roman" w:eastAsia="宋体" w:cs="Times New Roman"/>
          <w:sz w:val="24"/>
          <w:szCs w:val="24"/>
        </w:rPr>
      </w:pPr>
      <w:bookmarkStart w:id="0" w:name="_Toc35393621"/>
      <w:bookmarkStart w:id="1" w:name="_Toc28359079"/>
      <w:bookmarkStart w:id="2" w:name="_Toc28359002"/>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3A77556B">
      <w:pPr>
        <w:spacing w:line="360" w:lineRule="auto"/>
        <w:ind w:firstLine="480" w:firstLineChars="200"/>
        <w:rPr>
          <w:rFonts w:hint="default" w:ascii="Times New Roman" w:hAnsi="Times New Roman" w:eastAsia="宋体" w:cs="Times New Roman"/>
          <w:sz w:val="24"/>
          <w:u w:val="none"/>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color w:val="auto"/>
          <w:sz w:val="24"/>
          <w:u w:val="none"/>
          <w:lang w:eastAsia="zh-CN"/>
        </w:rPr>
        <w:t>BJJQ-</w:t>
      </w:r>
      <w:r>
        <w:rPr>
          <w:rFonts w:hint="default" w:ascii="Times New Roman" w:hAnsi="Times New Roman" w:eastAsia="宋体" w:cs="Times New Roman"/>
          <w:color w:val="auto"/>
          <w:sz w:val="24"/>
          <w:u w:val="none"/>
          <w:lang w:val="en-US" w:eastAsia="zh-CN"/>
        </w:rPr>
        <w:t>2026-056</w:t>
      </w:r>
    </w:p>
    <w:p w14:paraId="17A70160">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default" w:ascii="Times New Roman" w:hAnsi="Times New Roman" w:eastAsia="宋体" w:cs="Times New Roman"/>
          <w:sz w:val="24"/>
          <w:lang w:eastAsia="zh-CN"/>
        </w:rPr>
        <w:t>首都图书馆互联网专线接入费及政务云服务（馆际专线）</w:t>
      </w:r>
    </w:p>
    <w:bookmarkEnd w:id="4"/>
    <w:p w14:paraId="6DBDE2C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sz w:val="24"/>
          <w:u w:val="single"/>
          <w:lang w:val="en-US" w:eastAsia="zh-CN"/>
        </w:rPr>
        <w:t>81.594334</w:t>
      </w:r>
      <w:r>
        <w:rPr>
          <w:rFonts w:hint="default" w:ascii="Times New Roman" w:hAnsi="Times New Roman" w:eastAsia="宋体" w:cs="Times New Roman"/>
          <w:sz w:val="24"/>
        </w:rPr>
        <w:t>万元、项目最高限价（如有）：</w:t>
      </w:r>
      <w:r>
        <w:rPr>
          <w:rFonts w:hint="default" w:ascii="Times New Roman" w:hAnsi="Times New Roman" w:eastAsia="宋体" w:cs="Times New Roman"/>
          <w:color w:val="auto"/>
          <w:sz w:val="24"/>
          <w:highlight w:val="none"/>
          <w:u w:val="single"/>
          <w:lang w:val="en-US" w:eastAsia="zh-CN"/>
        </w:rPr>
        <w:t xml:space="preserve">  /  </w:t>
      </w:r>
      <w:r>
        <w:rPr>
          <w:rFonts w:hint="default" w:ascii="Times New Roman" w:hAnsi="Times New Roman" w:eastAsia="宋体" w:cs="Times New Roman"/>
          <w:sz w:val="24"/>
        </w:rPr>
        <w:t>万元</w:t>
      </w:r>
    </w:p>
    <w:p w14:paraId="5F26B90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4.采购需求：</w:t>
      </w:r>
    </w:p>
    <w:tbl>
      <w:tblPr>
        <w:tblStyle w:val="8"/>
        <w:tblW w:w="596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6"/>
        <w:gridCol w:w="1795"/>
        <w:gridCol w:w="2368"/>
        <w:gridCol w:w="914"/>
        <w:gridCol w:w="3978"/>
      </w:tblGrid>
      <w:tr w14:paraId="2E0F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432" w:type="pct"/>
            <w:vAlign w:val="center"/>
          </w:tcPr>
          <w:p w14:paraId="012F79CB">
            <w:pPr>
              <w:pStyle w:val="7"/>
              <w:autoSpaceDE w:val="0"/>
              <w:autoSpaceDN w:val="0"/>
              <w:snapToGrid/>
              <w:spacing w:before="0" w:line="240" w:lineRule="auto"/>
              <w:jc w:val="center"/>
              <w:outlineLvl w:val="2"/>
              <w:rPr>
                <w:rFonts w:hint="default" w:ascii="Times New Roman" w:hAnsi="Times New Roman" w:eastAsia="宋体" w:cs="Times New Roman"/>
                <w:b/>
                <w:kern w:val="0"/>
                <w:sz w:val="24"/>
                <w:szCs w:val="24"/>
                <w:highlight w:val="none"/>
                <w:lang w:eastAsia="en-US"/>
              </w:rPr>
            </w:pPr>
            <w:r>
              <w:rPr>
                <w:rFonts w:hint="default" w:ascii="Times New Roman" w:hAnsi="Times New Roman" w:eastAsia="宋体" w:cs="Times New Roman"/>
                <w:b/>
                <w:kern w:val="0"/>
                <w:sz w:val="24"/>
                <w:szCs w:val="24"/>
                <w:highlight w:val="none"/>
                <w:lang w:eastAsia="en-US"/>
              </w:rPr>
              <w:t>包号</w:t>
            </w:r>
          </w:p>
        </w:tc>
        <w:tc>
          <w:tcPr>
            <w:tcW w:w="905" w:type="pct"/>
            <w:vAlign w:val="center"/>
          </w:tcPr>
          <w:p w14:paraId="15602084">
            <w:pPr>
              <w:pStyle w:val="7"/>
              <w:autoSpaceDE w:val="0"/>
              <w:autoSpaceDN w:val="0"/>
              <w:snapToGrid/>
              <w:spacing w:before="0" w:line="240" w:lineRule="auto"/>
              <w:jc w:val="center"/>
              <w:outlineLvl w:val="2"/>
              <w:rPr>
                <w:rFonts w:hint="default" w:ascii="Times New Roman" w:hAnsi="Times New Roman" w:eastAsia="宋体" w:cs="Times New Roman"/>
                <w:b/>
                <w:kern w:val="0"/>
                <w:sz w:val="24"/>
                <w:szCs w:val="24"/>
                <w:highlight w:val="none"/>
                <w:lang w:eastAsia="en-US"/>
              </w:rPr>
            </w:pPr>
            <w:r>
              <w:rPr>
                <w:rFonts w:hint="default" w:ascii="Times New Roman" w:hAnsi="Times New Roman" w:eastAsia="宋体" w:cs="Times New Roman"/>
                <w:b/>
                <w:kern w:val="0"/>
                <w:sz w:val="24"/>
                <w:szCs w:val="24"/>
                <w:highlight w:val="none"/>
                <w:lang w:eastAsia="en-US"/>
              </w:rPr>
              <w:t>标的名称</w:t>
            </w:r>
          </w:p>
        </w:tc>
        <w:tc>
          <w:tcPr>
            <w:tcW w:w="1194" w:type="pct"/>
            <w:vAlign w:val="center"/>
          </w:tcPr>
          <w:p w14:paraId="24926F2E">
            <w:pPr>
              <w:pStyle w:val="7"/>
              <w:autoSpaceDE w:val="0"/>
              <w:autoSpaceDN w:val="0"/>
              <w:snapToGrid/>
              <w:spacing w:before="0" w:line="240" w:lineRule="auto"/>
              <w:jc w:val="center"/>
              <w:outlineLvl w:val="2"/>
              <w:rPr>
                <w:rFonts w:hint="default" w:ascii="Times New Roman" w:hAnsi="Times New Roman" w:eastAsia="宋体" w:cs="Times New Roman"/>
                <w:b/>
                <w:kern w:val="0"/>
                <w:sz w:val="24"/>
                <w:szCs w:val="24"/>
                <w:highlight w:val="none"/>
                <w:lang w:eastAsia="en-US"/>
              </w:rPr>
            </w:pPr>
            <w:r>
              <w:rPr>
                <w:rFonts w:hint="default" w:ascii="Times New Roman" w:hAnsi="Times New Roman" w:eastAsia="宋体" w:cs="Times New Roman"/>
                <w:b/>
                <w:kern w:val="0"/>
                <w:sz w:val="24"/>
                <w:szCs w:val="24"/>
                <w:highlight w:val="none"/>
                <w:lang w:eastAsia="en-US"/>
              </w:rPr>
              <w:t>采购包预算金额</w:t>
            </w:r>
          </w:p>
          <w:p w14:paraId="678E7DD7">
            <w:pPr>
              <w:pStyle w:val="7"/>
              <w:autoSpaceDE w:val="0"/>
              <w:autoSpaceDN w:val="0"/>
              <w:snapToGrid/>
              <w:spacing w:before="0" w:line="240" w:lineRule="auto"/>
              <w:jc w:val="center"/>
              <w:outlineLvl w:val="2"/>
              <w:rPr>
                <w:rFonts w:hint="default" w:ascii="Times New Roman" w:hAnsi="Times New Roman" w:eastAsia="宋体" w:cs="Times New Roman"/>
                <w:b/>
                <w:kern w:val="0"/>
                <w:sz w:val="24"/>
                <w:szCs w:val="24"/>
                <w:highlight w:val="none"/>
                <w:lang w:eastAsia="en-US"/>
              </w:rPr>
            </w:pPr>
            <w:r>
              <w:rPr>
                <w:rFonts w:hint="default" w:ascii="Times New Roman" w:hAnsi="Times New Roman" w:eastAsia="宋体" w:cs="Times New Roman"/>
                <w:b/>
                <w:kern w:val="0"/>
                <w:sz w:val="24"/>
                <w:szCs w:val="24"/>
                <w:highlight w:val="none"/>
                <w:lang w:eastAsia="en-US"/>
              </w:rPr>
              <w:t>(万元)</w:t>
            </w:r>
          </w:p>
        </w:tc>
        <w:tc>
          <w:tcPr>
            <w:tcW w:w="461" w:type="pct"/>
            <w:vAlign w:val="center"/>
          </w:tcPr>
          <w:p w14:paraId="607E8FE3">
            <w:pPr>
              <w:pStyle w:val="7"/>
              <w:autoSpaceDE w:val="0"/>
              <w:autoSpaceDN w:val="0"/>
              <w:snapToGrid/>
              <w:spacing w:before="0" w:line="240" w:lineRule="auto"/>
              <w:jc w:val="center"/>
              <w:outlineLvl w:val="2"/>
              <w:rPr>
                <w:rFonts w:hint="default" w:ascii="Times New Roman" w:hAnsi="Times New Roman" w:eastAsia="宋体" w:cs="Times New Roman"/>
                <w:b/>
                <w:kern w:val="0"/>
                <w:sz w:val="24"/>
                <w:szCs w:val="24"/>
                <w:highlight w:val="none"/>
                <w:lang w:eastAsia="en-US"/>
              </w:rPr>
            </w:pPr>
            <w:r>
              <w:rPr>
                <w:rFonts w:hint="default" w:ascii="Times New Roman" w:hAnsi="Times New Roman" w:eastAsia="宋体" w:cs="Times New Roman"/>
                <w:b/>
                <w:kern w:val="0"/>
                <w:sz w:val="24"/>
                <w:szCs w:val="24"/>
                <w:highlight w:val="none"/>
                <w:lang w:eastAsia="en-US"/>
              </w:rPr>
              <w:t>数量</w:t>
            </w:r>
          </w:p>
        </w:tc>
        <w:tc>
          <w:tcPr>
            <w:tcW w:w="2006" w:type="pct"/>
            <w:vAlign w:val="center"/>
          </w:tcPr>
          <w:p w14:paraId="668B3E6A">
            <w:pPr>
              <w:pStyle w:val="7"/>
              <w:autoSpaceDE w:val="0"/>
              <w:autoSpaceDN w:val="0"/>
              <w:snapToGrid/>
              <w:spacing w:before="0" w:line="240" w:lineRule="auto"/>
              <w:jc w:val="center"/>
              <w:outlineLvl w:val="2"/>
              <w:rPr>
                <w:rFonts w:hint="default" w:ascii="Times New Roman" w:hAnsi="Times New Roman" w:eastAsia="宋体" w:cs="Times New Roman"/>
                <w:b/>
                <w:kern w:val="0"/>
                <w:sz w:val="24"/>
                <w:szCs w:val="24"/>
                <w:highlight w:val="none"/>
                <w:lang w:val="en-US" w:eastAsia="zh-CN"/>
              </w:rPr>
            </w:pPr>
            <w:r>
              <w:rPr>
                <w:rFonts w:hint="default" w:ascii="Times New Roman" w:hAnsi="Times New Roman" w:eastAsia="宋体" w:cs="Times New Roman"/>
                <w:b/>
                <w:kern w:val="0"/>
                <w:sz w:val="24"/>
                <w:szCs w:val="24"/>
                <w:highlight w:val="none"/>
                <w:lang w:val="en-US" w:eastAsia="zh-CN"/>
              </w:rPr>
              <w:t>采购需求</w:t>
            </w:r>
          </w:p>
        </w:tc>
      </w:tr>
      <w:tr w14:paraId="2AE99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432" w:type="pct"/>
            <w:vAlign w:val="center"/>
          </w:tcPr>
          <w:p w14:paraId="5457CB42">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en-US"/>
              </w:rPr>
              <w:t>0</w:t>
            </w:r>
            <w:r>
              <w:rPr>
                <w:rFonts w:hint="default" w:ascii="Times New Roman" w:hAnsi="Times New Roman" w:eastAsia="宋体" w:cs="Times New Roman"/>
                <w:sz w:val="24"/>
                <w:szCs w:val="24"/>
                <w:highlight w:val="none"/>
                <w:lang w:val="en-US" w:eastAsia="zh-CN"/>
              </w:rPr>
              <w:t>1</w:t>
            </w:r>
          </w:p>
        </w:tc>
        <w:tc>
          <w:tcPr>
            <w:tcW w:w="905" w:type="pct"/>
            <w:vAlign w:val="center"/>
          </w:tcPr>
          <w:p w14:paraId="471D7805">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北京城市图书馆馆际专线一</w:t>
            </w:r>
          </w:p>
        </w:tc>
        <w:tc>
          <w:tcPr>
            <w:tcW w:w="1194" w:type="pct"/>
            <w:vAlign w:val="center"/>
          </w:tcPr>
          <w:p w14:paraId="509237E0">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66.617334</w:t>
            </w:r>
          </w:p>
        </w:tc>
        <w:tc>
          <w:tcPr>
            <w:tcW w:w="461" w:type="pct"/>
            <w:vAlign w:val="center"/>
          </w:tcPr>
          <w:p w14:paraId="147660F9">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1项</w:t>
            </w:r>
          </w:p>
        </w:tc>
        <w:tc>
          <w:tcPr>
            <w:tcW w:w="2006" w:type="pct"/>
            <w:vAlign w:val="center"/>
          </w:tcPr>
          <w:p w14:paraId="55AD7FD8">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为保障朝阳区首都图书馆与北京城市图书馆两点之间数据传输、数据备份及两馆之间业务系统链接，需采购1条500Mbps点对点数字电路做为主线使用。</w:t>
            </w:r>
          </w:p>
        </w:tc>
      </w:tr>
      <w:tr w14:paraId="397E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432" w:type="pct"/>
            <w:vAlign w:val="center"/>
          </w:tcPr>
          <w:p w14:paraId="3866F3DF">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0</w:t>
            </w:r>
            <w:r>
              <w:rPr>
                <w:rFonts w:hint="default" w:ascii="Times New Roman" w:hAnsi="Times New Roman" w:eastAsia="宋体" w:cs="Times New Roman"/>
                <w:sz w:val="24"/>
                <w:szCs w:val="24"/>
                <w:highlight w:val="none"/>
                <w:lang w:val="en-US" w:eastAsia="zh-CN"/>
              </w:rPr>
              <w:t>2</w:t>
            </w:r>
          </w:p>
        </w:tc>
        <w:tc>
          <w:tcPr>
            <w:tcW w:w="905" w:type="pct"/>
            <w:vAlign w:val="center"/>
          </w:tcPr>
          <w:p w14:paraId="6087778F">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北京城市图书馆馆际专线二</w:t>
            </w:r>
          </w:p>
        </w:tc>
        <w:tc>
          <w:tcPr>
            <w:tcW w:w="1194" w:type="pct"/>
            <w:vAlign w:val="center"/>
          </w:tcPr>
          <w:p w14:paraId="09BA2B64">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14.977</w:t>
            </w:r>
          </w:p>
        </w:tc>
        <w:tc>
          <w:tcPr>
            <w:tcW w:w="461" w:type="pct"/>
            <w:vAlign w:val="center"/>
          </w:tcPr>
          <w:p w14:paraId="5235090F">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1项</w:t>
            </w:r>
          </w:p>
        </w:tc>
        <w:tc>
          <w:tcPr>
            <w:tcW w:w="2006" w:type="pct"/>
            <w:vAlign w:val="center"/>
          </w:tcPr>
          <w:p w14:paraId="29623EFF">
            <w:pPr>
              <w:autoSpaceDE w:val="0"/>
              <w:autoSpaceDN w:val="0"/>
              <w:spacing w:before="120" w:after="120" w:line="360" w:lineRule="auto"/>
              <w:jc w:val="center"/>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rPr>
              <w:t>为促进北京城市图书馆信息化发展，保障日常办公需求，传输重要数据并保障数据备份，本项目计划采购1条100Mbps点对点专线作为主线。</w:t>
            </w:r>
          </w:p>
        </w:tc>
      </w:tr>
    </w:tbl>
    <w:p w14:paraId="623F7CD8">
      <w:pPr>
        <w:spacing w:line="360" w:lineRule="auto"/>
        <w:ind w:firstLine="480" w:firstLineChars="200"/>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5.合同履行期限：</w:t>
      </w:r>
      <w:r>
        <w:rPr>
          <w:rFonts w:hint="default" w:ascii="Times New Roman" w:hAnsi="Times New Roman" w:eastAsia="宋体" w:cs="Times New Roman"/>
          <w:color w:val="auto"/>
          <w:sz w:val="24"/>
          <w:u w:val="single"/>
          <w:lang w:val="en-US" w:eastAsia="zh-CN"/>
        </w:rPr>
        <w:t>17个月</w:t>
      </w:r>
      <w:r>
        <w:rPr>
          <w:rFonts w:hint="default" w:ascii="Times New Roman" w:hAnsi="Times New Roman" w:eastAsia="宋体" w:cs="Times New Roman"/>
          <w:sz w:val="24"/>
          <w:lang w:val="en-US" w:eastAsia="zh-CN"/>
        </w:rPr>
        <w:t>。</w:t>
      </w:r>
    </w:p>
    <w:p w14:paraId="51BA447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5E690FAB">
      <w:pPr>
        <w:spacing w:line="360" w:lineRule="auto"/>
        <w:ind w:firstLine="480" w:firstLineChars="200"/>
        <w:rPr>
          <w:rFonts w:hint="default" w:ascii="Times New Roman" w:hAnsi="Times New Roman" w:eastAsia="宋体" w:cs="Times New Roman"/>
          <w:sz w:val="24"/>
        </w:rPr>
      </w:pPr>
    </w:p>
    <w:p w14:paraId="6B170D57">
      <w:pPr>
        <w:pStyle w:val="3"/>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791"/>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1F6422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6593D962">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B6863D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E6B648D">
      <w:pPr>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本项目不专门面向中小企业预留采购份额。</w:t>
      </w:r>
    </w:p>
    <w:p w14:paraId="666F2CE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小微企业  采购。即：提供的货物全部由符合政策要</w:t>
      </w:r>
      <w:r>
        <w:rPr>
          <w:rFonts w:hint="default" w:ascii="Times New Roman" w:hAnsi="Times New Roman" w:eastAsia="宋体" w:cs="Times New Roman"/>
          <w:color w:val="auto"/>
          <w:sz w:val="24"/>
        </w:rPr>
        <w:t>求的中小/小微企业制造、服务全部由符合政策要求的中小/小微企业承接。</w:t>
      </w:r>
    </w:p>
    <w:p w14:paraId="0AC88D9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B60A3E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19094756">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305E9BE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077732D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rPr>
        <w:t>否</w:t>
      </w:r>
    </w:p>
    <w:p w14:paraId="06CA97DD">
      <w:pPr>
        <w:spacing w:line="360" w:lineRule="auto"/>
        <w:ind w:left="958" w:leftChars="456" w:firstLine="0" w:firstLineChars="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highlight w:val="none"/>
        </w:rPr>
        <w:t>3.2其他特定资格要求：</w:t>
      </w:r>
      <w:r>
        <w:rPr>
          <w:rFonts w:hint="default" w:ascii="Times New Roman" w:hAnsi="Times New Roman" w:eastAsia="宋体" w:cs="Times New Roman"/>
          <w:sz w:val="24"/>
          <w:highlight w:val="none"/>
          <w:u w:val="single"/>
          <w:lang w:val="en-US" w:eastAsia="zh-CN"/>
        </w:rPr>
        <w:t>无</w:t>
      </w:r>
      <w:r>
        <w:rPr>
          <w:rFonts w:hint="default" w:ascii="Times New Roman" w:hAnsi="Times New Roman" w:eastAsia="宋体" w:cs="Times New Roman"/>
          <w:sz w:val="24"/>
        </w:rPr>
        <w:t>。</w:t>
      </w:r>
    </w:p>
    <w:p w14:paraId="59F7A59C">
      <w:pPr>
        <w:spacing w:line="360" w:lineRule="auto"/>
        <w:ind w:firstLine="480" w:firstLineChars="200"/>
        <w:rPr>
          <w:rFonts w:hint="default" w:ascii="Times New Roman" w:hAnsi="Times New Roman" w:eastAsia="宋体" w:cs="Times New Roman"/>
          <w:i/>
          <w:iCs/>
          <w:sz w:val="24"/>
          <w:u w:val="single"/>
        </w:rPr>
      </w:pPr>
    </w:p>
    <w:bookmarkEnd w:id="9"/>
    <w:bookmarkEnd w:id="10"/>
    <w:p w14:paraId="5C8CA4F6">
      <w:pPr>
        <w:pStyle w:val="3"/>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4200144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lang w:val="en-US" w:eastAsia="zh-CN" w:bidi="ar"/>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01</w:t>
      </w:r>
      <w:r>
        <w:rPr>
          <w:rFonts w:hint="default"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u w:val="single"/>
          <w:lang w:val="en-US" w:eastAsia="zh-CN" w:bidi="ar"/>
        </w:rPr>
        <w:t>21</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lang w:val="en-US" w:eastAsia="zh-CN" w:bidi="ar"/>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01</w:t>
      </w:r>
      <w:r>
        <w:rPr>
          <w:rFonts w:hint="default" w:ascii="Times New Roman" w:hAnsi="Times New Roman" w:eastAsia="宋体" w:cs="Times New Roman"/>
          <w:color w:val="auto"/>
          <w:sz w:val="24"/>
          <w:highlight w:val="none"/>
          <w:lang w:bidi="ar"/>
        </w:rPr>
        <w:t>月</w:t>
      </w:r>
      <w:r>
        <w:rPr>
          <w:rFonts w:hint="default" w:ascii="Times New Roman" w:hAnsi="Times New Roman" w:eastAsia="宋体" w:cs="Times New Roman"/>
          <w:color w:val="auto"/>
          <w:sz w:val="24"/>
          <w:highlight w:val="none"/>
          <w:u w:val="single"/>
          <w:lang w:val="en-US" w:eastAsia="zh-CN" w:bidi="ar"/>
        </w:rPr>
        <w:t>2</w:t>
      </w:r>
      <w:r>
        <w:rPr>
          <w:rFonts w:hint="eastAsia" w:ascii="Times New Roman" w:hAnsi="Times New Roman" w:eastAsia="宋体" w:cs="Times New Roman"/>
          <w:color w:val="auto"/>
          <w:sz w:val="24"/>
          <w:highlight w:val="none"/>
          <w:u w:val="single"/>
          <w:lang w:val="en-US" w:eastAsia="zh-CN" w:bidi="ar"/>
        </w:rPr>
        <w:t>8</w:t>
      </w:r>
      <w:r>
        <w:rPr>
          <w:rFonts w:hint="default" w:ascii="Times New Roman" w:hAnsi="Times New Roman" w:eastAsia="宋体" w:cs="Times New Roman"/>
          <w:color w:val="auto"/>
          <w:sz w:val="24"/>
          <w:highlight w:val="none"/>
          <w:lang w:bidi="ar"/>
        </w:rPr>
        <w:t>日，每天上午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lang w:bidi="ar"/>
        </w:rPr>
        <w:t>（北京时间，法定节假日除外）。</w:t>
      </w:r>
    </w:p>
    <w:p w14:paraId="5F49FEF5">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38CBE77E">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0B678322">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71D6D374">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1B176AA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highlight w:val="none"/>
          <w:u w:val="single"/>
          <w:lang w:val="en-US" w:eastAsia="zh-CN" w:bidi="ar"/>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02</w:t>
      </w:r>
      <w:r>
        <w:rPr>
          <w:rFonts w:hint="default"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u w:val="single"/>
          <w:lang w:val="en-US" w:eastAsia="zh-CN" w:bidi="ar"/>
        </w:rPr>
        <w:t>11</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u w:val="single"/>
          <w:lang w:val="en-US" w:eastAsia="zh-CN" w:bidi="ar"/>
        </w:rPr>
        <w:t>10</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val="en-US" w:eastAsia="zh-CN" w:bidi="ar"/>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w:t>
      </w:r>
      <w:r>
        <w:rPr>
          <w:rFonts w:hint="default" w:ascii="Times New Roman" w:hAnsi="Times New Roman" w:eastAsia="宋体" w:cs="Times New Roman"/>
          <w:bCs/>
          <w:color w:val="auto"/>
          <w:sz w:val="24"/>
          <w:lang w:bidi="ar"/>
        </w:rPr>
        <w:t>间）</w:t>
      </w:r>
      <w:r>
        <w:rPr>
          <w:rFonts w:hint="default" w:ascii="Times New Roman" w:hAnsi="Times New Roman" w:eastAsia="宋体" w:cs="Times New Roman"/>
          <w:iCs/>
          <w:color w:val="auto"/>
          <w:sz w:val="24"/>
          <w:lang w:bidi="ar"/>
        </w:rPr>
        <w:t>。</w:t>
      </w:r>
    </w:p>
    <w:p w14:paraId="777ADFE8">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43318B7F">
      <w:pPr>
        <w:spacing w:line="360" w:lineRule="auto"/>
        <w:ind w:firstLine="480" w:firstLineChars="200"/>
        <w:rPr>
          <w:rFonts w:hint="default" w:ascii="Times New Roman" w:hAnsi="Times New Roman" w:eastAsia="宋体" w:cs="Times New Roman"/>
          <w:bCs/>
          <w:sz w:val="24"/>
          <w:u w:val="single"/>
        </w:rPr>
      </w:pPr>
    </w:p>
    <w:p w14:paraId="695949C4">
      <w:pPr>
        <w:pStyle w:val="3"/>
        <w:spacing w:before="0" w:line="360" w:lineRule="auto"/>
        <w:jc w:val="left"/>
        <w:rPr>
          <w:rFonts w:hint="default" w:ascii="Times New Roman" w:hAnsi="Times New Roman" w:eastAsia="宋体" w:cs="Times New Roman"/>
          <w:sz w:val="24"/>
          <w:szCs w:val="24"/>
        </w:rPr>
      </w:pPr>
      <w:bookmarkStart w:id="17" w:name="_Toc28359084"/>
      <w:bookmarkStart w:id="18" w:name="_Toc28359007"/>
      <w:bookmarkStart w:id="19" w:name="_Toc35393625"/>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7CBE0468">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6EEA000">
      <w:pPr>
        <w:spacing w:line="360" w:lineRule="auto"/>
        <w:ind w:firstLine="480" w:firstLineChars="200"/>
        <w:rPr>
          <w:rFonts w:hint="default" w:ascii="Times New Roman" w:hAnsi="Times New Roman" w:eastAsia="宋体" w:cs="Times New Roman"/>
          <w:kern w:val="0"/>
          <w:sz w:val="24"/>
        </w:rPr>
      </w:pPr>
    </w:p>
    <w:p w14:paraId="6ACD938D">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5E92B11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bookmarkStart w:id="31" w:name="_GoBack"/>
      <w:bookmarkEnd w:id="31"/>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6C09EF5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0043E42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36F2006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282DE7D5">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B174E0C">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54DAD83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265184C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1B4B782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.5编制电子投标文件</w:t>
      </w:r>
    </w:p>
    <w:p w14:paraId="0929338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7D157C6F">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31A50018">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3B27EE24">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4FF068E2">
      <w:pPr>
        <w:spacing w:line="360" w:lineRule="auto"/>
        <w:ind w:firstLine="480"/>
        <w:rPr>
          <w:rFonts w:hint="default" w:ascii="Times New Roman" w:hAnsi="Times New Roman" w:eastAsia="宋体" w:cs="Times New Roman"/>
          <w:sz w:val="24"/>
          <w:lang w:val="en-US" w:eastAsia="zh-CN"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.采购代理机构项目编号：</w:t>
      </w:r>
      <w:r>
        <w:rPr>
          <w:rFonts w:hint="default" w:ascii="Times New Roman" w:hAnsi="Times New Roman" w:eastAsia="宋体" w:cs="Times New Roman"/>
          <w:sz w:val="24"/>
          <w:lang w:eastAsia="zh-CN" w:bidi="ar"/>
        </w:rPr>
        <w:t>BJJQ-202</w:t>
      </w:r>
      <w:r>
        <w:rPr>
          <w:rFonts w:hint="default" w:ascii="Times New Roman" w:hAnsi="Times New Roman" w:eastAsia="宋体" w:cs="Times New Roman"/>
          <w:sz w:val="24"/>
          <w:lang w:val="en-US" w:eastAsia="zh-CN" w:bidi="ar"/>
        </w:rPr>
        <w:t>6</w:t>
      </w:r>
      <w:r>
        <w:rPr>
          <w:rFonts w:hint="default" w:ascii="Times New Roman" w:hAnsi="Times New Roman" w:eastAsia="宋体" w:cs="Times New Roman"/>
          <w:sz w:val="24"/>
          <w:lang w:eastAsia="zh-CN" w:bidi="ar"/>
        </w:rPr>
        <w:t>-</w:t>
      </w:r>
      <w:r>
        <w:rPr>
          <w:rFonts w:hint="default" w:ascii="Times New Roman" w:hAnsi="Times New Roman" w:eastAsia="宋体" w:cs="Times New Roman"/>
          <w:sz w:val="24"/>
          <w:lang w:val="en-US" w:eastAsia="zh-CN" w:bidi="ar"/>
        </w:rPr>
        <w:t>056</w:t>
      </w:r>
    </w:p>
    <w:p w14:paraId="7E23F927">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color w:val="auto"/>
          <w:sz w:val="24"/>
          <w:lang w:bidi="ar"/>
        </w:rPr>
        <w:t>yw02@hcjq.net</w:t>
      </w:r>
      <w:r>
        <w:rPr>
          <w:rStyle w:val="6"/>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rFonts w:hint="default" w:ascii="Times New Roman" w:hAnsi="Times New Roman" w:eastAsia="宋体" w:cs="Times New Roman"/>
          <w:sz w:val="24"/>
        </w:rPr>
      </w:pPr>
    </w:p>
    <w:p w14:paraId="7CF5A5B0">
      <w:pPr>
        <w:pStyle w:val="3"/>
        <w:spacing w:before="0" w:line="360" w:lineRule="auto"/>
        <w:jc w:val="left"/>
        <w:rPr>
          <w:rFonts w:hint="default" w:ascii="Times New Roman" w:hAnsi="Times New Roman" w:eastAsia="宋体" w:cs="Times New Roman"/>
          <w:sz w:val="24"/>
          <w:szCs w:val="24"/>
        </w:rPr>
      </w:pPr>
      <w:bookmarkStart w:id="23" w:name="_Toc35393627"/>
      <w:bookmarkStart w:id="24" w:name="_Toc35393796"/>
      <w:bookmarkStart w:id="25" w:name="_Toc28359008"/>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8701EB0">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160F9A17">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09"/>
      <w:bookmarkStart w:id="28" w:name="_Toc28359086"/>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首都图书馆（北京市少年儿童图书馆、北京市古籍保护中心）</w:t>
      </w:r>
    </w:p>
    <w:p w14:paraId="379718D6">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北京市朝阳区东三环南路88号</w:t>
      </w:r>
    </w:p>
    <w:p w14:paraId="59D3204A">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000000" w:themeColor="text1"/>
          <w:sz w:val="24"/>
          <w:u w:val="single"/>
          <w14:textFill>
            <w14:solidFill>
              <w14:schemeClr w14:val="tx1"/>
            </w14:solidFill>
          </w14:textFill>
        </w:rPr>
        <w:t>王老师，010-67358114</w:t>
      </w:r>
    </w:p>
    <w:p w14:paraId="59AAF1FF">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65A18BE4">
      <w:pPr>
        <w:spacing w:line="360" w:lineRule="auto"/>
        <w:ind w:left="1079" w:leftChars="371" w:hanging="300" w:hangingChars="125"/>
        <w:jc w:val="left"/>
        <w:rPr>
          <w:rFonts w:hint="default" w:ascii="Times New Roman" w:hAnsi="Times New Roman" w:eastAsia="宋体" w:cs="Times New Roman"/>
          <w:color w:val="auto"/>
          <w:sz w:val="24"/>
        </w:rPr>
      </w:pPr>
      <w:bookmarkStart w:id="29" w:name="_Toc28359087"/>
      <w:bookmarkStart w:id="30" w:name="_Toc28359010"/>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1DFBAD63">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北京市东城区朝内大街南竹杆胡同6号北京INN3号楼9层</w:t>
      </w:r>
    </w:p>
    <w:p w14:paraId="4343DD45">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bCs/>
          <w:sz w:val="24"/>
          <w:u w:val="single"/>
        </w:rPr>
        <w:t>010-65913057、65915614、65244576</w:t>
      </w:r>
    </w:p>
    <w:p w14:paraId="7C2AEBCB">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288580B3">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single"/>
          <w:lang w:val="en-US" w:eastAsia="zh-CN"/>
        </w:rPr>
        <w:t>黄彤、贺晓燕</w:t>
      </w:r>
    </w:p>
    <w:p w14:paraId="04EC204B">
      <w:pPr>
        <w:ind w:firstLine="720" w:firstLineChars="300"/>
        <w:jc w:val="both"/>
        <w:rPr>
          <w:rFonts w:hint="default" w:ascii="Times New Roman" w:hAnsi="Times New Roman" w:eastAsia="宋体" w:cs="Times New Roman"/>
          <w:b/>
          <w:bCs/>
          <w:sz w:val="32"/>
          <w:szCs w:val="40"/>
          <w:lang w:val="en-US" w:eastAsia="zh-CN"/>
        </w:rPr>
      </w:pPr>
      <w:r>
        <w:rPr>
          <w:rFonts w:hint="default" w:ascii="Times New Roman" w:hAnsi="Times New Roman" w:eastAsia="宋体" w:cs="Times New Roman"/>
          <w:color w:val="auto"/>
          <w:sz w:val="24"/>
        </w:rPr>
        <w:t>电      话：</w:t>
      </w:r>
      <w:r>
        <w:rPr>
          <w:rFonts w:hint="default" w:ascii="Times New Roman" w:hAnsi="Times New Roman" w:eastAsia="宋体" w:cs="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F714B"/>
    <w:rsid w:val="4F06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character" w:styleId="6">
    <w:name w:val="Hyperlink"/>
    <w:qFormat/>
    <w:uiPriority w:val="99"/>
    <w:rPr>
      <w:color w:val="0000FF"/>
      <w:u w:val="single"/>
    </w:rPr>
  </w:style>
  <w:style w:type="paragraph" w:customStyle="1" w:styleId="7">
    <w:name w:val="0"/>
    <w:qFormat/>
    <w:uiPriority w:val="0"/>
    <w:pPr>
      <w:widowControl/>
      <w:snapToGrid w:val="0"/>
      <w:spacing w:before="156" w:after="156" w:line="360" w:lineRule="auto"/>
      <w:jc w:val="both"/>
    </w:pPr>
    <w:rPr>
      <w:rFonts w:ascii="Times New Roman" w:hAnsi="Times New Roman" w:eastAsia="宋体" w:cs="Times New Roman"/>
      <w:kern w:val="0"/>
      <w:sz w:val="24"/>
      <w:szCs w:val="20"/>
      <w:lang w:val="en-US" w:eastAsia="zh-CN" w:bidi="ar-SA"/>
    </w:rPr>
  </w:style>
  <w:style w:type="table" w:customStyle="1" w:styleId="8">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2061</Words>
  <Characters>2467</Characters>
  <Lines>0</Lines>
  <Paragraphs>0</Paragraphs>
  <TotalTime>2</TotalTime>
  <ScaleCrop>false</ScaleCrop>
  <LinksUpToDate>false</LinksUpToDate>
  <CharactersWithSpaces>2512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2026-01-19T04:55:00Z</dcterms:created>
  <dc:creator>Lenovo</dc:creator>
  <cp:lastModifiedBy>业务二部</cp:lastModifiedBy>
  <dcterms:modified xsi:type="dcterms:W3CDTF">2026-01-21T07:06:14Z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eyJoZGlkIjoiZGQ0OGE5MDYzOTczMzAxZDEzMmRkMWMwYzhhNmIyMDkiLCJ1c2VySWQiOiI3NjUzMTQzODkifQ==</vt:lpwstr>
  </property>
  <property fmtid="{D5CDD505-2E9C-101B-9397-08002B2CF9AE}" pid="4" name="ICV">
    <vt:lpwstr>480E249100C6439C9A1A08FF030A78D9_12</vt:lpwstr>
  </property>
</Properties>
</file>