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A465">
      <w:pPr>
        <w:jc w:val="center"/>
        <w:rPr>
          <w:rFonts w:hint="eastAsia" w:ascii="宋体" w:hAnsi="宋体"/>
          <w:bCs/>
          <w:sz w:val="28"/>
          <w:szCs w:val="44"/>
        </w:rPr>
      </w:pPr>
      <w:r>
        <w:rPr>
          <w:rFonts w:hint="eastAsia" w:ascii="宋体" w:hAnsi="宋体"/>
          <w:b/>
          <w:bCs/>
          <w:sz w:val="28"/>
          <w:szCs w:val="44"/>
        </w:rPr>
        <w:t xml:space="preserve"> 招 标 公 告</w:t>
      </w:r>
    </w:p>
    <w:p w14:paraId="556F758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2FFDB1A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u w:val="single"/>
        </w:rPr>
        <w:t>2026年新建完善路口信号灯和附属设施项目</w:t>
      </w:r>
      <w:r>
        <w:rPr>
          <w:rFonts w:hint="eastAsia" w:ascii="宋体" w:hAnsi="宋体"/>
          <w:szCs w:val="21"/>
        </w:rPr>
        <w:t>招标项目的潜在投标人应在</w:t>
      </w:r>
      <w:r>
        <w:rPr>
          <w:rFonts w:hint="eastAsia" w:ascii="宋体" w:hAnsi="宋体"/>
          <w:szCs w:val="21"/>
          <w:u w:val="single"/>
        </w:rPr>
        <w:t>北京市政府采购电子交易平台</w:t>
      </w:r>
      <w:r>
        <w:rPr>
          <w:rFonts w:hint="eastAsia" w:ascii="宋体" w:hAnsi="宋体"/>
          <w:szCs w:val="21"/>
        </w:rPr>
        <w:t>获取招标文件，并于</w:t>
      </w:r>
      <w:r>
        <w:rPr>
          <w:rFonts w:hint="eastAsia" w:ascii="宋体" w:hAnsi="宋体"/>
          <w:szCs w:val="21"/>
          <w:u w:val="single"/>
        </w:rPr>
        <w:t>2026年1月29日上午09：30（北京时间）</w:t>
      </w:r>
      <w:r>
        <w:rPr>
          <w:rFonts w:hint="eastAsia" w:ascii="宋体" w:hAnsi="宋体"/>
          <w:bCs/>
          <w:szCs w:val="21"/>
        </w:rPr>
        <w:t>前递交投标</w:t>
      </w:r>
      <w:r>
        <w:rPr>
          <w:rFonts w:ascii="宋体" w:hAnsi="宋体"/>
          <w:bCs/>
          <w:szCs w:val="21"/>
        </w:rPr>
        <w:t>文件</w:t>
      </w:r>
      <w:r>
        <w:rPr>
          <w:rFonts w:hint="eastAsia" w:ascii="宋体" w:hAnsi="宋体"/>
          <w:szCs w:val="21"/>
        </w:rPr>
        <w:t>。</w:t>
      </w:r>
    </w:p>
    <w:p w14:paraId="32948704">
      <w:pPr>
        <w:pStyle w:val="2"/>
        <w:spacing w:before="0" w:after="0" w:line="240" w:lineRule="auto"/>
        <w:rPr>
          <w:rFonts w:hint="eastAsia" w:ascii="宋体" w:hAnsi="宋体" w:eastAsia="宋体" w:cs="宋体"/>
          <w:bCs w:val="0"/>
          <w:sz w:val="21"/>
          <w:szCs w:val="21"/>
        </w:rPr>
      </w:pPr>
      <w:bookmarkStart w:id="0" w:name="_Toc28359002"/>
      <w:bookmarkStart w:id="1" w:name="_Toc28359079"/>
      <w:bookmarkStart w:id="2" w:name="_Toc35393790"/>
      <w:bookmarkStart w:id="3" w:name="_Toc35393621"/>
      <w:bookmarkStart w:id="4" w:name="_Hlk24379207"/>
    </w:p>
    <w:p w14:paraId="070C8544">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Cs w:val="0"/>
          <w:sz w:val="21"/>
          <w:szCs w:val="21"/>
        </w:rPr>
      </w:pPr>
      <w:r>
        <w:rPr>
          <w:rFonts w:hint="eastAsia" w:ascii="宋体" w:hAnsi="宋体" w:eastAsia="宋体" w:cs="宋体"/>
          <w:bCs w:val="0"/>
          <w:sz w:val="21"/>
          <w:szCs w:val="21"/>
        </w:rPr>
        <w:t>一、项目基本情况</w:t>
      </w:r>
      <w:bookmarkEnd w:id="0"/>
      <w:bookmarkEnd w:id="1"/>
      <w:bookmarkEnd w:id="2"/>
      <w:bookmarkEnd w:id="3"/>
    </w:p>
    <w:p w14:paraId="066128E5">
      <w:pPr>
        <w:spacing w:line="360" w:lineRule="auto"/>
        <w:ind w:firstLine="420" w:firstLineChars="200"/>
        <w:rPr>
          <w:rFonts w:hint="eastAsia" w:ascii="宋体" w:hAnsi="宋体"/>
          <w:szCs w:val="21"/>
        </w:rPr>
      </w:pPr>
      <w:r>
        <w:rPr>
          <w:rFonts w:hint="eastAsia" w:ascii="宋体" w:hAnsi="宋体"/>
          <w:szCs w:val="21"/>
        </w:rPr>
        <w:t>1.项目编号：BIECC-25CG90697</w:t>
      </w:r>
    </w:p>
    <w:p w14:paraId="586A8C97">
      <w:pPr>
        <w:spacing w:line="360" w:lineRule="auto"/>
        <w:ind w:firstLine="420" w:firstLineChars="200"/>
        <w:rPr>
          <w:rFonts w:hint="eastAsia" w:ascii="宋体" w:hAnsi="宋体"/>
          <w:szCs w:val="21"/>
        </w:rPr>
      </w:pPr>
      <w:r>
        <w:rPr>
          <w:rFonts w:hint="eastAsia" w:ascii="宋体" w:hAnsi="宋体"/>
          <w:szCs w:val="21"/>
        </w:rPr>
        <w:t>2.项目名称：2026年新建完善路口信号灯和附属设施项目</w:t>
      </w:r>
    </w:p>
    <w:p w14:paraId="0AA06DED">
      <w:pPr>
        <w:spacing w:line="360" w:lineRule="auto"/>
        <w:ind w:firstLine="420" w:firstLineChars="200"/>
        <w:rPr>
          <w:rFonts w:hint="eastAsia" w:ascii="宋体" w:hAnsi="宋体" w:eastAsia="宋体"/>
          <w:szCs w:val="21"/>
          <w:lang w:eastAsia="zh-CN"/>
        </w:rPr>
      </w:pPr>
      <w:r>
        <w:rPr>
          <w:rFonts w:hint="eastAsia" w:ascii="宋体" w:hAnsi="宋体"/>
          <w:szCs w:val="21"/>
        </w:rPr>
        <w:t>3.预算金额：总预算人民币3072.65万元。</w:t>
      </w:r>
    </w:p>
    <w:p w14:paraId="5A6F4354">
      <w:pPr>
        <w:spacing w:line="360" w:lineRule="auto"/>
        <w:ind w:firstLine="420" w:firstLineChars="200"/>
        <w:rPr>
          <w:rFonts w:hint="eastAsia" w:ascii="宋体" w:hAnsi="宋体"/>
          <w:szCs w:val="21"/>
        </w:rPr>
      </w:pPr>
      <w:r>
        <w:rPr>
          <w:rFonts w:hint="eastAsia" w:ascii="宋体" w:hAnsi="宋体"/>
          <w:szCs w:val="21"/>
        </w:rPr>
        <w:t>4.最高限价（如有）：本项目共分为4个包</w:t>
      </w:r>
      <w:r>
        <w:rPr>
          <w:rFonts w:hint="eastAsia" w:ascii="宋体" w:hAnsi="宋体"/>
          <w:szCs w:val="21"/>
          <w:lang w:eastAsia="zh-CN"/>
        </w:rPr>
        <w:t>。</w:t>
      </w:r>
      <w:r>
        <w:rPr>
          <w:rFonts w:hint="eastAsia" w:ascii="宋体" w:hAnsi="宋体"/>
          <w:szCs w:val="21"/>
        </w:rPr>
        <w:t>其中</w:t>
      </w:r>
      <w:r>
        <w:rPr>
          <w:rFonts w:hint="eastAsia" w:ascii="宋体" w:hAnsi="宋体"/>
          <w:szCs w:val="21"/>
          <w:lang w:eastAsia="zh-CN"/>
        </w:rPr>
        <w:t>：</w:t>
      </w:r>
      <w:r>
        <w:rPr>
          <w:rFonts w:hint="eastAsia" w:ascii="宋体" w:hAnsi="宋体"/>
          <w:szCs w:val="21"/>
        </w:rPr>
        <w:t>第1包：新建完善路口信号灯和附属设施1，分包控制金额为人民币777.35万元；第2包：新建完善路口信号灯和附属设施2，分包控制金额为人民币742.70万元；第3包：新建完善路口信号灯和附属设施3，分包控制金额为人民币836.85万元；第4包：新建完善路口信号灯和附属设施4，分包控制金额为人民币715.75万元。</w:t>
      </w:r>
    </w:p>
    <w:p w14:paraId="3FCC42BD">
      <w:pPr>
        <w:spacing w:line="360" w:lineRule="auto"/>
        <w:ind w:firstLine="420" w:firstLineChars="200"/>
        <w:rPr>
          <w:rFonts w:hint="eastAsia" w:ascii="宋体" w:hAnsi="宋体"/>
          <w:szCs w:val="21"/>
        </w:rPr>
      </w:pPr>
      <w:r>
        <w:rPr>
          <w:rFonts w:hint="eastAsia" w:ascii="宋体" w:hAnsi="宋体"/>
          <w:szCs w:val="21"/>
        </w:rPr>
        <w:t>5.采购需求</w:t>
      </w:r>
      <w:bookmarkEnd w:id="4"/>
      <w:bookmarkStart w:id="5" w:name="_Toc35393791"/>
      <w:bookmarkStart w:id="6" w:name="_Toc28359003"/>
      <w:bookmarkStart w:id="7" w:name="_Toc35393622"/>
      <w:bookmarkStart w:id="8" w:name="_Toc28359080"/>
    </w:p>
    <w:tbl>
      <w:tblPr>
        <w:tblStyle w:val="21"/>
        <w:tblW w:w="4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5992"/>
      </w:tblGrid>
      <w:tr w14:paraId="3E47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51" w:type="pct"/>
            <w:vAlign w:val="center"/>
          </w:tcPr>
          <w:p w14:paraId="1A291BF0">
            <w:pPr>
              <w:widowControl/>
              <w:jc w:val="center"/>
              <w:rPr>
                <w:rFonts w:hint="eastAsia" w:ascii="宋体" w:hAnsi="宋体" w:cs="Arial"/>
                <w:kern w:val="0"/>
                <w:szCs w:val="21"/>
              </w:rPr>
            </w:pPr>
            <w:r>
              <w:rPr>
                <w:rFonts w:hint="eastAsia" w:ascii="宋体" w:hAnsi="宋体" w:cs="Arial"/>
                <w:kern w:val="0"/>
                <w:szCs w:val="21"/>
              </w:rPr>
              <w:t>项目名称</w:t>
            </w:r>
          </w:p>
        </w:tc>
        <w:tc>
          <w:tcPr>
            <w:tcW w:w="3848" w:type="pct"/>
            <w:vAlign w:val="center"/>
          </w:tcPr>
          <w:p w14:paraId="36218068">
            <w:pPr>
              <w:widowControl/>
              <w:jc w:val="center"/>
              <w:rPr>
                <w:rFonts w:hint="eastAsia" w:ascii="宋体" w:hAnsi="宋体" w:cs="Arial"/>
                <w:kern w:val="0"/>
                <w:szCs w:val="21"/>
              </w:rPr>
            </w:pPr>
            <w:r>
              <w:rPr>
                <w:rFonts w:hint="eastAsia" w:ascii="宋体" w:hAnsi="宋体" w:cs="Arial"/>
                <w:kern w:val="0"/>
                <w:szCs w:val="21"/>
              </w:rPr>
              <w:t>简要需求</w:t>
            </w:r>
          </w:p>
        </w:tc>
      </w:tr>
      <w:tr w14:paraId="34EC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9" w:hRule="atLeast"/>
          <w:jc w:val="center"/>
        </w:trPr>
        <w:tc>
          <w:tcPr>
            <w:tcW w:w="1151" w:type="pct"/>
            <w:vAlign w:val="center"/>
          </w:tcPr>
          <w:p w14:paraId="73D39E2B">
            <w:pPr>
              <w:spacing w:line="360" w:lineRule="auto"/>
              <w:jc w:val="center"/>
              <w:rPr>
                <w:rFonts w:hint="eastAsia" w:ascii="宋体" w:hAnsi="宋体" w:cs="宋体"/>
                <w:szCs w:val="21"/>
              </w:rPr>
            </w:pPr>
            <w:r>
              <w:rPr>
                <w:rFonts w:hint="eastAsia" w:ascii="宋体" w:hAnsi="宋体"/>
                <w:szCs w:val="21"/>
              </w:rPr>
              <w:t>2026年新建完善路口信号灯和附属设施项目</w:t>
            </w:r>
          </w:p>
        </w:tc>
        <w:tc>
          <w:tcPr>
            <w:tcW w:w="3848" w:type="pct"/>
            <w:vAlign w:val="center"/>
          </w:tcPr>
          <w:p w14:paraId="095F6394">
            <w:pPr>
              <w:autoSpaceDE w:val="0"/>
              <w:autoSpaceDN w:val="0"/>
              <w:adjustRightInd w:val="0"/>
              <w:spacing w:before="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本项目承担</w:t>
            </w:r>
            <w:r>
              <w:rPr>
                <w:rFonts w:hint="eastAsia" w:ascii="宋体" w:hAnsi="宋体" w:eastAsia="宋体" w:cs="宋体"/>
                <w:color w:val="auto"/>
                <w:sz w:val="21"/>
                <w:szCs w:val="21"/>
                <w:highlight w:val="none"/>
                <w:lang w:val="en-US" w:eastAsia="zh-CN"/>
              </w:rPr>
              <w:t>对全市范围内交管局权属信号灯和附属市政设施的新建增设、市政施工、供电改造等，一是已有道路交通组织优化，通过该项目配合开展路口信号灯及配套市政设施新建增设工作。二是信号灯及附属市政设施遭遇自然灾害等意外出现损毁情况，通过该项目实施损毁部分的修复工作。三是在日常维护过程中发现的信号灯附属市政设施故障，通过该项目及时开展处置，比如电缆线破损、井盖损坏等。工作内容包括信号灯路口的地下隐蔽工程施工、灯具杆具建设更新、信号灯电源报装、双路供电改造、管线隐患治理，以及其他完成工作必须的材料采购工作。</w:t>
            </w:r>
          </w:p>
          <w:p w14:paraId="7C0CFD61">
            <w:pPr>
              <w:autoSpaceDE w:val="0"/>
              <w:autoSpaceDN w:val="0"/>
              <w:adjustRightInd w:val="0"/>
              <w:spacing w:before="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电源报装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双路供电改造、管线隐患治理均为本项目必须完成的工作，2026年10月31日前未完成相关工作内容建设，将被视为违约。</w:t>
            </w:r>
          </w:p>
          <w:p w14:paraId="442B38F7">
            <w:pPr>
              <w:autoSpaceDE w:val="0"/>
              <w:autoSpaceDN w:val="0"/>
              <w:adjustRightInd w:val="0"/>
              <w:spacing w:before="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第1包：新建完善路口信号灯和附属设施1</w:t>
            </w:r>
          </w:p>
          <w:p w14:paraId="52645087">
            <w:pPr>
              <w:autoSpaceDE w:val="0"/>
              <w:autoSpaceDN w:val="0"/>
              <w:adjustRightInd w:val="0"/>
              <w:spacing w:before="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负责中心区、东城、朝阳、丰台、平谷。</w:t>
            </w:r>
          </w:p>
          <w:p w14:paraId="7811CF56">
            <w:pPr>
              <w:autoSpaceDE w:val="0"/>
              <w:autoSpaceDN w:val="0"/>
              <w:adjustRightInd w:val="0"/>
              <w:spacing w:before="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第2包：新建完善路口信号灯和附属设施2</w:t>
            </w:r>
          </w:p>
          <w:p w14:paraId="57D1B42F">
            <w:pPr>
              <w:autoSpaceDE w:val="0"/>
              <w:autoSpaceDN w:val="0"/>
              <w:adjustRightInd w:val="0"/>
              <w:spacing w:before="50"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负责开发区、通州、顺义、密云、怀柔、延庆。</w:t>
            </w:r>
          </w:p>
          <w:p w14:paraId="059BB3EF">
            <w:pPr>
              <w:autoSpaceDE w:val="0"/>
              <w:autoSpaceDN w:val="0"/>
              <w:adjustRightInd w:val="0"/>
              <w:spacing w:before="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第3包：新建完善路口信号灯和附属设施3</w:t>
            </w:r>
          </w:p>
          <w:p w14:paraId="733BF41E">
            <w:pPr>
              <w:autoSpaceDE w:val="0"/>
              <w:autoSpaceDN w:val="0"/>
              <w:adjustRightInd w:val="0"/>
              <w:spacing w:before="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负责西城、海淀、石景山、昌平。</w:t>
            </w:r>
          </w:p>
          <w:p w14:paraId="5158EECE">
            <w:pPr>
              <w:autoSpaceDE w:val="0"/>
              <w:autoSpaceDN w:val="0"/>
              <w:adjustRightInd w:val="0"/>
              <w:spacing w:before="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第4包：新建完善路口信号灯和附属设施4</w:t>
            </w:r>
          </w:p>
          <w:p w14:paraId="2F0FB015">
            <w:pPr>
              <w:autoSpaceDE w:val="0"/>
              <w:autoSpaceDN w:val="0"/>
              <w:adjustRightInd w:val="0"/>
              <w:spacing w:before="50"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负责房山、门头沟、大兴。</w:t>
            </w:r>
          </w:p>
          <w:p w14:paraId="59A53A99">
            <w:pPr>
              <w:autoSpaceDE w:val="0"/>
              <w:autoSpaceDN w:val="0"/>
              <w:adjustRightInd w:val="0"/>
              <w:spacing w:before="50" w:line="360" w:lineRule="auto"/>
              <w:rPr>
                <w:rFonts w:hint="default"/>
                <w:lang w:val="en-US" w:eastAsia="zh-CN"/>
              </w:rPr>
            </w:pPr>
            <w:r>
              <w:rPr>
                <w:rFonts w:hint="eastAsia" w:ascii="宋体" w:hAnsi="宋体" w:eastAsia="宋体" w:cs="宋体"/>
                <w:color w:val="auto"/>
                <w:sz w:val="21"/>
                <w:szCs w:val="21"/>
                <w:highlight w:val="none"/>
                <w:lang w:val="en-US" w:eastAsia="zh-CN"/>
              </w:rPr>
              <w:t>具体内容详见各包招标文件。</w:t>
            </w:r>
          </w:p>
        </w:tc>
      </w:tr>
    </w:tbl>
    <w:p w14:paraId="0B3FB2D7">
      <w:pPr>
        <w:spacing w:line="360" w:lineRule="auto"/>
        <w:ind w:firstLine="420" w:firstLineChars="200"/>
        <w:rPr>
          <w:rFonts w:hint="eastAsia" w:ascii="宋体" w:hAnsi="宋体" w:eastAsia="宋体"/>
          <w:szCs w:val="21"/>
          <w:lang w:val="en-US" w:eastAsia="zh-CN"/>
        </w:rPr>
      </w:pPr>
      <w:r>
        <w:rPr>
          <w:rFonts w:hint="eastAsia" w:ascii="宋体" w:hAnsi="宋体"/>
          <w:szCs w:val="21"/>
        </w:rPr>
        <w:t>6.合同履行期限：详见招标文件第五章“采购需求”部分</w:t>
      </w:r>
      <w:r>
        <w:rPr>
          <w:rFonts w:hint="eastAsia" w:ascii="宋体" w:hAnsi="宋体"/>
          <w:szCs w:val="21"/>
          <w:lang w:eastAsia="zh-CN"/>
        </w:rPr>
        <w:t>。</w:t>
      </w:r>
    </w:p>
    <w:p w14:paraId="44F24A8C">
      <w:pPr>
        <w:spacing w:line="360" w:lineRule="auto"/>
        <w:ind w:firstLine="420" w:firstLineChars="200"/>
        <w:rPr>
          <w:rFonts w:hint="eastAsia" w:ascii="宋体" w:hAnsi="宋体"/>
          <w:szCs w:val="21"/>
        </w:rPr>
      </w:pPr>
      <w:r>
        <w:rPr>
          <w:rFonts w:hint="eastAsia" w:ascii="宋体" w:hAnsi="宋体"/>
          <w:szCs w:val="21"/>
        </w:rPr>
        <w:t>7.本项目（是/否）接受联合体投标：否</w:t>
      </w:r>
    </w:p>
    <w:p w14:paraId="1E22C55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36F8497B">
      <w:pPr>
        <w:spacing w:line="360" w:lineRule="auto"/>
        <w:ind w:firstLine="420" w:firstLineChars="200"/>
        <w:rPr>
          <w:rFonts w:hint="eastAsia" w:ascii="宋体" w:hAnsi="宋体"/>
          <w:szCs w:val="21"/>
        </w:rPr>
      </w:pPr>
      <w:bookmarkStart w:id="9" w:name="_Hlk130830910"/>
      <w:r>
        <w:rPr>
          <w:rFonts w:hint="eastAsia" w:ascii="宋体" w:hAnsi="宋体"/>
          <w:szCs w:val="21"/>
        </w:rPr>
        <w:t>1</w:t>
      </w:r>
      <w:bookmarkEnd w:id="9"/>
      <w:r>
        <w:rPr>
          <w:rFonts w:hint="eastAsia" w:ascii="宋体" w:hAnsi="宋体"/>
          <w:szCs w:val="21"/>
        </w:rPr>
        <w:t>.满足《中华人民共和国政府采购法》第二十二条规定</w:t>
      </w:r>
    </w:p>
    <w:p w14:paraId="6E27CF18">
      <w:pPr>
        <w:spacing w:line="360" w:lineRule="auto"/>
        <w:ind w:firstLine="420" w:firstLineChars="200"/>
        <w:rPr>
          <w:rFonts w:hint="eastAsia" w:ascii="宋体" w:hAnsi="宋体"/>
          <w:szCs w:val="21"/>
        </w:rPr>
      </w:pPr>
      <w:bookmarkStart w:id="10" w:name="_Hlk130830897"/>
      <w:bookmarkStart w:id="11" w:name="_Toc28359004"/>
      <w:bookmarkStart w:id="12" w:name="_Toc28359081"/>
      <w:r>
        <w:rPr>
          <w:rFonts w:ascii="宋体" w:hAnsi="宋体"/>
          <w:szCs w:val="21"/>
        </w:rPr>
        <w:t>2</w:t>
      </w:r>
      <w:bookmarkEnd w:id="10"/>
      <w:r>
        <w:rPr>
          <w:rFonts w:hint="eastAsia" w:ascii="宋体" w:hAnsi="宋体"/>
          <w:szCs w:val="21"/>
        </w:rPr>
        <w:t>.落实政府采购政策需满足的资格要求：</w:t>
      </w:r>
    </w:p>
    <w:p w14:paraId="369188DD">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.1</w:t>
      </w:r>
      <w:r>
        <w:rPr>
          <w:rFonts w:hint="eastAsia" w:ascii="宋体" w:hAnsi="宋体"/>
          <w:szCs w:val="21"/>
        </w:rPr>
        <w:t>本项目不专门面向中小企业预留采购份额。</w:t>
      </w:r>
    </w:p>
    <w:p w14:paraId="0FBC17BD">
      <w:pPr>
        <w:spacing w:line="360" w:lineRule="auto"/>
        <w:ind w:firstLine="420" w:firstLineChars="200"/>
        <w:rPr>
          <w:rFonts w:hint="eastAsia" w:ascii="宋体" w:hAnsi="宋体"/>
          <w:szCs w:val="21"/>
        </w:rPr>
      </w:pPr>
      <w:r>
        <w:rPr>
          <w:rFonts w:hint="eastAsia" w:ascii="宋体" w:hAnsi="宋体"/>
          <w:szCs w:val="21"/>
        </w:rPr>
        <w:t>3.本项目的特定资格要求：</w:t>
      </w:r>
      <w:bookmarkStart w:id="13" w:name="_Toc35393623"/>
      <w:bookmarkStart w:id="14" w:name="_Toc35393792"/>
    </w:p>
    <w:p w14:paraId="3DE76F4C">
      <w:pPr>
        <w:spacing w:line="360" w:lineRule="auto"/>
        <w:ind w:firstLine="420" w:firstLineChars="200"/>
        <w:rPr>
          <w:rFonts w:hint="eastAsia" w:ascii="宋体" w:hAnsi="宋体"/>
          <w:szCs w:val="21"/>
        </w:rPr>
      </w:pPr>
      <w:r>
        <w:rPr>
          <w:rFonts w:ascii="宋体" w:hAnsi="宋体"/>
          <w:szCs w:val="21"/>
        </w:rPr>
        <w:t>3.1</w:t>
      </w:r>
      <w:r>
        <w:rPr>
          <w:rFonts w:hint="eastAsia" w:ascii="宋体" w:hAnsi="宋体"/>
          <w:szCs w:val="21"/>
        </w:rPr>
        <w:t>本项目不属于政府购买服务。</w:t>
      </w:r>
    </w:p>
    <w:p w14:paraId="72A594F1">
      <w:pPr>
        <w:spacing w:line="360" w:lineRule="auto"/>
        <w:ind w:firstLine="420" w:firstLineChars="200"/>
        <w:rPr>
          <w:rFonts w:hint="eastAsia" w:ascii="宋体" w:hAnsi="宋体"/>
          <w:szCs w:val="21"/>
        </w:rPr>
      </w:pPr>
      <w:r>
        <w:rPr>
          <w:rFonts w:ascii="宋体" w:hAnsi="宋体"/>
          <w:szCs w:val="21"/>
        </w:rPr>
        <w:t>3.2</w:t>
      </w:r>
      <w:r>
        <w:rPr>
          <w:rFonts w:hint="eastAsia" w:ascii="宋体" w:hAnsi="宋体"/>
          <w:szCs w:val="21"/>
        </w:rPr>
        <w:t>其他特定资格要求：投标人须具有有效的市政公用工程施工总承包资质，并具备有效的安全生产许可证。</w:t>
      </w:r>
    </w:p>
    <w:p w14:paraId="554FD5B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Cs w:val="0"/>
          <w:sz w:val="21"/>
          <w:szCs w:val="21"/>
        </w:rPr>
      </w:pPr>
      <w:r>
        <w:rPr>
          <w:rFonts w:hint="eastAsia" w:ascii="宋体" w:hAnsi="宋体" w:eastAsia="宋体" w:cs="宋体"/>
          <w:bCs w:val="0"/>
          <w:sz w:val="21"/>
          <w:szCs w:val="21"/>
        </w:rPr>
        <w:t>三、获取招标文件</w:t>
      </w:r>
      <w:bookmarkEnd w:id="11"/>
      <w:bookmarkEnd w:id="12"/>
      <w:bookmarkEnd w:id="13"/>
      <w:bookmarkEnd w:id="14"/>
    </w:p>
    <w:p w14:paraId="72C5AFC1">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时间：2026年1月8日至2026年1月15日，（招标文件上传完成开始时间起至截止日每天上午09:00至下午17:00（北京时间，法定节假日除外）。</w:t>
      </w:r>
    </w:p>
    <w:p w14:paraId="24F471C1">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地点：北京市政府采购电子交易平台,具体方式详见“其他补充事宜”。</w:t>
      </w:r>
    </w:p>
    <w:p w14:paraId="50BCCFA8">
      <w:pPr>
        <w:spacing w:line="360" w:lineRule="auto"/>
        <w:ind w:firstLine="420" w:firstLineChars="200"/>
        <w:rPr>
          <w:rFonts w:hint="eastAsia" w:ascii="宋体" w:hAnsi="宋体" w:eastAsia="宋体" w:cs="宋体"/>
          <w:kern w:val="0"/>
          <w:szCs w:val="21"/>
        </w:rPr>
      </w:pPr>
      <w:r>
        <w:rPr>
          <w:rFonts w:hint="eastAsia" w:ascii="宋体" w:hAnsi="宋体" w:cs="宋体"/>
          <w:szCs w:val="21"/>
          <w:lang w:val="en-US" w:eastAsia="zh-CN"/>
        </w:rPr>
        <w:t>3.</w:t>
      </w:r>
      <w:r>
        <w:rPr>
          <w:rFonts w:hint="eastAsia" w:ascii="宋体" w:hAnsi="宋体" w:eastAsia="宋体" w:cs="宋体"/>
          <w:szCs w:val="21"/>
        </w:rPr>
        <w:t>方式：供应商使用电子营业执照、或按照规定办理CA数字认证证书后，自招标公告发布之日起登录北京市政府采购电子交易平台免费获取电子版招标文件</w:t>
      </w:r>
      <w:r>
        <w:rPr>
          <w:rFonts w:hint="eastAsia" w:ascii="宋体" w:hAnsi="宋体" w:eastAsia="宋体" w:cs="宋体"/>
          <w:kern w:val="0"/>
          <w:szCs w:val="21"/>
        </w:rPr>
        <w:t>。</w:t>
      </w:r>
    </w:p>
    <w:p w14:paraId="76773200">
      <w:pPr>
        <w:spacing w:line="360" w:lineRule="auto"/>
        <w:ind w:firstLine="420" w:firstLineChars="200"/>
        <w:rPr>
          <w:rFonts w:hint="eastAsia" w:ascii="宋体" w:hAnsi="宋体" w:eastAsia="宋体" w:cs="宋体"/>
          <w:kern w:val="0"/>
          <w:szCs w:val="21"/>
        </w:rPr>
      </w:pPr>
      <w:r>
        <w:rPr>
          <w:rFonts w:hint="eastAsia" w:ascii="宋体" w:hAnsi="宋体" w:cs="宋体"/>
          <w:kern w:val="0"/>
          <w:szCs w:val="21"/>
          <w:lang w:val="en-US" w:eastAsia="zh-CN"/>
        </w:rPr>
        <w:t>4.</w:t>
      </w:r>
      <w:r>
        <w:rPr>
          <w:rFonts w:hint="eastAsia" w:ascii="宋体" w:hAnsi="宋体" w:eastAsia="宋体" w:cs="宋体"/>
          <w:kern w:val="0"/>
          <w:szCs w:val="21"/>
        </w:rPr>
        <w:t>售价：0元</w:t>
      </w:r>
    </w:p>
    <w:p w14:paraId="792A8BDC">
      <w:pPr>
        <w:widowControl/>
        <w:adjustRightInd w:val="0"/>
        <w:snapToGrid w:val="0"/>
        <w:spacing w:line="360" w:lineRule="auto"/>
        <w:ind w:firstLine="422" w:firstLineChars="200"/>
        <w:rPr>
          <w:rFonts w:hint="eastAsia" w:ascii="宋体" w:hAnsi="宋体" w:eastAsia="宋体" w:cs="宋体"/>
          <w:b/>
          <w:bCs/>
          <w:sz w:val="21"/>
          <w:szCs w:val="21"/>
          <w:lang w:eastAsia="zh-CN"/>
        </w:rPr>
      </w:pPr>
      <w:r>
        <w:rPr>
          <w:rFonts w:hint="eastAsia" w:ascii="宋体" w:hAnsi="宋体" w:cs="宋体"/>
          <w:b/>
          <w:bCs/>
          <w:sz w:val="21"/>
          <w:szCs w:val="21"/>
          <w:lang w:val="en-US" w:eastAsia="zh-CN"/>
        </w:rPr>
        <w:t>5.</w:t>
      </w:r>
      <w:r>
        <w:rPr>
          <w:rFonts w:hint="eastAsia" w:ascii="宋体" w:hAnsi="宋体" w:eastAsia="宋体" w:cs="宋体"/>
          <w:b/>
          <w:bCs/>
          <w:sz w:val="21"/>
          <w:szCs w:val="21"/>
          <w:lang w:eastAsia="zh-CN"/>
        </w:rPr>
        <w:t>招标文件获取成功后2个工作日内，须将以下供应商信息（word版）：</w:t>
      </w:r>
    </w:p>
    <w:tbl>
      <w:tblPr>
        <w:tblStyle w:val="21"/>
        <w:tblW w:w="8606" w:type="dxa"/>
        <w:tblInd w:w="129" w:type="dxa"/>
        <w:tblLayout w:type="fixed"/>
        <w:tblCellMar>
          <w:top w:w="0" w:type="dxa"/>
          <w:left w:w="108" w:type="dxa"/>
          <w:bottom w:w="0" w:type="dxa"/>
          <w:right w:w="108" w:type="dxa"/>
        </w:tblCellMar>
      </w:tblPr>
      <w:tblGrid>
        <w:gridCol w:w="2000"/>
        <w:gridCol w:w="1575"/>
        <w:gridCol w:w="1617"/>
        <w:gridCol w:w="1866"/>
        <w:gridCol w:w="1548"/>
      </w:tblGrid>
      <w:tr w14:paraId="6648C244">
        <w:tblPrEx>
          <w:tblCellMar>
            <w:top w:w="0" w:type="dxa"/>
            <w:left w:w="108" w:type="dxa"/>
            <w:bottom w:w="0" w:type="dxa"/>
            <w:right w:w="108" w:type="dxa"/>
          </w:tblCellMar>
        </w:tblPrEx>
        <w:trPr>
          <w:trHeight w:val="532"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70445E52">
            <w:pPr>
              <w:widowControl/>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1575" w:type="dxa"/>
            <w:tcBorders>
              <w:top w:val="single" w:color="000000" w:sz="4" w:space="0"/>
              <w:left w:val="single" w:color="000000" w:sz="4" w:space="0"/>
              <w:bottom w:val="single" w:color="000000" w:sz="4" w:space="0"/>
              <w:right w:val="single" w:color="000000" w:sz="4" w:space="0"/>
            </w:tcBorders>
            <w:vAlign w:val="center"/>
          </w:tcPr>
          <w:p w14:paraId="09E3631B">
            <w:pPr>
              <w:widowControl/>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企业名称</w:t>
            </w:r>
          </w:p>
        </w:tc>
        <w:tc>
          <w:tcPr>
            <w:tcW w:w="1617" w:type="dxa"/>
            <w:tcBorders>
              <w:top w:val="single" w:color="000000" w:sz="4" w:space="0"/>
              <w:left w:val="single" w:color="000000" w:sz="4" w:space="0"/>
              <w:bottom w:val="single" w:color="000000" w:sz="4" w:space="0"/>
              <w:right w:val="single" w:color="000000" w:sz="4" w:space="0"/>
            </w:tcBorders>
            <w:vAlign w:val="center"/>
          </w:tcPr>
          <w:p w14:paraId="735DCB43">
            <w:pPr>
              <w:widowControl/>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法人姓名</w:t>
            </w:r>
          </w:p>
        </w:tc>
        <w:tc>
          <w:tcPr>
            <w:tcW w:w="1866" w:type="dxa"/>
            <w:tcBorders>
              <w:top w:val="single" w:color="000000" w:sz="4" w:space="0"/>
              <w:left w:val="single" w:color="000000" w:sz="4" w:space="0"/>
              <w:bottom w:val="single" w:color="000000" w:sz="4" w:space="0"/>
              <w:right w:val="single" w:color="000000" w:sz="4" w:space="0"/>
            </w:tcBorders>
            <w:vAlign w:val="center"/>
          </w:tcPr>
          <w:p w14:paraId="704BBBFA">
            <w:pPr>
              <w:widowControl/>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法人身份证号</w:t>
            </w:r>
          </w:p>
          <w:p w14:paraId="247762BA">
            <w:pPr>
              <w:widowControl/>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（有/无）</w:t>
            </w:r>
          </w:p>
        </w:tc>
        <w:tc>
          <w:tcPr>
            <w:tcW w:w="1548" w:type="dxa"/>
            <w:tcBorders>
              <w:top w:val="single" w:color="000000" w:sz="4" w:space="0"/>
              <w:left w:val="single" w:color="000000" w:sz="4" w:space="0"/>
              <w:bottom w:val="single" w:color="000000" w:sz="4" w:space="0"/>
              <w:right w:val="single" w:color="000000" w:sz="4" w:space="0"/>
            </w:tcBorders>
            <w:vAlign w:val="center"/>
          </w:tcPr>
          <w:p w14:paraId="13134B9F">
            <w:pPr>
              <w:widowControl/>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法人身份证号(无时理由)</w:t>
            </w:r>
          </w:p>
        </w:tc>
      </w:tr>
      <w:tr w14:paraId="68652C04">
        <w:tblPrEx>
          <w:tblCellMar>
            <w:top w:w="0" w:type="dxa"/>
            <w:left w:w="108" w:type="dxa"/>
            <w:bottom w:w="0" w:type="dxa"/>
            <w:right w:w="108" w:type="dxa"/>
          </w:tblCellMar>
        </w:tblPrEx>
        <w:trPr>
          <w:trHeight w:val="712"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10518AB1">
            <w:pPr>
              <w:widowControl/>
              <w:adjustRightInd w:val="0"/>
              <w:snapToGrid w:val="0"/>
              <w:spacing w:line="360" w:lineRule="auto"/>
              <w:jc w:val="center"/>
              <w:textAlignment w:val="center"/>
              <w:rPr>
                <w:rFonts w:hint="eastAsia" w:ascii="宋体" w:hAnsi="宋体" w:eastAsia="宋体" w:cs="宋体"/>
                <w:sz w:val="21"/>
                <w:szCs w:val="21"/>
                <w:lang w:eastAsia="zh-CN" w:bidi="ar"/>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23424F91">
            <w:pPr>
              <w:widowControl/>
              <w:adjustRightInd w:val="0"/>
              <w:snapToGrid w:val="0"/>
              <w:spacing w:line="360" w:lineRule="auto"/>
              <w:jc w:val="center"/>
              <w:textAlignment w:val="center"/>
              <w:rPr>
                <w:rFonts w:hint="eastAsia" w:ascii="宋体" w:hAnsi="宋体" w:eastAsia="宋体" w:cs="宋体"/>
                <w:sz w:val="21"/>
                <w:szCs w:val="21"/>
                <w:lang w:eastAsia="zh-CN" w:bidi="ar"/>
              </w:rPr>
            </w:pPr>
          </w:p>
        </w:tc>
        <w:tc>
          <w:tcPr>
            <w:tcW w:w="1617" w:type="dxa"/>
            <w:tcBorders>
              <w:top w:val="single" w:color="000000" w:sz="4" w:space="0"/>
              <w:left w:val="single" w:color="000000" w:sz="4" w:space="0"/>
              <w:bottom w:val="single" w:color="000000" w:sz="4" w:space="0"/>
              <w:right w:val="single" w:color="000000" w:sz="4" w:space="0"/>
            </w:tcBorders>
            <w:vAlign w:val="center"/>
          </w:tcPr>
          <w:p w14:paraId="41F3280C">
            <w:pPr>
              <w:widowControl/>
              <w:adjustRightInd w:val="0"/>
              <w:snapToGrid w:val="0"/>
              <w:spacing w:line="360" w:lineRule="auto"/>
              <w:jc w:val="center"/>
              <w:textAlignment w:val="center"/>
              <w:rPr>
                <w:rFonts w:hint="eastAsia" w:ascii="宋体" w:hAnsi="宋体" w:eastAsia="宋体" w:cs="宋体"/>
                <w:sz w:val="21"/>
                <w:szCs w:val="21"/>
                <w:lang w:eastAsia="zh-CN" w:bidi="ar"/>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28541AF2">
            <w:pPr>
              <w:widowControl/>
              <w:adjustRightInd w:val="0"/>
              <w:snapToGrid w:val="0"/>
              <w:spacing w:line="360" w:lineRule="auto"/>
              <w:jc w:val="center"/>
              <w:textAlignment w:val="center"/>
              <w:rPr>
                <w:rStyle w:val="48"/>
                <w:rFonts w:hint="eastAsia" w:ascii="宋体" w:hAnsi="宋体" w:eastAsia="宋体" w:cs="宋体"/>
                <w:color w:val="auto"/>
                <w:sz w:val="21"/>
                <w:szCs w:val="21"/>
                <w:lang w:eastAsia="zh-CN" w:bidi="ar"/>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D9A6D70">
            <w:pPr>
              <w:widowControl/>
              <w:adjustRightInd w:val="0"/>
              <w:snapToGrid w:val="0"/>
              <w:spacing w:line="360" w:lineRule="auto"/>
              <w:jc w:val="center"/>
              <w:textAlignment w:val="center"/>
              <w:rPr>
                <w:rStyle w:val="49"/>
                <w:rFonts w:hint="eastAsia" w:ascii="宋体" w:hAnsi="宋体" w:eastAsia="宋体" w:cs="宋体"/>
                <w:color w:val="auto"/>
                <w:sz w:val="21"/>
                <w:szCs w:val="21"/>
                <w:lang w:eastAsia="zh-CN" w:bidi="ar"/>
              </w:rPr>
            </w:pPr>
          </w:p>
        </w:tc>
      </w:tr>
    </w:tbl>
    <w:p w14:paraId="0C56767D">
      <w:pPr>
        <w:widowControl/>
        <w:adjustRightInd w:val="0"/>
        <w:snapToGrid w:val="0"/>
        <w:spacing w:before="120" w:beforeLines="50" w:after="120" w:afterLines="50" w:line="360" w:lineRule="auto"/>
        <w:ind w:firstLine="422" w:firstLineChars="200"/>
        <w:rPr>
          <w:rFonts w:hint="eastAsia" w:ascii="宋体" w:hAnsi="宋体" w:eastAsia="宋体" w:cs="宋体"/>
          <w:b/>
          <w:bCs/>
          <w:color w:val="000000" w:themeColor="text1"/>
          <w:sz w:val="21"/>
          <w:szCs w:val="21"/>
        </w:rPr>
      </w:pPr>
      <w:r>
        <w:rPr>
          <w:rFonts w:hint="eastAsia" w:ascii="宋体" w:hAnsi="宋体" w:eastAsia="宋体" w:cs="宋体"/>
          <w:b/>
          <w:bCs/>
          <w:sz w:val="21"/>
          <w:szCs w:val="21"/>
        </w:rPr>
        <w:t>发送邮件至lijiapeng@biecc.com.cn，邮件标题注明“项目编号+项目名称+公司名称”。</w:t>
      </w:r>
    </w:p>
    <w:p w14:paraId="55C61F43">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Cs w:val="0"/>
          <w:sz w:val="21"/>
          <w:szCs w:val="21"/>
        </w:rPr>
      </w:pPr>
      <w:bookmarkStart w:id="15" w:name="_Toc28359082"/>
      <w:bookmarkStart w:id="16" w:name="_Toc28359005"/>
      <w:bookmarkStart w:id="17" w:name="_Toc35393624"/>
      <w:bookmarkStart w:id="18" w:name="_Toc35393793"/>
      <w:r>
        <w:rPr>
          <w:rFonts w:hint="eastAsia" w:ascii="宋体" w:hAnsi="宋体" w:eastAsia="宋体" w:cs="宋体"/>
          <w:bCs w:val="0"/>
          <w:sz w:val="21"/>
          <w:szCs w:val="21"/>
        </w:rPr>
        <w:t>四、提交投标文件</w:t>
      </w:r>
      <w:bookmarkEnd w:id="15"/>
      <w:bookmarkEnd w:id="16"/>
      <w:r>
        <w:rPr>
          <w:rFonts w:hint="eastAsia" w:ascii="宋体" w:hAnsi="宋体" w:eastAsia="宋体" w:cs="宋体"/>
          <w:bCs w:val="0"/>
          <w:sz w:val="21"/>
          <w:szCs w:val="21"/>
        </w:rPr>
        <w:t>截止时间、开标时间和地点</w:t>
      </w:r>
      <w:bookmarkEnd w:id="17"/>
      <w:bookmarkEnd w:id="18"/>
    </w:p>
    <w:p w14:paraId="2CAA3185">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时间：2026年1月29日上午09：30（北京时间）</w:t>
      </w:r>
    </w:p>
    <w:p w14:paraId="183A8F8A">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Cs w:val="0"/>
          <w:sz w:val="21"/>
          <w:szCs w:val="21"/>
        </w:rPr>
      </w:pPr>
      <w:bookmarkStart w:id="19" w:name="_Toc35393794"/>
      <w:bookmarkStart w:id="20" w:name="_Toc35393625"/>
      <w:bookmarkStart w:id="21" w:name="_Toc28359084"/>
      <w:bookmarkStart w:id="22" w:name="_Toc28359007"/>
      <w:r>
        <w:rPr>
          <w:rFonts w:hint="eastAsia" w:ascii="宋体" w:hAnsi="宋体" w:eastAsia="宋体" w:cs="宋体"/>
          <w:bCs w:val="0"/>
          <w:sz w:val="21"/>
          <w:szCs w:val="21"/>
        </w:rPr>
        <w:t>五、公告期限</w:t>
      </w:r>
      <w:bookmarkEnd w:id="19"/>
      <w:bookmarkEnd w:id="20"/>
      <w:bookmarkEnd w:id="21"/>
      <w:bookmarkEnd w:id="22"/>
    </w:p>
    <w:p w14:paraId="5E292B7B">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3C083B5">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Cs w:val="0"/>
          <w:sz w:val="21"/>
          <w:szCs w:val="21"/>
        </w:rPr>
      </w:pPr>
      <w:bookmarkStart w:id="23" w:name="_Toc35393626"/>
      <w:bookmarkStart w:id="24" w:name="_Toc35393795"/>
      <w:r>
        <w:rPr>
          <w:rFonts w:hint="eastAsia" w:ascii="宋体" w:hAnsi="宋体" w:eastAsia="宋体" w:cs="宋体"/>
          <w:bCs w:val="0"/>
          <w:sz w:val="21"/>
          <w:szCs w:val="21"/>
        </w:rPr>
        <w:t>六、其他补充事宜</w:t>
      </w:r>
      <w:bookmarkEnd w:id="23"/>
      <w:bookmarkEnd w:id="24"/>
    </w:p>
    <w:p w14:paraId="6761A217">
      <w:pPr>
        <w:spacing w:line="360" w:lineRule="auto"/>
        <w:ind w:firstLine="422" w:firstLineChars="200"/>
        <w:contextualSpacing/>
        <w:rPr>
          <w:rFonts w:hint="eastAsia" w:ascii="宋体" w:hAnsi="宋体" w:eastAsia="宋体" w:cs="宋体"/>
          <w:color w:val="000000" w:themeColor="text1"/>
          <w:sz w:val="21"/>
          <w:szCs w:val="21"/>
          <w:lang w:eastAsia="zh-CN"/>
        </w:rPr>
      </w:pPr>
      <w:bookmarkStart w:id="25" w:name="_Toc28359008"/>
      <w:bookmarkStart w:id="26" w:name="_Toc35393627"/>
      <w:bookmarkStart w:id="27" w:name="_Toc28359085"/>
      <w:bookmarkStart w:id="28" w:name="_Toc35393796"/>
      <w:r>
        <w:rPr>
          <w:rFonts w:hint="eastAsia" w:ascii="宋体" w:hAnsi="宋体" w:cs="宋体"/>
          <w:b/>
          <w:bCs/>
          <w:color w:val="000000" w:themeColor="text1"/>
          <w:sz w:val="21"/>
          <w:szCs w:val="21"/>
          <w:lang w:val="en-US" w:eastAsia="zh-CN"/>
        </w:rPr>
        <w:t>1</w:t>
      </w:r>
      <w:r>
        <w:rPr>
          <w:rFonts w:hint="eastAsia" w:ascii="宋体" w:hAnsi="宋体" w:eastAsia="宋体" w:cs="宋体"/>
          <w:b/>
          <w:bCs/>
          <w:color w:val="000000" w:themeColor="text1"/>
          <w:sz w:val="21"/>
          <w:szCs w:val="21"/>
          <w:lang w:eastAsia="zh-CN"/>
        </w:rPr>
        <w:t>.本项目采用全流程电子化采购方式，</w:t>
      </w:r>
      <w:r>
        <w:rPr>
          <w:rFonts w:hint="eastAsia" w:ascii="宋体" w:hAnsi="宋体" w:eastAsia="宋体" w:cs="宋体"/>
          <w:color w:val="000000" w:themeColor="text1"/>
          <w:sz w:val="21"/>
          <w:szCs w:val="21"/>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CA数字证书服务热线：010-58511086</w:t>
      </w:r>
    </w:p>
    <w:p w14:paraId="7AE02E71">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电子营业执照服务热线：400-699-7000</w:t>
      </w:r>
    </w:p>
    <w:p w14:paraId="0562AD20">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技术支持服务热线：010-86483801</w:t>
      </w:r>
    </w:p>
    <w:p w14:paraId="359852B5">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1.1办理CA数字证书或电子营业执照</w:t>
      </w:r>
    </w:p>
    <w:p w14:paraId="2FA9B86E">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供应商登录北京市政府采购电子交易平台查阅“用户指南”—“操作指南”—“市场主体CA办理操作流程指引”/“电子营业执照使用指南”，按照程序要求办理。</w:t>
      </w:r>
    </w:p>
    <w:p w14:paraId="1D15232A">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1.2注册</w:t>
      </w:r>
    </w:p>
    <w:p w14:paraId="4EF2B582">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供应商登录北京市政府采购电子交易平台“用户指南”—“操作指南”—“市场主体注册入库操作流程指引”进行自助注册绑定。</w:t>
      </w:r>
    </w:p>
    <w:p w14:paraId="502A1F5B">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1.3驱动、客户端下载</w:t>
      </w:r>
    </w:p>
    <w:p w14:paraId="7B01CBCF">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供应商登录北京市政府采购电子交易平台“用户指南”—“工具下载”—“招标采购系统文件驱动安装包”下载相关驱动。</w:t>
      </w:r>
    </w:p>
    <w:p w14:paraId="0EF4B7AB">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供应商登录北京市政府采购电子交易平台“用户指南”—“工具下载”—“投标文件编制工具”下载相关客户端。</w:t>
      </w:r>
    </w:p>
    <w:p w14:paraId="5D36CB26">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cs="宋体"/>
          <w:b/>
          <w:bCs/>
          <w:color w:val="000000" w:themeColor="text1"/>
          <w:sz w:val="21"/>
          <w:szCs w:val="21"/>
          <w:lang w:val="en-US" w:eastAsia="zh-CN"/>
        </w:rPr>
        <w:t>2.</w:t>
      </w:r>
      <w:r>
        <w:rPr>
          <w:rFonts w:hint="eastAsia" w:ascii="宋体" w:hAnsi="宋体" w:eastAsia="宋体" w:cs="宋体"/>
          <w:b/>
          <w:bCs/>
          <w:color w:val="000000" w:themeColor="text1"/>
          <w:sz w:val="21"/>
          <w:szCs w:val="21"/>
          <w:lang w:eastAsia="zh-CN"/>
        </w:rPr>
        <w:t>获取电子招标文件</w:t>
      </w:r>
    </w:p>
    <w:p w14:paraId="1A1C5B35">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eastAsia="宋体" w:cs="宋体"/>
          <w:b/>
          <w:bCs/>
          <w:color w:val="000000" w:themeColor="text1"/>
          <w:sz w:val="21"/>
          <w:szCs w:val="21"/>
          <w:lang w:eastAsia="zh-CN"/>
        </w:rPr>
        <w:t>供应商使用CA数字证书或电子营业执照登录北京市政府采购电子交易平台获取电子招标文件。</w:t>
      </w:r>
    </w:p>
    <w:p w14:paraId="4CE3B108">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eastAsia="宋体" w:cs="宋体"/>
          <w:b/>
          <w:bCs/>
          <w:color w:val="000000" w:themeColor="text1"/>
          <w:sz w:val="21"/>
          <w:szCs w:val="21"/>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cs="宋体"/>
          <w:b/>
          <w:bCs/>
          <w:color w:val="000000" w:themeColor="text1"/>
          <w:sz w:val="21"/>
          <w:szCs w:val="21"/>
          <w:lang w:val="en-US" w:eastAsia="zh-CN"/>
        </w:rPr>
        <w:t>3.</w:t>
      </w:r>
      <w:r>
        <w:rPr>
          <w:rFonts w:hint="eastAsia" w:ascii="宋体" w:hAnsi="宋体" w:eastAsia="宋体" w:cs="宋体"/>
          <w:b/>
          <w:bCs/>
          <w:color w:val="000000" w:themeColor="text1"/>
          <w:sz w:val="21"/>
          <w:szCs w:val="21"/>
          <w:lang w:eastAsia="zh-CN"/>
        </w:rPr>
        <w:t>编制电子投标文件</w:t>
      </w:r>
    </w:p>
    <w:p w14:paraId="0DEBD5A3">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eastAsia="宋体" w:cs="宋体"/>
          <w:b/>
          <w:bCs/>
          <w:color w:val="000000" w:themeColor="text1"/>
          <w:sz w:val="21"/>
          <w:szCs w:val="21"/>
          <w:lang w:eastAsia="zh-CN"/>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cs="宋体"/>
          <w:b/>
          <w:bCs/>
          <w:color w:val="000000" w:themeColor="text1"/>
          <w:sz w:val="21"/>
          <w:szCs w:val="21"/>
          <w:lang w:val="en-US" w:eastAsia="zh-CN"/>
        </w:rPr>
        <w:t>4.</w:t>
      </w:r>
      <w:r>
        <w:rPr>
          <w:rFonts w:hint="eastAsia" w:ascii="宋体" w:hAnsi="宋体" w:eastAsia="宋体" w:cs="宋体"/>
          <w:b/>
          <w:bCs/>
          <w:color w:val="000000" w:themeColor="text1"/>
          <w:sz w:val="21"/>
          <w:szCs w:val="21"/>
          <w:lang w:eastAsia="zh-CN"/>
        </w:rPr>
        <w:t>提交电子投标文件</w:t>
      </w:r>
    </w:p>
    <w:p w14:paraId="71CBFE14">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eastAsia="宋体" w:cs="宋体"/>
          <w:b/>
          <w:bCs/>
          <w:color w:val="000000" w:themeColor="text1"/>
          <w:sz w:val="21"/>
          <w:szCs w:val="21"/>
          <w:lang w:eastAsia="zh-CN"/>
        </w:rPr>
        <w:t>供应商应于投标截止时间前在北京市政府采购电子交易平台分别按采购包提交电子投标文件，上传电子投标文件过程中请保持与互联网的连接畅通。</w:t>
      </w:r>
    </w:p>
    <w:p w14:paraId="39DF447F">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cs="宋体"/>
          <w:b/>
          <w:bCs/>
          <w:color w:val="000000" w:themeColor="text1"/>
          <w:sz w:val="21"/>
          <w:szCs w:val="21"/>
          <w:lang w:val="en-US" w:eastAsia="zh-CN"/>
        </w:rPr>
        <w:t>5.</w:t>
      </w:r>
      <w:r>
        <w:rPr>
          <w:rFonts w:hint="eastAsia" w:ascii="宋体" w:hAnsi="宋体" w:eastAsia="宋体" w:cs="宋体"/>
          <w:b/>
          <w:bCs/>
          <w:color w:val="000000" w:themeColor="text1"/>
          <w:sz w:val="21"/>
          <w:szCs w:val="21"/>
          <w:lang w:eastAsia="zh-CN"/>
        </w:rPr>
        <w:t>电子开标</w:t>
      </w:r>
    </w:p>
    <w:p w14:paraId="45538019">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eastAsia="宋体" w:cs="宋体"/>
          <w:b/>
          <w:bCs/>
          <w:color w:val="000000" w:themeColor="text1"/>
          <w:sz w:val="21"/>
          <w:szCs w:val="21"/>
          <w:lang w:eastAsia="zh-CN"/>
        </w:rPr>
        <w:t>供应商在开标地点（北京市政府采购电子交易平台）使用CA数字证书或电子营业执照登录北京市政府采购电子交易平台进行电子开标。</w:t>
      </w:r>
    </w:p>
    <w:p w14:paraId="2F660F42">
      <w:pPr>
        <w:spacing w:line="360" w:lineRule="auto"/>
        <w:ind w:firstLine="422" w:firstLineChars="200"/>
        <w:contextualSpacing/>
        <w:rPr>
          <w:rFonts w:hint="eastAsia" w:ascii="宋体" w:hAnsi="宋体" w:eastAsia="宋体" w:cs="宋体"/>
          <w:b/>
          <w:bCs/>
          <w:color w:val="000000" w:themeColor="text1"/>
          <w:sz w:val="21"/>
          <w:szCs w:val="21"/>
          <w:lang w:eastAsia="zh-CN"/>
        </w:rPr>
      </w:pPr>
      <w:r>
        <w:rPr>
          <w:rFonts w:hint="eastAsia" w:ascii="宋体" w:hAnsi="宋体" w:eastAsia="宋体" w:cs="宋体"/>
          <w:b/>
          <w:bCs/>
          <w:color w:val="000000" w:themeColor="text1"/>
          <w:sz w:val="21"/>
          <w:szCs w:val="21"/>
          <w:lang w:eastAsia="zh-CN"/>
        </w:rPr>
        <w:t>开标时间到达之后对已在系统中递交且完成签到的供应商的投标文件进行解密。</w:t>
      </w:r>
    </w:p>
    <w:p w14:paraId="79641816">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若供应商已申请多把数字证书，请注意使用差别，确保制作的投标文件和开标解密时使用的数字证书一致，造成解密失败的，由供应商负责。</w:t>
      </w:r>
    </w:p>
    <w:p w14:paraId="77B3AE0D">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供应商应充分考虑到网络及系统平台可能存在的非正常情况，在投标文件递交截止时间之前完成上传。</w:t>
      </w:r>
      <w:bookmarkStart w:id="36" w:name="_GoBack"/>
      <w:bookmarkEnd w:id="36"/>
    </w:p>
    <w:p w14:paraId="695F1A23">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lang w:eastAsia="zh-CN"/>
        </w:rPr>
        <w:t>供应商投标过程中项目编写以“BIECC开头编号”为准。</w:t>
      </w:r>
    </w:p>
    <w:p w14:paraId="0F25784E">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Cs w:val="0"/>
          <w:sz w:val="21"/>
          <w:szCs w:val="21"/>
        </w:rPr>
      </w:pPr>
      <w:r>
        <w:rPr>
          <w:rFonts w:hint="eastAsia" w:ascii="宋体" w:hAnsi="宋体" w:eastAsia="宋体" w:cs="宋体"/>
          <w:bCs w:val="0"/>
          <w:sz w:val="21"/>
          <w:szCs w:val="21"/>
        </w:rPr>
        <w:t>七、对本次招标提出询问，请按以下方式联系</w:t>
      </w:r>
      <w:bookmarkEnd w:id="25"/>
      <w:bookmarkEnd w:id="26"/>
      <w:bookmarkEnd w:id="27"/>
      <w:bookmarkEnd w:id="28"/>
    </w:p>
    <w:p w14:paraId="1A0EA0B6">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1.采购人信息</w:t>
      </w:r>
    </w:p>
    <w:p w14:paraId="3E38231C">
      <w:pPr>
        <w:spacing w:line="360" w:lineRule="auto"/>
        <w:ind w:firstLine="420" w:firstLineChars="200"/>
        <w:contextualSpacing/>
        <w:rPr>
          <w:rFonts w:hint="eastAsia" w:ascii="宋体" w:hAnsi="宋体" w:eastAsia="宋体" w:cs="宋体"/>
          <w:color w:val="000000" w:themeColor="text1"/>
          <w:sz w:val="21"/>
          <w:szCs w:val="21"/>
          <w:lang w:eastAsia="zh-CN"/>
        </w:rPr>
      </w:pPr>
      <w:bookmarkStart w:id="29" w:name="_Toc28359086"/>
      <w:bookmarkStart w:id="30" w:name="_Toc28359009"/>
      <w:r>
        <w:rPr>
          <w:rFonts w:hint="eastAsia" w:ascii="宋体" w:hAnsi="宋体" w:eastAsia="宋体" w:cs="宋体"/>
          <w:color w:val="000000" w:themeColor="text1"/>
          <w:sz w:val="21"/>
          <w:szCs w:val="21"/>
          <w:lang w:eastAsia="zh-CN"/>
        </w:rPr>
        <w:t>名称：北京市公安局交通管理局</w:t>
      </w:r>
    </w:p>
    <w:p w14:paraId="0AA7BD78">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地址：北京市西城区阜成门北大街1号</w:t>
      </w:r>
    </w:p>
    <w:p w14:paraId="601C6555">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联系方式：谢警官，010-68399073</w:t>
      </w:r>
    </w:p>
    <w:bookmarkEnd w:id="29"/>
    <w:bookmarkEnd w:id="30"/>
    <w:p w14:paraId="3C684552">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2.采购代理机构信息</w:t>
      </w:r>
    </w:p>
    <w:p w14:paraId="073833A8">
      <w:pPr>
        <w:spacing w:line="360" w:lineRule="auto"/>
        <w:ind w:firstLine="420" w:firstLineChars="200"/>
        <w:contextualSpacing/>
        <w:rPr>
          <w:rFonts w:hint="eastAsia" w:ascii="宋体" w:hAnsi="宋体" w:eastAsia="宋体" w:cs="宋体"/>
          <w:color w:val="000000" w:themeColor="text1"/>
          <w:sz w:val="21"/>
          <w:szCs w:val="21"/>
          <w:lang w:eastAsia="zh-CN"/>
        </w:rPr>
      </w:pPr>
      <w:bookmarkStart w:id="31" w:name="_Toc28359087"/>
      <w:bookmarkStart w:id="32" w:name="_Toc28359010"/>
      <w:r>
        <w:rPr>
          <w:rFonts w:hint="eastAsia" w:ascii="宋体" w:hAnsi="宋体" w:eastAsia="宋体" w:cs="宋体"/>
          <w:color w:val="000000" w:themeColor="text1"/>
          <w:sz w:val="21"/>
          <w:szCs w:val="21"/>
          <w:lang w:eastAsia="zh-CN"/>
        </w:rPr>
        <w:t>名称：北京国际工程咨询有限公司</w:t>
      </w:r>
    </w:p>
    <w:p w14:paraId="122277D8">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地址：北京市西城区广安门外大街甲275号</w:t>
      </w:r>
    </w:p>
    <w:p w14:paraId="4F5C5BB4">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联系方式：关雪，包红月010-65780567</w:t>
      </w:r>
    </w:p>
    <w:p w14:paraId="2536F81C">
      <w:pPr>
        <w:spacing w:line="360" w:lineRule="auto"/>
        <w:ind w:firstLine="420" w:firstLineChars="200"/>
        <w:contextualSpacing/>
        <w:rPr>
          <w:rFonts w:hint="eastAsia" w:ascii="宋体" w:hAnsi="宋体" w:eastAsia="宋体" w:cs="宋体"/>
          <w:color w:val="000000" w:themeColor="text1"/>
          <w:sz w:val="21"/>
          <w:szCs w:val="21"/>
          <w:lang w:eastAsia="zh-CN"/>
        </w:rPr>
      </w:pPr>
      <w:bookmarkStart w:id="33" w:name="_Toc14183"/>
      <w:bookmarkStart w:id="34" w:name="_Toc13737"/>
      <w:bookmarkStart w:id="35" w:name="_Toc160119536"/>
      <w:r>
        <w:rPr>
          <w:rFonts w:hint="eastAsia" w:ascii="宋体" w:hAnsi="宋体" w:eastAsia="宋体" w:cs="宋体"/>
          <w:color w:val="000000" w:themeColor="text1"/>
          <w:sz w:val="21"/>
          <w:szCs w:val="21"/>
          <w:lang w:eastAsia="zh-CN"/>
        </w:rPr>
        <w:t>3.项目联系方式</w:t>
      </w:r>
      <w:bookmarkEnd w:id="31"/>
      <w:bookmarkEnd w:id="32"/>
      <w:bookmarkEnd w:id="33"/>
      <w:bookmarkEnd w:id="34"/>
      <w:bookmarkEnd w:id="35"/>
    </w:p>
    <w:p w14:paraId="48D91D58">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项目联系人：关雪，包红月</w:t>
      </w:r>
    </w:p>
    <w:p w14:paraId="4C478445">
      <w:pPr>
        <w:spacing w:line="360" w:lineRule="auto"/>
        <w:ind w:firstLine="420" w:firstLineChars="200"/>
        <w:contextualSpacing/>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电话：010-65780567</w:t>
      </w:r>
    </w:p>
    <w:p w14:paraId="798D4134">
      <w:pPr>
        <w:spacing w:line="360" w:lineRule="auto"/>
        <w:ind w:right="844"/>
        <w:rPr>
          <w:rFonts w:hint="eastAsia" w:ascii="宋体" w:hAnsi="宋体"/>
          <w:b/>
          <w:bCs/>
          <w:szCs w:val="21"/>
        </w:rPr>
      </w:pPr>
    </w:p>
    <w:p w14:paraId="7EB3C1E2">
      <w:pPr>
        <w:pStyle w:val="2"/>
        <w:rPr>
          <w:rFonts w:hint="eastAsia" w:ascii="宋体" w:hAnsi="宋体"/>
          <w:szCs w:val="21"/>
        </w:rPr>
      </w:pPr>
    </w:p>
    <w:p w14:paraId="2425C965"/>
    <w:p w14:paraId="667999C7">
      <w:pPr>
        <w:spacing w:line="360" w:lineRule="auto"/>
        <w:jc w:val="right"/>
        <w:rPr>
          <w:rFonts w:hint="eastAsia" w:ascii="宋体" w:hAnsi="宋体"/>
          <w:b/>
          <w:bCs/>
          <w:szCs w:val="21"/>
        </w:rPr>
      </w:pPr>
      <w:r>
        <w:rPr>
          <w:rFonts w:hint="eastAsia" w:ascii="宋体" w:hAnsi="宋体"/>
          <w:b/>
          <w:bCs/>
          <w:szCs w:val="21"/>
        </w:rPr>
        <w:t>北京国际工程咨询有限公司</w:t>
      </w:r>
    </w:p>
    <w:p w14:paraId="7B5E6E70">
      <w:pPr>
        <w:spacing w:line="360" w:lineRule="auto"/>
        <w:jc w:val="right"/>
        <w:rPr>
          <w:rFonts w:hint="eastAsia" w:ascii="宋体" w:hAnsi="宋体"/>
          <w:szCs w:val="21"/>
        </w:rPr>
      </w:pPr>
      <w:r>
        <w:rPr>
          <w:rFonts w:ascii="宋体" w:hAnsi="宋体"/>
          <w:b/>
          <w:bCs/>
          <w:szCs w:val="21"/>
        </w:rPr>
        <w:t>20</w:t>
      </w:r>
      <w:r>
        <w:rPr>
          <w:rFonts w:hint="eastAsia" w:ascii="宋体" w:hAnsi="宋体"/>
          <w:b/>
          <w:bCs/>
          <w:szCs w:val="21"/>
        </w:rPr>
        <w:t>2</w:t>
      </w:r>
      <w:r>
        <w:rPr>
          <w:rFonts w:hint="eastAsia" w:ascii="宋体" w:hAnsi="宋体"/>
          <w:b/>
          <w:bCs/>
          <w:szCs w:val="21"/>
          <w:lang w:val="en-US" w:eastAsia="zh-CN"/>
        </w:rPr>
        <w:t>6</w:t>
      </w:r>
      <w:r>
        <w:rPr>
          <w:rFonts w:hint="eastAsia" w:ascii="宋体" w:hAnsi="宋体"/>
          <w:b/>
          <w:bCs/>
          <w:szCs w:val="21"/>
        </w:rPr>
        <w:t>年</w:t>
      </w:r>
      <w:r>
        <w:rPr>
          <w:rFonts w:hint="eastAsia" w:ascii="宋体" w:hAnsi="宋体"/>
          <w:b/>
          <w:bCs/>
          <w:szCs w:val="21"/>
          <w:lang w:val="en-US" w:eastAsia="zh-CN"/>
        </w:rPr>
        <w:t>1</w:t>
      </w:r>
      <w:r>
        <w:rPr>
          <w:rFonts w:hint="eastAsia" w:ascii="宋体" w:hAnsi="宋体"/>
          <w:b/>
          <w:bCs/>
          <w:szCs w:val="21"/>
        </w:rPr>
        <w:t>月</w:t>
      </w:r>
      <w:r>
        <w:rPr>
          <w:rFonts w:hint="eastAsia" w:ascii="宋体" w:hAnsi="宋体"/>
          <w:b/>
          <w:bCs/>
          <w:szCs w:val="21"/>
          <w:lang w:val="en-US" w:eastAsia="zh-CN"/>
        </w:rPr>
        <w:t>8</w:t>
      </w:r>
      <w:r>
        <w:rPr>
          <w:rFonts w:hint="eastAsia" w:ascii="宋体" w:hAnsi="宋体"/>
          <w:b/>
          <w:bCs/>
          <w:szCs w:val="21"/>
        </w:rPr>
        <w:t>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FCA"/>
    <w:rsid w:val="000D66CC"/>
    <w:rsid w:val="000E066E"/>
    <w:rsid w:val="000E20CC"/>
    <w:rsid w:val="000E3B73"/>
    <w:rsid w:val="000F4B89"/>
    <w:rsid w:val="00103F9A"/>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6312"/>
    <w:rsid w:val="001D7538"/>
    <w:rsid w:val="001E1C66"/>
    <w:rsid w:val="001E3B5B"/>
    <w:rsid w:val="001F1447"/>
    <w:rsid w:val="001F42FE"/>
    <w:rsid w:val="001F58CA"/>
    <w:rsid w:val="002011B7"/>
    <w:rsid w:val="00202666"/>
    <w:rsid w:val="00206CF6"/>
    <w:rsid w:val="00211E2C"/>
    <w:rsid w:val="002172F8"/>
    <w:rsid w:val="00217B86"/>
    <w:rsid w:val="00217D1E"/>
    <w:rsid w:val="0022019F"/>
    <w:rsid w:val="00236840"/>
    <w:rsid w:val="002369F0"/>
    <w:rsid w:val="00250160"/>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B1D63"/>
    <w:rsid w:val="002B35EF"/>
    <w:rsid w:val="002B484B"/>
    <w:rsid w:val="002B5AF4"/>
    <w:rsid w:val="002B7195"/>
    <w:rsid w:val="002C2908"/>
    <w:rsid w:val="002C35FA"/>
    <w:rsid w:val="002C4759"/>
    <w:rsid w:val="002C53E7"/>
    <w:rsid w:val="002C70A7"/>
    <w:rsid w:val="002D195E"/>
    <w:rsid w:val="002D1C10"/>
    <w:rsid w:val="002D2813"/>
    <w:rsid w:val="002D49D9"/>
    <w:rsid w:val="002D6143"/>
    <w:rsid w:val="002E6352"/>
    <w:rsid w:val="002E72C3"/>
    <w:rsid w:val="002F029B"/>
    <w:rsid w:val="002F142D"/>
    <w:rsid w:val="002F3269"/>
    <w:rsid w:val="002F5015"/>
    <w:rsid w:val="00315B46"/>
    <w:rsid w:val="00317829"/>
    <w:rsid w:val="00321DC2"/>
    <w:rsid w:val="00323F2D"/>
    <w:rsid w:val="003272BC"/>
    <w:rsid w:val="00333566"/>
    <w:rsid w:val="0034336E"/>
    <w:rsid w:val="00345D93"/>
    <w:rsid w:val="00347479"/>
    <w:rsid w:val="003500E6"/>
    <w:rsid w:val="003507F9"/>
    <w:rsid w:val="0035537B"/>
    <w:rsid w:val="00362CE3"/>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6B03"/>
    <w:rsid w:val="004077FE"/>
    <w:rsid w:val="00411ABC"/>
    <w:rsid w:val="00420532"/>
    <w:rsid w:val="00420938"/>
    <w:rsid w:val="00426727"/>
    <w:rsid w:val="0043276A"/>
    <w:rsid w:val="00435423"/>
    <w:rsid w:val="00435D60"/>
    <w:rsid w:val="00436F93"/>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0AD"/>
    <w:rsid w:val="004B531A"/>
    <w:rsid w:val="004B5A70"/>
    <w:rsid w:val="004B61D8"/>
    <w:rsid w:val="004B7B32"/>
    <w:rsid w:val="004C19ED"/>
    <w:rsid w:val="004C3A71"/>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F36E2"/>
    <w:rsid w:val="005F5DC1"/>
    <w:rsid w:val="005F6DB9"/>
    <w:rsid w:val="005F78E3"/>
    <w:rsid w:val="0060068F"/>
    <w:rsid w:val="00601F0E"/>
    <w:rsid w:val="006125B5"/>
    <w:rsid w:val="006143E6"/>
    <w:rsid w:val="00617265"/>
    <w:rsid w:val="0062150B"/>
    <w:rsid w:val="0065614D"/>
    <w:rsid w:val="00683ABF"/>
    <w:rsid w:val="00684BCC"/>
    <w:rsid w:val="0068629F"/>
    <w:rsid w:val="006862B7"/>
    <w:rsid w:val="0069041D"/>
    <w:rsid w:val="0069144B"/>
    <w:rsid w:val="006933F2"/>
    <w:rsid w:val="00697AA7"/>
    <w:rsid w:val="006A0F2B"/>
    <w:rsid w:val="006A12A1"/>
    <w:rsid w:val="006A373B"/>
    <w:rsid w:val="006B03C5"/>
    <w:rsid w:val="006B12D3"/>
    <w:rsid w:val="006B69E9"/>
    <w:rsid w:val="006C6DF4"/>
    <w:rsid w:val="006D184C"/>
    <w:rsid w:val="006D56E4"/>
    <w:rsid w:val="006D637C"/>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5FAD"/>
    <w:rsid w:val="00787079"/>
    <w:rsid w:val="00793AE8"/>
    <w:rsid w:val="007979F3"/>
    <w:rsid w:val="007A4971"/>
    <w:rsid w:val="007A5E98"/>
    <w:rsid w:val="007A7405"/>
    <w:rsid w:val="007B061B"/>
    <w:rsid w:val="007B3284"/>
    <w:rsid w:val="007B7421"/>
    <w:rsid w:val="007B7882"/>
    <w:rsid w:val="007C5270"/>
    <w:rsid w:val="007C580F"/>
    <w:rsid w:val="007C5ABD"/>
    <w:rsid w:val="007C5FF3"/>
    <w:rsid w:val="007D0AE4"/>
    <w:rsid w:val="007D1C1B"/>
    <w:rsid w:val="007E313B"/>
    <w:rsid w:val="007F2A70"/>
    <w:rsid w:val="007F6A3D"/>
    <w:rsid w:val="007F6CDD"/>
    <w:rsid w:val="008048D6"/>
    <w:rsid w:val="0080721B"/>
    <w:rsid w:val="00807457"/>
    <w:rsid w:val="008243FD"/>
    <w:rsid w:val="00825533"/>
    <w:rsid w:val="00827B87"/>
    <w:rsid w:val="00830892"/>
    <w:rsid w:val="00833859"/>
    <w:rsid w:val="00843921"/>
    <w:rsid w:val="0085516C"/>
    <w:rsid w:val="00861107"/>
    <w:rsid w:val="00865DBB"/>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287B"/>
    <w:rsid w:val="009B5914"/>
    <w:rsid w:val="009B752B"/>
    <w:rsid w:val="009C025A"/>
    <w:rsid w:val="009C0DBC"/>
    <w:rsid w:val="009C33E3"/>
    <w:rsid w:val="009D0122"/>
    <w:rsid w:val="009D060A"/>
    <w:rsid w:val="009D2A3C"/>
    <w:rsid w:val="009E07DC"/>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46D20"/>
    <w:rsid w:val="00A51B56"/>
    <w:rsid w:val="00A53197"/>
    <w:rsid w:val="00A54733"/>
    <w:rsid w:val="00A552F2"/>
    <w:rsid w:val="00A617DF"/>
    <w:rsid w:val="00A72255"/>
    <w:rsid w:val="00A7454C"/>
    <w:rsid w:val="00A765A7"/>
    <w:rsid w:val="00A76F50"/>
    <w:rsid w:val="00A8190C"/>
    <w:rsid w:val="00A857BE"/>
    <w:rsid w:val="00A943E8"/>
    <w:rsid w:val="00A96FC5"/>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1455"/>
    <w:rsid w:val="00AF1CDB"/>
    <w:rsid w:val="00B05B06"/>
    <w:rsid w:val="00B06669"/>
    <w:rsid w:val="00B1009C"/>
    <w:rsid w:val="00B11B7D"/>
    <w:rsid w:val="00B1355F"/>
    <w:rsid w:val="00B15405"/>
    <w:rsid w:val="00B15BA1"/>
    <w:rsid w:val="00B176E9"/>
    <w:rsid w:val="00B21D48"/>
    <w:rsid w:val="00B224ED"/>
    <w:rsid w:val="00B244A5"/>
    <w:rsid w:val="00B308A2"/>
    <w:rsid w:val="00B312BD"/>
    <w:rsid w:val="00B33557"/>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28E5"/>
    <w:rsid w:val="00BF46D5"/>
    <w:rsid w:val="00C146A4"/>
    <w:rsid w:val="00C17A00"/>
    <w:rsid w:val="00C2186E"/>
    <w:rsid w:val="00C2625E"/>
    <w:rsid w:val="00C33FC3"/>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B0C5B"/>
    <w:rsid w:val="00CB3C62"/>
    <w:rsid w:val="00CB4718"/>
    <w:rsid w:val="00CB4E52"/>
    <w:rsid w:val="00CB6E0B"/>
    <w:rsid w:val="00CC0B0C"/>
    <w:rsid w:val="00CC49B9"/>
    <w:rsid w:val="00CC71CA"/>
    <w:rsid w:val="00CD0869"/>
    <w:rsid w:val="00CD17F3"/>
    <w:rsid w:val="00CD7120"/>
    <w:rsid w:val="00CE254A"/>
    <w:rsid w:val="00CE2931"/>
    <w:rsid w:val="00CE4EB9"/>
    <w:rsid w:val="00CE50BC"/>
    <w:rsid w:val="00CE6591"/>
    <w:rsid w:val="00CE7E21"/>
    <w:rsid w:val="00CF1415"/>
    <w:rsid w:val="00CF5BCB"/>
    <w:rsid w:val="00CF6CDE"/>
    <w:rsid w:val="00D0663E"/>
    <w:rsid w:val="00D26333"/>
    <w:rsid w:val="00D3074E"/>
    <w:rsid w:val="00D348A8"/>
    <w:rsid w:val="00D3780D"/>
    <w:rsid w:val="00D37F54"/>
    <w:rsid w:val="00D41019"/>
    <w:rsid w:val="00D43026"/>
    <w:rsid w:val="00D622C6"/>
    <w:rsid w:val="00D638F9"/>
    <w:rsid w:val="00D63F46"/>
    <w:rsid w:val="00D65E6F"/>
    <w:rsid w:val="00D74911"/>
    <w:rsid w:val="00D80261"/>
    <w:rsid w:val="00D85E90"/>
    <w:rsid w:val="00D949BB"/>
    <w:rsid w:val="00D94D69"/>
    <w:rsid w:val="00D954A8"/>
    <w:rsid w:val="00D96E59"/>
    <w:rsid w:val="00DA4763"/>
    <w:rsid w:val="00DA6260"/>
    <w:rsid w:val="00DA6D9A"/>
    <w:rsid w:val="00DA7F03"/>
    <w:rsid w:val="00DB333E"/>
    <w:rsid w:val="00DD40D2"/>
    <w:rsid w:val="00DD4E8B"/>
    <w:rsid w:val="00DE06EC"/>
    <w:rsid w:val="00DE276C"/>
    <w:rsid w:val="00DF1535"/>
    <w:rsid w:val="00E01899"/>
    <w:rsid w:val="00E02357"/>
    <w:rsid w:val="00E05106"/>
    <w:rsid w:val="00E11DAB"/>
    <w:rsid w:val="00E1397E"/>
    <w:rsid w:val="00E152FC"/>
    <w:rsid w:val="00E24D84"/>
    <w:rsid w:val="00E26F72"/>
    <w:rsid w:val="00E3406C"/>
    <w:rsid w:val="00E37BF0"/>
    <w:rsid w:val="00E5113C"/>
    <w:rsid w:val="00E521C9"/>
    <w:rsid w:val="00E56495"/>
    <w:rsid w:val="00E5690E"/>
    <w:rsid w:val="00E62514"/>
    <w:rsid w:val="00E625EF"/>
    <w:rsid w:val="00E62AE7"/>
    <w:rsid w:val="00E644C3"/>
    <w:rsid w:val="00E76135"/>
    <w:rsid w:val="00E8459F"/>
    <w:rsid w:val="00E86F4B"/>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50AC"/>
    <w:rsid w:val="00F102E8"/>
    <w:rsid w:val="00F11E4D"/>
    <w:rsid w:val="00F13A61"/>
    <w:rsid w:val="00F14713"/>
    <w:rsid w:val="00F24620"/>
    <w:rsid w:val="00F265D7"/>
    <w:rsid w:val="00F327C2"/>
    <w:rsid w:val="00F34B0A"/>
    <w:rsid w:val="00F34BF5"/>
    <w:rsid w:val="00F474CA"/>
    <w:rsid w:val="00F525BC"/>
    <w:rsid w:val="00F530C5"/>
    <w:rsid w:val="00F53A8C"/>
    <w:rsid w:val="00F54D37"/>
    <w:rsid w:val="00F568AE"/>
    <w:rsid w:val="00F570F2"/>
    <w:rsid w:val="00F60DB8"/>
    <w:rsid w:val="00F611F1"/>
    <w:rsid w:val="00F623D8"/>
    <w:rsid w:val="00F776CC"/>
    <w:rsid w:val="00F80124"/>
    <w:rsid w:val="00F97C7C"/>
    <w:rsid w:val="00FA0A4F"/>
    <w:rsid w:val="00FA242A"/>
    <w:rsid w:val="00FA35EC"/>
    <w:rsid w:val="00FA3A96"/>
    <w:rsid w:val="00FA4CB5"/>
    <w:rsid w:val="00FA7DB5"/>
    <w:rsid w:val="00FC00AB"/>
    <w:rsid w:val="00FC11E9"/>
    <w:rsid w:val="00FC5EB2"/>
    <w:rsid w:val="00FD03B2"/>
    <w:rsid w:val="00FE03B4"/>
    <w:rsid w:val="00FE29C2"/>
    <w:rsid w:val="00FE5128"/>
    <w:rsid w:val="00FF230F"/>
    <w:rsid w:val="00FF4489"/>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E3452C"/>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5C20305"/>
    <w:rsid w:val="581B2C07"/>
    <w:rsid w:val="587578B0"/>
    <w:rsid w:val="5CD34BE7"/>
    <w:rsid w:val="5E437B86"/>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qFormat="1" w:unhideWhenUsed="0" w:uiPriority="39"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semiHidden/>
    <w:unhideWhenUsed/>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7">
    <w:name w:val="toc 7"/>
    <w:basedOn w:val="1"/>
    <w:next w:val="1"/>
    <w:autoRedefine/>
    <w:qFormat/>
    <w:uiPriority w:val="39"/>
    <w:pPr>
      <w:ind w:left="1260"/>
      <w:jc w:val="left"/>
    </w:pPr>
    <w:rPr>
      <w:rFonts w:ascii="Calibri" w:hAnsi="Calibri" w:cs="Calibri"/>
      <w:sz w:val="18"/>
      <w:szCs w:val="18"/>
    </w:rPr>
  </w:style>
  <w:style w:type="paragraph" w:styleId="8">
    <w:name w:val="Normal Indent"/>
    <w:basedOn w:val="1"/>
    <w:link w:val="43"/>
    <w:qFormat/>
    <w:uiPriority w:val="0"/>
    <w:pPr>
      <w:autoSpaceDE w:val="0"/>
      <w:autoSpaceDN w:val="0"/>
      <w:adjustRightInd w:val="0"/>
      <w:ind w:firstLine="420"/>
      <w:jc w:val="left"/>
    </w:pPr>
    <w:rPr>
      <w:rFonts w:ascii="宋体"/>
      <w:sz w:val="24"/>
    </w:rPr>
  </w:style>
  <w:style w:type="paragraph" w:styleId="9">
    <w:name w:val="Document Map"/>
    <w:basedOn w:val="1"/>
    <w:semiHidden/>
    <w:qFormat/>
    <w:uiPriority w:val="0"/>
    <w:pPr>
      <w:shd w:val="clear" w:color="auto" w:fill="000080"/>
    </w:pPr>
  </w:style>
  <w:style w:type="paragraph" w:styleId="10">
    <w:name w:val="annotation text"/>
    <w:basedOn w:val="1"/>
    <w:link w:val="32"/>
    <w:qFormat/>
    <w:uiPriority w:val="0"/>
    <w:pPr>
      <w:jc w:val="left"/>
    </w:pPr>
  </w:style>
  <w:style w:type="paragraph" w:styleId="11">
    <w:name w:val="Body Text"/>
    <w:basedOn w:val="1"/>
    <w:link w:val="30"/>
    <w:qFormat/>
    <w:uiPriority w:val="0"/>
    <w:pPr>
      <w:spacing w:after="120"/>
    </w:pPr>
  </w:style>
  <w:style w:type="paragraph" w:styleId="12">
    <w:name w:val="Body Text Indent"/>
    <w:basedOn w:val="1"/>
    <w:qFormat/>
    <w:uiPriority w:val="0"/>
    <w:pPr>
      <w:ind w:firstLine="795"/>
    </w:pPr>
    <w:rPr>
      <w:sz w:val="32"/>
      <w:szCs w:val="20"/>
    </w:rPr>
  </w:style>
  <w:style w:type="paragraph" w:styleId="13">
    <w:name w:val="Plain Text"/>
    <w:basedOn w:val="1"/>
    <w:link w:val="28"/>
    <w:qFormat/>
    <w:uiPriority w:val="0"/>
    <w:rPr>
      <w:rFonts w:ascii="宋体" w:hAnsi="Courier New"/>
      <w:szCs w:val="20"/>
    </w:rPr>
  </w:style>
  <w:style w:type="paragraph" w:styleId="14">
    <w:name w:val="Date"/>
    <w:basedOn w:val="1"/>
    <w:next w:val="1"/>
    <w:link w:val="47"/>
    <w:semiHidden/>
    <w:unhideWhenUsed/>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next w:val="1"/>
    <w:link w:val="3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semiHidden/>
    <w:unhideWhenUsed/>
    <w:qFormat/>
    <w:uiPriority w:val="0"/>
    <w:rPr>
      <w:sz w:val="24"/>
    </w:rPr>
  </w:style>
  <w:style w:type="paragraph" w:styleId="20">
    <w:name w:val="annotation subject"/>
    <w:basedOn w:val="10"/>
    <w:next w:val="10"/>
    <w:link w:val="27"/>
    <w:qFormat/>
    <w:uiPriority w:val="0"/>
    <w:rPr>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mphasis"/>
    <w:qFormat/>
    <w:uiPriority w:val="0"/>
    <w:rPr>
      <w:rFonts w:ascii="Arial" w:hAnsi="Arial"/>
      <w:b/>
      <w:spacing w:val="-10"/>
      <w:sz w:val="18"/>
      <w:lang w:eastAsia="zh-CN"/>
    </w:rPr>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character" w:customStyle="1" w:styleId="27">
    <w:name w:val="批注主题 字符"/>
    <w:link w:val="20"/>
    <w:qFormat/>
    <w:uiPriority w:val="0"/>
    <w:rPr>
      <w:b/>
      <w:bCs/>
      <w:kern w:val="2"/>
      <w:sz w:val="21"/>
      <w:szCs w:val="24"/>
    </w:rPr>
  </w:style>
  <w:style w:type="character" w:customStyle="1" w:styleId="28">
    <w:name w:val="纯文本 字符"/>
    <w:link w:val="13"/>
    <w:qFormat/>
    <w:uiPriority w:val="0"/>
    <w:rPr>
      <w:rFonts w:ascii="宋体" w:hAnsi="Courier New"/>
      <w:kern w:val="2"/>
      <w:sz w:val="21"/>
    </w:rPr>
  </w:style>
  <w:style w:type="character" w:customStyle="1" w:styleId="29">
    <w:name w:val="标题 2 字符"/>
    <w:link w:val="2"/>
    <w:qFormat/>
    <w:uiPriority w:val="0"/>
    <w:rPr>
      <w:rFonts w:ascii="Arial" w:hAnsi="Arial" w:eastAsia="黑体" w:cs="Arial"/>
      <w:b/>
      <w:bCs/>
      <w:kern w:val="2"/>
      <w:sz w:val="32"/>
      <w:szCs w:val="32"/>
    </w:rPr>
  </w:style>
  <w:style w:type="character" w:customStyle="1" w:styleId="30">
    <w:name w:val="正文文本 字符"/>
    <w:link w:val="11"/>
    <w:qFormat/>
    <w:uiPriority w:val="0"/>
    <w:rPr>
      <w:kern w:val="2"/>
      <w:sz w:val="21"/>
      <w:szCs w:val="24"/>
    </w:rPr>
  </w:style>
  <w:style w:type="character" w:customStyle="1" w:styleId="31">
    <w:name w:val="页脚 字符"/>
    <w:link w:val="16"/>
    <w:qFormat/>
    <w:uiPriority w:val="0"/>
    <w:rPr>
      <w:rFonts w:ascii="宋体" w:eastAsia="宋体"/>
      <w:sz w:val="18"/>
      <w:lang w:val="en-US" w:eastAsia="zh-CN" w:bidi="ar-SA"/>
    </w:rPr>
  </w:style>
  <w:style w:type="character" w:customStyle="1" w:styleId="32">
    <w:name w:val="批注文字 字符"/>
    <w:link w:val="10"/>
    <w:qFormat/>
    <w:uiPriority w:val="0"/>
    <w:rPr>
      <w:kern w:val="2"/>
      <w:sz w:val="21"/>
      <w:szCs w:val="24"/>
    </w:rPr>
  </w:style>
  <w:style w:type="character" w:customStyle="1" w:styleId="33">
    <w:name w:val="列表段落 字符"/>
    <w:link w:val="34"/>
    <w:qFormat/>
    <w:uiPriority w:val="34"/>
    <w:rPr>
      <w:kern w:val="2"/>
      <w:sz w:val="21"/>
      <w:szCs w:val="21"/>
    </w:rPr>
  </w:style>
  <w:style w:type="paragraph" w:styleId="34">
    <w:name w:val="List Paragraph"/>
    <w:basedOn w:val="1"/>
    <w:link w:val="33"/>
    <w:qFormat/>
    <w:uiPriority w:val="34"/>
    <w:pPr>
      <w:ind w:firstLine="420" w:firstLineChars="200"/>
    </w:pPr>
    <w:rPr>
      <w:szCs w:val="21"/>
    </w:rPr>
  </w:style>
  <w:style w:type="character" w:customStyle="1" w:styleId="35">
    <w:name w:val="页眉 字符"/>
    <w:link w:val="17"/>
    <w:qFormat/>
    <w:uiPriority w:val="0"/>
    <w:rPr>
      <w:kern w:val="2"/>
      <w:sz w:val="18"/>
      <w:szCs w:val="18"/>
    </w:rPr>
  </w:style>
  <w:style w:type="character" w:customStyle="1" w:styleId="36">
    <w:name w:val="标题 1 字符"/>
    <w:link w:val="3"/>
    <w:qFormat/>
    <w:uiPriority w:val="9"/>
    <w:rPr>
      <w:b/>
      <w:bCs/>
      <w:kern w:val="44"/>
      <w:sz w:val="44"/>
      <w:szCs w:val="44"/>
    </w:rPr>
  </w:style>
  <w:style w:type="paragraph" w:customStyle="1" w:styleId="3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8">
    <w:name w:val="Char Char Char Char Char Char1 Char Char Char Char"/>
    <w:basedOn w:val="9"/>
    <w:qFormat/>
    <w:uiPriority w:val="0"/>
    <w:rPr>
      <w:rFonts w:ascii="Tahoma" w:hAnsi="Tahoma"/>
      <w:sz w:val="24"/>
    </w:rPr>
  </w:style>
  <w:style w:type="paragraph" w:customStyle="1" w:styleId="39">
    <w:name w:val="Char Char1"/>
    <w:basedOn w:val="9"/>
    <w:qFormat/>
    <w:uiPriority w:val="0"/>
    <w:rPr>
      <w:rFonts w:ascii="Tahoma" w:hAnsi="Tahoma"/>
      <w:sz w:val="24"/>
    </w:rPr>
  </w:style>
  <w:style w:type="paragraph" w:customStyle="1" w:styleId="40">
    <w:name w:val="CSS1级正文 Char"/>
    <w:basedOn w:val="11"/>
    <w:qFormat/>
    <w:uiPriority w:val="0"/>
    <w:pPr>
      <w:adjustRightInd w:val="0"/>
      <w:snapToGrid w:val="0"/>
      <w:spacing w:after="0" w:line="360" w:lineRule="auto"/>
      <w:ind w:firstLine="480"/>
    </w:pPr>
    <w:rPr>
      <w:sz w:val="24"/>
    </w:rPr>
  </w:style>
  <w:style w:type="character" w:customStyle="1" w:styleId="41">
    <w:name w:val="标题 3 字符"/>
    <w:basedOn w:val="23"/>
    <w:link w:val="4"/>
    <w:qFormat/>
    <w:uiPriority w:val="0"/>
    <w:rPr>
      <w:b/>
      <w:bCs/>
      <w:kern w:val="2"/>
      <w:sz w:val="32"/>
      <w:szCs w:val="32"/>
    </w:rPr>
  </w:style>
  <w:style w:type="character" w:customStyle="1" w:styleId="42">
    <w:name w:val="标题 4 字符"/>
    <w:basedOn w:val="23"/>
    <w:link w:val="5"/>
    <w:qFormat/>
    <w:uiPriority w:val="0"/>
    <w:rPr>
      <w:rFonts w:asciiTheme="majorHAnsi" w:hAnsiTheme="majorHAnsi" w:eastAsiaTheme="majorEastAsia" w:cstheme="majorBidi"/>
      <w:b/>
      <w:bCs/>
      <w:kern w:val="2"/>
      <w:sz w:val="28"/>
      <w:szCs w:val="28"/>
    </w:rPr>
  </w:style>
  <w:style w:type="character" w:customStyle="1" w:styleId="43">
    <w:name w:val="正文缩进 字符"/>
    <w:link w:val="8"/>
    <w:autoRedefine/>
    <w:qFormat/>
    <w:uiPriority w:val="0"/>
    <w:rPr>
      <w:rFonts w:ascii="宋体"/>
      <w:kern w:val="2"/>
      <w:sz w:val="24"/>
      <w:szCs w:val="24"/>
    </w:rPr>
  </w:style>
  <w:style w:type="paragraph" w:customStyle="1" w:styleId="44">
    <w:name w:val="新正文"/>
    <w:basedOn w:val="19"/>
    <w:qFormat/>
    <w:uiPriority w:val="0"/>
    <w:pPr>
      <w:widowControl/>
      <w:spacing w:before="100" w:beforeAutospacing="1" w:after="100" w:afterAutospacing="1"/>
      <w:textAlignment w:val="baseline"/>
    </w:pPr>
    <w:rPr>
      <w:rFonts w:ascii="宋体" w:hAnsi="宋体"/>
      <w:kern w:val="0"/>
      <w:sz w:val="32"/>
      <w:szCs w:val="32"/>
    </w:rPr>
  </w:style>
  <w:style w:type="character" w:customStyle="1" w:styleId="45">
    <w:name w:val="标题 5 字符"/>
    <w:basedOn w:val="23"/>
    <w:link w:val="6"/>
    <w:semiHidden/>
    <w:qFormat/>
    <w:uiPriority w:val="0"/>
    <w:rPr>
      <w:b/>
      <w:bCs/>
      <w:kern w:val="2"/>
      <w:sz w:val="28"/>
      <w:szCs w:val="28"/>
    </w:rPr>
  </w:style>
  <w:style w:type="character" w:customStyle="1" w:styleId="46">
    <w:name w:val="纯文本 字符2"/>
    <w:qFormat/>
    <w:uiPriority w:val="0"/>
    <w:rPr>
      <w:rFonts w:hint="eastAsia" w:ascii="宋体" w:hAnsi="Courier New" w:eastAsia="宋体" w:cs="宋体"/>
      <w:kern w:val="2"/>
      <w:sz w:val="21"/>
    </w:rPr>
  </w:style>
  <w:style w:type="character" w:customStyle="1" w:styleId="47">
    <w:name w:val="日期 字符"/>
    <w:basedOn w:val="23"/>
    <w:link w:val="14"/>
    <w:semiHidden/>
    <w:qFormat/>
    <w:uiPriority w:val="0"/>
    <w:rPr>
      <w:kern w:val="2"/>
      <w:sz w:val="21"/>
      <w:szCs w:val="24"/>
    </w:rPr>
  </w:style>
  <w:style w:type="character" w:customStyle="1" w:styleId="48">
    <w:name w:val="font21"/>
    <w:basedOn w:val="23"/>
    <w:qFormat/>
    <w:uiPriority w:val="0"/>
    <w:rPr>
      <w:rFonts w:hint="eastAsia" w:ascii="宋体" w:hAnsi="宋体" w:eastAsia="宋体" w:cs="宋体"/>
      <w:color w:val="000000"/>
      <w:sz w:val="24"/>
      <w:szCs w:val="24"/>
      <w:u w:val="none"/>
    </w:rPr>
  </w:style>
  <w:style w:type="character" w:customStyle="1" w:styleId="49">
    <w:name w:val="font11"/>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2701</Words>
  <Characters>2921</Characters>
  <Lines>92</Lines>
  <Paragraphs>129</Paragraphs>
  <TotalTime>2</TotalTime>
  <ScaleCrop>false</ScaleCrop>
  <LinksUpToDate>false</LinksUpToDate>
  <CharactersWithSpaces>2925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2024-08-14T06:56:00Z</dcterms:created>
  <dc:creator>raojianwei</dc:creator>
  <cp:lastModifiedBy>包红月</cp:lastModifiedBy>
  <cp:lastPrinted>2022-07-21T02:17:00Z</cp:lastPrinted>
  <dcterms:modified xsi:type="dcterms:W3CDTF">2026-01-08T08:33:00Z</dcterms:modified>
  <dc:title>投 标 邀 请</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