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42D26">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3BA8849B">
      <w:pPr>
        <w:tabs>
          <w:tab w:val="left" w:pos="360"/>
          <w:tab w:val="left" w:pos="900"/>
        </w:tabs>
        <w:snapToGrid w:val="0"/>
        <w:spacing w:line="360" w:lineRule="auto"/>
        <w:jc w:val="center"/>
        <w:outlineLvl w:val="1"/>
        <w:rPr>
          <w:rFonts w:ascii="宋体" w:hAnsi="宋体" w:cs="宋体"/>
          <w:b/>
          <w:sz w:val="24"/>
          <w:highlight w:val="none"/>
        </w:rPr>
      </w:pPr>
      <w:r>
        <w:rPr>
          <w:rFonts w:hint="eastAsia" w:ascii="宋体" w:hAnsi="宋体" w:cs="宋体"/>
          <w:b/>
          <w:sz w:val="24"/>
          <w:highlight w:val="none"/>
        </w:rPr>
        <w:t>首都医科大学附属北京同仁医院2026及2027年度服务互联网出口带宽租赁项目</w:t>
      </w:r>
    </w:p>
    <w:p w14:paraId="3F9B23EA">
      <w:pPr>
        <w:jc w:val="center"/>
        <w:rPr>
          <w:highlight w:val="none"/>
        </w:rPr>
      </w:pPr>
      <w:r>
        <w:rPr>
          <w:rFonts w:hint="eastAsia" w:asciiTheme="minorEastAsia" w:hAnsiTheme="minorEastAsia" w:eastAsiaTheme="minorEastAsia" w:cstheme="minorEastAsia"/>
          <w:b/>
          <w:bCs/>
          <w:sz w:val="24"/>
          <w:highlight w:val="none"/>
        </w:rPr>
        <w:t>(第一包）</w:t>
      </w:r>
    </w:p>
    <w:p w14:paraId="5A4011C1">
      <w:pPr>
        <w:numPr>
          <w:ilvl w:val="0"/>
          <w:numId w:val="0"/>
        </w:numPr>
        <w:spacing w:line="360" w:lineRule="auto"/>
        <w:contextualSpacing/>
        <w:outlineLvl w:val="1"/>
        <w:rPr>
          <w:highlight w:val="none"/>
        </w:rPr>
      </w:pPr>
      <w:r>
        <w:rPr>
          <w:bCs/>
          <w:sz w:val="24"/>
          <w:highlight w:val="none"/>
        </w:rPr>
        <w:t>项目背景/项目概述</w:t>
      </w:r>
    </w:p>
    <w:p w14:paraId="241A846B">
      <w:pPr>
        <w:pStyle w:val="8"/>
        <w:adjustRightInd w:val="0"/>
        <w:spacing w:line="360" w:lineRule="auto"/>
        <w:ind w:firstLine="480"/>
        <w:contextualSpacing/>
        <w:rPr>
          <w:rFonts w:ascii="宋体" w:hAnsi="宋体" w:cs="宋体"/>
          <w:sz w:val="24"/>
          <w:szCs w:val="24"/>
          <w:highlight w:val="none"/>
        </w:rPr>
      </w:pPr>
      <w:r>
        <w:rPr>
          <w:rFonts w:hint="eastAsia" w:ascii="宋体" w:hAnsi="宋体" w:cs="宋体"/>
          <w:sz w:val="24"/>
          <w:szCs w:val="24"/>
          <w:highlight w:val="none"/>
        </w:rPr>
        <w:t>为促进首都医科大学附属北京同仁医院信息化发展，满足院内医疗系统访问、日常办公业务需求、病房无线网等系统运行需求，考虑到业务连续性保障及供应链多元化布局，现计划采购两条技术参数完全一致的专线服务。</w:t>
      </w:r>
    </w:p>
    <w:p w14:paraId="75FAFBA4">
      <w:pPr>
        <w:pStyle w:val="8"/>
        <w:adjustRightInd w:val="0"/>
        <w:spacing w:line="360" w:lineRule="auto"/>
        <w:ind w:firstLine="480"/>
        <w:contextualSpacing/>
        <w:rPr>
          <w:rFonts w:ascii="宋体" w:hAnsi="宋体" w:cs="宋体"/>
          <w:sz w:val="24"/>
          <w:szCs w:val="24"/>
          <w:highlight w:val="none"/>
        </w:rPr>
      </w:pPr>
      <w:r>
        <w:rPr>
          <w:rFonts w:hint="eastAsia" w:ascii="宋体" w:hAnsi="宋体" w:cs="宋体"/>
          <w:sz w:val="24"/>
          <w:szCs w:val="24"/>
          <w:highlight w:val="none"/>
        </w:rPr>
        <w:t>共两个分包，本项目为包1，计划采购1条上下行带宽一致的1000Mbps互联网专线，专线接口类型为单模光口。通过公开招标的方式选定两家合格供应商，分别承接一条专线的建设、运维及后续服务。与包2组成两条专线独立部署、并行运行，形成双链路架构，有效规避单一供应商服务中断风险，确保互联网业务的安全稳定。同时为防止该线路被DDos攻击，影响医院业务正常使用，本项目计划采购清洗能力为2Gb的抗D服务。</w:t>
      </w:r>
    </w:p>
    <w:p w14:paraId="72F33814">
      <w:pPr>
        <w:pStyle w:val="8"/>
        <w:numPr>
          <w:ilvl w:val="0"/>
          <w:numId w:val="1"/>
        </w:numPr>
        <w:spacing w:line="360" w:lineRule="auto"/>
        <w:ind w:firstLineChars="0"/>
        <w:contextualSpacing/>
        <w:outlineLvl w:val="0"/>
        <w:rPr>
          <w:rFonts w:ascii="Times New Roman" w:hAnsi="Times New Roman"/>
          <w:b/>
          <w:sz w:val="24"/>
          <w:szCs w:val="24"/>
          <w:highlight w:val="none"/>
        </w:rPr>
      </w:pPr>
      <w:r>
        <w:rPr>
          <w:rFonts w:ascii="Times New Roman" w:hAnsi="Times New Roman"/>
          <w:b/>
          <w:sz w:val="24"/>
          <w:szCs w:val="24"/>
          <w:highlight w:val="none"/>
        </w:rPr>
        <w:t>采购标的</w:t>
      </w:r>
    </w:p>
    <w:p w14:paraId="3872FBC5">
      <w:pPr>
        <w:numPr>
          <w:ilvl w:val="0"/>
          <w:numId w:val="2"/>
        </w:numPr>
        <w:spacing w:line="360" w:lineRule="auto"/>
        <w:contextualSpacing/>
        <w:outlineLvl w:val="1"/>
        <w:rPr>
          <w:highlight w:val="none"/>
        </w:rPr>
      </w:pPr>
      <w:r>
        <w:rPr>
          <w:bCs/>
          <w:sz w:val="24"/>
          <w:highlight w:val="none"/>
        </w:rPr>
        <w:t>采购标的（货物需求一览表或简要服务内容及数量）</w:t>
      </w:r>
    </w:p>
    <w:tbl>
      <w:tblPr>
        <w:tblStyle w:val="6"/>
        <w:tblW w:w="829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831"/>
        <w:gridCol w:w="1785"/>
        <w:gridCol w:w="1035"/>
        <w:gridCol w:w="840"/>
        <w:gridCol w:w="2100"/>
      </w:tblGrid>
      <w:tr w14:paraId="5D922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703" w:type="dxa"/>
            <w:vAlign w:val="center"/>
          </w:tcPr>
          <w:p w14:paraId="3F46057E">
            <w:pPr>
              <w:pStyle w:val="9"/>
              <w:jc w:val="center"/>
              <w:rPr>
                <w:sz w:val="24"/>
                <w:highlight w:val="none"/>
              </w:rPr>
            </w:pPr>
            <w:r>
              <w:rPr>
                <w:rFonts w:hint="eastAsia"/>
                <w:sz w:val="24"/>
                <w:highlight w:val="none"/>
              </w:rPr>
              <w:t>包号</w:t>
            </w:r>
          </w:p>
        </w:tc>
        <w:tc>
          <w:tcPr>
            <w:tcW w:w="1831" w:type="dxa"/>
            <w:vAlign w:val="center"/>
          </w:tcPr>
          <w:p w14:paraId="48E6DFC4">
            <w:pPr>
              <w:pStyle w:val="9"/>
              <w:jc w:val="center"/>
              <w:rPr>
                <w:sz w:val="24"/>
                <w:highlight w:val="none"/>
              </w:rPr>
            </w:pPr>
            <w:r>
              <w:rPr>
                <w:rFonts w:hint="eastAsia"/>
                <w:sz w:val="24"/>
                <w:highlight w:val="none"/>
              </w:rPr>
              <w:t>标的名称</w:t>
            </w:r>
          </w:p>
        </w:tc>
        <w:tc>
          <w:tcPr>
            <w:tcW w:w="1785" w:type="dxa"/>
            <w:vAlign w:val="center"/>
          </w:tcPr>
          <w:p w14:paraId="6DF82562">
            <w:pPr>
              <w:pStyle w:val="9"/>
              <w:jc w:val="center"/>
              <w:rPr>
                <w:sz w:val="24"/>
                <w:highlight w:val="none"/>
                <w:lang w:eastAsia="zh-CN"/>
              </w:rPr>
            </w:pPr>
            <w:r>
              <w:rPr>
                <w:rFonts w:hint="eastAsia"/>
                <w:sz w:val="24"/>
                <w:highlight w:val="none"/>
                <w:lang w:eastAsia="zh-CN"/>
              </w:rPr>
              <w:t>采购包预算金额</w:t>
            </w:r>
          </w:p>
          <w:p w14:paraId="4CFFB46E">
            <w:pPr>
              <w:pStyle w:val="9"/>
              <w:jc w:val="center"/>
              <w:rPr>
                <w:sz w:val="24"/>
                <w:highlight w:val="none"/>
                <w:lang w:eastAsia="zh-CN"/>
              </w:rPr>
            </w:pPr>
            <w:r>
              <w:rPr>
                <w:rFonts w:hint="eastAsia"/>
                <w:sz w:val="24"/>
                <w:highlight w:val="none"/>
                <w:lang w:eastAsia="zh-CN"/>
              </w:rPr>
              <w:t>（万元）/每年</w:t>
            </w:r>
          </w:p>
        </w:tc>
        <w:tc>
          <w:tcPr>
            <w:tcW w:w="1035" w:type="dxa"/>
            <w:vAlign w:val="center"/>
          </w:tcPr>
          <w:p w14:paraId="1618BE1C">
            <w:pPr>
              <w:pStyle w:val="9"/>
              <w:jc w:val="center"/>
              <w:rPr>
                <w:sz w:val="24"/>
                <w:highlight w:val="none"/>
              </w:rPr>
            </w:pPr>
            <w:r>
              <w:rPr>
                <w:rFonts w:hint="eastAsia"/>
                <w:sz w:val="24"/>
                <w:highlight w:val="none"/>
              </w:rPr>
              <w:t>数量</w:t>
            </w:r>
          </w:p>
        </w:tc>
        <w:tc>
          <w:tcPr>
            <w:tcW w:w="840" w:type="dxa"/>
            <w:vAlign w:val="center"/>
          </w:tcPr>
          <w:p w14:paraId="6709D5B9">
            <w:pPr>
              <w:pStyle w:val="9"/>
              <w:jc w:val="center"/>
              <w:rPr>
                <w:sz w:val="24"/>
                <w:highlight w:val="none"/>
              </w:rPr>
            </w:pPr>
            <w:r>
              <w:rPr>
                <w:rFonts w:hint="eastAsia"/>
                <w:sz w:val="24"/>
                <w:highlight w:val="none"/>
              </w:rPr>
              <w:t>时间</w:t>
            </w:r>
          </w:p>
        </w:tc>
        <w:tc>
          <w:tcPr>
            <w:tcW w:w="2100" w:type="dxa"/>
            <w:vAlign w:val="center"/>
          </w:tcPr>
          <w:p w14:paraId="1F66E4C4">
            <w:pPr>
              <w:jc w:val="center"/>
              <w:rPr>
                <w:rFonts w:ascii="宋体" w:hAnsi="宋体" w:cs="宋体"/>
                <w:sz w:val="24"/>
                <w:highlight w:val="none"/>
              </w:rPr>
            </w:pPr>
            <w:r>
              <w:rPr>
                <w:rFonts w:hint="eastAsia" w:ascii="宋体" w:hAnsi="宋体" w:cs="宋体"/>
                <w:sz w:val="24"/>
                <w:highlight w:val="none"/>
              </w:rPr>
              <w:t>简要技术需求或服务要求</w:t>
            </w:r>
          </w:p>
        </w:tc>
      </w:tr>
      <w:tr w14:paraId="64768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03" w:type="dxa"/>
            <w:vAlign w:val="center"/>
          </w:tcPr>
          <w:p w14:paraId="1A76C9CA">
            <w:pPr>
              <w:jc w:val="center"/>
              <w:rPr>
                <w:rFonts w:ascii="宋体" w:hAnsi="宋体" w:cs="宋体"/>
                <w:sz w:val="24"/>
                <w:highlight w:val="none"/>
              </w:rPr>
            </w:pPr>
            <w:r>
              <w:rPr>
                <w:rFonts w:hint="eastAsia" w:ascii="宋体" w:hAnsi="宋体" w:cs="宋体"/>
                <w:sz w:val="24"/>
                <w:highlight w:val="none"/>
              </w:rPr>
              <w:t>1</w:t>
            </w:r>
          </w:p>
        </w:tc>
        <w:tc>
          <w:tcPr>
            <w:tcW w:w="1831" w:type="dxa"/>
            <w:vAlign w:val="center"/>
          </w:tcPr>
          <w:p w14:paraId="462BF366">
            <w:pPr>
              <w:jc w:val="center"/>
              <w:rPr>
                <w:rFonts w:ascii="宋体" w:hAnsi="宋体" w:cs="宋体"/>
                <w:sz w:val="24"/>
                <w:highlight w:val="none"/>
              </w:rPr>
            </w:pPr>
            <w:r>
              <w:rPr>
                <w:rFonts w:hint="eastAsia"/>
                <w:sz w:val="24"/>
                <w:highlight w:val="none"/>
              </w:rPr>
              <w:t>首都医科大学附属北京同仁医院2026及2027年度服务互联网出口带宽租赁项目</w:t>
            </w:r>
            <w:r>
              <w:rPr>
                <w:rFonts w:hint="eastAsia"/>
                <w:sz w:val="24"/>
                <w:highlight w:val="none"/>
                <w:lang w:eastAsia="zh-CN"/>
              </w:rPr>
              <w:t>（</w:t>
            </w:r>
            <w:r>
              <w:rPr>
                <w:rFonts w:hint="eastAsia"/>
                <w:sz w:val="24"/>
                <w:highlight w:val="none"/>
                <w:lang w:val="en-US" w:eastAsia="zh-CN"/>
              </w:rPr>
              <w:t>第一包）</w:t>
            </w:r>
          </w:p>
        </w:tc>
        <w:tc>
          <w:tcPr>
            <w:tcW w:w="1785" w:type="dxa"/>
            <w:vAlign w:val="center"/>
          </w:tcPr>
          <w:p w14:paraId="6562458C">
            <w:pPr>
              <w:jc w:val="center"/>
              <w:rPr>
                <w:rFonts w:ascii="宋体" w:hAnsi="宋体" w:cs="宋体"/>
                <w:sz w:val="24"/>
                <w:highlight w:val="none"/>
              </w:rPr>
            </w:pPr>
            <w:r>
              <w:rPr>
                <w:rFonts w:hint="eastAsia" w:ascii="宋体" w:hAnsi="宋体" w:cs="宋体"/>
                <w:sz w:val="24"/>
                <w:highlight w:val="none"/>
              </w:rPr>
              <w:t>80</w:t>
            </w:r>
          </w:p>
        </w:tc>
        <w:tc>
          <w:tcPr>
            <w:tcW w:w="1035" w:type="dxa"/>
            <w:vAlign w:val="center"/>
          </w:tcPr>
          <w:p w14:paraId="63C97019">
            <w:pPr>
              <w:jc w:val="center"/>
              <w:rPr>
                <w:rFonts w:ascii="宋体" w:hAnsi="宋体" w:cs="宋体"/>
                <w:sz w:val="24"/>
                <w:highlight w:val="none"/>
              </w:rPr>
            </w:pPr>
            <w:r>
              <w:rPr>
                <w:rFonts w:hint="eastAsia" w:ascii="宋体" w:hAnsi="宋体" w:cs="宋体"/>
                <w:sz w:val="24"/>
                <w:highlight w:val="none"/>
              </w:rPr>
              <w:t>一项</w:t>
            </w:r>
          </w:p>
        </w:tc>
        <w:tc>
          <w:tcPr>
            <w:tcW w:w="840" w:type="dxa"/>
            <w:vAlign w:val="center"/>
          </w:tcPr>
          <w:p w14:paraId="10768D2F">
            <w:pPr>
              <w:jc w:val="center"/>
              <w:rPr>
                <w:rFonts w:ascii="宋体" w:hAnsi="宋体" w:cs="宋体"/>
                <w:sz w:val="24"/>
                <w:highlight w:val="none"/>
              </w:rPr>
            </w:pPr>
            <w:r>
              <w:rPr>
                <w:rFonts w:hint="eastAsia" w:ascii="宋体" w:hAnsi="宋体" w:cs="宋体"/>
                <w:sz w:val="24"/>
                <w:highlight w:val="none"/>
              </w:rPr>
              <w:t>2年</w:t>
            </w:r>
          </w:p>
        </w:tc>
        <w:tc>
          <w:tcPr>
            <w:tcW w:w="2100" w:type="dxa"/>
            <w:vAlign w:val="center"/>
          </w:tcPr>
          <w:p w14:paraId="563CA821">
            <w:pPr>
              <w:jc w:val="center"/>
              <w:rPr>
                <w:rFonts w:ascii="宋体" w:hAnsi="宋体" w:cs="宋体"/>
                <w:sz w:val="24"/>
                <w:highlight w:val="none"/>
              </w:rPr>
            </w:pPr>
            <w:r>
              <w:rPr>
                <w:rFonts w:hint="eastAsia" w:ascii="宋体" w:hAnsi="宋体" w:cs="宋体"/>
                <w:sz w:val="24"/>
                <w:highlight w:val="none"/>
              </w:rPr>
              <w:t>租用2年，链路带宽不低于1GB，抗D服务不低于2Gb。</w:t>
            </w:r>
          </w:p>
          <w:p w14:paraId="5329B2D2">
            <w:pPr>
              <w:jc w:val="center"/>
              <w:rPr>
                <w:rFonts w:ascii="宋体" w:hAnsi="宋体" w:cs="宋体"/>
                <w:sz w:val="24"/>
                <w:highlight w:val="none"/>
              </w:rPr>
            </w:pPr>
          </w:p>
        </w:tc>
      </w:tr>
    </w:tbl>
    <w:p w14:paraId="45F8BF2F">
      <w:pPr>
        <w:rPr>
          <w:highlight w:val="none"/>
        </w:rPr>
      </w:pPr>
      <w:r>
        <w:rPr>
          <w:rFonts w:hint="eastAsia"/>
          <w:highlight w:val="none"/>
        </w:rPr>
        <w:t>本包年度最高限价7</w:t>
      </w:r>
      <w:r>
        <w:rPr>
          <w:highlight w:val="none"/>
        </w:rPr>
        <w:t>5</w:t>
      </w:r>
      <w:r>
        <w:rPr>
          <w:rFonts w:hint="eastAsia"/>
          <w:highlight w:val="none"/>
        </w:rPr>
        <w:t>万元，投标人年度报价不得超过年度最高限价，否则作无效投标文件处理。</w:t>
      </w:r>
    </w:p>
    <w:p w14:paraId="02C8238B">
      <w:pPr>
        <w:pStyle w:val="8"/>
        <w:numPr>
          <w:ilvl w:val="0"/>
          <w:numId w:val="1"/>
        </w:numPr>
        <w:spacing w:line="360" w:lineRule="auto"/>
        <w:ind w:firstLineChars="0"/>
        <w:contextualSpacing/>
        <w:outlineLvl w:val="0"/>
        <w:rPr>
          <w:rFonts w:ascii="宋体" w:hAnsi="宋体" w:cs="宋体"/>
          <w:b/>
          <w:sz w:val="24"/>
          <w:szCs w:val="24"/>
          <w:highlight w:val="none"/>
        </w:rPr>
      </w:pPr>
      <w:r>
        <w:rPr>
          <w:rFonts w:hint="eastAsia" w:ascii="宋体" w:hAnsi="宋体" w:cs="宋体"/>
          <w:b/>
          <w:sz w:val="24"/>
          <w:szCs w:val="24"/>
          <w:highlight w:val="none"/>
        </w:rPr>
        <w:t>商务要求</w:t>
      </w:r>
    </w:p>
    <w:p w14:paraId="283CBCE2">
      <w:pPr>
        <w:spacing w:line="360" w:lineRule="auto"/>
        <w:contextualSpacing/>
        <w:outlineLvl w:val="1"/>
        <w:rPr>
          <w:rFonts w:ascii="宋体" w:hAnsi="宋体" w:cs="宋体"/>
          <w:i/>
          <w:sz w:val="24"/>
          <w:highlight w:val="none"/>
        </w:rPr>
      </w:pPr>
      <w:r>
        <w:rPr>
          <w:rFonts w:hint="eastAsia" w:ascii="宋体" w:hAnsi="宋体" w:cs="宋体"/>
          <w:sz w:val="24"/>
          <w:highlight w:val="none"/>
        </w:rPr>
        <w:t>1. 交付（实施）的时间（期限）和地点（范围）</w:t>
      </w:r>
    </w:p>
    <w:p w14:paraId="76E9E805">
      <w:pPr>
        <w:pStyle w:val="5"/>
        <w:spacing w:line="360" w:lineRule="auto"/>
        <w:jc w:val="both"/>
        <w:outlineLvl w:val="9"/>
        <w:rPr>
          <w:rFonts w:ascii="宋体" w:hAnsi="宋体" w:cs="宋体"/>
          <w:b w:val="0"/>
          <w:sz w:val="24"/>
          <w:szCs w:val="24"/>
          <w:highlight w:val="none"/>
        </w:rPr>
      </w:pPr>
      <w:bookmarkStart w:id="1" w:name="_Toc10953"/>
      <w:bookmarkStart w:id="2" w:name="_Toc32139"/>
      <w:r>
        <w:rPr>
          <w:rFonts w:hint="eastAsia" w:ascii="宋体" w:hAnsi="宋体" w:cs="宋体"/>
          <w:b w:val="0"/>
          <w:sz w:val="24"/>
          <w:szCs w:val="24"/>
          <w:highlight w:val="none"/>
        </w:rPr>
        <w:t>1.1采购项目（标的）实施的时间：</w:t>
      </w:r>
      <w:bookmarkEnd w:id="1"/>
      <w:bookmarkEnd w:id="2"/>
      <w:r>
        <w:rPr>
          <w:rFonts w:hint="eastAsia" w:ascii="宋体" w:hAnsi="宋体" w:cs="宋体"/>
          <w:b w:val="0"/>
          <w:sz w:val="24"/>
          <w:szCs w:val="24"/>
          <w:highlight w:val="none"/>
        </w:rPr>
        <w:t>合同签订后3</w:t>
      </w:r>
      <w:r>
        <w:rPr>
          <w:rFonts w:ascii="宋体" w:hAnsi="宋体" w:cs="宋体"/>
          <w:b w:val="0"/>
          <w:sz w:val="24"/>
          <w:szCs w:val="24"/>
          <w:highlight w:val="none"/>
        </w:rPr>
        <w:t>0</w:t>
      </w:r>
      <w:r>
        <w:rPr>
          <w:rFonts w:hint="eastAsia" w:ascii="宋体" w:hAnsi="宋体" w:cs="宋体"/>
          <w:b w:val="0"/>
          <w:sz w:val="24"/>
          <w:szCs w:val="24"/>
          <w:highlight w:val="none"/>
        </w:rPr>
        <w:t>个工作日完成交付工作</w:t>
      </w:r>
    </w:p>
    <w:p w14:paraId="35B421CA">
      <w:pPr>
        <w:pStyle w:val="5"/>
        <w:tabs>
          <w:tab w:val="left" w:pos="0"/>
        </w:tabs>
        <w:spacing w:line="360" w:lineRule="auto"/>
        <w:jc w:val="both"/>
        <w:outlineLvl w:val="9"/>
        <w:rPr>
          <w:rFonts w:ascii="宋体" w:hAnsi="宋体" w:cs="宋体"/>
          <w:b w:val="0"/>
          <w:sz w:val="24"/>
          <w:szCs w:val="24"/>
          <w:highlight w:val="none"/>
        </w:rPr>
      </w:pPr>
      <w:bookmarkStart w:id="3" w:name="_Toc17535"/>
      <w:bookmarkStart w:id="4" w:name="_Toc5260"/>
      <w:r>
        <w:rPr>
          <w:rFonts w:hint="eastAsia" w:ascii="宋体" w:hAnsi="宋体" w:cs="宋体"/>
          <w:b w:val="0"/>
          <w:sz w:val="24"/>
          <w:szCs w:val="24"/>
          <w:highlight w:val="none"/>
        </w:rPr>
        <w:t>1.2采购项目（标的）实施的地点：首都医科大学附属北京同仁医院指定地点</w:t>
      </w:r>
      <w:bookmarkEnd w:id="3"/>
      <w:bookmarkEnd w:id="4"/>
    </w:p>
    <w:p w14:paraId="67EF44D9">
      <w:pPr>
        <w:pStyle w:val="5"/>
        <w:tabs>
          <w:tab w:val="left" w:pos="0"/>
        </w:tabs>
        <w:spacing w:line="360" w:lineRule="auto"/>
        <w:jc w:val="both"/>
        <w:outlineLvl w:val="9"/>
        <w:rPr>
          <w:rFonts w:ascii="宋体" w:hAnsi="宋体" w:cs="宋体"/>
          <w:i/>
          <w:sz w:val="24"/>
          <w:highlight w:val="none"/>
        </w:rPr>
      </w:pPr>
      <w:r>
        <w:rPr>
          <w:rFonts w:hint="eastAsia" w:ascii="宋体" w:hAnsi="宋体" w:cs="宋体"/>
          <w:b w:val="0"/>
          <w:sz w:val="24"/>
          <w:szCs w:val="24"/>
          <w:highlight w:val="none"/>
        </w:rPr>
        <w:t>1</w:t>
      </w:r>
      <w:r>
        <w:rPr>
          <w:rFonts w:ascii="宋体" w:hAnsi="宋体" w:cs="宋体"/>
          <w:b w:val="0"/>
          <w:sz w:val="24"/>
          <w:szCs w:val="24"/>
          <w:highlight w:val="none"/>
        </w:rPr>
        <w:t>.3采购项目（标的）服务期限：服务期限</w:t>
      </w:r>
      <w:r>
        <w:rPr>
          <w:rFonts w:hint="eastAsia" w:ascii="宋体" w:hAnsi="宋体" w:cs="宋体"/>
          <w:b w:val="0"/>
          <w:sz w:val="24"/>
          <w:szCs w:val="24"/>
          <w:highlight w:val="none"/>
        </w:rPr>
        <w:t>2年（合同签订之日起2年），合同为每年一签，合同服务期内，中标人有任何违约行为或经采购人考核不符合要求的，采购人有权拒绝续签下一合同或解除当年度合同。</w:t>
      </w:r>
    </w:p>
    <w:p w14:paraId="7818816A">
      <w:pPr>
        <w:spacing w:line="360" w:lineRule="auto"/>
        <w:contextualSpacing/>
        <w:outlineLvl w:val="1"/>
        <w:rPr>
          <w:rFonts w:ascii="宋体" w:hAnsi="宋体" w:cs="宋体"/>
          <w:sz w:val="24"/>
          <w:highlight w:val="none"/>
        </w:rPr>
      </w:pPr>
      <w:r>
        <w:rPr>
          <w:rFonts w:hint="eastAsia" w:ascii="宋体" w:hAnsi="宋体" w:cs="宋体"/>
          <w:sz w:val="24"/>
          <w:highlight w:val="none"/>
        </w:rPr>
        <w:t>2. 付款条件（进度和方式）</w:t>
      </w:r>
    </w:p>
    <w:p w14:paraId="536E1AE6">
      <w:pPr>
        <w:autoSpaceDE w:val="0"/>
        <w:autoSpaceDN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网络使用费计算方式：合同生效后，按季度提供增值税普通发票，采购人需在收到发票30日内通过电汇形式向中标人支付业务费用。退租日当月不满整月的情况下，当月网络使用费按照实际使用天数*基本月租费*12个月/365天(费用精确到小数点后面第2位,小数点后面第3位按四舍五入方法操作)收取。</w:t>
      </w:r>
    </w:p>
    <w:p w14:paraId="55ADD87E">
      <w:pPr>
        <w:autoSpaceDE w:val="0"/>
        <w:autoSpaceDN w:val="0"/>
        <w:spacing w:line="360" w:lineRule="auto"/>
        <w:ind w:firstLine="0" w:firstLineChars="0"/>
        <w:rPr>
          <w:rFonts w:ascii="宋体" w:hAnsi="宋体" w:cs="宋体"/>
          <w:b w:val="0"/>
          <w:i w:val="0"/>
          <w:sz w:val="24"/>
          <w:highlight w:val="none"/>
        </w:rPr>
      </w:pPr>
    </w:p>
    <w:p w14:paraId="75052EAC">
      <w:pPr>
        <w:pStyle w:val="8"/>
        <w:numPr>
          <w:ilvl w:val="0"/>
          <w:numId w:val="1"/>
        </w:numPr>
        <w:spacing w:line="360" w:lineRule="auto"/>
        <w:ind w:firstLineChars="0"/>
        <w:contextualSpacing/>
        <w:outlineLvl w:val="0"/>
        <w:rPr>
          <w:rFonts w:ascii="宋体" w:hAnsi="宋体" w:cs="宋体"/>
          <w:b/>
          <w:sz w:val="24"/>
          <w:szCs w:val="24"/>
          <w:highlight w:val="none"/>
        </w:rPr>
      </w:pPr>
      <w:r>
        <w:rPr>
          <w:rFonts w:hint="eastAsia" w:ascii="宋体" w:hAnsi="宋体" w:cs="宋体"/>
          <w:b/>
          <w:sz w:val="24"/>
          <w:szCs w:val="24"/>
          <w:highlight w:val="none"/>
        </w:rPr>
        <w:t>技术要求</w:t>
      </w:r>
    </w:p>
    <w:p w14:paraId="3927DE74">
      <w:pPr>
        <w:spacing w:line="360" w:lineRule="auto"/>
        <w:contextualSpacing/>
        <w:outlineLvl w:val="1"/>
        <w:rPr>
          <w:rFonts w:ascii="宋体" w:hAnsi="宋体" w:cs="宋体"/>
          <w:sz w:val="24"/>
          <w:highlight w:val="none"/>
        </w:rPr>
      </w:pPr>
      <w:r>
        <w:rPr>
          <w:rFonts w:hint="eastAsia" w:ascii="宋体" w:hAnsi="宋体" w:cs="宋体"/>
          <w:sz w:val="24"/>
          <w:highlight w:val="none"/>
        </w:rPr>
        <w:t>1. 基本要求</w:t>
      </w:r>
    </w:p>
    <w:p w14:paraId="7FD35607">
      <w:pPr>
        <w:spacing w:line="360" w:lineRule="auto"/>
        <w:contextualSpacing/>
        <w:outlineLvl w:val="2"/>
        <w:rPr>
          <w:rFonts w:ascii="宋体" w:hAnsi="宋体" w:cs="宋体"/>
          <w:sz w:val="24"/>
          <w:highlight w:val="none"/>
        </w:rPr>
      </w:pPr>
      <w:r>
        <w:rPr>
          <w:rFonts w:hint="eastAsia" w:ascii="宋体" w:hAnsi="宋体" w:cs="宋体"/>
          <w:sz w:val="24"/>
          <w:highlight w:val="none"/>
        </w:rPr>
        <w:t>1.1 采购标的需实现的功能或者目标</w:t>
      </w:r>
    </w:p>
    <w:p w14:paraId="06B8F0D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次招标为首都医科大学附属北京同仁医院提供互联网出口带宽租赁相关服务，投标人应根据招标文件所提出的采购需求，制定具体服务方案，确保服务质量符合要求，以优良的服务和优惠的价格，充分显示自己的竞争实力。</w:t>
      </w:r>
    </w:p>
    <w:p w14:paraId="757AB525">
      <w:pPr>
        <w:spacing w:line="360" w:lineRule="auto"/>
        <w:contextualSpacing/>
        <w:outlineLvl w:val="2"/>
        <w:rPr>
          <w:rFonts w:ascii="宋体" w:hAnsi="宋体" w:cs="宋体"/>
          <w:sz w:val="24"/>
          <w:highlight w:val="none"/>
        </w:rPr>
      </w:pPr>
      <w:r>
        <w:rPr>
          <w:rFonts w:hint="eastAsia" w:ascii="宋体" w:hAnsi="宋体" w:cs="宋体"/>
          <w:sz w:val="24"/>
          <w:highlight w:val="none"/>
        </w:rPr>
        <w:t>1.2 需执行的国家相关标准、行业标准、地方标准或者其他标准、规范</w:t>
      </w:r>
    </w:p>
    <w:p w14:paraId="05028465">
      <w:pPr>
        <w:pStyle w:val="8"/>
        <w:spacing w:line="360" w:lineRule="auto"/>
        <w:ind w:firstLine="480"/>
        <w:contextualSpacing/>
        <w:rPr>
          <w:rFonts w:ascii="宋体" w:hAnsi="宋体" w:cs="宋体"/>
          <w:sz w:val="24"/>
          <w:szCs w:val="21"/>
          <w:highlight w:val="none"/>
        </w:rPr>
      </w:pPr>
      <w:r>
        <w:rPr>
          <w:rFonts w:hint="eastAsia" w:ascii="宋体" w:hAnsi="宋体" w:cs="宋体"/>
          <w:bCs/>
          <w:color w:val="000000"/>
          <w:sz w:val="24"/>
          <w:szCs w:val="24"/>
          <w:highlight w:val="none"/>
        </w:rPr>
        <w:t>符合已颁布的现行中华人民共和国认可的国家标准、地方标准和行业标准。如果这些标准内容有矛盾时，应按最高标准的条款执行。</w:t>
      </w:r>
    </w:p>
    <w:p w14:paraId="15E3BD15">
      <w:pPr>
        <w:spacing w:line="360" w:lineRule="auto"/>
        <w:contextualSpacing/>
        <w:outlineLvl w:val="1"/>
        <w:rPr>
          <w:rFonts w:ascii="宋体" w:hAnsi="宋体" w:cs="宋体"/>
          <w:sz w:val="24"/>
          <w:highlight w:val="none"/>
        </w:rPr>
      </w:pPr>
      <w:r>
        <w:rPr>
          <w:rFonts w:hint="eastAsia" w:ascii="宋体" w:hAnsi="宋体" w:cs="宋体"/>
          <w:sz w:val="24"/>
          <w:highlight w:val="none"/>
        </w:rPr>
        <w:t>2. 服务内容及要求/货物技术要求</w:t>
      </w:r>
    </w:p>
    <w:p w14:paraId="4EA5F843">
      <w:pPr>
        <w:pStyle w:val="2"/>
        <w:jc w:val="left"/>
        <w:rPr>
          <w:highlight w:val="none"/>
        </w:rPr>
      </w:pPr>
      <w:bookmarkStart w:id="5" w:name="_Toc19862"/>
      <w:r>
        <w:rPr>
          <w:rFonts w:hint="eastAsia"/>
          <w:highlight w:val="none"/>
        </w:rPr>
        <w:t>2.1需求一览表</w:t>
      </w:r>
      <w:bookmarkEnd w:id="5"/>
    </w:p>
    <w:tbl>
      <w:tblPr>
        <w:tblStyle w:val="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418"/>
        <w:gridCol w:w="1039"/>
        <w:gridCol w:w="911"/>
        <w:gridCol w:w="1627"/>
      </w:tblGrid>
      <w:tr w14:paraId="1BD5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42" w:type="dxa"/>
            <w:noWrap/>
            <w:vAlign w:val="center"/>
          </w:tcPr>
          <w:p w14:paraId="63E69E27">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rPr>
              <w:t>包</w:t>
            </w:r>
            <w:r>
              <w:rPr>
                <w:rFonts w:hint="eastAsia" w:ascii="宋体" w:hAnsi="宋体" w:cs="宋体"/>
                <w:kern w:val="0"/>
                <w:sz w:val="24"/>
                <w:highlight w:val="none"/>
                <w:lang w:eastAsia="en-US"/>
              </w:rPr>
              <w:t>号</w:t>
            </w:r>
          </w:p>
        </w:tc>
        <w:tc>
          <w:tcPr>
            <w:tcW w:w="4418" w:type="dxa"/>
            <w:noWrap/>
            <w:vAlign w:val="center"/>
          </w:tcPr>
          <w:p w14:paraId="72189831">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名称</w:t>
            </w:r>
          </w:p>
        </w:tc>
        <w:tc>
          <w:tcPr>
            <w:tcW w:w="1039" w:type="dxa"/>
            <w:noWrap/>
            <w:vAlign w:val="center"/>
          </w:tcPr>
          <w:p w14:paraId="5E07625B">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单位</w:t>
            </w:r>
          </w:p>
        </w:tc>
        <w:tc>
          <w:tcPr>
            <w:tcW w:w="911" w:type="dxa"/>
            <w:noWrap/>
            <w:vAlign w:val="center"/>
          </w:tcPr>
          <w:p w14:paraId="137335FF">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数量</w:t>
            </w:r>
          </w:p>
        </w:tc>
        <w:tc>
          <w:tcPr>
            <w:tcW w:w="1627" w:type="dxa"/>
          </w:tcPr>
          <w:p w14:paraId="1BCE7A77">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备注</w:t>
            </w:r>
          </w:p>
        </w:tc>
      </w:tr>
      <w:tr w14:paraId="578F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vAlign w:val="center"/>
          </w:tcPr>
          <w:p w14:paraId="3C56063C">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1</w:t>
            </w:r>
          </w:p>
        </w:tc>
        <w:tc>
          <w:tcPr>
            <w:tcW w:w="4418" w:type="dxa"/>
            <w:noWrap/>
            <w:vAlign w:val="center"/>
          </w:tcPr>
          <w:p w14:paraId="58B20E67">
            <w:pPr>
              <w:jc w:val="center"/>
              <w:rPr>
                <w:rFonts w:ascii="宋体" w:hAnsi="宋体" w:cs="宋体"/>
                <w:kern w:val="0"/>
                <w:sz w:val="24"/>
                <w:highlight w:val="none"/>
              </w:rPr>
            </w:pPr>
            <w:r>
              <w:rPr>
                <w:rFonts w:hint="eastAsia"/>
                <w:sz w:val="24"/>
                <w:highlight w:val="none"/>
              </w:rPr>
              <w:t>首都医科大学附属北京同仁医院2026及2027年度服务互联网出口带宽租赁项目</w:t>
            </w:r>
            <w:r>
              <w:rPr>
                <w:rFonts w:hint="eastAsia"/>
                <w:sz w:val="24"/>
                <w:highlight w:val="none"/>
                <w:lang w:eastAsia="zh-CN"/>
              </w:rPr>
              <w:t>（</w:t>
            </w:r>
            <w:r>
              <w:rPr>
                <w:rFonts w:hint="eastAsia"/>
                <w:sz w:val="24"/>
                <w:highlight w:val="none"/>
                <w:lang w:val="en-US" w:eastAsia="zh-CN"/>
              </w:rPr>
              <w:t>第一包）</w:t>
            </w:r>
          </w:p>
        </w:tc>
        <w:tc>
          <w:tcPr>
            <w:tcW w:w="1039" w:type="dxa"/>
            <w:noWrap/>
            <w:vAlign w:val="center"/>
          </w:tcPr>
          <w:p w14:paraId="349DCF64">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条</w:t>
            </w:r>
          </w:p>
        </w:tc>
        <w:tc>
          <w:tcPr>
            <w:tcW w:w="911" w:type="dxa"/>
            <w:noWrap/>
            <w:vAlign w:val="center"/>
          </w:tcPr>
          <w:p w14:paraId="415D1359">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1</w:t>
            </w:r>
          </w:p>
        </w:tc>
        <w:tc>
          <w:tcPr>
            <w:tcW w:w="1627" w:type="dxa"/>
            <w:vAlign w:val="center"/>
          </w:tcPr>
          <w:p w14:paraId="5140F57C">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rPr>
              <w:t>租用2年，每条链路带宽不低于1GB</w:t>
            </w:r>
            <w:r>
              <w:rPr>
                <w:rFonts w:hint="eastAsia" w:ascii="宋体" w:hAnsi="宋体" w:cs="宋体"/>
                <w:sz w:val="24"/>
                <w:highlight w:val="none"/>
              </w:rPr>
              <w:t>。</w:t>
            </w:r>
          </w:p>
        </w:tc>
      </w:tr>
    </w:tbl>
    <w:p w14:paraId="1B15638C">
      <w:pPr>
        <w:rPr>
          <w:highlight w:val="none"/>
        </w:rPr>
      </w:pPr>
    </w:p>
    <w:p w14:paraId="3402BE5F">
      <w:pPr>
        <w:pStyle w:val="2"/>
        <w:jc w:val="left"/>
        <w:rPr>
          <w:highlight w:val="none"/>
        </w:rPr>
      </w:pPr>
      <w:bookmarkStart w:id="6" w:name="_Toc21427"/>
      <w:r>
        <w:rPr>
          <w:rFonts w:hint="eastAsia"/>
          <w:highlight w:val="none"/>
        </w:rPr>
        <w:t>2.2技术要求</w:t>
      </w:r>
      <w:bookmarkEnd w:id="6"/>
    </w:p>
    <w:p w14:paraId="4BD296BC">
      <w:pPr>
        <w:pStyle w:val="3"/>
        <w:spacing w:before="0" w:after="0" w:line="360" w:lineRule="auto"/>
        <w:rPr>
          <w:rFonts w:ascii="宋体" w:hAnsi="宋体" w:cs="宋体"/>
          <w:sz w:val="24"/>
          <w:highlight w:val="none"/>
        </w:rPr>
      </w:pPr>
      <w:r>
        <w:rPr>
          <w:rFonts w:hint="eastAsia" w:ascii="宋体" w:hAnsi="宋体" w:cs="宋体"/>
          <w:sz w:val="24"/>
          <w:highlight w:val="none"/>
        </w:rPr>
        <w:t>2.2.1、项目概况</w:t>
      </w:r>
    </w:p>
    <w:p w14:paraId="6E40EDB9">
      <w:pPr>
        <w:pStyle w:val="10"/>
        <w:ind w:firstLine="482"/>
        <w:rPr>
          <w:rFonts w:ascii="宋体" w:hAnsi="宋体" w:cs="宋体"/>
          <w:sz w:val="24"/>
          <w:highlight w:val="none"/>
        </w:rPr>
      </w:pPr>
      <w:r>
        <w:rPr>
          <w:rFonts w:hint="eastAsia" w:ascii="宋体" w:hAnsi="宋体" w:cs="宋体"/>
          <w:b/>
          <w:sz w:val="24"/>
          <w:highlight w:val="none"/>
        </w:rPr>
        <w:t>项目名称：</w:t>
      </w:r>
      <w:r>
        <w:rPr>
          <w:rFonts w:hint="eastAsia" w:ascii="宋体" w:hAnsi="宋体" w:cs="宋体"/>
          <w:bCs/>
          <w:sz w:val="24"/>
          <w:highlight w:val="none"/>
        </w:rPr>
        <w:t>首都医科大学附属北京同仁医院专线接入项目</w:t>
      </w:r>
    </w:p>
    <w:p w14:paraId="5578EDCE">
      <w:pPr>
        <w:pStyle w:val="10"/>
        <w:ind w:firstLine="482"/>
        <w:rPr>
          <w:rFonts w:ascii="宋体" w:hAnsi="宋体" w:cs="宋体"/>
          <w:b/>
          <w:sz w:val="24"/>
          <w:highlight w:val="none"/>
        </w:rPr>
      </w:pPr>
      <w:r>
        <w:rPr>
          <w:rFonts w:hint="eastAsia" w:ascii="宋体" w:hAnsi="宋体" w:cs="宋体"/>
          <w:b/>
          <w:sz w:val="24"/>
          <w:highlight w:val="none"/>
        </w:rPr>
        <w:t>基本需求：</w:t>
      </w:r>
      <w:r>
        <w:rPr>
          <w:rFonts w:hint="eastAsia" w:ascii="宋体" w:hAnsi="宋体" w:cs="宋体"/>
          <w:bCs/>
          <w:sz w:val="24"/>
          <w:highlight w:val="none"/>
        </w:rPr>
        <w:t>为促进首都医科大学附属北京同仁医院信息化发展，保障院内医疗系统访问、日常办公业务需求、病房无线网系统运行等，为保障互联网业务的安全稳定，本项目共两个分包，每包计划采购1条上下行带宽一致的1000Mbps互联网专线，专线接口类型为单模光口。本项目为包1</w:t>
      </w:r>
      <w:r>
        <w:rPr>
          <w:rFonts w:hint="eastAsia" w:ascii="宋体" w:hAnsi="宋体" w:cs="宋体"/>
          <w:sz w:val="24"/>
          <w:highlight w:val="none"/>
        </w:rPr>
        <w:t>承接一条专线的建设、运维及后续服务。两条专线独立部署、并行运行，与包2形成形成双链路架构，有效规避单一供应商服务中断风险，确保互联网业务的安全稳定。</w:t>
      </w:r>
      <w:r>
        <w:rPr>
          <w:rFonts w:hint="eastAsia" w:ascii="宋体" w:hAnsi="宋体" w:cs="宋体"/>
          <w:bCs/>
          <w:sz w:val="24"/>
          <w:highlight w:val="none"/>
        </w:rPr>
        <w:t>为防止该线路被DDos攻击，影响医院业务正常使用，本项目计划采购清洗能力为2Gb的抗D服务。</w:t>
      </w:r>
    </w:p>
    <w:p w14:paraId="79D90119">
      <w:pPr>
        <w:pStyle w:val="10"/>
        <w:ind w:firstLine="0" w:firstLineChars="0"/>
        <w:outlineLvl w:val="4"/>
        <w:rPr>
          <w:rFonts w:ascii="宋体" w:hAnsi="宋体" w:cs="宋体"/>
          <w:b/>
          <w:sz w:val="24"/>
          <w:highlight w:val="none"/>
        </w:rPr>
      </w:pPr>
      <w:r>
        <w:rPr>
          <w:rFonts w:hint="eastAsia" w:ascii="宋体" w:hAnsi="宋体" w:cs="宋体"/>
          <w:b/>
          <w:sz w:val="24"/>
          <w:highlight w:val="none"/>
        </w:rPr>
        <w:t>2.2.2、技术标准与服务标准</w:t>
      </w:r>
    </w:p>
    <w:p w14:paraId="0F07ED53">
      <w:pPr>
        <w:spacing w:line="360" w:lineRule="auto"/>
        <w:rPr>
          <w:rFonts w:ascii="宋体" w:hAnsi="宋体" w:cs="宋体"/>
          <w:bCs/>
          <w:sz w:val="24"/>
          <w:highlight w:val="none"/>
        </w:rPr>
      </w:pPr>
      <w:r>
        <w:rPr>
          <w:rFonts w:hint="eastAsia" w:ascii="宋体" w:hAnsi="宋体" w:cs="宋体"/>
          <w:bCs/>
          <w:sz w:val="24"/>
          <w:highlight w:val="none"/>
        </w:rPr>
        <w:t>1.线路技术要求</w:t>
      </w:r>
    </w:p>
    <w:p w14:paraId="534479AA">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（1）接口类型：千兆光口或千兆电口或百兆电口；</w:t>
      </w:r>
    </w:p>
    <w:p w14:paraId="5325AAFC">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（2）丢包率（Frame Loss）：≤0.75%（承诺带宽内）；</w:t>
      </w:r>
    </w:p>
    <w:p w14:paraId="7D5A6F4C">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（3）承诺可用率：≥99.9%；</w:t>
      </w:r>
    </w:p>
    <w:p w14:paraId="306D8FAB">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（4）时延：≤40ms（至网内热点网站的Ping网络时延）；</w:t>
      </w:r>
    </w:p>
    <w:p w14:paraId="56820FAC">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（5）带宽独享：招标人接入设备出口至投标人骨干节点设备间带宽独享；提供不少于64个IPv4互联网IP地址，及不少于/64个IPv6互联网IP地址。</w:t>
      </w:r>
    </w:p>
    <w:p w14:paraId="29593FEA">
      <w:pPr>
        <w:numPr>
          <w:ilvl w:val="0"/>
          <w:numId w:val="3"/>
        </w:num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本次线路为独立光缆接入，具备根据采购人需求进行快速扩容的能力。</w:t>
      </w:r>
    </w:p>
    <w:p w14:paraId="49D94FBC">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（7）本次采购的线路带宽可按照采购人需求进行合理拆分为2-3条线路，总上行及下行带宽不低于1000Mbps，以确保满足未来业务系统需求。</w:t>
      </w:r>
    </w:p>
    <w:p w14:paraId="4B3B39D4">
      <w:pPr>
        <w:pStyle w:val="4"/>
        <w:ind w:firstLine="0"/>
        <w:rPr>
          <w:highlight w:val="none"/>
        </w:rPr>
      </w:pPr>
      <w:r>
        <w:rPr>
          <w:rFonts w:hint="eastAsia"/>
          <w:highlight w:val="none"/>
        </w:rPr>
        <w:t>2.抗D服务技术要求</w:t>
      </w:r>
    </w:p>
    <w:p w14:paraId="096745BF">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（1）产品支持对攻击状态进行实时监控，一旦发生攻击，即刻发出攻击告警通知，攻击结束后发出结束通知。告警通知包含攻击目标，攻击类型及攻击大小信息。</w:t>
      </w:r>
    </w:p>
    <w:p w14:paraId="17BED2E2">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（2）产品采用基于管道侧的清洗中心，支持基于需防护目的IP地址的批量流量压制和精细化压制功能，所提供抗D服务的流量清洗能力不低于2Gb。可根据所采购专线拆分方案对抗D服务清洗能力进行合理拆分。</w:t>
      </w:r>
    </w:p>
    <w:p w14:paraId="34FA8CFA">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（3）无需修改 DNS 配置和 IP 地址，仅需提供防护目标对象即可进行防护。</w:t>
      </w:r>
    </w:p>
    <w:p w14:paraId="75EC6D88">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（4）产品采用近源式清洗、分布式清洗，具有全国调动防护能力；具有城域网近目的清洗、城域网、骨干网二级协同联动能力。</w:t>
      </w:r>
    </w:p>
    <w:p w14:paraId="30914F81">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5）针对境外来源的网络攻击，供应商应具备境外节点流量清洗能力，可将境外攻击流量在境外节点完成识别与清洗，避免攻击流量进入国内段链路占用带宽资源。供应商提供的抗DDoS流量清洗服务在国内外均需部署有清洗节点，国内外清洗节点数量合计应不少于50个。（需提供相关证明文件并盖章）</w:t>
      </w:r>
    </w:p>
    <w:p w14:paraId="3C3B7904">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（6）平台提供互联网 DDOS 攻击流量清洗服务，清洗能力应不少于12Tbps。（需提供相关证明文件或测试报告并盖章）</w:t>
      </w:r>
    </w:p>
    <w:p w14:paraId="0D4E39EF">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（7）对采购人IP地址进行全国在线实时流量监控和全面风险评估，当流量出现异常或者超过预先设置的阈值，采用人工授权或自助的方式启动清洗防护。</w:t>
      </w:r>
    </w:p>
    <w:p w14:paraId="1895643F">
      <w:pPr>
        <w:pStyle w:val="10"/>
        <w:ind w:firstLine="0" w:firstLineChars="0"/>
        <w:rPr>
          <w:rFonts w:ascii="宋体" w:hAnsi="宋体" w:cs="宋体"/>
          <w:sz w:val="24"/>
          <w:highlight w:val="none"/>
        </w:rPr>
      </w:pPr>
      <w:r>
        <w:rPr>
          <w:rFonts w:hint="eastAsia" w:ascii="宋体" w:hAnsi="宋体" w:cs="宋体"/>
          <w:kern w:val="0"/>
          <w:sz w:val="24"/>
          <w:highlight w:val="none"/>
        </w:rPr>
        <w:t>（8）产品可提供对业务流量和针对采购人IP地址（段）的DDoS攻击流量溯源分析服务。</w:t>
      </w:r>
    </w:p>
    <w:p w14:paraId="1C77C90E">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3.项目实施要求</w:t>
      </w:r>
    </w:p>
    <w:p w14:paraId="0CB2AF0B">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（1）项目团队要求：</w:t>
      </w:r>
    </w:p>
    <w:p w14:paraId="294F6682">
      <w:pPr>
        <w:autoSpaceDE w:val="0"/>
        <w:autoSpaceDN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1.投标方项目团队成员数量不得低于5人；</w:t>
      </w:r>
    </w:p>
    <w:p w14:paraId="6807115F">
      <w:pPr>
        <w:autoSpaceDE w:val="0"/>
        <w:autoSpaceDN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2.项目经理需具备高级工程师资质证书。</w:t>
      </w:r>
    </w:p>
    <w:p w14:paraId="333F5C34">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（2）投标人应保证合同签订后3个工作日内完成专线开通及测试。</w:t>
      </w:r>
    </w:p>
    <w:p w14:paraId="2A09A9BC">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3）项目实施过程控制：提供项目实施方案，说明如何利用人力及其它资源来承担其合同项下整体的项目顺利实施及按期交付。该方案应包括服务组织架构、人员组成及职责、服务商针对所需带宽的节点部署及线路情况，并提供详细的实施计划进度表，需标明完成合同所有关键活动的预计时间。</w:t>
      </w:r>
    </w:p>
    <w:p w14:paraId="2B1E902F">
      <w:pPr>
        <w:autoSpaceDE w:val="0"/>
        <w:autoSpaceDN w:val="0"/>
        <w:spacing w:line="360" w:lineRule="auto"/>
        <w:jc w:val="left"/>
        <w:rPr>
          <w:highlight w:val="none"/>
        </w:rPr>
      </w:pPr>
      <w:r>
        <w:rPr>
          <w:rFonts w:hint="eastAsia" w:ascii="宋体" w:hAnsi="宋体" w:cs="宋体"/>
          <w:kern w:val="0"/>
          <w:sz w:val="24"/>
          <w:highlight w:val="none"/>
        </w:rPr>
        <w:t>（4）项目实施文档管理承诺：项目实施过程中所收集、产生的所有与本项目相关文档、资料，包括文字、图片、表格、数字等 各种形式所属权均归属招标人，投标人有义务对所涉及到的内容保密，应按照要求签署保密协议。投标人不得以任何形式向第三方透露本项目标书以及本项目的任何内容。</w:t>
      </w:r>
    </w:p>
    <w:p w14:paraId="499C06D7">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4.售后服务要求</w:t>
      </w:r>
    </w:p>
    <w:p w14:paraId="40F0AAB9">
      <w:pPr>
        <w:pStyle w:val="4"/>
        <w:ind w:firstLine="480" w:firstLineChars="200"/>
        <w:rPr>
          <w:rFonts w:ascii="宋体" w:hAnsi="宋体" w:cs="宋体"/>
          <w:color w:val="000000"/>
          <w:highlight w:val="none"/>
        </w:rPr>
      </w:pPr>
      <w:r>
        <w:rPr>
          <w:rFonts w:hint="eastAsia" w:ascii="宋体" w:hAnsi="宋体" w:cs="宋体"/>
          <w:color w:val="000000"/>
          <w:highlight w:val="none"/>
        </w:rPr>
        <w:t>提供详细的售后服务方案，包括服务组织及管理制度、服务响应时间与流程、售后服务内容等。具体要求如下：</w:t>
      </w:r>
    </w:p>
    <w:p w14:paraId="289C8965">
      <w:pPr>
        <w:spacing w:line="360" w:lineRule="auto"/>
        <w:ind w:firstLine="480" w:firstLineChars="200"/>
        <w:rPr>
          <w:rFonts w:ascii="宋体" w:hAnsi="宋体" w:cs="宋体"/>
          <w:sz w:val="24"/>
          <w:highlight w:val="none"/>
        </w:rPr>
      </w:pPr>
      <w:r>
        <w:rPr>
          <w:rFonts w:hint="eastAsia" w:ascii="宋体" w:hAnsi="宋体" w:cs="宋体"/>
          <w:sz w:val="24"/>
          <w:highlight w:val="none"/>
        </w:rPr>
        <w:t>1.投标人提供7×24故障受理电话；</w:t>
      </w:r>
    </w:p>
    <w:p w14:paraId="01795CC5">
      <w:pPr>
        <w:spacing w:line="360" w:lineRule="auto"/>
        <w:ind w:firstLine="480" w:firstLineChars="200"/>
        <w:rPr>
          <w:rFonts w:ascii="宋体" w:hAnsi="宋体" w:cs="宋体"/>
          <w:sz w:val="24"/>
          <w:highlight w:val="none"/>
        </w:rPr>
      </w:pPr>
      <w:r>
        <w:rPr>
          <w:rFonts w:hint="eastAsia" w:ascii="宋体" w:hAnsi="宋体" w:cs="宋体"/>
          <w:sz w:val="24"/>
          <w:highlight w:val="none"/>
        </w:rPr>
        <w:t>2.投标人在接到招标人故障申告后，15分钟之内进行响应；</w:t>
      </w:r>
    </w:p>
    <w:p w14:paraId="28A5680D">
      <w:pPr>
        <w:spacing w:line="360" w:lineRule="auto"/>
        <w:ind w:firstLine="480" w:firstLineChars="200"/>
        <w:rPr>
          <w:rFonts w:ascii="宋体" w:hAnsi="宋体" w:cs="宋体"/>
          <w:sz w:val="24"/>
          <w:highlight w:val="none"/>
        </w:rPr>
      </w:pPr>
      <w:r>
        <w:rPr>
          <w:rFonts w:hint="eastAsia" w:ascii="宋体" w:hAnsi="宋体" w:cs="宋体"/>
          <w:sz w:val="24"/>
          <w:highlight w:val="none"/>
        </w:rPr>
        <w:t>3.投标人在4小时之内恢复业务，并及时向招标人通告故障处理进展情况；</w:t>
      </w:r>
    </w:p>
    <w:p w14:paraId="0E85DC91">
      <w:pPr>
        <w:spacing w:line="360" w:lineRule="auto"/>
        <w:ind w:firstLine="480" w:firstLineChars="200"/>
        <w:rPr>
          <w:rFonts w:ascii="宋体" w:hAnsi="宋体" w:cs="宋体"/>
          <w:sz w:val="24"/>
          <w:highlight w:val="none"/>
        </w:rPr>
      </w:pPr>
      <w:r>
        <w:rPr>
          <w:rFonts w:hint="eastAsia" w:ascii="宋体" w:hAnsi="宋体" w:cs="宋体"/>
          <w:sz w:val="24"/>
          <w:highlight w:val="none"/>
        </w:rPr>
        <w:t>4.投标人在故障处理完毕3个工作日内，需向申告人递交详细的故障处理报告；</w:t>
      </w:r>
    </w:p>
    <w:p w14:paraId="479A5BE1">
      <w:pPr>
        <w:spacing w:line="360" w:lineRule="auto"/>
        <w:ind w:firstLine="480" w:firstLineChars="200"/>
        <w:rPr>
          <w:rFonts w:ascii="宋体" w:hAnsi="宋体" w:cs="宋体"/>
          <w:sz w:val="24"/>
          <w:highlight w:val="none"/>
        </w:rPr>
      </w:pPr>
      <w:r>
        <w:rPr>
          <w:rFonts w:hint="eastAsia" w:ascii="宋体" w:hAnsi="宋体" w:cs="宋体"/>
          <w:sz w:val="24"/>
          <w:highlight w:val="none"/>
        </w:rPr>
        <w:t>5.投标人设专人负责处理故障、进行售后服务工作。协助招标人相关管理人员排查可能因电路质量或故障造成的网络故障；</w:t>
      </w:r>
    </w:p>
    <w:p w14:paraId="080D7B1C">
      <w:pPr>
        <w:spacing w:line="360" w:lineRule="auto"/>
        <w:ind w:firstLine="480" w:firstLineChars="200"/>
        <w:rPr>
          <w:rFonts w:ascii="宋体" w:hAnsi="宋体" w:cs="宋体"/>
          <w:sz w:val="24"/>
          <w:highlight w:val="none"/>
        </w:rPr>
      </w:pPr>
      <w:r>
        <w:rPr>
          <w:rFonts w:hint="eastAsia" w:ascii="宋体" w:hAnsi="宋体" w:cs="宋体"/>
          <w:sz w:val="24"/>
          <w:highlight w:val="none"/>
        </w:rPr>
        <w:t>6.投标人需提供电话和现场的技术支撑；</w:t>
      </w:r>
    </w:p>
    <w:p w14:paraId="5DB898FB">
      <w:pPr>
        <w:spacing w:line="360" w:lineRule="auto"/>
        <w:ind w:firstLine="480" w:firstLineChars="200"/>
        <w:rPr>
          <w:rFonts w:ascii="宋体" w:hAnsi="宋体" w:cs="宋体"/>
          <w:sz w:val="24"/>
          <w:highlight w:val="none"/>
        </w:rPr>
      </w:pPr>
      <w:r>
        <w:rPr>
          <w:rFonts w:hint="eastAsia" w:ascii="宋体" w:hAnsi="宋体" w:cs="宋体"/>
          <w:sz w:val="24"/>
          <w:highlight w:val="none"/>
        </w:rPr>
        <w:t>7.若发生重大故障，投标人需提供故障报告并组织召开故障分析会;</w:t>
      </w:r>
    </w:p>
    <w:p w14:paraId="7C027E4D">
      <w:pPr>
        <w:pStyle w:val="4"/>
        <w:ind w:firstLine="480" w:firstLineChars="200"/>
        <w:rPr>
          <w:rFonts w:ascii="宋体" w:hAnsi="宋体" w:cs="宋体"/>
          <w:color w:val="000000"/>
          <w:highlight w:val="none"/>
        </w:rPr>
      </w:pPr>
      <w:r>
        <w:rPr>
          <w:rFonts w:hint="eastAsia" w:ascii="宋体" w:hAnsi="宋体" w:cs="宋体"/>
          <w:color w:val="000000"/>
          <w:highlight w:val="none"/>
        </w:rPr>
        <w:t>8.提供定期巡检服务：投标人应定期（不少于一月一次）到用户端进行设备巡检，了解客户需求，分析用户网络运行情况，提出改进建议和优化措施。</w:t>
      </w:r>
    </w:p>
    <w:p w14:paraId="00321AD9">
      <w:pPr>
        <w:spacing w:line="360" w:lineRule="auto"/>
        <w:ind w:firstLine="480" w:firstLineChars="200"/>
        <w:rPr>
          <w:rFonts w:hint="eastAsia" w:ascii="宋体" w:hAnsi="宋体" w:cs="宋体"/>
          <w:color w:val="000000"/>
          <w:sz w:val="24"/>
          <w:highlight w:val="none"/>
          <w:lang w:bidi="ar"/>
        </w:rPr>
      </w:pPr>
      <w:r>
        <w:rPr>
          <w:rFonts w:hint="eastAsia" w:ascii="宋体" w:hAnsi="宋体" w:cs="宋体"/>
          <w:color w:val="000000"/>
          <w:sz w:val="24"/>
          <w:highlight w:val="none"/>
        </w:rPr>
        <w:t>9.提供日常保障：投标人提供以互联网专线接入点为标地的局所范围覆盖情况说明，提供专线链路的日常保障工作。提供</w:t>
      </w:r>
      <w:r>
        <w:rPr>
          <w:rFonts w:hint="eastAsia" w:ascii="宋体" w:hAnsi="宋体" w:cs="宋体"/>
          <w:color w:val="000000"/>
          <w:sz w:val="24"/>
          <w:highlight w:val="none"/>
          <w:lang w:bidi="ar"/>
        </w:rPr>
        <w:t>传输链路及管井运营巡检管理办法，确保招标人所使用专线安全稳定、风险可控。</w:t>
      </w:r>
    </w:p>
    <w:p w14:paraId="2C111A74">
      <w:pPr>
        <w:spacing w:line="360" w:lineRule="auto"/>
        <w:ind w:firstLine="480" w:firstLineChars="200"/>
        <w:rPr>
          <w:rFonts w:hint="eastAsia" w:ascii="宋体" w:hAnsi="宋体" w:eastAsia="宋体" w:cs="宋体"/>
          <w:color w:val="000000"/>
          <w:sz w:val="24"/>
          <w:highlight w:val="none"/>
          <w:lang w:val="en-US" w:eastAsia="zh-CN" w:bidi="ar"/>
        </w:rPr>
      </w:pPr>
      <w:r>
        <w:rPr>
          <w:rFonts w:hint="eastAsia" w:ascii="宋体" w:hAnsi="宋体" w:cs="宋体"/>
          <w:color w:val="000000"/>
          <w:sz w:val="24"/>
          <w:highlight w:val="none"/>
          <w:lang w:val="en-US" w:eastAsia="zh-CN" w:bidi="ar"/>
        </w:rPr>
        <w:t>10.</w:t>
      </w:r>
      <w:r>
        <w:rPr>
          <w:rFonts w:hint="eastAsia" w:ascii="宋体" w:hAnsi="宋体" w:cs="宋体"/>
          <w:color w:val="000000"/>
          <w:sz w:val="24"/>
          <w:highlight w:val="none"/>
        </w:rPr>
        <w:t>提供</w:t>
      </w:r>
      <w:r>
        <w:rPr>
          <w:rFonts w:ascii="Segoe UI" w:hAnsi="Segoe UI" w:eastAsia="Segoe UI" w:cs="Segoe UI"/>
          <w:i w:val="0"/>
          <w:iCs w:val="0"/>
          <w:caps w:val="0"/>
          <w:color w:val="0F1115"/>
          <w:spacing w:val="0"/>
          <w:sz w:val="24"/>
          <w:szCs w:val="24"/>
          <w:highlight w:val="none"/>
          <w:shd w:val="clear" w:fill="FFFFFF"/>
        </w:rPr>
        <w:t>抗D售后服务的分级响应机制、现场及远程支持方式、7x24小时保障团队及应急处置流程</w:t>
      </w:r>
      <w:r>
        <w:rPr>
          <w:rFonts w:hint="eastAsia" w:ascii="Segoe UI" w:hAnsi="Segoe UI" w:cs="Segoe UI"/>
          <w:i w:val="0"/>
          <w:iCs w:val="0"/>
          <w:caps w:val="0"/>
          <w:color w:val="0F1115"/>
          <w:spacing w:val="0"/>
          <w:sz w:val="24"/>
          <w:szCs w:val="24"/>
          <w:highlight w:val="none"/>
          <w:shd w:val="clear" w:fill="FFFFFF"/>
          <w:lang w:eastAsia="zh-CN"/>
        </w:rPr>
        <w:t>。</w:t>
      </w:r>
    </w:p>
    <w:p w14:paraId="5962A90B">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5.重大活动应急保障服务要求</w:t>
      </w:r>
    </w:p>
    <w:p w14:paraId="30846118">
      <w:pPr>
        <w:spacing w:line="360" w:lineRule="auto"/>
        <w:ind w:firstLine="480" w:firstLineChars="200"/>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提供重大活动保障方案，包括应急处理人员组织架构、应急保障措施、应急响应策略</w:t>
      </w:r>
      <w:r>
        <w:rPr>
          <w:rFonts w:hint="eastAsia" w:ascii="宋体" w:hAnsi="宋体" w:cs="宋体"/>
          <w:color w:val="000000"/>
          <w:sz w:val="24"/>
          <w:highlight w:val="none"/>
          <w:lang w:eastAsia="zh-CN"/>
        </w:rPr>
        <w:t>。</w:t>
      </w:r>
    </w:p>
    <w:p w14:paraId="0DE0A1FC">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提供专网突发应急预案、</w:t>
      </w:r>
      <w:r>
        <w:rPr>
          <w:rFonts w:hint="eastAsia" w:ascii="宋体" w:hAnsi="宋体" w:cs="宋体"/>
          <w:color w:val="000000"/>
          <w:sz w:val="24"/>
          <w:highlight w:val="none"/>
          <w:lang w:bidi="ar"/>
        </w:rPr>
        <w:t>传输链路及管井突发事件处置方案</w:t>
      </w:r>
      <w:r>
        <w:rPr>
          <w:rFonts w:hint="eastAsia" w:ascii="宋体" w:hAnsi="宋体" w:cs="宋体"/>
          <w:color w:val="000000"/>
          <w:sz w:val="24"/>
          <w:highlight w:val="none"/>
        </w:rPr>
        <w:t>等。</w:t>
      </w:r>
    </w:p>
    <w:p w14:paraId="26B68AE2">
      <w:pPr>
        <w:pStyle w:val="8"/>
        <w:numPr>
          <w:ilvl w:val="0"/>
          <w:numId w:val="4"/>
        </w:numPr>
        <w:spacing w:line="360" w:lineRule="auto"/>
        <w:ind w:firstLine="0" w:firstLineChars="0"/>
        <w:contextualSpacing/>
        <w:outlineLvl w:val="1"/>
        <w:rPr>
          <w:rFonts w:ascii="宋体" w:hAnsi="宋体" w:cs="宋体"/>
          <w:sz w:val="24"/>
          <w:szCs w:val="24"/>
          <w:highlight w:val="none"/>
        </w:rPr>
      </w:pPr>
      <w:r>
        <w:rPr>
          <w:rFonts w:hint="eastAsia" w:ascii="宋体" w:hAnsi="宋体" w:cs="宋体"/>
          <w:sz w:val="24"/>
          <w:szCs w:val="24"/>
          <w:highlight w:val="none"/>
        </w:rPr>
        <w:t>其他要求</w:t>
      </w:r>
    </w:p>
    <w:p w14:paraId="09D4A336">
      <w:pPr>
        <w:pStyle w:val="4"/>
        <w:ind w:firstLine="0"/>
        <w:rPr>
          <w:highlight w:val="none"/>
        </w:rPr>
      </w:pPr>
      <w:r>
        <w:rPr>
          <w:rFonts w:hint="eastAsia" w:ascii="宋体" w:hAnsi="宋体" w:cs="宋体"/>
          <w:highlight w:val="none"/>
        </w:rPr>
        <w:t>（1）线路链路</w:t>
      </w:r>
      <w:r>
        <w:rPr>
          <w:rFonts w:hint="eastAsia"/>
          <w:highlight w:val="none"/>
        </w:rPr>
        <w:t>要求</w:t>
      </w:r>
    </w:p>
    <w:p w14:paraId="3E35FB45">
      <w:pPr>
        <w:pStyle w:val="4"/>
        <w:ind w:left="210" w:leftChars="100" w:firstLine="480" w:firstLineChars="200"/>
        <w:rPr>
          <w:highlight w:val="none"/>
        </w:rPr>
      </w:pPr>
      <w:r>
        <w:rPr>
          <w:rFonts w:hint="eastAsia"/>
          <w:highlight w:val="none"/>
        </w:rPr>
        <w:t>供应商所提供的互联网专线链路，需具备自主可控的带宽出口资源，且该资源需为供应商依法持有、自主建设及运营管理，链路传输全程可实现端到端的自主运维与质量管控，如租用第三方链路、出口或跨接，需提供相关承诺及业主方授权，格式及内容自拟并加盖双方公章。</w:t>
      </w:r>
    </w:p>
    <w:p w14:paraId="40DEF125">
      <w:pPr>
        <w:pStyle w:val="4"/>
        <w:ind w:firstLine="0"/>
        <w:rPr>
          <w:highlight w:val="none"/>
        </w:rPr>
      </w:pPr>
      <w:r>
        <w:rPr>
          <w:rFonts w:hint="eastAsia" w:ascii="宋体" w:hAnsi="宋体" w:cs="宋体"/>
          <w:highlight w:val="none"/>
        </w:rPr>
        <w:t>（2）</w:t>
      </w:r>
      <w:r>
        <w:rPr>
          <w:rFonts w:hint="eastAsia"/>
          <w:highlight w:val="none"/>
        </w:rPr>
        <w:t>线路弹性扩容要求</w:t>
      </w:r>
    </w:p>
    <w:p w14:paraId="5303FE00">
      <w:pPr>
        <w:pStyle w:val="4"/>
        <w:ind w:firstLine="480" w:firstLineChars="200"/>
        <w:rPr>
          <w:highlight w:val="none"/>
        </w:rPr>
      </w:pPr>
      <w:r>
        <w:rPr>
          <w:rFonts w:hint="eastAsia"/>
          <w:highlight w:val="none"/>
        </w:rPr>
        <w:t>投标人所提供带宽具备峰值保障能力，在带宽达到使用峰值情况下，可自主提供一定额度的保障带宽。提供相关承诺，格式及内容自拟并加盖公章。</w:t>
      </w:r>
    </w:p>
    <w:p w14:paraId="64367B84">
      <w:pPr>
        <w:pStyle w:val="4"/>
        <w:autoSpaceDE w:val="0"/>
        <w:autoSpaceDN w:val="0"/>
        <w:ind w:firstLine="0"/>
        <w:jc w:val="left"/>
        <w:rPr>
          <w:highlight w:val="none"/>
        </w:rPr>
      </w:pPr>
      <w:r>
        <w:rPr>
          <w:rFonts w:hint="eastAsia"/>
          <w:highlight w:val="none"/>
        </w:rPr>
        <w:t>（3）静态IP地址要求</w:t>
      </w:r>
    </w:p>
    <w:p w14:paraId="08490FCD">
      <w:pPr>
        <w:numPr>
          <w:ilvl w:val="255"/>
          <w:numId w:val="0"/>
        </w:numPr>
        <w:autoSpaceDE w:val="0"/>
        <w:autoSpaceDN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供应商需考虑所提供的公网静态IP地址变更的风险性，确保满足线路割接过程中业务连续性、稳定性和安全性需求。</w:t>
      </w:r>
    </w:p>
    <w:p w14:paraId="3414750C">
      <w:pPr>
        <w:numPr>
          <w:ilvl w:val="255"/>
          <w:numId w:val="0"/>
        </w:num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（4）抗D服务要求</w:t>
      </w:r>
    </w:p>
    <w:p w14:paraId="46E511B7">
      <w:pPr>
        <w:numPr>
          <w:ilvl w:val="255"/>
          <w:numId w:val="0"/>
        </w:numPr>
        <w:autoSpaceDE w:val="0"/>
        <w:autoSpaceDN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投标人所提供抗D服务需</w:t>
      </w:r>
      <w:r>
        <w:rPr>
          <w:rFonts w:ascii="宋体" w:hAnsi="宋体" w:cs="宋体"/>
          <w:kern w:val="0"/>
          <w:sz w:val="24"/>
          <w:highlight w:val="none"/>
        </w:rPr>
        <w:t>支持可编程对抗规则策略，支持按照给定的编程语言生成规则对数据包特征进行匹配，并提供系统截图证明</w:t>
      </w:r>
      <w:r>
        <w:rPr>
          <w:rFonts w:hint="eastAsia" w:ascii="宋体" w:hAnsi="宋体" w:cs="宋体"/>
          <w:kern w:val="0"/>
          <w:sz w:val="24"/>
          <w:highlight w:val="none"/>
        </w:rPr>
        <w:t>。</w:t>
      </w:r>
    </w:p>
    <w:p w14:paraId="537A4ECA">
      <w:pPr>
        <w:rPr>
          <w:highlight w:val="none"/>
        </w:rPr>
      </w:pPr>
    </w:p>
    <w:p w14:paraId="6CD6E9A0">
      <w:pPr>
        <w:rPr>
          <w:highlight w:val="none"/>
        </w:rPr>
      </w:pPr>
    </w:p>
    <w:p w14:paraId="1B6572C7">
      <w:pPr>
        <w:tabs>
          <w:tab w:val="left" w:pos="360"/>
          <w:tab w:val="left" w:pos="900"/>
        </w:tabs>
        <w:snapToGrid w:val="0"/>
        <w:spacing w:line="360" w:lineRule="auto"/>
        <w:jc w:val="center"/>
        <w:outlineLvl w:val="1"/>
        <w:rPr>
          <w:rFonts w:ascii="宋体" w:hAnsi="宋体" w:cs="宋体"/>
          <w:b/>
          <w:sz w:val="24"/>
          <w:highlight w:val="none"/>
        </w:rPr>
      </w:pPr>
      <w:r>
        <w:rPr>
          <w:rFonts w:hint="eastAsia" w:ascii="宋体" w:hAnsi="宋体" w:cs="宋体"/>
          <w:kern w:val="0"/>
          <w:sz w:val="24"/>
          <w:highlight w:val="none"/>
          <w:lang w:bidi="ar"/>
        </w:rPr>
        <w:br w:type="page"/>
      </w:r>
      <w:r>
        <w:rPr>
          <w:rFonts w:hint="eastAsia" w:ascii="宋体" w:hAnsi="宋体" w:cs="宋体"/>
          <w:b/>
          <w:sz w:val="24"/>
          <w:highlight w:val="none"/>
        </w:rPr>
        <w:t>首都医科大学附属北京同仁医院2026及2027年度服务互联网出口带宽租赁项目</w:t>
      </w:r>
    </w:p>
    <w:p w14:paraId="1D94EE46">
      <w:pPr>
        <w:jc w:val="center"/>
        <w:rPr>
          <w:rFonts w:ascii="黑体" w:hAnsi="宋体" w:eastAsia="黑体" w:cs="宋体"/>
          <w:kern w:val="0"/>
          <w:sz w:val="32"/>
          <w:szCs w:val="32"/>
          <w:highlight w:val="none"/>
        </w:rPr>
      </w:pPr>
      <w:r>
        <w:rPr>
          <w:rFonts w:hint="eastAsia" w:asciiTheme="minorEastAsia" w:hAnsiTheme="minorEastAsia" w:eastAsiaTheme="minorEastAsia" w:cstheme="minorEastAsia"/>
          <w:b/>
          <w:bCs/>
          <w:sz w:val="24"/>
          <w:highlight w:val="none"/>
        </w:rPr>
        <w:t>(第二包）</w:t>
      </w:r>
    </w:p>
    <w:p w14:paraId="4E2057B8">
      <w:pPr>
        <w:spacing w:line="360" w:lineRule="auto"/>
        <w:contextualSpacing/>
        <w:rPr>
          <w:sz w:val="24"/>
          <w:highlight w:val="none"/>
        </w:rPr>
      </w:pPr>
    </w:p>
    <w:p w14:paraId="52CB50E7">
      <w:pPr>
        <w:pStyle w:val="8"/>
        <w:numPr>
          <w:ilvl w:val="0"/>
          <w:numId w:val="5"/>
        </w:numPr>
        <w:spacing w:line="360" w:lineRule="auto"/>
        <w:ind w:firstLineChars="0"/>
        <w:contextualSpacing/>
        <w:outlineLvl w:val="0"/>
        <w:rPr>
          <w:rFonts w:ascii="Times New Roman" w:hAnsi="Times New Roman"/>
          <w:b/>
          <w:sz w:val="24"/>
          <w:szCs w:val="24"/>
          <w:highlight w:val="none"/>
        </w:rPr>
      </w:pPr>
      <w:r>
        <w:rPr>
          <w:rFonts w:ascii="Times New Roman" w:hAnsi="Times New Roman"/>
          <w:b/>
          <w:sz w:val="24"/>
          <w:szCs w:val="24"/>
          <w:highlight w:val="none"/>
        </w:rPr>
        <w:t>采购标的</w:t>
      </w:r>
    </w:p>
    <w:p w14:paraId="559B1582">
      <w:pPr>
        <w:numPr>
          <w:ilvl w:val="0"/>
          <w:numId w:val="6"/>
        </w:numPr>
        <w:spacing w:line="360" w:lineRule="auto"/>
        <w:contextualSpacing/>
        <w:outlineLvl w:val="1"/>
        <w:rPr>
          <w:highlight w:val="none"/>
        </w:rPr>
      </w:pPr>
      <w:r>
        <w:rPr>
          <w:bCs/>
          <w:sz w:val="24"/>
          <w:highlight w:val="none"/>
        </w:rPr>
        <w:t>采购标的（货物需求一览表或简要服务内容及数量）</w:t>
      </w:r>
    </w:p>
    <w:tbl>
      <w:tblPr>
        <w:tblStyle w:val="6"/>
        <w:tblW w:w="829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831"/>
        <w:gridCol w:w="1785"/>
        <w:gridCol w:w="1035"/>
        <w:gridCol w:w="840"/>
        <w:gridCol w:w="2100"/>
      </w:tblGrid>
      <w:tr w14:paraId="3FF26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703" w:type="dxa"/>
            <w:vAlign w:val="center"/>
          </w:tcPr>
          <w:p w14:paraId="6128A0C8">
            <w:pPr>
              <w:pStyle w:val="9"/>
              <w:jc w:val="center"/>
              <w:rPr>
                <w:sz w:val="24"/>
                <w:highlight w:val="none"/>
              </w:rPr>
            </w:pPr>
            <w:r>
              <w:rPr>
                <w:rFonts w:hint="eastAsia"/>
                <w:sz w:val="24"/>
                <w:highlight w:val="none"/>
              </w:rPr>
              <w:t>包号</w:t>
            </w:r>
          </w:p>
        </w:tc>
        <w:tc>
          <w:tcPr>
            <w:tcW w:w="1831" w:type="dxa"/>
            <w:vAlign w:val="center"/>
          </w:tcPr>
          <w:p w14:paraId="44688605">
            <w:pPr>
              <w:pStyle w:val="9"/>
              <w:jc w:val="center"/>
              <w:rPr>
                <w:sz w:val="24"/>
                <w:highlight w:val="none"/>
              </w:rPr>
            </w:pPr>
            <w:r>
              <w:rPr>
                <w:rFonts w:hint="eastAsia"/>
                <w:sz w:val="24"/>
                <w:highlight w:val="none"/>
              </w:rPr>
              <w:t>标的名称</w:t>
            </w:r>
          </w:p>
        </w:tc>
        <w:tc>
          <w:tcPr>
            <w:tcW w:w="1785" w:type="dxa"/>
            <w:vAlign w:val="center"/>
          </w:tcPr>
          <w:p w14:paraId="35F85F10">
            <w:pPr>
              <w:pStyle w:val="9"/>
              <w:jc w:val="center"/>
              <w:rPr>
                <w:sz w:val="24"/>
                <w:highlight w:val="none"/>
                <w:lang w:eastAsia="zh-CN"/>
              </w:rPr>
            </w:pPr>
            <w:r>
              <w:rPr>
                <w:rFonts w:hint="eastAsia"/>
                <w:sz w:val="24"/>
                <w:highlight w:val="none"/>
                <w:lang w:eastAsia="zh-CN"/>
              </w:rPr>
              <w:t>采购包预算金额</w:t>
            </w:r>
          </w:p>
          <w:p w14:paraId="62794FEE">
            <w:pPr>
              <w:pStyle w:val="9"/>
              <w:jc w:val="center"/>
              <w:rPr>
                <w:sz w:val="24"/>
                <w:highlight w:val="none"/>
                <w:lang w:eastAsia="zh-CN"/>
              </w:rPr>
            </w:pPr>
            <w:r>
              <w:rPr>
                <w:rFonts w:hint="eastAsia"/>
                <w:sz w:val="24"/>
                <w:highlight w:val="none"/>
                <w:lang w:eastAsia="zh-CN"/>
              </w:rPr>
              <w:t>（万元）/每年</w:t>
            </w:r>
          </w:p>
        </w:tc>
        <w:tc>
          <w:tcPr>
            <w:tcW w:w="1035" w:type="dxa"/>
            <w:vAlign w:val="center"/>
          </w:tcPr>
          <w:p w14:paraId="1BC208D9">
            <w:pPr>
              <w:pStyle w:val="9"/>
              <w:jc w:val="center"/>
              <w:rPr>
                <w:sz w:val="24"/>
                <w:highlight w:val="none"/>
              </w:rPr>
            </w:pPr>
            <w:r>
              <w:rPr>
                <w:rFonts w:hint="eastAsia"/>
                <w:sz w:val="24"/>
                <w:highlight w:val="none"/>
              </w:rPr>
              <w:t>数量</w:t>
            </w:r>
          </w:p>
        </w:tc>
        <w:tc>
          <w:tcPr>
            <w:tcW w:w="840" w:type="dxa"/>
            <w:vAlign w:val="center"/>
          </w:tcPr>
          <w:p w14:paraId="39D39DB1">
            <w:pPr>
              <w:pStyle w:val="9"/>
              <w:jc w:val="center"/>
              <w:rPr>
                <w:sz w:val="24"/>
                <w:highlight w:val="none"/>
              </w:rPr>
            </w:pPr>
            <w:r>
              <w:rPr>
                <w:rFonts w:hint="eastAsia"/>
                <w:sz w:val="24"/>
                <w:highlight w:val="none"/>
              </w:rPr>
              <w:t>时间</w:t>
            </w:r>
          </w:p>
        </w:tc>
        <w:tc>
          <w:tcPr>
            <w:tcW w:w="2100" w:type="dxa"/>
            <w:vAlign w:val="center"/>
          </w:tcPr>
          <w:p w14:paraId="78985743">
            <w:pPr>
              <w:jc w:val="center"/>
              <w:rPr>
                <w:rFonts w:ascii="宋体" w:hAnsi="宋体" w:cs="宋体"/>
                <w:sz w:val="24"/>
                <w:highlight w:val="none"/>
              </w:rPr>
            </w:pPr>
            <w:r>
              <w:rPr>
                <w:rFonts w:hint="eastAsia" w:ascii="宋体" w:hAnsi="宋体" w:cs="宋体"/>
                <w:sz w:val="24"/>
                <w:highlight w:val="none"/>
              </w:rPr>
              <w:t>简要技术需求或服务要求</w:t>
            </w:r>
          </w:p>
        </w:tc>
      </w:tr>
      <w:tr w14:paraId="31E1A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03" w:type="dxa"/>
            <w:vAlign w:val="center"/>
          </w:tcPr>
          <w:p w14:paraId="242F12B5">
            <w:pPr>
              <w:jc w:val="center"/>
              <w:rPr>
                <w:rFonts w:ascii="宋体" w:hAnsi="宋体" w:cs="宋体"/>
                <w:sz w:val="24"/>
                <w:highlight w:val="none"/>
              </w:rPr>
            </w:pPr>
            <w:r>
              <w:rPr>
                <w:rFonts w:hint="eastAsia" w:ascii="宋体" w:hAnsi="宋体" w:cs="宋体"/>
                <w:sz w:val="24"/>
                <w:highlight w:val="none"/>
              </w:rPr>
              <w:t>1</w:t>
            </w:r>
          </w:p>
        </w:tc>
        <w:tc>
          <w:tcPr>
            <w:tcW w:w="1831" w:type="dxa"/>
            <w:vAlign w:val="center"/>
          </w:tcPr>
          <w:p w14:paraId="405F32F7">
            <w:pPr>
              <w:jc w:val="center"/>
              <w:rPr>
                <w:rFonts w:ascii="宋体" w:hAnsi="宋体" w:cs="宋体"/>
                <w:sz w:val="24"/>
                <w:highlight w:val="none"/>
              </w:rPr>
            </w:pPr>
            <w:r>
              <w:rPr>
                <w:rFonts w:hint="eastAsia"/>
                <w:sz w:val="24"/>
                <w:highlight w:val="none"/>
              </w:rPr>
              <w:t>首都医科大学附属北京同仁医院2026及2027年度服务互联网出口带宽租赁项目</w:t>
            </w:r>
            <w:r>
              <w:rPr>
                <w:rFonts w:hint="eastAsia"/>
                <w:sz w:val="24"/>
                <w:highlight w:val="none"/>
                <w:lang w:eastAsia="zh-CN"/>
              </w:rPr>
              <w:t>（</w:t>
            </w:r>
            <w:r>
              <w:rPr>
                <w:rFonts w:hint="eastAsia"/>
                <w:sz w:val="24"/>
                <w:highlight w:val="none"/>
                <w:lang w:val="en-US" w:eastAsia="zh-CN"/>
              </w:rPr>
              <w:t>第二包）</w:t>
            </w:r>
          </w:p>
        </w:tc>
        <w:tc>
          <w:tcPr>
            <w:tcW w:w="1785" w:type="dxa"/>
            <w:vAlign w:val="center"/>
          </w:tcPr>
          <w:p w14:paraId="44BB7C8E">
            <w:pPr>
              <w:jc w:val="center"/>
              <w:rPr>
                <w:rFonts w:ascii="宋体" w:hAnsi="宋体" w:cs="宋体"/>
                <w:sz w:val="24"/>
                <w:highlight w:val="none"/>
              </w:rPr>
            </w:pPr>
            <w:r>
              <w:rPr>
                <w:rFonts w:hint="eastAsia" w:ascii="宋体" w:hAnsi="宋体" w:cs="宋体"/>
                <w:sz w:val="24"/>
                <w:highlight w:val="none"/>
              </w:rPr>
              <w:t>80</w:t>
            </w:r>
          </w:p>
        </w:tc>
        <w:tc>
          <w:tcPr>
            <w:tcW w:w="1035" w:type="dxa"/>
            <w:vAlign w:val="center"/>
          </w:tcPr>
          <w:p w14:paraId="1BF457D0">
            <w:pPr>
              <w:jc w:val="center"/>
              <w:rPr>
                <w:rFonts w:ascii="宋体" w:hAnsi="宋体" w:cs="宋体"/>
                <w:sz w:val="24"/>
                <w:highlight w:val="none"/>
              </w:rPr>
            </w:pPr>
            <w:r>
              <w:rPr>
                <w:rFonts w:hint="eastAsia" w:ascii="宋体" w:hAnsi="宋体" w:cs="宋体"/>
                <w:sz w:val="24"/>
                <w:highlight w:val="none"/>
              </w:rPr>
              <w:t>一项</w:t>
            </w:r>
          </w:p>
        </w:tc>
        <w:tc>
          <w:tcPr>
            <w:tcW w:w="840" w:type="dxa"/>
            <w:vAlign w:val="center"/>
          </w:tcPr>
          <w:p w14:paraId="225137C3">
            <w:pPr>
              <w:jc w:val="center"/>
              <w:rPr>
                <w:rFonts w:ascii="宋体" w:hAnsi="宋体" w:cs="宋体"/>
                <w:sz w:val="24"/>
                <w:highlight w:val="none"/>
              </w:rPr>
            </w:pPr>
            <w:r>
              <w:rPr>
                <w:rFonts w:hint="eastAsia" w:ascii="宋体" w:hAnsi="宋体" w:cs="宋体"/>
                <w:sz w:val="24"/>
                <w:highlight w:val="none"/>
              </w:rPr>
              <w:t>2年</w:t>
            </w:r>
          </w:p>
        </w:tc>
        <w:tc>
          <w:tcPr>
            <w:tcW w:w="2100" w:type="dxa"/>
            <w:vAlign w:val="center"/>
          </w:tcPr>
          <w:p w14:paraId="52DDE1A5">
            <w:pPr>
              <w:jc w:val="center"/>
              <w:rPr>
                <w:rFonts w:ascii="宋体" w:hAnsi="宋体" w:cs="宋体"/>
                <w:sz w:val="24"/>
                <w:highlight w:val="none"/>
              </w:rPr>
            </w:pPr>
            <w:r>
              <w:rPr>
                <w:rFonts w:hint="eastAsia" w:ascii="宋体" w:hAnsi="宋体" w:cs="宋体"/>
                <w:sz w:val="24"/>
                <w:highlight w:val="none"/>
              </w:rPr>
              <w:t>租用2年，链路带宽不低于1GB，抗D服务不低于2Gb。</w:t>
            </w:r>
          </w:p>
          <w:p w14:paraId="0E7436EC">
            <w:pPr>
              <w:jc w:val="center"/>
              <w:rPr>
                <w:rFonts w:ascii="宋体" w:hAnsi="宋体" w:cs="宋体"/>
                <w:sz w:val="24"/>
                <w:highlight w:val="none"/>
              </w:rPr>
            </w:pPr>
          </w:p>
        </w:tc>
      </w:tr>
    </w:tbl>
    <w:p w14:paraId="2B6D3AA1">
      <w:pPr>
        <w:rPr>
          <w:highlight w:val="none"/>
        </w:rPr>
      </w:pPr>
      <w:r>
        <w:rPr>
          <w:rFonts w:hint="eastAsia"/>
          <w:highlight w:val="none"/>
        </w:rPr>
        <w:t>本包年度最高限价7</w:t>
      </w:r>
      <w:r>
        <w:rPr>
          <w:highlight w:val="none"/>
        </w:rPr>
        <w:t>5</w:t>
      </w:r>
      <w:r>
        <w:rPr>
          <w:rFonts w:hint="eastAsia"/>
          <w:highlight w:val="none"/>
        </w:rPr>
        <w:t>万元，投标人年度报价不得超过年度最高限价，否则作无效投标文件处理。</w:t>
      </w:r>
    </w:p>
    <w:p w14:paraId="6C06381F">
      <w:pPr>
        <w:rPr>
          <w:highlight w:val="none"/>
        </w:rPr>
      </w:pPr>
    </w:p>
    <w:p w14:paraId="5DD42280">
      <w:pPr>
        <w:numPr>
          <w:ilvl w:val="0"/>
          <w:numId w:val="6"/>
        </w:numPr>
        <w:spacing w:line="360" w:lineRule="auto"/>
        <w:contextualSpacing/>
        <w:outlineLvl w:val="1"/>
        <w:rPr>
          <w:highlight w:val="none"/>
        </w:rPr>
      </w:pPr>
      <w:r>
        <w:rPr>
          <w:bCs/>
          <w:sz w:val="24"/>
          <w:highlight w:val="none"/>
        </w:rPr>
        <w:t>项目背景/项目概述</w:t>
      </w:r>
    </w:p>
    <w:p w14:paraId="298C573F">
      <w:pPr>
        <w:pStyle w:val="8"/>
        <w:adjustRightInd w:val="0"/>
        <w:spacing w:line="360" w:lineRule="auto"/>
        <w:ind w:firstLine="480"/>
        <w:contextualSpacing/>
        <w:rPr>
          <w:rFonts w:ascii="宋体" w:hAnsi="宋体" w:cs="宋体"/>
          <w:sz w:val="24"/>
          <w:szCs w:val="24"/>
          <w:highlight w:val="none"/>
        </w:rPr>
      </w:pPr>
      <w:r>
        <w:rPr>
          <w:rFonts w:hint="eastAsia" w:ascii="宋体" w:hAnsi="宋体" w:cs="宋体"/>
          <w:sz w:val="24"/>
          <w:szCs w:val="24"/>
          <w:highlight w:val="none"/>
        </w:rPr>
        <w:t>为促进首都医科大学附属北京同仁医院信息化发展，满足院内医疗系统访问、日常办公业务需求、病房无线网等系统运行需求，考虑到业务连续性保障及供应链多元化布局，现计划采购两条技术参数完全一致的专线服务。</w:t>
      </w:r>
    </w:p>
    <w:p w14:paraId="446DBF3C">
      <w:pPr>
        <w:pStyle w:val="8"/>
        <w:adjustRightInd w:val="0"/>
        <w:spacing w:line="360" w:lineRule="auto"/>
        <w:ind w:firstLine="480"/>
        <w:contextualSpacing/>
        <w:rPr>
          <w:rFonts w:ascii="宋体" w:hAnsi="宋体" w:cs="宋体"/>
          <w:sz w:val="24"/>
          <w:szCs w:val="24"/>
          <w:highlight w:val="none"/>
        </w:rPr>
      </w:pPr>
      <w:r>
        <w:rPr>
          <w:rFonts w:hint="eastAsia" w:ascii="宋体" w:hAnsi="宋体" w:cs="宋体"/>
          <w:sz w:val="24"/>
          <w:szCs w:val="24"/>
          <w:highlight w:val="none"/>
        </w:rPr>
        <w:t>共两个分包，本项目为包2，计划采购1条上下行带宽一致的1000Mbps互联网专线，专线接口类型为单模光口。通过公开招标的方式选定合格供应商，分承接一条专线的建设、运维及后续服务。与包1组成两条专线独立部署、并行运行，形成双链路架构，有效规避单一供应商服务中断风险，确保互联网业务的安全稳定。同时为防止该线路被DDos攻击，影响医院业务正常使用，本项目本项目计划采购清洗能力为2Gb的抗D服务。</w:t>
      </w:r>
    </w:p>
    <w:p w14:paraId="6ECAF42C">
      <w:pPr>
        <w:pStyle w:val="8"/>
        <w:numPr>
          <w:ilvl w:val="0"/>
          <w:numId w:val="5"/>
        </w:numPr>
        <w:spacing w:line="360" w:lineRule="auto"/>
        <w:ind w:firstLineChars="0"/>
        <w:contextualSpacing/>
        <w:outlineLvl w:val="0"/>
        <w:rPr>
          <w:rFonts w:ascii="宋体" w:hAnsi="宋体" w:cs="宋体"/>
          <w:b/>
          <w:sz w:val="24"/>
          <w:szCs w:val="24"/>
          <w:highlight w:val="none"/>
        </w:rPr>
      </w:pPr>
      <w:r>
        <w:rPr>
          <w:rFonts w:hint="eastAsia" w:ascii="宋体" w:hAnsi="宋体" w:cs="宋体"/>
          <w:b/>
          <w:sz w:val="24"/>
          <w:szCs w:val="24"/>
          <w:highlight w:val="none"/>
        </w:rPr>
        <w:t>商务要求</w:t>
      </w:r>
    </w:p>
    <w:p w14:paraId="77F0190E">
      <w:pPr>
        <w:spacing w:line="360" w:lineRule="auto"/>
        <w:contextualSpacing/>
        <w:outlineLvl w:val="1"/>
        <w:rPr>
          <w:rFonts w:ascii="宋体" w:hAnsi="宋体" w:cs="宋体"/>
          <w:i/>
          <w:sz w:val="24"/>
          <w:highlight w:val="none"/>
        </w:rPr>
      </w:pPr>
      <w:r>
        <w:rPr>
          <w:rFonts w:hint="eastAsia" w:ascii="宋体" w:hAnsi="宋体" w:cs="宋体"/>
          <w:sz w:val="24"/>
          <w:highlight w:val="none"/>
        </w:rPr>
        <w:t>1. 交付（实施）的时间（期限）和地点（范围）</w:t>
      </w:r>
    </w:p>
    <w:p w14:paraId="1F1265A7">
      <w:pPr>
        <w:pStyle w:val="5"/>
        <w:spacing w:line="360" w:lineRule="auto"/>
        <w:jc w:val="both"/>
        <w:outlineLvl w:val="9"/>
        <w:rPr>
          <w:rFonts w:ascii="宋体" w:hAnsi="宋体" w:cs="宋体"/>
          <w:b w:val="0"/>
          <w:sz w:val="24"/>
          <w:szCs w:val="24"/>
          <w:highlight w:val="none"/>
        </w:rPr>
      </w:pPr>
      <w:r>
        <w:rPr>
          <w:rFonts w:hint="eastAsia" w:ascii="宋体" w:hAnsi="宋体" w:cs="宋体"/>
          <w:b w:val="0"/>
          <w:sz w:val="24"/>
          <w:szCs w:val="24"/>
          <w:highlight w:val="none"/>
        </w:rPr>
        <w:t>1.1采购项目（标的）实施的时间：合同签订后3</w:t>
      </w:r>
      <w:r>
        <w:rPr>
          <w:rFonts w:ascii="宋体" w:hAnsi="宋体" w:cs="宋体"/>
          <w:b w:val="0"/>
          <w:sz w:val="24"/>
          <w:szCs w:val="24"/>
          <w:highlight w:val="none"/>
        </w:rPr>
        <w:t>0</w:t>
      </w:r>
      <w:r>
        <w:rPr>
          <w:rFonts w:hint="eastAsia" w:ascii="宋体" w:hAnsi="宋体" w:cs="宋体"/>
          <w:b w:val="0"/>
          <w:sz w:val="24"/>
          <w:szCs w:val="24"/>
          <w:highlight w:val="none"/>
        </w:rPr>
        <w:t>个工作日完成交付工作</w:t>
      </w:r>
    </w:p>
    <w:p w14:paraId="6B5EC553">
      <w:pPr>
        <w:pStyle w:val="5"/>
        <w:tabs>
          <w:tab w:val="left" w:pos="0"/>
        </w:tabs>
        <w:spacing w:line="360" w:lineRule="auto"/>
        <w:jc w:val="both"/>
        <w:outlineLvl w:val="9"/>
        <w:rPr>
          <w:rFonts w:ascii="宋体" w:hAnsi="宋体" w:cs="宋体"/>
          <w:b w:val="0"/>
          <w:sz w:val="24"/>
          <w:szCs w:val="24"/>
          <w:highlight w:val="none"/>
        </w:rPr>
      </w:pPr>
      <w:r>
        <w:rPr>
          <w:rFonts w:hint="eastAsia" w:ascii="宋体" w:hAnsi="宋体" w:cs="宋体"/>
          <w:b w:val="0"/>
          <w:sz w:val="24"/>
          <w:szCs w:val="24"/>
          <w:highlight w:val="none"/>
        </w:rPr>
        <w:t>1.2采购项目（标的）实施的地点：首都医科大学附属北京同仁医院指定地点</w:t>
      </w:r>
    </w:p>
    <w:p w14:paraId="1E3C82DE">
      <w:pPr>
        <w:pStyle w:val="5"/>
        <w:tabs>
          <w:tab w:val="left" w:pos="0"/>
        </w:tabs>
        <w:spacing w:line="360" w:lineRule="auto"/>
        <w:jc w:val="both"/>
        <w:outlineLvl w:val="9"/>
        <w:rPr>
          <w:rFonts w:ascii="宋体" w:hAnsi="宋体" w:cs="宋体"/>
          <w:i/>
          <w:sz w:val="24"/>
          <w:highlight w:val="none"/>
        </w:rPr>
      </w:pPr>
      <w:r>
        <w:rPr>
          <w:rFonts w:hint="eastAsia" w:ascii="宋体" w:hAnsi="宋体" w:cs="宋体"/>
          <w:b w:val="0"/>
          <w:sz w:val="24"/>
          <w:szCs w:val="24"/>
          <w:highlight w:val="none"/>
        </w:rPr>
        <w:t>1</w:t>
      </w:r>
      <w:r>
        <w:rPr>
          <w:rFonts w:ascii="宋体" w:hAnsi="宋体" w:cs="宋体"/>
          <w:b w:val="0"/>
          <w:sz w:val="24"/>
          <w:szCs w:val="24"/>
          <w:highlight w:val="none"/>
        </w:rPr>
        <w:t>.3采购项目（标的）服务期限：服务期限</w:t>
      </w:r>
      <w:r>
        <w:rPr>
          <w:rFonts w:hint="eastAsia" w:ascii="宋体" w:hAnsi="宋体" w:cs="宋体"/>
          <w:b w:val="0"/>
          <w:sz w:val="24"/>
          <w:szCs w:val="24"/>
          <w:highlight w:val="none"/>
        </w:rPr>
        <w:t>2年（合同签订之日起2年），合同为每年一签，合同服务期内，中标人有任何违约行为或经采购人考核不符合要求的，采购人有权拒绝续签下一合同或解除当年度合同。</w:t>
      </w:r>
    </w:p>
    <w:p w14:paraId="34ABCF9B">
      <w:pPr>
        <w:spacing w:line="360" w:lineRule="auto"/>
        <w:contextualSpacing/>
        <w:outlineLvl w:val="1"/>
        <w:rPr>
          <w:rFonts w:ascii="宋体" w:hAnsi="宋体" w:cs="宋体"/>
          <w:sz w:val="24"/>
          <w:highlight w:val="none"/>
        </w:rPr>
      </w:pPr>
      <w:r>
        <w:rPr>
          <w:rFonts w:hint="eastAsia" w:ascii="宋体" w:hAnsi="宋体" w:cs="宋体"/>
          <w:sz w:val="24"/>
          <w:highlight w:val="none"/>
        </w:rPr>
        <w:t>2. 付款条件（进度和方式）</w:t>
      </w:r>
    </w:p>
    <w:p w14:paraId="5CE22AD7">
      <w:pPr>
        <w:autoSpaceDE w:val="0"/>
        <w:autoSpaceDN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网络使用费计算方式：合同生效后，</w:t>
      </w:r>
      <w:r>
        <w:rPr>
          <w:rFonts w:hint="eastAsia" w:ascii="宋体" w:hAnsi="宋体" w:cs="宋体"/>
          <w:sz w:val="24"/>
          <w:highlight w:val="none"/>
          <w:lang w:val="en-US" w:eastAsia="zh-CN"/>
        </w:rPr>
        <w:t>中标人</w:t>
      </w:r>
      <w:r>
        <w:rPr>
          <w:rFonts w:hint="eastAsia" w:ascii="宋体" w:hAnsi="宋体" w:cs="宋体"/>
          <w:sz w:val="24"/>
          <w:highlight w:val="none"/>
        </w:rPr>
        <w:t>按季度提供增值税普通发票，采购人需在收到发票30日内通过电汇形式向投标人支付业务费用。退租日当月不满整月的情况下，当月网络使用费按照实际使用天数*基本月租费*12个月/365天(费用精确到小数点后面第2位,小数点后面第3位按四舍五入方法操作)收取。</w:t>
      </w:r>
    </w:p>
    <w:p w14:paraId="7842B1EA">
      <w:pPr>
        <w:autoSpaceDE w:val="0"/>
        <w:autoSpaceDN w:val="0"/>
        <w:spacing w:line="360" w:lineRule="auto"/>
        <w:ind w:firstLine="0" w:firstLineChars="0"/>
        <w:rPr>
          <w:rFonts w:hint="eastAsia" w:ascii="宋体" w:hAnsi="宋体" w:cs="宋体"/>
          <w:sz w:val="24"/>
          <w:highlight w:val="none"/>
        </w:rPr>
      </w:pPr>
    </w:p>
    <w:p w14:paraId="316CAF85">
      <w:pPr>
        <w:pStyle w:val="8"/>
        <w:numPr>
          <w:ilvl w:val="0"/>
          <w:numId w:val="5"/>
        </w:numPr>
        <w:spacing w:line="360" w:lineRule="auto"/>
        <w:ind w:firstLineChars="0"/>
        <w:contextualSpacing/>
        <w:outlineLvl w:val="0"/>
        <w:rPr>
          <w:rFonts w:ascii="宋体" w:hAnsi="宋体" w:cs="宋体"/>
          <w:b/>
          <w:sz w:val="24"/>
          <w:szCs w:val="24"/>
          <w:highlight w:val="none"/>
        </w:rPr>
      </w:pPr>
      <w:r>
        <w:rPr>
          <w:rFonts w:hint="eastAsia" w:ascii="宋体" w:hAnsi="宋体" w:cs="宋体"/>
          <w:b/>
          <w:sz w:val="24"/>
          <w:szCs w:val="24"/>
          <w:highlight w:val="none"/>
        </w:rPr>
        <w:t>技术要求</w:t>
      </w:r>
    </w:p>
    <w:p w14:paraId="2A44A4E5">
      <w:pPr>
        <w:spacing w:line="360" w:lineRule="auto"/>
        <w:contextualSpacing/>
        <w:outlineLvl w:val="1"/>
        <w:rPr>
          <w:rFonts w:ascii="宋体" w:hAnsi="宋体" w:cs="宋体"/>
          <w:sz w:val="24"/>
          <w:highlight w:val="none"/>
        </w:rPr>
      </w:pPr>
      <w:r>
        <w:rPr>
          <w:rFonts w:hint="eastAsia" w:ascii="宋体" w:hAnsi="宋体" w:cs="宋体"/>
          <w:sz w:val="24"/>
          <w:highlight w:val="none"/>
        </w:rPr>
        <w:t>1. 基本要求</w:t>
      </w:r>
    </w:p>
    <w:p w14:paraId="65E07642">
      <w:pPr>
        <w:spacing w:line="360" w:lineRule="auto"/>
        <w:contextualSpacing/>
        <w:outlineLvl w:val="2"/>
        <w:rPr>
          <w:rFonts w:ascii="宋体" w:hAnsi="宋体" w:cs="宋体"/>
          <w:sz w:val="24"/>
          <w:highlight w:val="none"/>
        </w:rPr>
      </w:pPr>
      <w:r>
        <w:rPr>
          <w:rFonts w:hint="eastAsia" w:ascii="宋体" w:hAnsi="宋体" w:cs="宋体"/>
          <w:sz w:val="24"/>
          <w:highlight w:val="none"/>
        </w:rPr>
        <w:t>1.1 采购标的需实现的功能或者目标</w:t>
      </w:r>
    </w:p>
    <w:p w14:paraId="419C03C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次招标为首都医科大学附属北京同仁医院提供互联网出口带宽租赁相关服务，投标人应根据招标文件所提出的采购需求，制定具体服务方案，确保服务质量符合要求，以优良的服务和优惠的价格，充分显示自己的竞争实力。</w:t>
      </w:r>
    </w:p>
    <w:p w14:paraId="5D9A1B46">
      <w:pPr>
        <w:spacing w:line="360" w:lineRule="auto"/>
        <w:contextualSpacing/>
        <w:outlineLvl w:val="2"/>
        <w:rPr>
          <w:rFonts w:ascii="宋体" w:hAnsi="宋体" w:cs="宋体"/>
          <w:sz w:val="24"/>
          <w:highlight w:val="none"/>
        </w:rPr>
      </w:pPr>
      <w:r>
        <w:rPr>
          <w:rFonts w:hint="eastAsia" w:ascii="宋体" w:hAnsi="宋体" w:cs="宋体"/>
          <w:sz w:val="24"/>
          <w:highlight w:val="none"/>
        </w:rPr>
        <w:t>1.2 需执行的国家相关标准、行业标准、地方标准或者其他标准、规范</w:t>
      </w:r>
    </w:p>
    <w:p w14:paraId="2423D43B">
      <w:pPr>
        <w:pStyle w:val="8"/>
        <w:spacing w:line="360" w:lineRule="auto"/>
        <w:ind w:firstLine="480"/>
        <w:contextualSpacing/>
        <w:rPr>
          <w:rFonts w:ascii="宋体" w:hAnsi="宋体" w:cs="宋体"/>
          <w:sz w:val="24"/>
          <w:szCs w:val="21"/>
          <w:highlight w:val="none"/>
        </w:rPr>
      </w:pPr>
      <w:r>
        <w:rPr>
          <w:rFonts w:hint="eastAsia" w:ascii="宋体" w:hAnsi="宋体" w:cs="宋体"/>
          <w:bCs/>
          <w:color w:val="000000"/>
          <w:sz w:val="24"/>
          <w:szCs w:val="24"/>
          <w:highlight w:val="none"/>
        </w:rPr>
        <w:t>符合已颁布的现行中华人民共和国认可的国家标准、地方标准和行业标准。如果这些标准内容有矛盾时，应按最高标准的条款执行。</w:t>
      </w:r>
    </w:p>
    <w:p w14:paraId="475966BD">
      <w:pPr>
        <w:spacing w:line="360" w:lineRule="auto"/>
        <w:contextualSpacing/>
        <w:outlineLvl w:val="1"/>
        <w:rPr>
          <w:rFonts w:ascii="宋体" w:hAnsi="宋体" w:cs="宋体"/>
          <w:sz w:val="24"/>
          <w:highlight w:val="none"/>
        </w:rPr>
      </w:pPr>
      <w:r>
        <w:rPr>
          <w:rFonts w:hint="eastAsia" w:ascii="宋体" w:hAnsi="宋体" w:cs="宋体"/>
          <w:sz w:val="24"/>
          <w:highlight w:val="none"/>
        </w:rPr>
        <w:t>2. 服务内容及要求/货物技术要求</w:t>
      </w:r>
    </w:p>
    <w:p w14:paraId="3EC507F3">
      <w:pPr>
        <w:pStyle w:val="2"/>
        <w:jc w:val="left"/>
        <w:rPr>
          <w:highlight w:val="none"/>
        </w:rPr>
      </w:pPr>
      <w:r>
        <w:rPr>
          <w:rFonts w:hint="eastAsia"/>
          <w:highlight w:val="none"/>
        </w:rPr>
        <w:t>2.1需求一览表</w:t>
      </w:r>
    </w:p>
    <w:tbl>
      <w:tblPr>
        <w:tblStyle w:val="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418"/>
        <w:gridCol w:w="1039"/>
        <w:gridCol w:w="911"/>
        <w:gridCol w:w="1627"/>
      </w:tblGrid>
      <w:tr w14:paraId="796C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42" w:type="dxa"/>
            <w:noWrap/>
            <w:vAlign w:val="center"/>
          </w:tcPr>
          <w:p w14:paraId="1B8F3B7E">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rPr>
              <w:t>包</w:t>
            </w:r>
            <w:r>
              <w:rPr>
                <w:rFonts w:hint="eastAsia" w:ascii="宋体" w:hAnsi="宋体" w:cs="宋体"/>
                <w:kern w:val="0"/>
                <w:sz w:val="24"/>
                <w:highlight w:val="none"/>
                <w:lang w:eastAsia="en-US"/>
              </w:rPr>
              <w:t>号</w:t>
            </w:r>
          </w:p>
        </w:tc>
        <w:tc>
          <w:tcPr>
            <w:tcW w:w="4418" w:type="dxa"/>
            <w:noWrap/>
            <w:vAlign w:val="center"/>
          </w:tcPr>
          <w:p w14:paraId="668F82DB">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名称</w:t>
            </w:r>
          </w:p>
        </w:tc>
        <w:tc>
          <w:tcPr>
            <w:tcW w:w="1039" w:type="dxa"/>
            <w:noWrap/>
            <w:vAlign w:val="center"/>
          </w:tcPr>
          <w:p w14:paraId="0AA9C58F">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单位</w:t>
            </w:r>
          </w:p>
        </w:tc>
        <w:tc>
          <w:tcPr>
            <w:tcW w:w="911" w:type="dxa"/>
            <w:noWrap/>
            <w:vAlign w:val="center"/>
          </w:tcPr>
          <w:p w14:paraId="67D5A0DB">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数量</w:t>
            </w:r>
          </w:p>
        </w:tc>
        <w:tc>
          <w:tcPr>
            <w:tcW w:w="1627" w:type="dxa"/>
          </w:tcPr>
          <w:p w14:paraId="547DBA91">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备注</w:t>
            </w:r>
          </w:p>
        </w:tc>
      </w:tr>
      <w:tr w14:paraId="57F2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vAlign w:val="center"/>
          </w:tcPr>
          <w:p w14:paraId="0D848AFE">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1</w:t>
            </w:r>
          </w:p>
        </w:tc>
        <w:tc>
          <w:tcPr>
            <w:tcW w:w="4418" w:type="dxa"/>
            <w:noWrap/>
            <w:vAlign w:val="center"/>
          </w:tcPr>
          <w:p w14:paraId="24EAECB4">
            <w:pPr>
              <w:jc w:val="center"/>
              <w:rPr>
                <w:rFonts w:ascii="宋体" w:hAnsi="宋体" w:cs="宋体"/>
                <w:kern w:val="0"/>
                <w:sz w:val="24"/>
                <w:highlight w:val="none"/>
              </w:rPr>
            </w:pPr>
            <w:r>
              <w:rPr>
                <w:rFonts w:hint="eastAsia"/>
                <w:sz w:val="24"/>
                <w:highlight w:val="none"/>
              </w:rPr>
              <w:t>首都医科大学附属北京同仁医院2026及2027年度服务互联网出口带宽租赁项目</w:t>
            </w:r>
            <w:r>
              <w:rPr>
                <w:rFonts w:hint="eastAsia"/>
                <w:sz w:val="24"/>
                <w:highlight w:val="none"/>
                <w:lang w:eastAsia="zh-CN"/>
              </w:rPr>
              <w:t>（</w:t>
            </w:r>
            <w:r>
              <w:rPr>
                <w:rFonts w:hint="eastAsia"/>
                <w:sz w:val="24"/>
                <w:highlight w:val="none"/>
                <w:lang w:val="en-US" w:eastAsia="zh-CN"/>
              </w:rPr>
              <w:t>第二包）</w:t>
            </w:r>
          </w:p>
        </w:tc>
        <w:tc>
          <w:tcPr>
            <w:tcW w:w="1039" w:type="dxa"/>
            <w:noWrap/>
            <w:vAlign w:val="center"/>
          </w:tcPr>
          <w:p w14:paraId="357ECF01">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条</w:t>
            </w:r>
          </w:p>
        </w:tc>
        <w:tc>
          <w:tcPr>
            <w:tcW w:w="911" w:type="dxa"/>
            <w:noWrap/>
            <w:vAlign w:val="center"/>
          </w:tcPr>
          <w:p w14:paraId="0F96CFC6">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lang w:eastAsia="en-US"/>
              </w:rPr>
              <w:t>1</w:t>
            </w:r>
          </w:p>
        </w:tc>
        <w:tc>
          <w:tcPr>
            <w:tcW w:w="1627" w:type="dxa"/>
            <w:vAlign w:val="center"/>
          </w:tcPr>
          <w:p w14:paraId="2F02008E">
            <w:pPr>
              <w:autoSpaceDE w:val="0"/>
              <w:autoSpaceDN w:val="0"/>
              <w:jc w:val="center"/>
              <w:rPr>
                <w:rFonts w:ascii="宋体" w:hAnsi="宋体" w:cs="宋体"/>
                <w:kern w:val="0"/>
                <w:sz w:val="24"/>
                <w:highlight w:val="none"/>
                <w:lang w:eastAsia="en-US"/>
              </w:rPr>
            </w:pPr>
            <w:r>
              <w:rPr>
                <w:rFonts w:hint="eastAsia" w:ascii="宋体" w:hAnsi="宋体" w:cs="宋体"/>
                <w:kern w:val="0"/>
                <w:sz w:val="24"/>
                <w:highlight w:val="none"/>
              </w:rPr>
              <w:t>租用2年，每条链路带宽不低于1GB。</w:t>
            </w:r>
          </w:p>
        </w:tc>
      </w:tr>
    </w:tbl>
    <w:p w14:paraId="26DC68A5">
      <w:pPr>
        <w:rPr>
          <w:highlight w:val="none"/>
        </w:rPr>
      </w:pPr>
    </w:p>
    <w:p w14:paraId="3E95ADD9">
      <w:pPr>
        <w:pStyle w:val="2"/>
        <w:jc w:val="left"/>
        <w:rPr>
          <w:highlight w:val="none"/>
        </w:rPr>
      </w:pPr>
      <w:r>
        <w:rPr>
          <w:rFonts w:hint="eastAsia"/>
          <w:highlight w:val="none"/>
        </w:rPr>
        <w:t>2.2技术要求</w:t>
      </w:r>
    </w:p>
    <w:p w14:paraId="2F4072AC">
      <w:pPr>
        <w:pStyle w:val="3"/>
        <w:spacing w:before="0" w:after="0" w:line="360" w:lineRule="auto"/>
        <w:rPr>
          <w:rFonts w:ascii="宋体" w:hAnsi="宋体" w:cs="宋体"/>
          <w:sz w:val="24"/>
          <w:highlight w:val="none"/>
        </w:rPr>
      </w:pPr>
      <w:r>
        <w:rPr>
          <w:rFonts w:hint="eastAsia" w:ascii="宋体" w:hAnsi="宋体" w:cs="宋体"/>
          <w:sz w:val="24"/>
          <w:highlight w:val="none"/>
        </w:rPr>
        <w:t>2.2.1项目概况</w:t>
      </w:r>
    </w:p>
    <w:p w14:paraId="02EDEC11">
      <w:pPr>
        <w:pStyle w:val="10"/>
        <w:ind w:firstLine="482"/>
        <w:rPr>
          <w:rFonts w:ascii="宋体" w:hAnsi="宋体" w:cs="宋体"/>
          <w:sz w:val="24"/>
          <w:highlight w:val="none"/>
        </w:rPr>
      </w:pPr>
      <w:r>
        <w:rPr>
          <w:rFonts w:hint="eastAsia" w:ascii="宋体" w:hAnsi="宋体" w:cs="宋体"/>
          <w:b/>
          <w:sz w:val="24"/>
          <w:highlight w:val="none"/>
        </w:rPr>
        <w:t>项目名称：</w:t>
      </w:r>
      <w:r>
        <w:rPr>
          <w:rFonts w:hint="eastAsia" w:ascii="宋体" w:hAnsi="宋体" w:cs="宋体"/>
          <w:bCs/>
          <w:sz w:val="24"/>
          <w:highlight w:val="none"/>
        </w:rPr>
        <w:t>首都医科大学附属北京同仁医院专线接入项目</w:t>
      </w:r>
    </w:p>
    <w:p w14:paraId="10A44F82">
      <w:pPr>
        <w:pStyle w:val="10"/>
        <w:ind w:firstLine="482"/>
        <w:rPr>
          <w:rFonts w:ascii="宋体" w:hAnsi="宋体" w:cs="宋体"/>
          <w:b/>
          <w:sz w:val="24"/>
          <w:highlight w:val="none"/>
        </w:rPr>
      </w:pPr>
      <w:r>
        <w:rPr>
          <w:rFonts w:hint="eastAsia" w:ascii="宋体" w:hAnsi="宋体" w:cs="宋体"/>
          <w:b/>
          <w:sz w:val="24"/>
          <w:highlight w:val="none"/>
        </w:rPr>
        <w:t>基本需求：</w:t>
      </w:r>
      <w:r>
        <w:rPr>
          <w:rFonts w:hint="eastAsia" w:ascii="宋体" w:hAnsi="宋体" w:cs="宋体"/>
          <w:bCs/>
          <w:sz w:val="24"/>
          <w:highlight w:val="none"/>
        </w:rPr>
        <w:t>为促进首都医科大学附属北京同仁医院信息化发展，保障院内医疗系统访问、日常办公业务需求、病房无线网系统运行等，为保障互联网业务的安全稳定，本项目共两个分包，每包计划采购1条上下行带宽一致的1000Mbps互联网专线，专线接口类型为单模光口。本项目为包2</w:t>
      </w:r>
      <w:r>
        <w:rPr>
          <w:rFonts w:hint="eastAsia" w:ascii="宋体" w:hAnsi="宋体" w:cs="宋体"/>
          <w:sz w:val="24"/>
          <w:highlight w:val="none"/>
        </w:rPr>
        <w:t>承接一条专线的建设、运维及后续服务。专线独立部署、并行运行，与包1形成双链路架构，有效规避单一供应商服务中断风险，确保互联网业务的安全稳定。</w:t>
      </w:r>
      <w:r>
        <w:rPr>
          <w:rFonts w:hint="eastAsia" w:ascii="宋体" w:hAnsi="宋体" w:cs="宋体"/>
          <w:bCs/>
          <w:sz w:val="24"/>
          <w:highlight w:val="none"/>
        </w:rPr>
        <w:t>为防止该线路被DDos攻击，影响医院业务正常使用，本项目计划采购清洗能力为2Gb的抗D服务。</w:t>
      </w:r>
    </w:p>
    <w:p w14:paraId="1B3CD6CC">
      <w:pPr>
        <w:pStyle w:val="10"/>
        <w:ind w:firstLine="0" w:firstLineChars="0"/>
        <w:outlineLvl w:val="4"/>
        <w:rPr>
          <w:rFonts w:ascii="宋体" w:hAnsi="宋体" w:cs="宋体"/>
          <w:b/>
          <w:sz w:val="24"/>
          <w:highlight w:val="none"/>
        </w:rPr>
      </w:pPr>
      <w:r>
        <w:rPr>
          <w:rFonts w:hint="eastAsia" w:ascii="宋体" w:hAnsi="宋体" w:cs="宋体"/>
          <w:b/>
          <w:sz w:val="24"/>
          <w:highlight w:val="none"/>
        </w:rPr>
        <w:t>2.2.2、技术标准与服务标准</w:t>
      </w:r>
    </w:p>
    <w:p w14:paraId="086F750C">
      <w:pPr>
        <w:spacing w:line="360" w:lineRule="auto"/>
        <w:rPr>
          <w:rFonts w:ascii="宋体" w:hAnsi="宋体" w:cs="宋体"/>
          <w:bCs/>
          <w:sz w:val="24"/>
          <w:highlight w:val="none"/>
        </w:rPr>
      </w:pPr>
      <w:r>
        <w:rPr>
          <w:rFonts w:hint="eastAsia" w:ascii="宋体" w:hAnsi="宋体" w:cs="宋体"/>
          <w:bCs/>
          <w:sz w:val="24"/>
          <w:highlight w:val="none"/>
        </w:rPr>
        <w:t>1.线路技术要求</w:t>
      </w:r>
    </w:p>
    <w:p w14:paraId="739ED246">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（1）接口类型：千兆光口或千兆电口或百兆电口；</w:t>
      </w:r>
    </w:p>
    <w:p w14:paraId="4BD8F49D">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（2）丢包率（Frame Loss）：≤0.75%（承诺带宽内）；</w:t>
      </w:r>
    </w:p>
    <w:p w14:paraId="68965F69">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（3）承诺可用率：≥99.9%；</w:t>
      </w:r>
    </w:p>
    <w:p w14:paraId="22C38667">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（4）时延：≤40ms（至网内热点网站的Ping网络时延）；</w:t>
      </w:r>
    </w:p>
    <w:p w14:paraId="05F06C0F">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（5）带宽独享：招标人接入设备出口至投标人骨干节点设备间带宽独享；提供不少于64个IPv4互联网IP地址，及不少于/64个IPv6互联网IP地址。</w:t>
      </w:r>
    </w:p>
    <w:p w14:paraId="272EDB8E">
      <w:pPr>
        <w:numPr>
          <w:ilvl w:val="255"/>
          <w:numId w:val="0"/>
        </w:num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（6）本次线路为独立光缆接入，具备根据采购人需求进行快速扩容的能力。</w:t>
      </w:r>
    </w:p>
    <w:p w14:paraId="38F1AAF4">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（7）本次采购的线路带宽可按照采购人需求进行合理拆分为2-3条线路，总上行及下行带宽不低于1000Mbps，以确保满足未来业务系统需求。</w:t>
      </w:r>
    </w:p>
    <w:p w14:paraId="7DFF847E">
      <w:pPr>
        <w:pStyle w:val="4"/>
        <w:ind w:firstLine="0"/>
        <w:rPr>
          <w:highlight w:val="none"/>
        </w:rPr>
      </w:pPr>
      <w:r>
        <w:rPr>
          <w:rFonts w:hint="eastAsia"/>
          <w:highlight w:val="none"/>
        </w:rPr>
        <w:t>2.抗D服务技术要求</w:t>
      </w:r>
    </w:p>
    <w:p w14:paraId="5F3F0437">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（1）产品支持对攻击状态进行实时监控，一旦发生攻击，即刻发出攻击告警通知，攻击结束后发出结束通知。告警通知包含攻击目标，攻击类型及攻击大小信息。</w:t>
      </w:r>
    </w:p>
    <w:p w14:paraId="220C22C3">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（2）产品采用基于管道侧的清洗中心，支持基于需防护目的IP地址的批量流量压制和精细化压制功能，所提供抗D服务的流量清洗能力不低于2Gb。可根据所采购专线拆分方案对抗D服务清洗能力进行合理拆分。</w:t>
      </w:r>
    </w:p>
    <w:p w14:paraId="2524B927">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（3）无需修改 DNS 配置和 IP 地址，仅需提供防护目标对象即可进行防护。</w:t>
      </w:r>
    </w:p>
    <w:p w14:paraId="4FE122A1">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（4）产品采用近源式清洗、分布式清洗，具有全国调动防护能力；具有城域网近目的清洗、城域网、骨干网二级协同联动能力。</w:t>
      </w:r>
    </w:p>
    <w:p w14:paraId="1C8D3A58">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5）针对境外来源的网络攻击，供应商应具备境外节点流量清洗能力，可将境外攻击流量在境外节点完成识别与清洗，避免攻击流量进入国内段链路占用带宽资源。供应商提供的抗DDoS流量清洗服务在国内外均需部署有清洗节点，国内外清洗节点数量合计应不少于50个。（需提供相关证明文件并盖章）</w:t>
      </w:r>
    </w:p>
    <w:p w14:paraId="6E3AE228">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szCs w:val="22"/>
          <w:highlight w:val="none"/>
        </w:rPr>
        <w:t>▲</w:t>
      </w:r>
      <w:r>
        <w:rPr>
          <w:rFonts w:hint="eastAsia" w:ascii="宋体" w:hAnsi="宋体" w:cs="宋体"/>
          <w:kern w:val="0"/>
          <w:sz w:val="24"/>
          <w:highlight w:val="none"/>
        </w:rPr>
        <w:t>（6）平台提供互联网 DDOS 攻击流量清洗服务，清洗能力应不少于12Tbps。（需提供相关证明文件或测试报告并盖章）</w:t>
      </w:r>
    </w:p>
    <w:p w14:paraId="386A084B">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（7）对采购人IP地址进行全国在线实时流量监控和全面风险评估，当流量出现异常或者超过预先设置的阈值，采用人工授权或自助的方式启动清洗防护。</w:t>
      </w:r>
    </w:p>
    <w:p w14:paraId="6026A493">
      <w:pPr>
        <w:pStyle w:val="10"/>
        <w:ind w:firstLine="0" w:firstLineChars="0"/>
        <w:rPr>
          <w:rFonts w:ascii="宋体" w:hAnsi="宋体" w:cs="宋体"/>
          <w:sz w:val="24"/>
          <w:highlight w:val="none"/>
        </w:rPr>
      </w:pPr>
      <w:r>
        <w:rPr>
          <w:rFonts w:hint="eastAsia" w:ascii="宋体" w:hAnsi="宋体" w:cs="宋体"/>
          <w:kern w:val="0"/>
          <w:sz w:val="24"/>
          <w:highlight w:val="none"/>
        </w:rPr>
        <w:t>（8）产品可提供对业务流量和针对采购人IP地址（段）的DDoS攻击流量溯源分析服务。</w:t>
      </w:r>
    </w:p>
    <w:p w14:paraId="51B97587">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3.项目实施要求</w:t>
      </w:r>
    </w:p>
    <w:p w14:paraId="346BC03D">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（1）项目团队要求：</w:t>
      </w:r>
    </w:p>
    <w:p w14:paraId="33F9CAE2">
      <w:pPr>
        <w:autoSpaceDE w:val="0"/>
        <w:autoSpaceDN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1.投标方项目团队成员数量不得低于5人；</w:t>
      </w:r>
    </w:p>
    <w:p w14:paraId="334660C1">
      <w:pPr>
        <w:autoSpaceDE w:val="0"/>
        <w:autoSpaceDN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2.项目经理需具备高级工程师资质证书。</w:t>
      </w:r>
    </w:p>
    <w:p w14:paraId="3A591F5C">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（2）投标人应保证合同签订后3个工作日内完成专线开通及测试。</w:t>
      </w:r>
    </w:p>
    <w:p w14:paraId="3E0E1EAC">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3）项目实施过程控制：提供项目实施方案，说明如何利用人力及其它资源来承担其合同项下整体的项目顺利实施及按期交付。该方案应包括服务组织架构、人员组成及职责、服务商针对所需带宽的节点部署及线路情况，并提供详细的实施计划进度表，需标明完成合同所有关键活动的预计时间。</w:t>
      </w:r>
    </w:p>
    <w:p w14:paraId="0EBEE351">
      <w:pPr>
        <w:autoSpaceDE w:val="0"/>
        <w:autoSpaceDN w:val="0"/>
        <w:spacing w:line="360" w:lineRule="auto"/>
        <w:jc w:val="left"/>
        <w:rPr>
          <w:highlight w:val="none"/>
        </w:rPr>
      </w:pPr>
      <w:r>
        <w:rPr>
          <w:rFonts w:hint="eastAsia" w:ascii="宋体" w:hAnsi="宋体" w:cs="宋体"/>
          <w:kern w:val="0"/>
          <w:sz w:val="24"/>
          <w:highlight w:val="none"/>
        </w:rPr>
        <w:t>（4）项目实施文档管理承诺：项目实施过程中所收集、产生的所有与本项目相关文档、资料，包括文字、图片、表格、数字等 各种形式所属权均归属招标人，投标人有义务对所涉及到的内容保密，应按照要求签署保密协议。投标人不得以任何形式向第三方透露本项目标书以及本项目的任何内容。</w:t>
      </w:r>
    </w:p>
    <w:p w14:paraId="13BC33D4">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4.售后服务要求</w:t>
      </w:r>
    </w:p>
    <w:p w14:paraId="72207978">
      <w:pPr>
        <w:pStyle w:val="4"/>
        <w:ind w:firstLine="480" w:firstLineChars="200"/>
        <w:rPr>
          <w:rFonts w:ascii="宋体" w:hAnsi="宋体" w:cs="宋体"/>
          <w:color w:val="000000"/>
          <w:highlight w:val="none"/>
        </w:rPr>
      </w:pPr>
      <w:r>
        <w:rPr>
          <w:rFonts w:hint="eastAsia" w:ascii="宋体" w:hAnsi="宋体" w:cs="宋体"/>
          <w:color w:val="000000"/>
          <w:highlight w:val="none"/>
        </w:rPr>
        <w:t>提供详细的售后服务方案，包括服务组织及管理制度、服务响应时间与流程、售后服务内容等。具体要求如下：</w:t>
      </w:r>
    </w:p>
    <w:p w14:paraId="271BDE49">
      <w:pPr>
        <w:spacing w:line="360" w:lineRule="auto"/>
        <w:ind w:firstLine="480" w:firstLineChars="200"/>
        <w:rPr>
          <w:rFonts w:ascii="宋体" w:hAnsi="宋体" w:cs="宋体"/>
          <w:sz w:val="24"/>
          <w:highlight w:val="none"/>
        </w:rPr>
      </w:pPr>
      <w:r>
        <w:rPr>
          <w:rFonts w:hint="eastAsia" w:ascii="宋体" w:hAnsi="宋体" w:cs="宋体"/>
          <w:sz w:val="24"/>
          <w:highlight w:val="none"/>
        </w:rPr>
        <w:t>1.投标人提供7×24故障受理电话；</w:t>
      </w:r>
    </w:p>
    <w:p w14:paraId="5A6C95C5">
      <w:pPr>
        <w:spacing w:line="360" w:lineRule="auto"/>
        <w:ind w:firstLine="480" w:firstLineChars="200"/>
        <w:rPr>
          <w:rFonts w:ascii="宋体" w:hAnsi="宋体" w:cs="宋体"/>
          <w:sz w:val="24"/>
          <w:highlight w:val="none"/>
        </w:rPr>
      </w:pPr>
      <w:r>
        <w:rPr>
          <w:rFonts w:hint="eastAsia" w:ascii="宋体" w:hAnsi="宋体" w:cs="宋体"/>
          <w:sz w:val="24"/>
          <w:highlight w:val="none"/>
        </w:rPr>
        <w:t>2.投标人在接到招标人故障申告后，15分钟之内进行响应；</w:t>
      </w:r>
    </w:p>
    <w:p w14:paraId="7C9A2EB1">
      <w:pPr>
        <w:spacing w:line="360" w:lineRule="auto"/>
        <w:ind w:firstLine="480" w:firstLineChars="200"/>
        <w:rPr>
          <w:rFonts w:ascii="宋体" w:hAnsi="宋体" w:cs="宋体"/>
          <w:sz w:val="24"/>
          <w:highlight w:val="none"/>
        </w:rPr>
      </w:pPr>
      <w:r>
        <w:rPr>
          <w:rFonts w:hint="eastAsia" w:ascii="宋体" w:hAnsi="宋体" w:cs="宋体"/>
          <w:sz w:val="24"/>
          <w:highlight w:val="none"/>
        </w:rPr>
        <w:t>3.投标人在4小时之内恢复业务，并及时向招标人通告故障处理进展情况；</w:t>
      </w:r>
    </w:p>
    <w:p w14:paraId="1CDDB4EC">
      <w:pPr>
        <w:spacing w:line="360" w:lineRule="auto"/>
        <w:ind w:firstLine="480" w:firstLineChars="200"/>
        <w:rPr>
          <w:rFonts w:ascii="宋体" w:hAnsi="宋体" w:cs="宋体"/>
          <w:sz w:val="24"/>
          <w:highlight w:val="none"/>
        </w:rPr>
      </w:pPr>
      <w:r>
        <w:rPr>
          <w:rFonts w:hint="eastAsia" w:ascii="宋体" w:hAnsi="宋体" w:cs="宋体"/>
          <w:sz w:val="24"/>
          <w:highlight w:val="none"/>
        </w:rPr>
        <w:t>4.投标人在故障处理完毕3个工作日内，需向申告人递交详细的故障处理报告；</w:t>
      </w:r>
    </w:p>
    <w:p w14:paraId="65686001">
      <w:pPr>
        <w:spacing w:line="360" w:lineRule="auto"/>
        <w:ind w:firstLine="480" w:firstLineChars="200"/>
        <w:rPr>
          <w:rFonts w:ascii="宋体" w:hAnsi="宋体" w:cs="宋体"/>
          <w:sz w:val="24"/>
          <w:highlight w:val="none"/>
        </w:rPr>
      </w:pPr>
      <w:r>
        <w:rPr>
          <w:rFonts w:hint="eastAsia" w:ascii="宋体" w:hAnsi="宋体" w:cs="宋体"/>
          <w:sz w:val="24"/>
          <w:highlight w:val="none"/>
        </w:rPr>
        <w:t>5.投标人设专人负责处理故障、进行售后服务工作。协助招标人相关管理人员排查可能因电路质量或故障造成的网络故障；</w:t>
      </w:r>
    </w:p>
    <w:p w14:paraId="40FDB8E6">
      <w:pPr>
        <w:spacing w:line="360" w:lineRule="auto"/>
        <w:ind w:firstLine="480" w:firstLineChars="200"/>
        <w:rPr>
          <w:rFonts w:ascii="宋体" w:hAnsi="宋体" w:cs="宋体"/>
          <w:sz w:val="24"/>
          <w:highlight w:val="none"/>
        </w:rPr>
      </w:pPr>
      <w:r>
        <w:rPr>
          <w:rFonts w:hint="eastAsia" w:ascii="宋体" w:hAnsi="宋体" w:cs="宋体"/>
          <w:sz w:val="24"/>
          <w:highlight w:val="none"/>
        </w:rPr>
        <w:t>6.投标人需提供电话和现场的技术支撑；</w:t>
      </w:r>
    </w:p>
    <w:p w14:paraId="7277E3C2">
      <w:pPr>
        <w:spacing w:line="360" w:lineRule="auto"/>
        <w:ind w:firstLine="480" w:firstLineChars="200"/>
        <w:rPr>
          <w:rFonts w:ascii="宋体" w:hAnsi="宋体" w:cs="宋体"/>
          <w:sz w:val="24"/>
          <w:highlight w:val="none"/>
        </w:rPr>
      </w:pPr>
      <w:r>
        <w:rPr>
          <w:rFonts w:hint="eastAsia" w:ascii="宋体" w:hAnsi="宋体" w:cs="宋体"/>
          <w:sz w:val="24"/>
          <w:highlight w:val="none"/>
        </w:rPr>
        <w:t>7.若发生重大故障，投标人需提供故障报告并组织召开故障分析会;</w:t>
      </w:r>
    </w:p>
    <w:p w14:paraId="2D7A2AE1">
      <w:pPr>
        <w:pStyle w:val="4"/>
        <w:ind w:firstLine="480" w:firstLineChars="200"/>
        <w:rPr>
          <w:rFonts w:ascii="宋体" w:hAnsi="宋体" w:cs="宋体"/>
          <w:color w:val="000000"/>
          <w:highlight w:val="none"/>
        </w:rPr>
      </w:pPr>
      <w:r>
        <w:rPr>
          <w:rFonts w:hint="eastAsia" w:ascii="宋体" w:hAnsi="宋体" w:cs="宋体"/>
          <w:color w:val="000000"/>
          <w:highlight w:val="none"/>
        </w:rPr>
        <w:t>8.提供定期巡检服务：投标人应定期（不少于一月一次）到用户端进行设备巡检，了解客户需求，分析用户网络运行情况，提出改进建议和优化措施。</w:t>
      </w:r>
    </w:p>
    <w:p w14:paraId="79968663">
      <w:pPr>
        <w:spacing w:line="360" w:lineRule="auto"/>
        <w:ind w:firstLine="480" w:firstLineChars="200"/>
        <w:rPr>
          <w:rFonts w:hint="eastAsia" w:ascii="宋体" w:hAnsi="宋体" w:cs="宋体"/>
          <w:color w:val="000000"/>
          <w:sz w:val="24"/>
          <w:highlight w:val="none"/>
          <w:lang w:bidi="ar"/>
        </w:rPr>
      </w:pPr>
      <w:r>
        <w:rPr>
          <w:rFonts w:hint="eastAsia" w:ascii="宋体" w:hAnsi="宋体" w:cs="宋体"/>
          <w:color w:val="000000"/>
          <w:sz w:val="24"/>
          <w:highlight w:val="none"/>
        </w:rPr>
        <w:t>9.提供日常保障：投标人提供以互联网专线接入点为标地的局所范围覆盖情况说明，提供专线链路的日常保障工作。提供</w:t>
      </w:r>
      <w:r>
        <w:rPr>
          <w:rFonts w:hint="eastAsia" w:ascii="宋体" w:hAnsi="宋体" w:cs="宋体"/>
          <w:color w:val="000000"/>
          <w:sz w:val="24"/>
          <w:highlight w:val="none"/>
          <w:lang w:bidi="ar"/>
        </w:rPr>
        <w:t>传输链路及管井运营巡检管理办法，确保招标人所使用专线安全稳定、风险可控。</w:t>
      </w:r>
    </w:p>
    <w:p w14:paraId="40987ED6">
      <w:pPr>
        <w:spacing w:line="360" w:lineRule="auto"/>
        <w:ind w:firstLine="480" w:firstLineChars="200"/>
        <w:rPr>
          <w:rFonts w:hint="eastAsia" w:ascii="宋体" w:hAnsi="宋体" w:cs="宋体"/>
          <w:color w:val="000000"/>
          <w:sz w:val="24"/>
          <w:highlight w:val="none"/>
          <w:lang w:bidi="ar"/>
        </w:rPr>
      </w:pPr>
      <w:r>
        <w:rPr>
          <w:rFonts w:hint="eastAsia" w:ascii="宋体" w:hAnsi="宋体" w:cs="宋体"/>
          <w:color w:val="000000"/>
          <w:sz w:val="24"/>
          <w:highlight w:val="none"/>
          <w:lang w:val="en-US" w:eastAsia="zh-CN" w:bidi="ar"/>
        </w:rPr>
        <w:t>10.</w:t>
      </w:r>
      <w:r>
        <w:rPr>
          <w:rFonts w:hint="eastAsia" w:ascii="宋体" w:hAnsi="宋体" w:cs="宋体"/>
          <w:color w:val="000000"/>
          <w:sz w:val="24"/>
          <w:highlight w:val="none"/>
        </w:rPr>
        <w:t>提供</w:t>
      </w:r>
      <w:r>
        <w:rPr>
          <w:rFonts w:ascii="Segoe UI" w:hAnsi="Segoe UI" w:eastAsia="Segoe UI" w:cs="Segoe UI"/>
          <w:i w:val="0"/>
          <w:iCs w:val="0"/>
          <w:caps w:val="0"/>
          <w:color w:val="0F1115"/>
          <w:spacing w:val="0"/>
          <w:sz w:val="24"/>
          <w:szCs w:val="24"/>
          <w:highlight w:val="none"/>
          <w:shd w:val="clear" w:fill="FFFFFF"/>
        </w:rPr>
        <w:t>抗D售后服务的分级响应机制、现场及远程支持方式、7x24小时保障团队及应急处置流程</w:t>
      </w:r>
      <w:r>
        <w:rPr>
          <w:rFonts w:hint="eastAsia" w:ascii="Segoe UI" w:hAnsi="Segoe UI" w:cs="Segoe UI"/>
          <w:i w:val="0"/>
          <w:iCs w:val="0"/>
          <w:caps w:val="0"/>
          <w:color w:val="0F1115"/>
          <w:spacing w:val="0"/>
          <w:sz w:val="24"/>
          <w:szCs w:val="24"/>
          <w:highlight w:val="none"/>
          <w:shd w:val="clear" w:fill="FFFFFF"/>
          <w:lang w:eastAsia="zh-CN"/>
        </w:rPr>
        <w:t>。</w:t>
      </w:r>
    </w:p>
    <w:p w14:paraId="12705353">
      <w:p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5.重大活动应急保障服务要求</w:t>
      </w:r>
    </w:p>
    <w:p w14:paraId="56BDB0E8">
      <w:pPr>
        <w:spacing w:line="360" w:lineRule="auto"/>
        <w:ind w:firstLine="480" w:firstLineChars="200"/>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提供重大活动保障方案，包括应急处理人员组织架构、应急保障措施、应急响应策略</w:t>
      </w:r>
      <w:r>
        <w:rPr>
          <w:rFonts w:hint="eastAsia" w:ascii="宋体" w:hAnsi="宋体" w:cs="宋体"/>
          <w:color w:val="000000"/>
          <w:sz w:val="24"/>
          <w:highlight w:val="none"/>
          <w:lang w:eastAsia="zh-CN"/>
        </w:rPr>
        <w:t>。</w:t>
      </w:r>
    </w:p>
    <w:p w14:paraId="2C53911F">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提供专网突发应急预案、</w:t>
      </w:r>
      <w:r>
        <w:rPr>
          <w:rFonts w:hint="eastAsia" w:ascii="宋体" w:hAnsi="宋体" w:cs="宋体"/>
          <w:color w:val="000000"/>
          <w:sz w:val="24"/>
          <w:highlight w:val="none"/>
          <w:lang w:bidi="ar"/>
        </w:rPr>
        <w:t>传输链路及管井突发事件处置方案</w:t>
      </w:r>
      <w:r>
        <w:rPr>
          <w:rFonts w:hint="eastAsia" w:ascii="宋体" w:hAnsi="宋体" w:cs="宋体"/>
          <w:color w:val="000000"/>
          <w:sz w:val="24"/>
          <w:highlight w:val="none"/>
        </w:rPr>
        <w:t>等。</w:t>
      </w:r>
    </w:p>
    <w:p w14:paraId="0FE4975B">
      <w:pPr>
        <w:pStyle w:val="8"/>
        <w:numPr>
          <w:ilvl w:val="-1"/>
          <w:numId w:val="0"/>
        </w:numPr>
        <w:spacing w:line="360" w:lineRule="auto"/>
        <w:ind w:firstLine="0" w:firstLineChars="0"/>
        <w:contextualSpacing/>
        <w:outlineLvl w:val="1"/>
        <w:rPr>
          <w:rFonts w:hint="eastAsia" w:ascii="宋体" w:hAnsi="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cs="宋体"/>
          <w:kern w:val="0"/>
          <w:sz w:val="24"/>
          <w:szCs w:val="24"/>
          <w:highlight w:val="none"/>
        </w:rPr>
        <w:t>其他要求</w:t>
      </w:r>
    </w:p>
    <w:p w14:paraId="46D281EE">
      <w:pPr>
        <w:pStyle w:val="4"/>
        <w:ind w:firstLine="0"/>
        <w:rPr>
          <w:highlight w:val="none"/>
        </w:rPr>
      </w:pPr>
      <w:r>
        <w:rPr>
          <w:rFonts w:hint="eastAsia" w:ascii="宋体" w:hAnsi="宋体" w:cs="宋体"/>
          <w:highlight w:val="none"/>
        </w:rPr>
        <w:t>（1）线路链路</w:t>
      </w:r>
      <w:r>
        <w:rPr>
          <w:rFonts w:hint="eastAsia"/>
          <w:highlight w:val="none"/>
        </w:rPr>
        <w:t>要求</w:t>
      </w:r>
    </w:p>
    <w:p w14:paraId="36478DE6">
      <w:pPr>
        <w:pStyle w:val="4"/>
        <w:ind w:left="210" w:leftChars="100" w:firstLine="480" w:firstLineChars="200"/>
        <w:rPr>
          <w:highlight w:val="none"/>
        </w:rPr>
      </w:pPr>
      <w:r>
        <w:rPr>
          <w:rFonts w:hint="eastAsia"/>
          <w:highlight w:val="none"/>
        </w:rPr>
        <w:t>供应商所提供的互联网专线链路，需具备自主可控的带宽出口资源，且该资源需为供应商依法持有、自主建设及运营管理，链路传输全程可实现端到端的自主运维与质量管控，如租用第三方链路、出口或跨接，需提供相关承诺及业主方授权，格式及内容自拟并加盖双方公章。</w:t>
      </w:r>
    </w:p>
    <w:p w14:paraId="7A90E382">
      <w:pPr>
        <w:pStyle w:val="4"/>
        <w:ind w:firstLine="0"/>
        <w:rPr>
          <w:highlight w:val="none"/>
        </w:rPr>
      </w:pPr>
      <w:r>
        <w:rPr>
          <w:rFonts w:hint="eastAsia" w:ascii="宋体" w:hAnsi="宋体" w:cs="宋体"/>
          <w:highlight w:val="none"/>
        </w:rPr>
        <w:t>（2）</w:t>
      </w:r>
      <w:r>
        <w:rPr>
          <w:rFonts w:hint="eastAsia"/>
          <w:highlight w:val="none"/>
        </w:rPr>
        <w:t>线路弹性扩容要求</w:t>
      </w:r>
    </w:p>
    <w:p w14:paraId="2036AF78">
      <w:pPr>
        <w:pStyle w:val="4"/>
        <w:ind w:firstLine="480" w:firstLineChars="200"/>
        <w:rPr>
          <w:highlight w:val="none"/>
        </w:rPr>
      </w:pPr>
      <w:r>
        <w:rPr>
          <w:rFonts w:hint="eastAsia"/>
          <w:highlight w:val="none"/>
        </w:rPr>
        <w:t>投标人所提供带宽具备峰值保障能力，在带宽达到使用峰值情况下，可自主提供一定额度的保障带宽。提供相关承诺，格式及内容自拟并加盖公章。</w:t>
      </w:r>
    </w:p>
    <w:p w14:paraId="0AFDDD12">
      <w:pPr>
        <w:pStyle w:val="4"/>
        <w:autoSpaceDE w:val="0"/>
        <w:autoSpaceDN w:val="0"/>
        <w:ind w:firstLine="0"/>
        <w:jc w:val="left"/>
        <w:rPr>
          <w:highlight w:val="none"/>
        </w:rPr>
      </w:pPr>
      <w:r>
        <w:rPr>
          <w:rFonts w:hint="eastAsia"/>
          <w:highlight w:val="none"/>
        </w:rPr>
        <w:t>（3）静态IP地址要求</w:t>
      </w:r>
    </w:p>
    <w:p w14:paraId="170F190E">
      <w:pPr>
        <w:numPr>
          <w:ilvl w:val="255"/>
          <w:numId w:val="0"/>
        </w:numPr>
        <w:autoSpaceDE w:val="0"/>
        <w:autoSpaceDN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供应商需考虑所提供的公网静态IP地址变更的风险性，确保满足线路割接过程中业务连续性、稳定性和安全性需求。</w:t>
      </w:r>
    </w:p>
    <w:p w14:paraId="37EDFBA5">
      <w:pPr>
        <w:numPr>
          <w:ilvl w:val="255"/>
          <w:numId w:val="0"/>
        </w:numPr>
        <w:autoSpaceDE w:val="0"/>
        <w:autoSpaceDN w:val="0"/>
        <w:spacing w:line="360" w:lineRule="auto"/>
        <w:jc w:val="left"/>
        <w:rPr>
          <w:rFonts w:ascii="宋体" w:hAnsi="宋体" w:cs="宋体"/>
          <w:kern w:val="0"/>
          <w:sz w:val="24"/>
          <w:highlight w:val="none"/>
        </w:rPr>
      </w:pPr>
      <w:r>
        <w:rPr>
          <w:rFonts w:hint="eastAsia" w:ascii="宋体" w:hAnsi="宋体" w:cs="宋体"/>
          <w:kern w:val="0"/>
          <w:sz w:val="24"/>
          <w:highlight w:val="none"/>
        </w:rPr>
        <w:t>（4）抗D服务要求</w:t>
      </w:r>
    </w:p>
    <w:p w14:paraId="255F9723">
      <w:pPr>
        <w:numPr>
          <w:ilvl w:val="255"/>
          <w:numId w:val="0"/>
        </w:numPr>
        <w:autoSpaceDE w:val="0"/>
        <w:autoSpaceDN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投标人所提供抗D服务需</w:t>
      </w:r>
      <w:r>
        <w:rPr>
          <w:rFonts w:ascii="宋体" w:hAnsi="宋体" w:cs="宋体"/>
          <w:kern w:val="0"/>
          <w:sz w:val="24"/>
          <w:highlight w:val="none"/>
        </w:rPr>
        <w:t>支持可编程对抗规则策略，支持按照给定的编程语言生成规则对数据包特征进行匹配，并提供系统截图证明</w:t>
      </w:r>
      <w:r>
        <w:rPr>
          <w:rFonts w:hint="eastAsia" w:ascii="宋体" w:hAnsi="宋体" w:cs="宋体"/>
          <w:kern w:val="0"/>
          <w:sz w:val="24"/>
          <w:highlight w:val="none"/>
        </w:rPr>
        <w:t>。</w:t>
      </w:r>
    </w:p>
    <w:p w14:paraId="1D1F3046">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E00C3"/>
    <w:multiLevelType w:val="singleLevel"/>
    <w:tmpl w:val="8A3E00C3"/>
    <w:lvl w:ilvl="0" w:tentative="0">
      <w:start w:val="1"/>
      <w:numFmt w:val="decimal"/>
      <w:suff w:val="space"/>
      <w:lvlText w:val="%1."/>
      <w:lvlJc w:val="left"/>
    </w:lvl>
  </w:abstractNum>
  <w:abstractNum w:abstractNumId="1">
    <w:nsid w:val="A5ADBC4D"/>
    <w:multiLevelType w:val="singleLevel"/>
    <w:tmpl w:val="A5ADBC4D"/>
    <w:lvl w:ilvl="0" w:tentative="0">
      <w:start w:val="2"/>
      <w:numFmt w:val="decimal"/>
      <w:suff w:val="space"/>
      <w:lvlText w:val="%1."/>
      <w:lvlJc w:val="left"/>
    </w:lvl>
  </w:abstractNum>
  <w:abstractNum w:abstractNumId="2">
    <w:nsid w:val="FEDED7A8"/>
    <w:multiLevelType w:val="singleLevel"/>
    <w:tmpl w:val="FEDED7A8"/>
    <w:lvl w:ilvl="0" w:tentative="0">
      <w:start w:val="1"/>
      <w:numFmt w:val="decimal"/>
      <w:suff w:val="space"/>
      <w:lvlText w:val="%1."/>
      <w:lvlJc w:val="left"/>
    </w:lvl>
  </w:abstractNum>
  <w:abstractNum w:abstractNumId="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059F6B"/>
    <w:multiLevelType w:val="multilevel"/>
    <w:tmpl w:val="40059F6B"/>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11176A"/>
    <w:multiLevelType w:val="singleLevel"/>
    <w:tmpl w:val="7F11176A"/>
    <w:lvl w:ilvl="0" w:tentative="0">
      <w:start w:val="6"/>
      <w:numFmt w:val="decimal"/>
      <w:suff w:val="nothing"/>
      <w:lvlText w:val="（%1）"/>
      <w:lvlJc w:val="left"/>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36940"/>
    <w:rsid w:val="0A1377BA"/>
    <w:rsid w:val="3A2C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paragraph" w:styleId="3">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line="360" w:lineRule="auto"/>
      <w:ind w:firstLine="570"/>
    </w:pPr>
    <w:rPr>
      <w:sz w:val="24"/>
    </w:rPr>
  </w:style>
  <w:style w:type="paragraph" w:styleId="5">
    <w:name w:val="Title"/>
    <w:basedOn w:val="1"/>
    <w:qFormat/>
    <w:uiPriority w:val="0"/>
    <w:pPr>
      <w:jc w:val="center"/>
      <w:outlineLvl w:val="0"/>
    </w:pPr>
    <w:rPr>
      <w:b/>
      <w:sz w:val="32"/>
      <w:szCs w:val="20"/>
    </w:r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0">
    <w:name w:val="标书正文"/>
    <w:basedOn w:val="1"/>
    <w:qFormat/>
    <w:uiPriority w:val="0"/>
    <w:pPr>
      <w:suppressAutoHyphens/>
      <w:spacing w:line="360" w:lineRule="auto"/>
      <w:ind w:firstLine="20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7273</Words>
  <Characters>7625</Characters>
  <Lines>0</Lines>
  <Paragraphs>0</Paragraphs>
  <TotalTime>0</TotalTime>
  <ScaleCrop>false</ScaleCrop>
  <LinksUpToDate>false</LinksUpToDate>
  <CharactersWithSpaces>7662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2026-01-12T08:45:00Z</dcterms:created>
  <dc:creator>luozhao</dc:creator>
  <cp:lastModifiedBy>LZ</cp:lastModifiedBy>
  <dcterms:modified xsi:type="dcterms:W3CDTF">2026-01-15T03:02:34Z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387426D1FB494FA18A71579341E488AA_12</vt:lpwstr>
  </property>
</Properties>
</file>