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3B739">
      <w:pPr>
        <w:pageBreakBefore w:val="0"/>
        <w:numPr>
          <w:ilvl w:val="0"/>
          <w:numId w:val="1"/>
        </w:numPr>
        <w:wordWrap/>
        <w:topLinePunct w:val="0"/>
        <w:bidi w:val="0"/>
        <w:snapToGrid w:val="0"/>
        <w:spacing w:beforeAutospacing="0" w:afterAutospacing="0" w:line="360" w:lineRule="auto"/>
        <w:jc w:val="center"/>
        <w:outlineLvl w:val="0"/>
        <w:rPr>
          <w:rFonts w:hint="eastAsia"/>
          <w:b/>
          <w:color w:val="auto"/>
          <w:sz w:val="36"/>
          <w:szCs w:val="36"/>
          <w:highlight w:val="none"/>
        </w:rPr>
      </w:pPr>
      <w:bookmarkStart w:id="0" w:name="_Toc119569274"/>
      <w:r>
        <w:rPr>
          <w:rFonts w:hint="eastAsia"/>
          <w:b/>
          <w:color w:val="auto"/>
          <w:sz w:val="36"/>
          <w:szCs w:val="36"/>
          <w:highlight w:val="none"/>
        </w:rPr>
        <w:t xml:space="preserve">  采购需求</w:t>
      </w:r>
      <w:bookmarkEnd w:id="0"/>
    </w:p>
    <w:p w14:paraId="4C1965D5">
      <w:pPr>
        <w:pageBreakBefore w:val="0"/>
        <w:wordWrap/>
        <w:topLinePunct w:val="0"/>
        <w:bidi w:val="0"/>
        <w:snapToGrid w:val="0"/>
        <w:spacing w:line="360" w:lineRule="auto"/>
        <w:rPr>
          <w:rFonts w:hint="eastAsia" w:ascii="黑体" w:hAnsi="黑体" w:eastAsia="黑体" w:cs="黑体"/>
          <w:color w:val="auto"/>
          <w:sz w:val="36"/>
          <w:szCs w:val="36"/>
          <w:highlight w:val="none"/>
        </w:rPr>
      </w:pPr>
      <w:r>
        <w:rPr>
          <w:rFonts w:hint="eastAsia" w:ascii="黑体" w:hAnsi="黑体" w:eastAsia="黑体" w:cs="黑体"/>
          <w:color w:val="auto"/>
          <w:sz w:val="36"/>
          <w:szCs w:val="36"/>
          <w:highlight w:val="none"/>
        </w:rPr>
        <w:t>说明：</w:t>
      </w:r>
    </w:p>
    <w:p w14:paraId="459D0C90">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1.当采购项目涉及政务信息系统时，采购需求应当符合《政务信息系统政府采购管理暂行办法》（财库〔2017〕210 号）的相关要求。</w:t>
      </w:r>
    </w:p>
    <w:p w14:paraId="4FAA1E7E">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2.采购人及采购代理机构应关注财政部门会同有关部门制定发布的需求标准，结合具体应用场景，根据对应《需求标准》确定采购需求。</w:t>
      </w:r>
    </w:p>
    <w:p w14:paraId="14E215CE">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已发布的需求标准如下：</w:t>
      </w:r>
    </w:p>
    <w:p w14:paraId="3D72DCFB">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《关于印发〈商品包装政府采购需求标准（试行）〉、〈快递包装政府采购需求标准（试</w:t>
      </w:r>
    </w:p>
    <w:p w14:paraId="430AD0B7">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行）〉的通知》（财办库﹝2020﹞123 号））</w:t>
      </w:r>
    </w:p>
    <w:p w14:paraId="0CD994C4">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《绿色数据中心政府采购需求标准（试行）》（财库〔2023〕7 号）</w:t>
      </w:r>
    </w:p>
    <w:p w14:paraId="6AC9CDB7">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《台式计算机政府采购需求标准（2023 年版）》（财库〔2023〕29 号）</w:t>
      </w:r>
    </w:p>
    <w:p w14:paraId="234528F4">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《便携式计算机政府采购需求标准（2023 年版）》（财库〔2023〕30 号）</w:t>
      </w:r>
    </w:p>
    <w:p w14:paraId="5649243F">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《一体式计算机政府采购需求标准（2023 年版）》（财库〔2023〕31 号）</w:t>
      </w:r>
    </w:p>
    <w:p w14:paraId="6A06A89B">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《工作站政府采购需求标准（2023 年版）》（财库〔2023〕32 号）</w:t>
      </w:r>
    </w:p>
    <w:p w14:paraId="63D51626">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《通用服务器政府采购需求标准（2023 年版）》（财库〔2023〕33 号）</w:t>
      </w:r>
    </w:p>
    <w:p w14:paraId="6EE2F679">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《操作系统政府采购需求标准（2023 年版）》（财库〔2023〕34 号）</w:t>
      </w:r>
    </w:p>
    <w:p w14:paraId="4022EE36">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《数据库政府采购需求标准（2023 年版）》（财库〔2023〕35 号）</w:t>
      </w:r>
    </w:p>
    <w:p w14:paraId="2F899218">
      <w:pPr>
        <w:pageBreakBefore w:val="0"/>
        <w:wordWrap/>
        <w:topLinePunct w:val="0"/>
        <w:bidi w:val="0"/>
        <w:snapToGrid w:val="0"/>
        <w:spacing w:line="360" w:lineRule="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《物业管理服务政府采购需求标准（办公场所类）（试行）》（财办库〔2024〕113 号）</w:t>
      </w:r>
    </w:p>
    <w:p w14:paraId="7917B279">
      <w:pPr>
        <w:pStyle w:val="8"/>
        <w:pageBreakBefore w:val="0"/>
        <w:wordWrap/>
        <w:topLinePunct w:val="0"/>
        <w:bidi w:val="0"/>
        <w:snapToGrid w:val="0"/>
        <w:spacing w:line="360" w:lineRule="auto"/>
        <w:ind w:firstLine="0" w:firstLineChars="0"/>
        <w:contextualSpacing/>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如有更新或增加，以财政部门发布为准。</w:t>
      </w:r>
    </w:p>
    <w:p w14:paraId="6E6D97F4">
      <w:pPr>
        <w:pStyle w:val="8"/>
        <w:pageBreakBefore w:val="0"/>
        <w:wordWrap/>
        <w:topLinePunct w:val="0"/>
        <w:bidi w:val="0"/>
        <w:snapToGrid w:val="0"/>
        <w:spacing w:line="360" w:lineRule="auto"/>
        <w:ind w:firstLine="0" w:firstLineChars="0"/>
        <w:contextualSpacing/>
        <w:rPr>
          <w:rFonts w:hint="eastAsia" w:ascii="仿宋" w:hAnsi="仿宋" w:eastAsia="仿宋" w:cs="仿宋"/>
          <w:b/>
          <w:color w:val="auto"/>
          <w:sz w:val="24"/>
          <w:szCs w:val="24"/>
          <w:highlight w:val="none"/>
        </w:rPr>
      </w:pPr>
    </w:p>
    <w:p w14:paraId="401A6CFC">
      <w:pPr>
        <w:pageBreakBefore w:val="0"/>
        <w:wordWrap/>
        <w:topLinePunct w:val="0"/>
        <w:bidi w:val="0"/>
        <w:snapToGri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br w:type="page"/>
      </w:r>
    </w:p>
    <w:p w14:paraId="54067539">
      <w:pPr>
        <w:pageBreakBefore w:val="0"/>
        <w:widowControl w:val="0"/>
        <w:numPr>
          <w:ilvl w:val="0"/>
          <w:numId w:val="0"/>
        </w:numPr>
        <w:wordWrap/>
        <w:topLinePunct w:val="0"/>
        <w:bidi w:val="0"/>
        <w:snapToGrid w:val="0"/>
        <w:spacing w:beforeAutospacing="0" w:afterAutospacing="0" w:line="360" w:lineRule="auto"/>
        <w:jc w:val="center"/>
        <w:outlineLvl w:val="0"/>
        <w:rPr>
          <w:rFonts w:hint="default" w:eastAsia="宋体"/>
          <w:b/>
          <w:color w:val="auto"/>
          <w:sz w:val="36"/>
          <w:szCs w:val="36"/>
          <w:highlight w:val="none"/>
          <w:lang w:val="en-US" w:eastAsia="zh-CN"/>
        </w:rPr>
      </w:pPr>
      <w:r>
        <w:rPr>
          <w:rFonts w:hint="eastAsia"/>
          <w:b/>
          <w:color w:val="auto"/>
          <w:sz w:val="32"/>
          <w:szCs w:val="32"/>
          <w:highlight w:val="none"/>
          <w:lang w:val="en-US" w:eastAsia="zh-CN"/>
        </w:rPr>
        <w:t>第1包 软硬件购置与研发集成、测评</w:t>
      </w:r>
      <w:r>
        <w:rPr>
          <w:rFonts w:hint="eastAsia"/>
          <w:b/>
          <w:color w:val="auto"/>
          <w:sz w:val="36"/>
          <w:szCs w:val="36"/>
          <w:highlight w:val="none"/>
          <w:lang w:val="en-US" w:eastAsia="zh-CN"/>
        </w:rPr>
        <w:t xml:space="preserve"> </w:t>
      </w:r>
    </w:p>
    <w:p w14:paraId="71E51311">
      <w:pPr>
        <w:pStyle w:val="3"/>
        <w:pageBreakBefore w:val="0"/>
        <w:numPr>
          <w:ilvl w:val="0"/>
          <w:numId w:val="2"/>
        </w:numPr>
        <w:wordWrap/>
        <w:topLinePunct w:val="0"/>
        <w:bidi w:val="0"/>
        <w:snapToGrid w:val="0"/>
        <w:spacing w:before="0" w:beforeAutospacing="0" w:afterAutospacing="0" w:line="360" w:lineRule="auto"/>
        <w:jc w:val="both"/>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rPr>
        <w:t>采购标的</w:t>
      </w:r>
      <w:r>
        <w:rPr>
          <w:rFonts w:hint="eastAsia" w:ascii="仿宋" w:hAnsi="仿宋" w:eastAsia="仿宋" w:cs="仿宋"/>
          <w:b/>
          <w:bCs/>
          <w:color w:val="auto"/>
          <w:sz w:val="28"/>
          <w:szCs w:val="28"/>
          <w:highlight w:val="none"/>
          <w:u w:val="single"/>
        </w:rPr>
        <w:t>（本项目不接受进口产品）</w:t>
      </w:r>
    </w:p>
    <w:p w14:paraId="76E53812">
      <w:pPr>
        <w:pageBreakBefore w:val="0"/>
        <w:numPr>
          <w:ilvl w:val="0"/>
          <w:numId w:val="3"/>
        </w:numPr>
        <w:wordWrap/>
        <w:topLinePunct w:val="0"/>
        <w:bidi w:val="0"/>
        <w:snapToGrid w:val="0"/>
        <w:spacing w:beforeAutospacing="0" w:afterAutospacing="0" w:line="360" w:lineRule="auto"/>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采购标的（货物需求一览表或简要服务内容及数量）</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53"/>
        <w:gridCol w:w="2520"/>
        <w:gridCol w:w="767"/>
        <w:gridCol w:w="792"/>
        <w:gridCol w:w="2462"/>
        <w:gridCol w:w="1225"/>
      </w:tblGrid>
      <w:tr w14:paraId="2C5E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442" w:type="pct"/>
            <w:tcBorders>
              <w:top w:val="single" w:color="000000" w:sz="8" w:space="0"/>
              <w:left w:val="single" w:color="000000" w:sz="8" w:space="0"/>
              <w:bottom w:val="single" w:color="000000" w:sz="8" w:space="0"/>
              <w:right w:val="single" w:color="000000" w:sz="8" w:space="0"/>
            </w:tcBorders>
            <w:noWrap w:val="0"/>
            <w:vAlign w:val="center"/>
          </w:tcPr>
          <w:p w14:paraId="1803FCF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1479" w:type="pct"/>
            <w:tcBorders>
              <w:top w:val="single" w:color="000000" w:sz="8" w:space="0"/>
              <w:left w:val="nil"/>
              <w:bottom w:val="single" w:color="000000" w:sz="8" w:space="0"/>
              <w:right w:val="single" w:color="000000" w:sz="8" w:space="0"/>
            </w:tcBorders>
            <w:noWrap w:val="0"/>
            <w:vAlign w:val="center"/>
          </w:tcPr>
          <w:p w14:paraId="46C9361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采购标的名称</w:t>
            </w:r>
          </w:p>
        </w:tc>
        <w:tc>
          <w:tcPr>
            <w:tcW w:w="450" w:type="pct"/>
            <w:tcBorders>
              <w:top w:val="single" w:color="000000" w:sz="8" w:space="0"/>
              <w:left w:val="nil"/>
              <w:bottom w:val="single" w:color="000000" w:sz="8" w:space="0"/>
              <w:right w:val="single" w:color="000000" w:sz="8" w:space="0"/>
            </w:tcBorders>
            <w:noWrap w:val="0"/>
            <w:vAlign w:val="center"/>
          </w:tcPr>
          <w:p w14:paraId="7BEB327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数量</w:t>
            </w:r>
          </w:p>
        </w:tc>
        <w:tc>
          <w:tcPr>
            <w:tcW w:w="465" w:type="pct"/>
            <w:tcBorders>
              <w:top w:val="single" w:color="000000" w:sz="8" w:space="0"/>
              <w:left w:val="nil"/>
              <w:bottom w:val="single" w:color="000000" w:sz="8" w:space="0"/>
              <w:right w:val="single" w:color="000000" w:sz="8" w:space="0"/>
            </w:tcBorders>
            <w:noWrap w:val="0"/>
            <w:vAlign w:val="center"/>
          </w:tcPr>
          <w:p w14:paraId="584C620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单位</w:t>
            </w:r>
          </w:p>
        </w:tc>
        <w:tc>
          <w:tcPr>
            <w:tcW w:w="1445" w:type="pct"/>
            <w:tcBorders>
              <w:top w:val="single" w:color="000000" w:sz="8" w:space="0"/>
              <w:left w:val="nil"/>
              <w:bottom w:val="single" w:color="000000" w:sz="8" w:space="0"/>
              <w:right w:val="single" w:color="000000" w:sz="8" w:space="0"/>
            </w:tcBorders>
            <w:noWrap w:val="0"/>
            <w:vAlign w:val="center"/>
          </w:tcPr>
          <w:p w14:paraId="0723A87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中小企业划分标准所属行业</w:t>
            </w:r>
          </w:p>
        </w:tc>
        <w:tc>
          <w:tcPr>
            <w:tcW w:w="715" w:type="pct"/>
            <w:tcBorders>
              <w:top w:val="single" w:color="000000" w:sz="8" w:space="0"/>
              <w:left w:val="nil"/>
              <w:bottom w:val="single" w:color="000000" w:sz="8" w:space="0"/>
              <w:right w:val="single" w:color="000000" w:sz="8" w:space="0"/>
            </w:tcBorders>
            <w:noWrap w:val="0"/>
            <w:vAlign w:val="center"/>
          </w:tcPr>
          <w:p w14:paraId="27E9267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备注（核心产品）</w:t>
            </w:r>
          </w:p>
        </w:tc>
      </w:tr>
      <w:tr w14:paraId="2A66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69FFB18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479" w:type="pct"/>
            <w:tcBorders>
              <w:top w:val="nil"/>
              <w:left w:val="nil"/>
              <w:bottom w:val="single" w:color="000000" w:sz="8" w:space="0"/>
              <w:right w:val="single" w:color="000000" w:sz="8" w:space="0"/>
            </w:tcBorders>
            <w:noWrap w:val="0"/>
            <w:vAlign w:val="center"/>
          </w:tcPr>
          <w:p w14:paraId="1FC40B3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万兆接入交换机</w:t>
            </w:r>
          </w:p>
        </w:tc>
        <w:tc>
          <w:tcPr>
            <w:tcW w:w="450" w:type="pct"/>
            <w:tcBorders>
              <w:top w:val="nil"/>
              <w:left w:val="nil"/>
              <w:bottom w:val="single" w:color="000000" w:sz="8" w:space="0"/>
              <w:right w:val="single" w:color="000000" w:sz="8" w:space="0"/>
            </w:tcBorders>
            <w:noWrap w:val="0"/>
            <w:vAlign w:val="center"/>
          </w:tcPr>
          <w:p w14:paraId="06BA0B0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195</w:t>
            </w:r>
          </w:p>
        </w:tc>
        <w:tc>
          <w:tcPr>
            <w:tcW w:w="465" w:type="pct"/>
            <w:tcBorders>
              <w:top w:val="nil"/>
              <w:left w:val="nil"/>
              <w:bottom w:val="single" w:color="000000" w:sz="8" w:space="0"/>
              <w:right w:val="single" w:color="000000" w:sz="8" w:space="0"/>
            </w:tcBorders>
            <w:noWrap w:val="0"/>
            <w:vAlign w:val="center"/>
          </w:tcPr>
          <w:p w14:paraId="32E2CF4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3F199D2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7117F545">
            <w:pPr>
              <w:pageBreakBefore w:val="0"/>
              <w:wordWrap/>
              <w:topLinePunct w:val="0"/>
              <w:bidi w:val="0"/>
              <w:snapToGrid w:val="0"/>
              <w:spacing w:beforeAutospacing="0" w:afterAutospacing="0" w:line="360" w:lineRule="auto"/>
              <w:jc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核心产品</w:t>
            </w:r>
          </w:p>
        </w:tc>
      </w:tr>
      <w:tr w14:paraId="4B00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3656C55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1479" w:type="pct"/>
            <w:tcBorders>
              <w:top w:val="nil"/>
              <w:left w:val="nil"/>
              <w:bottom w:val="single" w:color="000000" w:sz="8" w:space="0"/>
              <w:right w:val="single" w:color="000000" w:sz="8" w:space="0"/>
            </w:tcBorders>
            <w:noWrap w:val="0"/>
            <w:vAlign w:val="center"/>
          </w:tcPr>
          <w:p w14:paraId="3CB94DD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BMC接入交换机</w:t>
            </w:r>
          </w:p>
        </w:tc>
        <w:tc>
          <w:tcPr>
            <w:tcW w:w="450" w:type="pct"/>
            <w:tcBorders>
              <w:top w:val="nil"/>
              <w:left w:val="nil"/>
              <w:bottom w:val="single" w:color="000000" w:sz="8" w:space="0"/>
              <w:right w:val="single" w:color="000000" w:sz="8" w:space="0"/>
            </w:tcBorders>
            <w:noWrap w:val="0"/>
            <w:vAlign w:val="center"/>
          </w:tcPr>
          <w:p w14:paraId="4481BA3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w:t>
            </w:r>
          </w:p>
        </w:tc>
        <w:tc>
          <w:tcPr>
            <w:tcW w:w="465" w:type="pct"/>
            <w:tcBorders>
              <w:top w:val="nil"/>
              <w:left w:val="nil"/>
              <w:bottom w:val="single" w:color="000000" w:sz="8" w:space="0"/>
              <w:right w:val="single" w:color="000000" w:sz="8" w:space="0"/>
            </w:tcBorders>
            <w:noWrap w:val="0"/>
            <w:vAlign w:val="center"/>
          </w:tcPr>
          <w:p w14:paraId="5A461FA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665D245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36E670D6">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44A9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646B70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1479" w:type="pct"/>
            <w:tcBorders>
              <w:top w:val="nil"/>
              <w:left w:val="nil"/>
              <w:bottom w:val="single" w:color="000000" w:sz="8" w:space="0"/>
              <w:right w:val="single" w:color="000000" w:sz="8" w:space="0"/>
            </w:tcBorders>
            <w:noWrap w:val="0"/>
            <w:vAlign w:val="center"/>
          </w:tcPr>
          <w:p w14:paraId="5D090A1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云管理防火墙</w:t>
            </w:r>
          </w:p>
        </w:tc>
        <w:tc>
          <w:tcPr>
            <w:tcW w:w="450" w:type="pct"/>
            <w:tcBorders>
              <w:top w:val="nil"/>
              <w:left w:val="nil"/>
              <w:bottom w:val="single" w:color="000000" w:sz="8" w:space="0"/>
              <w:right w:val="single" w:color="000000" w:sz="8" w:space="0"/>
            </w:tcBorders>
            <w:noWrap w:val="0"/>
            <w:vAlign w:val="center"/>
          </w:tcPr>
          <w:p w14:paraId="1545E71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465" w:type="pct"/>
            <w:tcBorders>
              <w:top w:val="nil"/>
              <w:left w:val="nil"/>
              <w:bottom w:val="single" w:color="000000" w:sz="8" w:space="0"/>
              <w:right w:val="single" w:color="000000" w:sz="8" w:space="0"/>
            </w:tcBorders>
            <w:noWrap w:val="0"/>
            <w:vAlign w:val="center"/>
          </w:tcPr>
          <w:p w14:paraId="49273F5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7B8D18A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1906BF84">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0E019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3EFBD86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4</w:t>
            </w:r>
          </w:p>
        </w:tc>
        <w:tc>
          <w:tcPr>
            <w:tcW w:w="1479" w:type="pct"/>
            <w:tcBorders>
              <w:top w:val="nil"/>
              <w:left w:val="nil"/>
              <w:bottom w:val="single" w:color="000000" w:sz="8" w:space="0"/>
              <w:right w:val="single" w:color="000000" w:sz="8" w:space="0"/>
            </w:tcBorders>
            <w:noWrap w:val="0"/>
            <w:vAlign w:val="center"/>
          </w:tcPr>
          <w:p w14:paraId="79B0FEB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核心交换机</w:t>
            </w:r>
          </w:p>
        </w:tc>
        <w:tc>
          <w:tcPr>
            <w:tcW w:w="450" w:type="pct"/>
            <w:tcBorders>
              <w:top w:val="nil"/>
              <w:left w:val="nil"/>
              <w:bottom w:val="single" w:color="000000" w:sz="8" w:space="0"/>
              <w:right w:val="single" w:color="000000" w:sz="8" w:space="0"/>
            </w:tcBorders>
            <w:noWrap w:val="0"/>
            <w:vAlign w:val="center"/>
          </w:tcPr>
          <w:p w14:paraId="22E1167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16</w:t>
            </w:r>
          </w:p>
        </w:tc>
        <w:tc>
          <w:tcPr>
            <w:tcW w:w="465" w:type="pct"/>
            <w:tcBorders>
              <w:top w:val="nil"/>
              <w:left w:val="nil"/>
              <w:bottom w:val="single" w:color="000000" w:sz="8" w:space="0"/>
              <w:right w:val="single" w:color="000000" w:sz="8" w:space="0"/>
            </w:tcBorders>
            <w:noWrap w:val="0"/>
            <w:vAlign w:val="center"/>
          </w:tcPr>
          <w:p w14:paraId="6AB7E3D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3B24C22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326287D1">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61A2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14B52A4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5</w:t>
            </w:r>
          </w:p>
        </w:tc>
        <w:tc>
          <w:tcPr>
            <w:tcW w:w="1479" w:type="pct"/>
            <w:tcBorders>
              <w:top w:val="nil"/>
              <w:left w:val="nil"/>
              <w:bottom w:val="single" w:color="000000" w:sz="8" w:space="0"/>
              <w:right w:val="single" w:color="000000" w:sz="8" w:space="0"/>
            </w:tcBorders>
            <w:noWrap w:val="0"/>
            <w:vAlign w:val="center"/>
          </w:tcPr>
          <w:p w14:paraId="3205077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出口防火墙</w:t>
            </w:r>
          </w:p>
        </w:tc>
        <w:tc>
          <w:tcPr>
            <w:tcW w:w="450" w:type="pct"/>
            <w:tcBorders>
              <w:top w:val="nil"/>
              <w:left w:val="nil"/>
              <w:bottom w:val="single" w:color="000000" w:sz="8" w:space="0"/>
              <w:right w:val="single" w:color="000000" w:sz="8" w:space="0"/>
            </w:tcBorders>
            <w:noWrap w:val="0"/>
            <w:vAlign w:val="center"/>
          </w:tcPr>
          <w:p w14:paraId="6DE1ECF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465" w:type="pct"/>
            <w:tcBorders>
              <w:top w:val="nil"/>
              <w:left w:val="nil"/>
              <w:bottom w:val="single" w:color="000000" w:sz="8" w:space="0"/>
              <w:right w:val="single" w:color="000000" w:sz="8" w:space="0"/>
            </w:tcBorders>
            <w:noWrap w:val="0"/>
            <w:vAlign w:val="center"/>
          </w:tcPr>
          <w:p w14:paraId="28A1C90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35609E0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74DBAC62">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04456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08792F8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6</w:t>
            </w:r>
          </w:p>
        </w:tc>
        <w:tc>
          <w:tcPr>
            <w:tcW w:w="1479" w:type="pct"/>
            <w:tcBorders>
              <w:top w:val="nil"/>
              <w:left w:val="nil"/>
              <w:bottom w:val="single" w:color="000000" w:sz="8" w:space="0"/>
              <w:right w:val="single" w:color="000000" w:sz="8" w:space="0"/>
            </w:tcBorders>
            <w:noWrap w:val="0"/>
            <w:vAlign w:val="center"/>
          </w:tcPr>
          <w:p w14:paraId="2C6101A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安全管理平台</w:t>
            </w:r>
          </w:p>
        </w:tc>
        <w:tc>
          <w:tcPr>
            <w:tcW w:w="450" w:type="pct"/>
            <w:tcBorders>
              <w:top w:val="nil"/>
              <w:left w:val="nil"/>
              <w:bottom w:val="single" w:color="000000" w:sz="8" w:space="0"/>
              <w:right w:val="single" w:color="000000" w:sz="8" w:space="0"/>
            </w:tcBorders>
            <w:noWrap w:val="0"/>
            <w:vAlign w:val="center"/>
          </w:tcPr>
          <w:p w14:paraId="6215755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465" w:type="pct"/>
            <w:tcBorders>
              <w:top w:val="nil"/>
              <w:left w:val="nil"/>
              <w:bottom w:val="single" w:color="000000" w:sz="8" w:space="0"/>
              <w:right w:val="single" w:color="000000" w:sz="8" w:space="0"/>
            </w:tcBorders>
            <w:noWrap w:val="0"/>
            <w:vAlign w:val="center"/>
          </w:tcPr>
          <w:p w14:paraId="2E27681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59F7E41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16F69C67">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24B6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30D6C1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7</w:t>
            </w:r>
          </w:p>
        </w:tc>
        <w:tc>
          <w:tcPr>
            <w:tcW w:w="1479" w:type="pct"/>
            <w:tcBorders>
              <w:top w:val="nil"/>
              <w:left w:val="nil"/>
              <w:bottom w:val="single" w:color="000000" w:sz="8" w:space="0"/>
              <w:right w:val="single" w:color="000000" w:sz="8" w:space="0"/>
            </w:tcBorders>
            <w:noWrap w:val="0"/>
            <w:vAlign w:val="center"/>
          </w:tcPr>
          <w:p w14:paraId="14D3BE9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统一运维审计</w:t>
            </w:r>
          </w:p>
        </w:tc>
        <w:tc>
          <w:tcPr>
            <w:tcW w:w="450" w:type="pct"/>
            <w:tcBorders>
              <w:top w:val="nil"/>
              <w:left w:val="nil"/>
              <w:bottom w:val="single" w:color="000000" w:sz="8" w:space="0"/>
              <w:right w:val="single" w:color="000000" w:sz="8" w:space="0"/>
            </w:tcBorders>
            <w:noWrap w:val="0"/>
            <w:vAlign w:val="center"/>
          </w:tcPr>
          <w:p w14:paraId="5E50393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53CCC4B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69DBBFD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7893E6B2">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1FA2D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6983EF0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8</w:t>
            </w:r>
          </w:p>
        </w:tc>
        <w:tc>
          <w:tcPr>
            <w:tcW w:w="1479" w:type="pct"/>
            <w:tcBorders>
              <w:top w:val="nil"/>
              <w:left w:val="nil"/>
              <w:bottom w:val="single" w:color="000000" w:sz="8" w:space="0"/>
              <w:right w:val="single" w:color="000000" w:sz="8" w:space="0"/>
            </w:tcBorders>
            <w:noWrap w:val="0"/>
            <w:vAlign w:val="center"/>
          </w:tcPr>
          <w:p w14:paraId="5E7EFAA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日志审计</w:t>
            </w:r>
          </w:p>
        </w:tc>
        <w:tc>
          <w:tcPr>
            <w:tcW w:w="450" w:type="pct"/>
            <w:tcBorders>
              <w:top w:val="nil"/>
              <w:left w:val="nil"/>
              <w:bottom w:val="single" w:color="000000" w:sz="8" w:space="0"/>
              <w:right w:val="single" w:color="000000" w:sz="8" w:space="0"/>
            </w:tcBorders>
            <w:noWrap w:val="0"/>
            <w:vAlign w:val="center"/>
          </w:tcPr>
          <w:p w14:paraId="2A1C9A1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0749A3D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3448B8B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5FD9C7CF">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7651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1927ED6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9</w:t>
            </w:r>
          </w:p>
        </w:tc>
        <w:tc>
          <w:tcPr>
            <w:tcW w:w="1479" w:type="pct"/>
            <w:tcBorders>
              <w:top w:val="nil"/>
              <w:left w:val="nil"/>
              <w:bottom w:val="single" w:color="000000" w:sz="8" w:space="0"/>
              <w:right w:val="single" w:color="000000" w:sz="8" w:space="0"/>
            </w:tcBorders>
            <w:noWrap w:val="0"/>
            <w:vAlign w:val="center"/>
          </w:tcPr>
          <w:p w14:paraId="14ECAD2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数据库审计</w:t>
            </w:r>
          </w:p>
        </w:tc>
        <w:tc>
          <w:tcPr>
            <w:tcW w:w="450" w:type="pct"/>
            <w:tcBorders>
              <w:top w:val="nil"/>
              <w:left w:val="nil"/>
              <w:bottom w:val="single" w:color="000000" w:sz="8" w:space="0"/>
              <w:right w:val="single" w:color="000000" w:sz="8" w:space="0"/>
            </w:tcBorders>
            <w:noWrap w:val="0"/>
            <w:vAlign w:val="center"/>
          </w:tcPr>
          <w:p w14:paraId="7036F89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6947CAE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1BCD834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3574ECF1">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3A8F8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052096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10</w:t>
            </w:r>
          </w:p>
        </w:tc>
        <w:tc>
          <w:tcPr>
            <w:tcW w:w="1479" w:type="pct"/>
            <w:tcBorders>
              <w:top w:val="nil"/>
              <w:left w:val="nil"/>
              <w:bottom w:val="single" w:color="000000" w:sz="8" w:space="0"/>
              <w:right w:val="single" w:color="000000" w:sz="8" w:space="0"/>
            </w:tcBorders>
            <w:noWrap w:val="0"/>
            <w:vAlign w:val="center"/>
          </w:tcPr>
          <w:p w14:paraId="60B7F03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漏洞扫描</w:t>
            </w:r>
          </w:p>
        </w:tc>
        <w:tc>
          <w:tcPr>
            <w:tcW w:w="450" w:type="pct"/>
            <w:tcBorders>
              <w:top w:val="nil"/>
              <w:left w:val="nil"/>
              <w:bottom w:val="single" w:color="000000" w:sz="8" w:space="0"/>
              <w:right w:val="single" w:color="000000" w:sz="8" w:space="0"/>
            </w:tcBorders>
            <w:noWrap w:val="0"/>
            <w:vAlign w:val="center"/>
          </w:tcPr>
          <w:p w14:paraId="527D31C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34526A3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7F6D801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4809142F">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0D2F8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491E869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11</w:t>
            </w:r>
          </w:p>
        </w:tc>
        <w:tc>
          <w:tcPr>
            <w:tcW w:w="1479" w:type="pct"/>
            <w:tcBorders>
              <w:top w:val="nil"/>
              <w:left w:val="nil"/>
              <w:bottom w:val="single" w:color="000000" w:sz="8" w:space="0"/>
              <w:right w:val="single" w:color="000000" w:sz="8" w:space="0"/>
            </w:tcBorders>
            <w:noWrap w:val="0"/>
            <w:vAlign w:val="center"/>
          </w:tcPr>
          <w:p w14:paraId="091756F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沙箱</w:t>
            </w:r>
          </w:p>
        </w:tc>
        <w:tc>
          <w:tcPr>
            <w:tcW w:w="450" w:type="pct"/>
            <w:tcBorders>
              <w:top w:val="nil"/>
              <w:left w:val="nil"/>
              <w:bottom w:val="single" w:color="000000" w:sz="8" w:space="0"/>
              <w:right w:val="single" w:color="000000" w:sz="8" w:space="0"/>
            </w:tcBorders>
            <w:noWrap w:val="0"/>
            <w:vAlign w:val="center"/>
          </w:tcPr>
          <w:p w14:paraId="5862596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465" w:type="pct"/>
            <w:tcBorders>
              <w:top w:val="nil"/>
              <w:left w:val="nil"/>
              <w:bottom w:val="single" w:color="000000" w:sz="8" w:space="0"/>
              <w:right w:val="single" w:color="000000" w:sz="8" w:space="0"/>
            </w:tcBorders>
            <w:noWrap w:val="0"/>
            <w:vAlign w:val="center"/>
          </w:tcPr>
          <w:p w14:paraId="6348263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74E655B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2AA3CCE5">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5B3E3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2255BEF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12</w:t>
            </w:r>
          </w:p>
        </w:tc>
        <w:tc>
          <w:tcPr>
            <w:tcW w:w="1479" w:type="pct"/>
            <w:tcBorders>
              <w:top w:val="nil"/>
              <w:left w:val="nil"/>
              <w:bottom w:val="single" w:color="000000" w:sz="8" w:space="0"/>
              <w:right w:val="single" w:color="000000" w:sz="8" w:space="0"/>
            </w:tcBorders>
            <w:noWrap w:val="0"/>
            <w:vAlign w:val="center"/>
          </w:tcPr>
          <w:p w14:paraId="1D834E8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APT防御及安全态势感知系统</w:t>
            </w:r>
          </w:p>
        </w:tc>
        <w:tc>
          <w:tcPr>
            <w:tcW w:w="450" w:type="pct"/>
            <w:tcBorders>
              <w:top w:val="nil"/>
              <w:left w:val="nil"/>
              <w:bottom w:val="single" w:color="000000" w:sz="8" w:space="0"/>
              <w:right w:val="single" w:color="000000" w:sz="8" w:space="0"/>
            </w:tcBorders>
            <w:noWrap w:val="0"/>
            <w:vAlign w:val="center"/>
          </w:tcPr>
          <w:p w14:paraId="79EBE36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4E40270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5D471F1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11147C84">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578C9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B74761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13</w:t>
            </w:r>
          </w:p>
        </w:tc>
        <w:tc>
          <w:tcPr>
            <w:tcW w:w="1479" w:type="pct"/>
            <w:tcBorders>
              <w:top w:val="nil"/>
              <w:left w:val="nil"/>
              <w:bottom w:val="single" w:color="000000" w:sz="8" w:space="0"/>
              <w:right w:val="single" w:color="000000" w:sz="8" w:space="0"/>
            </w:tcBorders>
            <w:noWrap w:val="0"/>
            <w:vAlign w:val="center"/>
          </w:tcPr>
          <w:p w14:paraId="6A72EA0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网络节点</w:t>
            </w:r>
          </w:p>
        </w:tc>
        <w:tc>
          <w:tcPr>
            <w:tcW w:w="450" w:type="pct"/>
            <w:tcBorders>
              <w:top w:val="nil"/>
              <w:left w:val="nil"/>
              <w:bottom w:val="single" w:color="000000" w:sz="8" w:space="0"/>
              <w:right w:val="single" w:color="000000" w:sz="8" w:space="0"/>
            </w:tcBorders>
            <w:noWrap w:val="0"/>
            <w:vAlign w:val="center"/>
          </w:tcPr>
          <w:p w14:paraId="0EBCD7F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w:t>
            </w:r>
          </w:p>
        </w:tc>
        <w:tc>
          <w:tcPr>
            <w:tcW w:w="465" w:type="pct"/>
            <w:tcBorders>
              <w:top w:val="nil"/>
              <w:left w:val="nil"/>
              <w:bottom w:val="single" w:color="000000" w:sz="8" w:space="0"/>
              <w:right w:val="single" w:color="000000" w:sz="8" w:space="0"/>
            </w:tcBorders>
            <w:noWrap w:val="0"/>
            <w:vAlign w:val="center"/>
          </w:tcPr>
          <w:p w14:paraId="762CDC7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0164305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50C8FD82">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144A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3A2BCEF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14</w:t>
            </w:r>
          </w:p>
        </w:tc>
        <w:tc>
          <w:tcPr>
            <w:tcW w:w="1479" w:type="pct"/>
            <w:tcBorders>
              <w:top w:val="nil"/>
              <w:left w:val="nil"/>
              <w:bottom w:val="single" w:color="000000" w:sz="8" w:space="0"/>
              <w:right w:val="single" w:color="000000" w:sz="8" w:space="0"/>
            </w:tcBorders>
            <w:noWrap w:val="0"/>
            <w:vAlign w:val="center"/>
          </w:tcPr>
          <w:p w14:paraId="374BF4B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网络节点</w:t>
            </w:r>
          </w:p>
        </w:tc>
        <w:tc>
          <w:tcPr>
            <w:tcW w:w="450" w:type="pct"/>
            <w:tcBorders>
              <w:top w:val="nil"/>
              <w:left w:val="nil"/>
              <w:bottom w:val="single" w:color="000000" w:sz="8" w:space="0"/>
              <w:right w:val="single" w:color="000000" w:sz="8" w:space="0"/>
            </w:tcBorders>
            <w:noWrap w:val="0"/>
            <w:vAlign w:val="center"/>
          </w:tcPr>
          <w:p w14:paraId="152FD48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465" w:type="pct"/>
            <w:tcBorders>
              <w:top w:val="nil"/>
              <w:left w:val="nil"/>
              <w:bottom w:val="single" w:color="000000" w:sz="8" w:space="0"/>
              <w:right w:val="single" w:color="000000" w:sz="8" w:space="0"/>
            </w:tcBorders>
            <w:noWrap w:val="0"/>
            <w:vAlign w:val="center"/>
          </w:tcPr>
          <w:p w14:paraId="420D2B3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43FC45F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0022A86B">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0947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55442D5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15</w:t>
            </w:r>
          </w:p>
        </w:tc>
        <w:tc>
          <w:tcPr>
            <w:tcW w:w="1479" w:type="pct"/>
            <w:tcBorders>
              <w:top w:val="nil"/>
              <w:left w:val="nil"/>
              <w:bottom w:val="single" w:color="000000" w:sz="8" w:space="0"/>
              <w:right w:val="single" w:color="000000" w:sz="8" w:space="0"/>
            </w:tcBorders>
            <w:noWrap w:val="0"/>
            <w:vAlign w:val="center"/>
          </w:tcPr>
          <w:p w14:paraId="37A0C64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网络节点</w:t>
            </w:r>
          </w:p>
        </w:tc>
        <w:tc>
          <w:tcPr>
            <w:tcW w:w="450" w:type="pct"/>
            <w:tcBorders>
              <w:top w:val="nil"/>
              <w:left w:val="nil"/>
              <w:bottom w:val="single" w:color="000000" w:sz="8" w:space="0"/>
              <w:right w:val="single" w:color="000000" w:sz="8" w:space="0"/>
            </w:tcBorders>
            <w:noWrap w:val="0"/>
            <w:vAlign w:val="center"/>
          </w:tcPr>
          <w:p w14:paraId="3F7A7CF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465" w:type="pct"/>
            <w:tcBorders>
              <w:top w:val="nil"/>
              <w:left w:val="nil"/>
              <w:bottom w:val="single" w:color="000000" w:sz="8" w:space="0"/>
              <w:right w:val="single" w:color="000000" w:sz="8" w:space="0"/>
            </w:tcBorders>
            <w:noWrap w:val="0"/>
            <w:vAlign w:val="center"/>
          </w:tcPr>
          <w:p w14:paraId="16ADC96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747A7D4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65169EFB">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1026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0C97888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16</w:t>
            </w:r>
          </w:p>
        </w:tc>
        <w:tc>
          <w:tcPr>
            <w:tcW w:w="1479" w:type="pct"/>
            <w:tcBorders>
              <w:top w:val="nil"/>
              <w:left w:val="nil"/>
              <w:bottom w:val="single" w:color="000000" w:sz="8" w:space="0"/>
              <w:right w:val="single" w:color="000000" w:sz="8" w:space="0"/>
            </w:tcBorders>
            <w:noWrap w:val="0"/>
            <w:vAlign w:val="center"/>
          </w:tcPr>
          <w:p w14:paraId="75B13CA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内存条</w:t>
            </w:r>
          </w:p>
        </w:tc>
        <w:tc>
          <w:tcPr>
            <w:tcW w:w="450" w:type="pct"/>
            <w:tcBorders>
              <w:top w:val="nil"/>
              <w:left w:val="nil"/>
              <w:bottom w:val="single" w:color="000000" w:sz="8" w:space="0"/>
              <w:right w:val="single" w:color="000000" w:sz="8" w:space="0"/>
            </w:tcBorders>
            <w:noWrap w:val="0"/>
            <w:vAlign w:val="center"/>
          </w:tcPr>
          <w:p w14:paraId="3E1CE71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144</w:t>
            </w:r>
          </w:p>
        </w:tc>
        <w:tc>
          <w:tcPr>
            <w:tcW w:w="465" w:type="pct"/>
            <w:tcBorders>
              <w:top w:val="nil"/>
              <w:left w:val="nil"/>
              <w:bottom w:val="single" w:color="000000" w:sz="8" w:space="0"/>
              <w:right w:val="single" w:color="000000" w:sz="8" w:space="0"/>
            </w:tcBorders>
            <w:noWrap w:val="0"/>
            <w:vAlign w:val="center"/>
          </w:tcPr>
          <w:p w14:paraId="728F6FD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条</w:t>
            </w:r>
          </w:p>
        </w:tc>
        <w:tc>
          <w:tcPr>
            <w:tcW w:w="1445" w:type="pct"/>
            <w:tcBorders>
              <w:top w:val="nil"/>
              <w:left w:val="nil"/>
              <w:bottom w:val="single" w:color="000000" w:sz="8" w:space="0"/>
              <w:right w:val="single" w:color="000000" w:sz="8" w:space="0"/>
            </w:tcBorders>
            <w:noWrap w:val="0"/>
            <w:vAlign w:val="center"/>
          </w:tcPr>
          <w:p w14:paraId="192F564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2A4DCA52">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7796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 w:type="pct"/>
            <w:tcBorders>
              <w:top w:val="nil"/>
              <w:left w:val="single" w:color="000000" w:sz="8" w:space="0"/>
              <w:bottom w:val="single" w:color="000000" w:sz="8" w:space="0"/>
              <w:right w:val="single" w:color="000000" w:sz="8" w:space="0"/>
            </w:tcBorders>
            <w:noWrap w:val="0"/>
            <w:vAlign w:val="center"/>
          </w:tcPr>
          <w:p w14:paraId="381F606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17</w:t>
            </w:r>
          </w:p>
        </w:tc>
        <w:tc>
          <w:tcPr>
            <w:tcW w:w="1479" w:type="pct"/>
            <w:tcBorders>
              <w:top w:val="nil"/>
              <w:left w:val="nil"/>
              <w:bottom w:val="single" w:color="000000" w:sz="8" w:space="0"/>
              <w:right w:val="single" w:color="000000" w:sz="8" w:space="0"/>
            </w:tcBorders>
            <w:noWrap w:val="0"/>
            <w:vAlign w:val="center"/>
          </w:tcPr>
          <w:p w14:paraId="6975F4D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25G接入交换机</w:t>
            </w:r>
          </w:p>
        </w:tc>
        <w:tc>
          <w:tcPr>
            <w:tcW w:w="450" w:type="pct"/>
            <w:tcBorders>
              <w:top w:val="nil"/>
              <w:left w:val="nil"/>
              <w:bottom w:val="single" w:color="000000" w:sz="8" w:space="0"/>
              <w:right w:val="single" w:color="000000" w:sz="8" w:space="0"/>
            </w:tcBorders>
            <w:noWrap w:val="0"/>
            <w:vAlign w:val="center"/>
          </w:tcPr>
          <w:p w14:paraId="4180F8C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w:t>
            </w:r>
          </w:p>
        </w:tc>
        <w:tc>
          <w:tcPr>
            <w:tcW w:w="465" w:type="pct"/>
            <w:tcBorders>
              <w:top w:val="nil"/>
              <w:left w:val="nil"/>
              <w:bottom w:val="single" w:color="000000" w:sz="8" w:space="0"/>
              <w:right w:val="single" w:color="000000" w:sz="8" w:space="0"/>
            </w:tcBorders>
            <w:noWrap w:val="0"/>
            <w:vAlign w:val="center"/>
          </w:tcPr>
          <w:p w14:paraId="5864C15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253BE5C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656358C1">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1C086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2" w:type="pct"/>
            <w:tcBorders>
              <w:top w:val="nil"/>
              <w:left w:val="single" w:color="000000" w:sz="8" w:space="0"/>
              <w:bottom w:val="single" w:color="000000" w:sz="8" w:space="0"/>
              <w:right w:val="single" w:color="000000" w:sz="8" w:space="0"/>
            </w:tcBorders>
            <w:noWrap w:val="0"/>
            <w:vAlign w:val="center"/>
          </w:tcPr>
          <w:p w14:paraId="4152A7D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18</w:t>
            </w:r>
          </w:p>
        </w:tc>
        <w:tc>
          <w:tcPr>
            <w:tcW w:w="1479" w:type="pct"/>
            <w:tcBorders>
              <w:top w:val="nil"/>
              <w:left w:val="nil"/>
              <w:bottom w:val="single" w:color="000000" w:sz="8" w:space="0"/>
              <w:right w:val="single" w:color="000000" w:sz="8" w:space="0"/>
            </w:tcBorders>
            <w:noWrap w:val="0"/>
            <w:vAlign w:val="center"/>
          </w:tcPr>
          <w:p w14:paraId="673BF20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BMC接入交换机</w:t>
            </w:r>
          </w:p>
        </w:tc>
        <w:tc>
          <w:tcPr>
            <w:tcW w:w="450" w:type="pct"/>
            <w:tcBorders>
              <w:top w:val="nil"/>
              <w:left w:val="nil"/>
              <w:bottom w:val="single" w:color="000000" w:sz="8" w:space="0"/>
              <w:right w:val="single" w:color="000000" w:sz="8" w:space="0"/>
            </w:tcBorders>
            <w:noWrap w:val="0"/>
            <w:vAlign w:val="center"/>
          </w:tcPr>
          <w:p w14:paraId="0995992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140</w:t>
            </w:r>
          </w:p>
        </w:tc>
        <w:tc>
          <w:tcPr>
            <w:tcW w:w="465" w:type="pct"/>
            <w:tcBorders>
              <w:top w:val="nil"/>
              <w:left w:val="nil"/>
              <w:bottom w:val="single" w:color="000000" w:sz="8" w:space="0"/>
              <w:right w:val="single" w:color="000000" w:sz="8" w:space="0"/>
            </w:tcBorders>
            <w:noWrap w:val="0"/>
            <w:vAlign w:val="center"/>
          </w:tcPr>
          <w:p w14:paraId="641E6EF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0AF4DAC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6E8DE13A">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64630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59F3F45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19</w:t>
            </w:r>
          </w:p>
        </w:tc>
        <w:tc>
          <w:tcPr>
            <w:tcW w:w="1479" w:type="pct"/>
            <w:tcBorders>
              <w:top w:val="nil"/>
              <w:left w:val="nil"/>
              <w:bottom w:val="single" w:color="000000" w:sz="8" w:space="0"/>
              <w:right w:val="single" w:color="000000" w:sz="8" w:space="0"/>
            </w:tcBorders>
            <w:noWrap w:val="0"/>
            <w:vAlign w:val="center"/>
          </w:tcPr>
          <w:p w14:paraId="26CD385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光传输设备</w:t>
            </w:r>
          </w:p>
        </w:tc>
        <w:tc>
          <w:tcPr>
            <w:tcW w:w="450" w:type="pct"/>
            <w:tcBorders>
              <w:top w:val="nil"/>
              <w:left w:val="nil"/>
              <w:bottom w:val="single" w:color="000000" w:sz="8" w:space="0"/>
              <w:right w:val="single" w:color="000000" w:sz="8" w:space="0"/>
            </w:tcBorders>
            <w:noWrap w:val="0"/>
            <w:vAlign w:val="center"/>
          </w:tcPr>
          <w:p w14:paraId="4595081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465" w:type="pct"/>
            <w:tcBorders>
              <w:top w:val="nil"/>
              <w:left w:val="nil"/>
              <w:bottom w:val="single" w:color="000000" w:sz="8" w:space="0"/>
              <w:right w:val="single" w:color="000000" w:sz="8" w:space="0"/>
            </w:tcBorders>
            <w:noWrap w:val="0"/>
            <w:vAlign w:val="center"/>
          </w:tcPr>
          <w:p w14:paraId="1E50891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1E23AB7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47B50119">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6B0B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7744C5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20</w:t>
            </w:r>
          </w:p>
        </w:tc>
        <w:tc>
          <w:tcPr>
            <w:tcW w:w="1479" w:type="pct"/>
            <w:tcBorders>
              <w:top w:val="nil"/>
              <w:left w:val="nil"/>
              <w:bottom w:val="single" w:color="000000" w:sz="8" w:space="0"/>
              <w:right w:val="single" w:color="000000" w:sz="8" w:space="0"/>
            </w:tcBorders>
            <w:noWrap w:val="0"/>
            <w:vAlign w:val="center"/>
          </w:tcPr>
          <w:p w14:paraId="4F6B649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交换机板卡扩容</w:t>
            </w:r>
          </w:p>
        </w:tc>
        <w:tc>
          <w:tcPr>
            <w:tcW w:w="450" w:type="pct"/>
            <w:tcBorders>
              <w:top w:val="nil"/>
              <w:left w:val="nil"/>
              <w:bottom w:val="single" w:color="000000" w:sz="8" w:space="0"/>
              <w:right w:val="single" w:color="000000" w:sz="8" w:space="0"/>
            </w:tcBorders>
            <w:noWrap w:val="0"/>
            <w:vAlign w:val="center"/>
          </w:tcPr>
          <w:p w14:paraId="7D280B4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0025D7C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1445" w:type="pct"/>
            <w:tcBorders>
              <w:top w:val="nil"/>
              <w:left w:val="nil"/>
              <w:bottom w:val="single" w:color="000000" w:sz="8" w:space="0"/>
              <w:right w:val="single" w:color="000000" w:sz="8" w:space="0"/>
            </w:tcBorders>
            <w:noWrap w:val="0"/>
            <w:vAlign w:val="center"/>
          </w:tcPr>
          <w:p w14:paraId="7BF78A2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776534C4">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31AB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A406CB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21</w:t>
            </w:r>
          </w:p>
        </w:tc>
        <w:tc>
          <w:tcPr>
            <w:tcW w:w="1479" w:type="pct"/>
            <w:tcBorders>
              <w:top w:val="nil"/>
              <w:left w:val="nil"/>
              <w:bottom w:val="single" w:color="000000" w:sz="8" w:space="0"/>
              <w:right w:val="single" w:color="000000" w:sz="8" w:space="0"/>
            </w:tcBorders>
            <w:noWrap w:val="0"/>
            <w:vAlign w:val="center"/>
          </w:tcPr>
          <w:p w14:paraId="69F9FC6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交换机板卡扩容</w:t>
            </w:r>
          </w:p>
        </w:tc>
        <w:tc>
          <w:tcPr>
            <w:tcW w:w="450" w:type="pct"/>
            <w:tcBorders>
              <w:top w:val="nil"/>
              <w:left w:val="nil"/>
              <w:bottom w:val="single" w:color="000000" w:sz="8" w:space="0"/>
              <w:right w:val="single" w:color="000000" w:sz="8" w:space="0"/>
            </w:tcBorders>
            <w:noWrap w:val="0"/>
            <w:vAlign w:val="center"/>
          </w:tcPr>
          <w:p w14:paraId="02FBCA1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0489BAA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1445" w:type="pct"/>
            <w:tcBorders>
              <w:top w:val="nil"/>
              <w:left w:val="nil"/>
              <w:bottom w:val="single" w:color="000000" w:sz="8" w:space="0"/>
              <w:right w:val="single" w:color="000000" w:sz="8" w:space="0"/>
            </w:tcBorders>
            <w:noWrap w:val="0"/>
            <w:vAlign w:val="center"/>
          </w:tcPr>
          <w:p w14:paraId="1F7BC0F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15772A9F">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60075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43B959F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22</w:t>
            </w:r>
          </w:p>
        </w:tc>
        <w:tc>
          <w:tcPr>
            <w:tcW w:w="1479" w:type="pct"/>
            <w:tcBorders>
              <w:top w:val="nil"/>
              <w:left w:val="nil"/>
              <w:bottom w:val="single" w:color="000000" w:sz="8" w:space="0"/>
              <w:right w:val="single" w:color="000000" w:sz="8" w:space="0"/>
            </w:tcBorders>
            <w:noWrap w:val="0"/>
            <w:vAlign w:val="center"/>
          </w:tcPr>
          <w:p w14:paraId="0A68307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APT防御及安全态势感知系统</w:t>
            </w:r>
          </w:p>
        </w:tc>
        <w:tc>
          <w:tcPr>
            <w:tcW w:w="450" w:type="pct"/>
            <w:tcBorders>
              <w:top w:val="nil"/>
              <w:left w:val="nil"/>
              <w:bottom w:val="single" w:color="000000" w:sz="8" w:space="0"/>
              <w:right w:val="single" w:color="000000" w:sz="8" w:space="0"/>
            </w:tcBorders>
            <w:noWrap w:val="0"/>
            <w:vAlign w:val="center"/>
          </w:tcPr>
          <w:p w14:paraId="104EF15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7226306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713FBAE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7A0B3840">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7205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42268CE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23</w:t>
            </w:r>
          </w:p>
        </w:tc>
        <w:tc>
          <w:tcPr>
            <w:tcW w:w="1479" w:type="pct"/>
            <w:tcBorders>
              <w:top w:val="nil"/>
              <w:left w:val="nil"/>
              <w:bottom w:val="single" w:color="000000" w:sz="8" w:space="0"/>
              <w:right w:val="single" w:color="000000" w:sz="8" w:space="0"/>
            </w:tcBorders>
            <w:noWrap w:val="0"/>
            <w:vAlign w:val="center"/>
          </w:tcPr>
          <w:p w14:paraId="70409AC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入侵防御系统</w:t>
            </w:r>
          </w:p>
        </w:tc>
        <w:tc>
          <w:tcPr>
            <w:tcW w:w="450" w:type="pct"/>
            <w:tcBorders>
              <w:top w:val="nil"/>
              <w:left w:val="nil"/>
              <w:bottom w:val="single" w:color="000000" w:sz="8" w:space="0"/>
              <w:right w:val="single" w:color="000000" w:sz="8" w:space="0"/>
            </w:tcBorders>
            <w:noWrap w:val="0"/>
            <w:vAlign w:val="center"/>
          </w:tcPr>
          <w:p w14:paraId="19DB0D6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465" w:type="pct"/>
            <w:tcBorders>
              <w:top w:val="single" w:color="000000" w:sz="8" w:space="0"/>
              <w:left w:val="single" w:color="000000" w:sz="8" w:space="0"/>
              <w:bottom w:val="single" w:color="000000" w:sz="8" w:space="0"/>
              <w:right w:val="single" w:color="000000" w:sz="8" w:space="0"/>
            </w:tcBorders>
            <w:noWrap w:val="0"/>
            <w:vAlign w:val="center"/>
          </w:tcPr>
          <w:p w14:paraId="17EDD2B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2EAAC78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64EFE315">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08EE8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5B87DCD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24</w:t>
            </w:r>
          </w:p>
        </w:tc>
        <w:tc>
          <w:tcPr>
            <w:tcW w:w="1479" w:type="pct"/>
            <w:tcBorders>
              <w:top w:val="nil"/>
              <w:left w:val="nil"/>
              <w:bottom w:val="single" w:color="000000" w:sz="8" w:space="0"/>
              <w:right w:val="single" w:color="000000" w:sz="8" w:space="0"/>
            </w:tcBorders>
            <w:noWrap w:val="0"/>
            <w:vAlign w:val="center"/>
          </w:tcPr>
          <w:p w14:paraId="5A44679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负载均衡</w:t>
            </w:r>
          </w:p>
        </w:tc>
        <w:tc>
          <w:tcPr>
            <w:tcW w:w="450" w:type="pct"/>
            <w:tcBorders>
              <w:top w:val="nil"/>
              <w:left w:val="nil"/>
              <w:bottom w:val="single" w:color="000000" w:sz="8" w:space="0"/>
              <w:right w:val="single" w:color="000000" w:sz="8" w:space="0"/>
            </w:tcBorders>
            <w:noWrap w:val="0"/>
            <w:vAlign w:val="center"/>
          </w:tcPr>
          <w:p w14:paraId="3B45D59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42</w:t>
            </w:r>
          </w:p>
        </w:tc>
        <w:tc>
          <w:tcPr>
            <w:tcW w:w="465" w:type="pct"/>
            <w:tcBorders>
              <w:top w:val="nil"/>
              <w:left w:val="single" w:color="000000" w:sz="8" w:space="0"/>
              <w:bottom w:val="single" w:color="000000" w:sz="8" w:space="0"/>
              <w:right w:val="single" w:color="000000" w:sz="8" w:space="0"/>
            </w:tcBorders>
            <w:noWrap w:val="0"/>
            <w:vAlign w:val="center"/>
          </w:tcPr>
          <w:p w14:paraId="11D1616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2C307AC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018D27C5">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36C6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62912C7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25</w:t>
            </w:r>
          </w:p>
        </w:tc>
        <w:tc>
          <w:tcPr>
            <w:tcW w:w="1479" w:type="pct"/>
            <w:tcBorders>
              <w:top w:val="nil"/>
              <w:left w:val="nil"/>
              <w:bottom w:val="single" w:color="000000" w:sz="8" w:space="0"/>
              <w:right w:val="single" w:color="000000" w:sz="8" w:space="0"/>
            </w:tcBorders>
            <w:noWrap w:val="0"/>
            <w:vAlign w:val="center"/>
          </w:tcPr>
          <w:p w14:paraId="7EC7F89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WEB应用防火墙</w:t>
            </w:r>
          </w:p>
        </w:tc>
        <w:tc>
          <w:tcPr>
            <w:tcW w:w="450" w:type="pct"/>
            <w:tcBorders>
              <w:top w:val="nil"/>
              <w:left w:val="nil"/>
              <w:bottom w:val="single" w:color="000000" w:sz="8" w:space="0"/>
              <w:right w:val="single" w:color="000000" w:sz="8" w:space="0"/>
            </w:tcBorders>
            <w:noWrap w:val="0"/>
            <w:vAlign w:val="center"/>
          </w:tcPr>
          <w:p w14:paraId="70290FD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465" w:type="pct"/>
            <w:tcBorders>
              <w:top w:val="nil"/>
              <w:left w:val="nil"/>
              <w:bottom w:val="single" w:color="000000" w:sz="8" w:space="0"/>
              <w:right w:val="single" w:color="000000" w:sz="8" w:space="0"/>
            </w:tcBorders>
            <w:noWrap w:val="0"/>
            <w:vAlign w:val="center"/>
          </w:tcPr>
          <w:p w14:paraId="0F7F898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4A37E3C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5EDF31EC">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4816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4B199AB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26</w:t>
            </w:r>
          </w:p>
        </w:tc>
        <w:tc>
          <w:tcPr>
            <w:tcW w:w="1479" w:type="pct"/>
            <w:tcBorders>
              <w:top w:val="nil"/>
              <w:left w:val="nil"/>
              <w:bottom w:val="single" w:color="000000" w:sz="8" w:space="0"/>
              <w:right w:val="single" w:color="000000" w:sz="8" w:space="0"/>
            </w:tcBorders>
            <w:noWrap w:val="0"/>
            <w:vAlign w:val="center"/>
          </w:tcPr>
          <w:p w14:paraId="2287816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备份机房WEB应用防火墙</w:t>
            </w:r>
          </w:p>
        </w:tc>
        <w:tc>
          <w:tcPr>
            <w:tcW w:w="450" w:type="pct"/>
            <w:tcBorders>
              <w:top w:val="nil"/>
              <w:left w:val="nil"/>
              <w:bottom w:val="single" w:color="000000" w:sz="8" w:space="0"/>
              <w:right w:val="single" w:color="000000" w:sz="8" w:space="0"/>
            </w:tcBorders>
            <w:noWrap w:val="0"/>
            <w:vAlign w:val="center"/>
          </w:tcPr>
          <w:p w14:paraId="31B3F69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w:t>
            </w:r>
          </w:p>
        </w:tc>
        <w:tc>
          <w:tcPr>
            <w:tcW w:w="465" w:type="pct"/>
            <w:tcBorders>
              <w:top w:val="nil"/>
              <w:left w:val="nil"/>
              <w:bottom w:val="single" w:color="000000" w:sz="8" w:space="0"/>
              <w:right w:val="single" w:color="000000" w:sz="8" w:space="0"/>
            </w:tcBorders>
            <w:noWrap w:val="0"/>
            <w:vAlign w:val="center"/>
          </w:tcPr>
          <w:p w14:paraId="1BD7B7F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2C312C3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0F9E3E63">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35E9D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F6E573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27</w:t>
            </w:r>
          </w:p>
        </w:tc>
        <w:tc>
          <w:tcPr>
            <w:tcW w:w="1479" w:type="pct"/>
            <w:tcBorders>
              <w:top w:val="nil"/>
              <w:left w:val="nil"/>
              <w:bottom w:val="single" w:color="000000" w:sz="8" w:space="0"/>
              <w:right w:val="single" w:color="000000" w:sz="8" w:space="0"/>
            </w:tcBorders>
            <w:noWrap w:val="0"/>
            <w:vAlign w:val="center"/>
          </w:tcPr>
          <w:p w14:paraId="59DD127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密码应用监督系统核心节点</w:t>
            </w:r>
          </w:p>
        </w:tc>
        <w:tc>
          <w:tcPr>
            <w:tcW w:w="450" w:type="pct"/>
            <w:tcBorders>
              <w:top w:val="nil"/>
              <w:left w:val="nil"/>
              <w:bottom w:val="single" w:color="000000" w:sz="8" w:space="0"/>
              <w:right w:val="single" w:color="000000" w:sz="8" w:space="0"/>
            </w:tcBorders>
            <w:noWrap w:val="0"/>
            <w:vAlign w:val="center"/>
          </w:tcPr>
          <w:p w14:paraId="78FB6E4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3641799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77B5FD6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3A601FC7">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7816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07B2B99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28</w:t>
            </w:r>
          </w:p>
        </w:tc>
        <w:tc>
          <w:tcPr>
            <w:tcW w:w="1479" w:type="pct"/>
            <w:tcBorders>
              <w:top w:val="nil"/>
              <w:left w:val="nil"/>
              <w:bottom w:val="single" w:color="000000" w:sz="8" w:space="0"/>
              <w:right w:val="single" w:color="000000" w:sz="8" w:space="0"/>
            </w:tcBorders>
            <w:noWrap w:val="0"/>
            <w:vAlign w:val="center"/>
          </w:tcPr>
          <w:p w14:paraId="03C5A05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密码应用监督系统管理节点</w:t>
            </w:r>
          </w:p>
        </w:tc>
        <w:tc>
          <w:tcPr>
            <w:tcW w:w="450" w:type="pct"/>
            <w:tcBorders>
              <w:top w:val="nil"/>
              <w:left w:val="nil"/>
              <w:bottom w:val="single" w:color="000000" w:sz="8" w:space="0"/>
              <w:right w:val="single" w:color="000000" w:sz="8" w:space="0"/>
            </w:tcBorders>
            <w:noWrap w:val="0"/>
            <w:vAlign w:val="center"/>
          </w:tcPr>
          <w:p w14:paraId="62A435B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2790EB7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台</w:t>
            </w:r>
          </w:p>
        </w:tc>
        <w:tc>
          <w:tcPr>
            <w:tcW w:w="1445" w:type="pct"/>
            <w:tcBorders>
              <w:top w:val="nil"/>
              <w:left w:val="nil"/>
              <w:bottom w:val="single" w:color="000000" w:sz="8" w:space="0"/>
              <w:right w:val="single" w:color="000000" w:sz="8" w:space="0"/>
            </w:tcBorders>
            <w:noWrap w:val="0"/>
            <w:vAlign w:val="center"/>
          </w:tcPr>
          <w:p w14:paraId="4BFA365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工业</w:t>
            </w:r>
          </w:p>
        </w:tc>
        <w:tc>
          <w:tcPr>
            <w:tcW w:w="715" w:type="pct"/>
            <w:tcBorders>
              <w:top w:val="nil"/>
              <w:left w:val="nil"/>
              <w:bottom w:val="single" w:color="000000" w:sz="8" w:space="0"/>
              <w:right w:val="single" w:color="000000" w:sz="8" w:space="0"/>
            </w:tcBorders>
            <w:noWrap w:val="0"/>
            <w:vAlign w:val="center"/>
          </w:tcPr>
          <w:p w14:paraId="24179CEE">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20CC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19F1D6D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29</w:t>
            </w:r>
          </w:p>
        </w:tc>
        <w:tc>
          <w:tcPr>
            <w:tcW w:w="1479" w:type="pct"/>
            <w:tcBorders>
              <w:top w:val="nil"/>
              <w:left w:val="nil"/>
              <w:bottom w:val="single" w:color="000000" w:sz="8" w:space="0"/>
              <w:right w:val="single" w:color="000000" w:sz="8" w:space="0"/>
            </w:tcBorders>
            <w:noWrap w:val="0"/>
            <w:vAlign w:val="center"/>
          </w:tcPr>
          <w:p w14:paraId="32ACB9F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云平台软件</w:t>
            </w:r>
          </w:p>
        </w:tc>
        <w:tc>
          <w:tcPr>
            <w:tcW w:w="450" w:type="pct"/>
            <w:tcBorders>
              <w:top w:val="nil"/>
              <w:left w:val="nil"/>
              <w:bottom w:val="single" w:color="000000" w:sz="8" w:space="0"/>
              <w:right w:val="single" w:color="000000" w:sz="8" w:space="0"/>
            </w:tcBorders>
            <w:noWrap w:val="0"/>
            <w:vAlign w:val="center"/>
          </w:tcPr>
          <w:p w14:paraId="0B78E57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1084</w:t>
            </w:r>
          </w:p>
        </w:tc>
        <w:tc>
          <w:tcPr>
            <w:tcW w:w="465" w:type="pct"/>
            <w:tcBorders>
              <w:top w:val="nil"/>
              <w:left w:val="nil"/>
              <w:bottom w:val="single" w:color="000000" w:sz="8" w:space="0"/>
              <w:right w:val="single" w:color="000000" w:sz="8" w:space="0"/>
            </w:tcBorders>
            <w:noWrap w:val="0"/>
            <w:vAlign w:val="center"/>
          </w:tcPr>
          <w:p w14:paraId="07794E9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CPU颗数</w:t>
            </w:r>
          </w:p>
        </w:tc>
        <w:tc>
          <w:tcPr>
            <w:tcW w:w="1445" w:type="pct"/>
            <w:tcBorders>
              <w:top w:val="nil"/>
              <w:left w:val="nil"/>
              <w:bottom w:val="single" w:color="000000" w:sz="8" w:space="0"/>
              <w:right w:val="single" w:color="000000" w:sz="8" w:space="0"/>
            </w:tcBorders>
            <w:noWrap w:val="0"/>
            <w:vAlign w:val="center"/>
          </w:tcPr>
          <w:p w14:paraId="5C1429F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0A4C62B0">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512F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8ABE1B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sz w:val="24"/>
                <w:szCs w:val="24"/>
                <w:highlight w:val="none"/>
                <w:u w:val="none"/>
                <w:lang w:val="en-US" w:eastAsia="zh-CN"/>
              </w:rPr>
              <w:t>30</w:t>
            </w:r>
          </w:p>
        </w:tc>
        <w:tc>
          <w:tcPr>
            <w:tcW w:w="1479" w:type="pct"/>
            <w:tcBorders>
              <w:top w:val="nil"/>
              <w:left w:val="nil"/>
              <w:bottom w:val="single" w:color="000000" w:sz="8" w:space="0"/>
              <w:right w:val="single" w:color="000000" w:sz="8" w:space="0"/>
            </w:tcBorders>
            <w:noWrap w:val="0"/>
            <w:vAlign w:val="center"/>
          </w:tcPr>
          <w:p w14:paraId="1C9ED3F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大数据平台软件</w:t>
            </w:r>
          </w:p>
        </w:tc>
        <w:tc>
          <w:tcPr>
            <w:tcW w:w="450" w:type="pct"/>
            <w:tcBorders>
              <w:top w:val="nil"/>
              <w:left w:val="nil"/>
              <w:bottom w:val="single" w:color="000000" w:sz="8" w:space="0"/>
              <w:right w:val="single" w:color="000000" w:sz="8" w:space="0"/>
            </w:tcBorders>
            <w:noWrap w:val="0"/>
            <w:vAlign w:val="center"/>
          </w:tcPr>
          <w:p w14:paraId="574AE1A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755</w:t>
            </w:r>
          </w:p>
        </w:tc>
        <w:tc>
          <w:tcPr>
            <w:tcW w:w="465" w:type="pct"/>
            <w:tcBorders>
              <w:top w:val="nil"/>
              <w:left w:val="nil"/>
              <w:bottom w:val="single" w:color="000000" w:sz="8" w:space="0"/>
              <w:right w:val="single" w:color="000000" w:sz="8" w:space="0"/>
            </w:tcBorders>
            <w:noWrap w:val="0"/>
            <w:vAlign w:val="center"/>
          </w:tcPr>
          <w:p w14:paraId="5DD2F63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节点</w:t>
            </w:r>
          </w:p>
        </w:tc>
        <w:tc>
          <w:tcPr>
            <w:tcW w:w="1445" w:type="pct"/>
            <w:tcBorders>
              <w:top w:val="nil"/>
              <w:left w:val="nil"/>
              <w:bottom w:val="single" w:color="000000" w:sz="8" w:space="0"/>
              <w:right w:val="single" w:color="000000" w:sz="8" w:space="0"/>
            </w:tcBorders>
            <w:noWrap w:val="0"/>
            <w:vAlign w:val="center"/>
          </w:tcPr>
          <w:p w14:paraId="7F4A66D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20D93136">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76DD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48637C5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31</w:t>
            </w:r>
          </w:p>
        </w:tc>
        <w:tc>
          <w:tcPr>
            <w:tcW w:w="1479" w:type="pct"/>
            <w:tcBorders>
              <w:top w:val="nil"/>
              <w:left w:val="nil"/>
              <w:bottom w:val="single" w:color="000000" w:sz="8" w:space="0"/>
              <w:right w:val="single" w:color="000000" w:sz="8" w:space="0"/>
            </w:tcBorders>
            <w:noWrap w:val="0"/>
            <w:vAlign w:val="center"/>
          </w:tcPr>
          <w:p w14:paraId="422830E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并行数据库软件</w:t>
            </w:r>
          </w:p>
        </w:tc>
        <w:tc>
          <w:tcPr>
            <w:tcW w:w="450" w:type="pct"/>
            <w:tcBorders>
              <w:top w:val="nil"/>
              <w:left w:val="nil"/>
              <w:bottom w:val="single" w:color="000000" w:sz="8" w:space="0"/>
              <w:right w:val="single" w:color="000000" w:sz="8" w:space="0"/>
            </w:tcBorders>
            <w:noWrap w:val="0"/>
            <w:vAlign w:val="center"/>
          </w:tcPr>
          <w:p w14:paraId="26E04D5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300</w:t>
            </w:r>
          </w:p>
        </w:tc>
        <w:tc>
          <w:tcPr>
            <w:tcW w:w="465" w:type="pct"/>
            <w:tcBorders>
              <w:top w:val="nil"/>
              <w:left w:val="nil"/>
              <w:bottom w:val="single" w:color="000000" w:sz="8" w:space="0"/>
              <w:right w:val="single" w:color="000000" w:sz="8" w:space="0"/>
            </w:tcBorders>
            <w:noWrap w:val="0"/>
            <w:vAlign w:val="center"/>
          </w:tcPr>
          <w:p w14:paraId="49A3812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TB</w:t>
            </w:r>
          </w:p>
        </w:tc>
        <w:tc>
          <w:tcPr>
            <w:tcW w:w="1445" w:type="pct"/>
            <w:tcBorders>
              <w:top w:val="nil"/>
              <w:left w:val="nil"/>
              <w:bottom w:val="single" w:color="000000" w:sz="8" w:space="0"/>
              <w:right w:val="single" w:color="000000" w:sz="8" w:space="0"/>
            </w:tcBorders>
            <w:noWrap w:val="0"/>
            <w:vAlign w:val="center"/>
          </w:tcPr>
          <w:p w14:paraId="4C252F0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2F2470F8">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4FF6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0F3A92C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32</w:t>
            </w:r>
          </w:p>
        </w:tc>
        <w:tc>
          <w:tcPr>
            <w:tcW w:w="1479" w:type="pct"/>
            <w:tcBorders>
              <w:top w:val="nil"/>
              <w:left w:val="nil"/>
              <w:bottom w:val="single" w:color="000000" w:sz="8" w:space="0"/>
              <w:right w:val="single" w:color="000000" w:sz="8" w:space="0"/>
            </w:tcBorders>
            <w:noWrap w:val="0"/>
            <w:vAlign w:val="center"/>
          </w:tcPr>
          <w:p w14:paraId="0D48BE2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API网关</w:t>
            </w:r>
          </w:p>
        </w:tc>
        <w:tc>
          <w:tcPr>
            <w:tcW w:w="450" w:type="pct"/>
            <w:tcBorders>
              <w:top w:val="nil"/>
              <w:left w:val="nil"/>
              <w:bottom w:val="single" w:color="000000" w:sz="8" w:space="0"/>
              <w:right w:val="single" w:color="000000" w:sz="8" w:space="0"/>
            </w:tcBorders>
            <w:noWrap w:val="0"/>
            <w:vAlign w:val="center"/>
          </w:tcPr>
          <w:p w14:paraId="189ACEA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6D355BD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5490DEC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10677936">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72EB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2E78EC4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33</w:t>
            </w:r>
          </w:p>
        </w:tc>
        <w:tc>
          <w:tcPr>
            <w:tcW w:w="1479" w:type="pct"/>
            <w:tcBorders>
              <w:top w:val="nil"/>
              <w:left w:val="nil"/>
              <w:bottom w:val="single" w:color="000000" w:sz="8" w:space="0"/>
              <w:right w:val="single" w:color="000000" w:sz="8" w:space="0"/>
            </w:tcBorders>
            <w:noWrap w:val="0"/>
            <w:vAlign w:val="center"/>
          </w:tcPr>
          <w:p w14:paraId="2889D10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云安全管理平台</w:t>
            </w:r>
          </w:p>
        </w:tc>
        <w:tc>
          <w:tcPr>
            <w:tcW w:w="450" w:type="pct"/>
            <w:tcBorders>
              <w:top w:val="nil"/>
              <w:left w:val="nil"/>
              <w:bottom w:val="single" w:color="000000" w:sz="8" w:space="0"/>
              <w:right w:val="single" w:color="000000" w:sz="8" w:space="0"/>
            </w:tcBorders>
            <w:noWrap w:val="0"/>
            <w:vAlign w:val="center"/>
          </w:tcPr>
          <w:p w14:paraId="2BBDF29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5</w:t>
            </w:r>
          </w:p>
        </w:tc>
        <w:tc>
          <w:tcPr>
            <w:tcW w:w="465" w:type="pct"/>
            <w:tcBorders>
              <w:top w:val="nil"/>
              <w:left w:val="nil"/>
              <w:bottom w:val="single" w:color="000000" w:sz="8" w:space="0"/>
              <w:right w:val="single" w:color="000000" w:sz="8" w:space="0"/>
            </w:tcBorders>
            <w:noWrap w:val="0"/>
            <w:vAlign w:val="center"/>
          </w:tcPr>
          <w:p w14:paraId="0EC1635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2B3C3F9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089A23C0">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3CDD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0E01F36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34</w:t>
            </w:r>
          </w:p>
        </w:tc>
        <w:tc>
          <w:tcPr>
            <w:tcW w:w="1479" w:type="pct"/>
            <w:tcBorders>
              <w:top w:val="nil"/>
              <w:left w:val="nil"/>
              <w:bottom w:val="single" w:color="000000" w:sz="8" w:space="0"/>
              <w:right w:val="single" w:color="000000" w:sz="8" w:space="0"/>
            </w:tcBorders>
            <w:noWrap w:val="0"/>
            <w:vAlign w:val="center"/>
          </w:tcPr>
          <w:p w14:paraId="15CAD96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虚拟主机安全组件</w:t>
            </w:r>
          </w:p>
        </w:tc>
        <w:tc>
          <w:tcPr>
            <w:tcW w:w="450" w:type="pct"/>
            <w:tcBorders>
              <w:top w:val="nil"/>
              <w:left w:val="nil"/>
              <w:bottom w:val="single" w:color="000000" w:sz="8" w:space="0"/>
              <w:right w:val="single" w:color="000000" w:sz="8" w:space="0"/>
            </w:tcBorders>
            <w:noWrap w:val="0"/>
            <w:vAlign w:val="center"/>
          </w:tcPr>
          <w:p w14:paraId="392D81D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2766</w:t>
            </w:r>
          </w:p>
        </w:tc>
        <w:tc>
          <w:tcPr>
            <w:tcW w:w="465" w:type="pct"/>
            <w:tcBorders>
              <w:top w:val="nil"/>
              <w:left w:val="nil"/>
              <w:bottom w:val="single" w:color="000000" w:sz="8" w:space="0"/>
              <w:right w:val="single" w:color="000000" w:sz="8" w:space="0"/>
            </w:tcBorders>
            <w:noWrap w:val="0"/>
            <w:vAlign w:val="center"/>
          </w:tcPr>
          <w:p w14:paraId="6908EB6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24E3482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6CA567A0">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2E613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shd w:val="clear" w:color="auto" w:fill="auto"/>
            <w:noWrap w:val="0"/>
            <w:vAlign w:val="center"/>
          </w:tcPr>
          <w:p w14:paraId="1E0AC1D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35</w:t>
            </w:r>
          </w:p>
        </w:tc>
        <w:tc>
          <w:tcPr>
            <w:tcW w:w="1479" w:type="pct"/>
            <w:tcBorders>
              <w:top w:val="nil"/>
              <w:left w:val="nil"/>
              <w:bottom w:val="single" w:color="000000" w:sz="8" w:space="0"/>
              <w:right w:val="single" w:color="000000" w:sz="8" w:space="0"/>
            </w:tcBorders>
            <w:shd w:val="clear" w:color="auto" w:fill="auto"/>
            <w:noWrap w:val="0"/>
            <w:vAlign w:val="center"/>
          </w:tcPr>
          <w:p w14:paraId="0E193E6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虚拟防火墙组件</w:t>
            </w:r>
          </w:p>
        </w:tc>
        <w:tc>
          <w:tcPr>
            <w:tcW w:w="450" w:type="pct"/>
            <w:tcBorders>
              <w:top w:val="nil"/>
              <w:left w:val="nil"/>
              <w:bottom w:val="single" w:color="000000" w:sz="8" w:space="0"/>
              <w:right w:val="single" w:color="000000" w:sz="8" w:space="0"/>
            </w:tcBorders>
            <w:shd w:val="clear" w:color="auto" w:fill="auto"/>
            <w:noWrap w:val="0"/>
            <w:vAlign w:val="center"/>
          </w:tcPr>
          <w:p w14:paraId="3704391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6</w:t>
            </w:r>
          </w:p>
        </w:tc>
        <w:tc>
          <w:tcPr>
            <w:tcW w:w="465" w:type="pct"/>
            <w:tcBorders>
              <w:top w:val="nil"/>
              <w:left w:val="nil"/>
              <w:bottom w:val="single" w:color="000000" w:sz="8" w:space="0"/>
              <w:right w:val="single" w:color="000000" w:sz="8" w:space="0"/>
            </w:tcBorders>
            <w:shd w:val="clear" w:color="auto" w:fill="FFFFFF"/>
            <w:noWrap w:val="0"/>
            <w:vAlign w:val="center"/>
          </w:tcPr>
          <w:p w14:paraId="1D8DCBC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6E89E5C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0346569D">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5868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shd w:val="clear" w:color="auto" w:fill="auto"/>
            <w:noWrap w:val="0"/>
            <w:vAlign w:val="center"/>
          </w:tcPr>
          <w:p w14:paraId="156075D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36</w:t>
            </w:r>
          </w:p>
        </w:tc>
        <w:tc>
          <w:tcPr>
            <w:tcW w:w="1479" w:type="pct"/>
            <w:tcBorders>
              <w:top w:val="nil"/>
              <w:left w:val="nil"/>
              <w:bottom w:val="single" w:color="000000" w:sz="8" w:space="0"/>
              <w:right w:val="single" w:color="000000" w:sz="8" w:space="0"/>
            </w:tcBorders>
            <w:shd w:val="clear" w:color="auto" w:fill="auto"/>
            <w:noWrap w:val="0"/>
            <w:vAlign w:val="center"/>
          </w:tcPr>
          <w:p w14:paraId="378A769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虚拟WEB应用防火墙组件</w:t>
            </w:r>
          </w:p>
        </w:tc>
        <w:tc>
          <w:tcPr>
            <w:tcW w:w="450" w:type="pct"/>
            <w:tcBorders>
              <w:top w:val="nil"/>
              <w:left w:val="nil"/>
              <w:bottom w:val="single" w:color="000000" w:sz="8" w:space="0"/>
              <w:right w:val="single" w:color="000000" w:sz="8" w:space="0"/>
            </w:tcBorders>
            <w:shd w:val="clear" w:color="auto" w:fill="auto"/>
            <w:noWrap w:val="0"/>
            <w:vAlign w:val="center"/>
          </w:tcPr>
          <w:p w14:paraId="0D32C05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w:t>
            </w:r>
          </w:p>
        </w:tc>
        <w:tc>
          <w:tcPr>
            <w:tcW w:w="465" w:type="pct"/>
            <w:tcBorders>
              <w:top w:val="nil"/>
              <w:left w:val="nil"/>
              <w:bottom w:val="single" w:color="000000" w:sz="8" w:space="0"/>
              <w:right w:val="single" w:color="000000" w:sz="8" w:space="0"/>
            </w:tcBorders>
            <w:shd w:val="clear" w:color="auto" w:fill="FFFFFF"/>
            <w:noWrap w:val="0"/>
            <w:vAlign w:val="center"/>
          </w:tcPr>
          <w:p w14:paraId="2602146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6FF43B0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352C73CC">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6C0B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0156526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37</w:t>
            </w:r>
          </w:p>
        </w:tc>
        <w:tc>
          <w:tcPr>
            <w:tcW w:w="1479" w:type="pct"/>
            <w:tcBorders>
              <w:top w:val="nil"/>
              <w:left w:val="nil"/>
              <w:bottom w:val="single" w:color="000000" w:sz="8" w:space="0"/>
              <w:right w:val="single" w:color="000000" w:sz="8" w:space="0"/>
            </w:tcBorders>
            <w:noWrap w:val="0"/>
            <w:vAlign w:val="center"/>
          </w:tcPr>
          <w:p w14:paraId="7755ED9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虚拟网页防篡改组件</w:t>
            </w:r>
          </w:p>
        </w:tc>
        <w:tc>
          <w:tcPr>
            <w:tcW w:w="450" w:type="pct"/>
            <w:tcBorders>
              <w:top w:val="nil"/>
              <w:left w:val="nil"/>
              <w:bottom w:val="single" w:color="000000" w:sz="8" w:space="0"/>
              <w:right w:val="single" w:color="000000" w:sz="8" w:space="0"/>
            </w:tcBorders>
            <w:noWrap w:val="0"/>
            <w:vAlign w:val="center"/>
          </w:tcPr>
          <w:p w14:paraId="1FAAD19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w:t>
            </w:r>
          </w:p>
        </w:tc>
        <w:tc>
          <w:tcPr>
            <w:tcW w:w="465" w:type="pct"/>
            <w:tcBorders>
              <w:top w:val="nil"/>
              <w:left w:val="nil"/>
              <w:bottom w:val="single" w:color="000000" w:sz="8" w:space="0"/>
              <w:right w:val="single" w:color="000000" w:sz="8" w:space="0"/>
            </w:tcBorders>
            <w:noWrap w:val="0"/>
            <w:vAlign w:val="center"/>
          </w:tcPr>
          <w:p w14:paraId="214819B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73B9F67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192830B4">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32349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3C7388D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38</w:t>
            </w:r>
          </w:p>
        </w:tc>
        <w:tc>
          <w:tcPr>
            <w:tcW w:w="1479" w:type="pct"/>
            <w:tcBorders>
              <w:top w:val="nil"/>
              <w:left w:val="nil"/>
              <w:bottom w:val="single" w:color="000000" w:sz="8" w:space="0"/>
              <w:right w:val="single" w:color="000000" w:sz="8" w:space="0"/>
            </w:tcBorders>
            <w:noWrap w:val="0"/>
            <w:vAlign w:val="center"/>
          </w:tcPr>
          <w:p w14:paraId="4F36F07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虚拟漏洞扫描组件</w:t>
            </w:r>
          </w:p>
        </w:tc>
        <w:tc>
          <w:tcPr>
            <w:tcW w:w="450" w:type="pct"/>
            <w:tcBorders>
              <w:top w:val="nil"/>
              <w:left w:val="nil"/>
              <w:bottom w:val="single" w:color="000000" w:sz="8" w:space="0"/>
              <w:right w:val="single" w:color="000000" w:sz="8" w:space="0"/>
            </w:tcBorders>
            <w:noWrap w:val="0"/>
            <w:vAlign w:val="center"/>
          </w:tcPr>
          <w:p w14:paraId="541F709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w:t>
            </w:r>
          </w:p>
        </w:tc>
        <w:tc>
          <w:tcPr>
            <w:tcW w:w="465" w:type="pct"/>
            <w:tcBorders>
              <w:top w:val="nil"/>
              <w:left w:val="nil"/>
              <w:bottom w:val="single" w:color="000000" w:sz="8" w:space="0"/>
              <w:right w:val="single" w:color="000000" w:sz="8" w:space="0"/>
            </w:tcBorders>
            <w:noWrap w:val="0"/>
            <w:vAlign w:val="center"/>
          </w:tcPr>
          <w:p w14:paraId="7A04615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213EBD2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3376665A">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476C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4618A7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39</w:t>
            </w:r>
          </w:p>
        </w:tc>
        <w:tc>
          <w:tcPr>
            <w:tcW w:w="1479" w:type="pct"/>
            <w:tcBorders>
              <w:top w:val="nil"/>
              <w:left w:val="nil"/>
              <w:bottom w:val="single" w:color="000000" w:sz="8" w:space="0"/>
              <w:right w:val="single" w:color="000000" w:sz="8" w:space="0"/>
            </w:tcBorders>
            <w:noWrap w:val="0"/>
            <w:vAlign w:val="center"/>
          </w:tcPr>
          <w:p w14:paraId="4F2A5FA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虚拟堡垒机组件</w:t>
            </w:r>
          </w:p>
        </w:tc>
        <w:tc>
          <w:tcPr>
            <w:tcW w:w="450" w:type="pct"/>
            <w:tcBorders>
              <w:top w:val="nil"/>
              <w:left w:val="nil"/>
              <w:bottom w:val="single" w:color="000000" w:sz="8" w:space="0"/>
              <w:right w:val="single" w:color="000000" w:sz="8" w:space="0"/>
            </w:tcBorders>
            <w:noWrap w:val="0"/>
            <w:vAlign w:val="center"/>
          </w:tcPr>
          <w:p w14:paraId="3E39CB7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w:t>
            </w:r>
          </w:p>
        </w:tc>
        <w:tc>
          <w:tcPr>
            <w:tcW w:w="465" w:type="pct"/>
            <w:tcBorders>
              <w:top w:val="nil"/>
              <w:left w:val="nil"/>
              <w:bottom w:val="single" w:color="000000" w:sz="8" w:space="0"/>
              <w:right w:val="single" w:color="000000" w:sz="8" w:space="0"/>
            </w:tcBorders>
            <w:noWrap w:val="0"/>
            <w:vAlign w:val="center"/>
          </w:tcPr>
          <w:p w14:paraId="4B6FAA1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3019809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7D20025A">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3038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1BAD3B6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40</w:t>
            </w:r>
          </w:p>
        </w:tc>
        <w:tc>
          <w:tcPr>
            <w:tcW w:w="1479" w:type="pct"/>
            <w:tcBorders>
              <w:top w:val="nil"/>
              <w:left w:val="nil"/>
              <w:bottom w:val="single" w:color="000000" w:sz="8" w:space="0"/>
              <w:right w:val="single" w:color="000000" w:sz="8" w:space="0"/>
            </w:tcBorders>
            <w:noWrap w:val="0"/>
            <w:vAlign w:val="center"/>
          </w:tcPr>
          <w:p w14:paraId="680A440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虚拟数据库安全组件</w:t>
            </w:r>
          </w:p>
        </w:tc>
        <w:tc>
          <w:tcPr>
            <w:tcW w:w="450" w:type="pct"/>
            <w:tcBorders>
              <w:top w:val="nil"/>
              <w:left w:val="nil"/>
              <w:bottom w:val="single" w:color="000000" w:sz="8" w:space="0"/>
              <w:right w:val="single" w:color="000000" w:sz="8" w:space="0"/>
            </w:tcBorders>
            <w:noWrap w:val="0"/>
            <w:vAlign w:val="center"/>
          </w:tcPr>
          <w:p w14:paraId="1F30E1E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w:t>
            </w:r>
          </w:p>
        </w:tc>
        <w:tc>
          <w:tcPr>
            <w:tcW w:w="465" w:type="pct"/>
            <w:tcBorders>
              <w:top w:val="nil"/>
              <w:left w:val="nil"/>
              <w:bottom w:val="single" w:color="000000" w:sz="8" w:space="0"/>
              <w:right w:val="single" w:color="000000" w:sz="8" w:space="0"/>
            </w:tcBorders>
            <w:noWrap w:val="0"/>
            <w:vAlign w:val="center"/>
          </w:tcPr>
          <w:p w14:paraId="599C292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1C01CC9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775ABAE6">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372B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04C508F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41</w:t>
            </w:r>
          </w:p>
        </w:tc>
        <w:tc>
          <w:tcPr>
            <w:tcW w:w="1479" w:type="pct"/>
            <w:tcBorders>
              <w:top w:val="nil"/>
              <w:left w:val="nil"/>
              <w:bottom w:val="single" w:color="000000" w:sz="8" w:space="0"/>
              <w:right w:val="single" w:color="000000" w:sz="8" w:space="0"/>
            </w:tcBorders>
            <w:noWrap w:val="0"/>
            <w:vAlign w:val="center"/>
          </w:tcPr>
          <w:p w14:paraId="20F2525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虚拟日志审计组件</w:t>
            </w:r>
          </w:p>
        </w:tc>
        <w:tc>
          <w:tcPr>
            <w:tcW w:w="450" w:type="pct"/>
            <w:tcBorders>
              <w:top w:val="nil"/>
              <w:left w:val="nil"/>
              <w:bottom w:val="single" w:color="000000" w:sz="8" w:space="0"/>
              <w:right w:val="single" w:color="000000" w:sz="8" w:space="0"/>
            </w:tcBorders>
            <w:noWrap w:val="0"/>
            <w:vAlign w:val="center"/>
          </w:tcPr>
          <w:p w14:paraId="6DBCEB4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w:t>
            </w:r>
          </w:p>
        </w:tc>
        <w:tc>
          <w:tcPr>
            <w:tcW w:w="465" w:type="pct"/>
            <w:tcBorders>
              <w:top w:val="nil"/>
              <w:left w:val="nil"/>
              <w:bottom w:val="single" w:color="000000" w:sz="8" w:space="0"/>
              <w:right w:val="single" w:color="000000" w:sz="8" w:space="0"/>
            </w:tcBorders>
            <w:noWrap w:val="0"/>
            <w:vAlign w:val="center"/>
          </w:tcPr>
          <w:p w14:paraId="7BB89E8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162BE52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33B1ED9D">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7494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144E79F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42</w:t>
            </w:r>
          </w:p>
        </w:tc>
        <w:tc>
          <w:tcPr>
            <w:tcW w:w="1479" w:type="pct"/>
            <w:tcBorders>
              <w:top w:val="nil"/>
              <w:left w:val="nil"/>
              <w:bottom w:val="single" w:color="000000" w:sz="8" w:space="0"/>
              <w:right w:val="single" w:color="000000" w:sz="8" w:space="0"/>
            </w:tcBorders>
            <w:noWrap w:val="0"/>
            <w:vAlign w:val="center"/>
          </w:tcPr>
          <w:p w14:paraId="3112011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虚拟态势感知组件</w:t>
            </w:r>
          </w:p>
        </w:tc>
        <w:tc>
          <w:tcPr>
            <w:tcW w:w="450" w:type="pct"/>
            <w:tcBorders>
              <w:top w:val="nil"/>
              <w:left w:val="nil"/>
              <w:bottom w:val="single" w:color="000000" w:sz="8" w:space="0"/>
              <w:right w:val="single" w:color="000000" w:sz="8" w:space="0"/>
            </w:tcBorders>
            <w:noWrap w:val="0"/>
            <w:vAlign w:val="center"/>
          </w:tcPr>
          <w:p w14:paraId="0FCFA2C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22</w:t>
            </w:r>
          </w:p>
        </w:tc>
        <w:tc>
          <w:tcPr>
            <w:tcW w:w="465" w:type="pct"/>
            <w:tcBorders>
              <w:top w:val="nil"/>
              <w:left w:val="nil"/>
              <w:bottom w:val="single" w:color="000000" w:sz="8" w:space="0"/>
              <w:right w:val="single" w:color="000000" w:sz="8" w:space="0"/>
            </w:tcBorders>
            <w:noWrap w:val="0"/>
            <w:vAlign w:val="center"/>
          </w:tcPr>
          <w:p w14:paraId="6DCA558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2BCD54E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08EF43AC">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1F3B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6AE162A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43</w:t>
            </w:r>
          </w:p>
        </w:tc>
        <w:tc>
          <w:tcPr>
            <w:tcW w:w="1479" w:type="pct"/>
            <w:tcBorders>
              <w:top w:val="nil"/>
              <w:left w:val="nil"/>
              <w:bottom w:val="single" w:color="000000" w:sz="8" w:space="0"/>
              <w:right w:val="single" w:color="000000" w:sz="8" w:space="0"/>
            </w:tcBorders>
            <w:noWrap w:val="0"/>
            <w:vAlign w:val="center"/>
          </w:tcPr>
          <w:p w14:paraId="6BDD65C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统一运维平台</w:t>
            </w:r>
          </w:p>
        </w:tc>
        <w:tc>
          <w:tcPr>
            <w:tcW w:w="450" w:type="pct"/>
            <w:tcBorders>
              <w:top w:val="nil"/>
              <w:left w:val="nil"/>
              <w:bottom w:val="single" w:color="000000" w:sz="8" w:space="0"/>
              <w:right w:val="single" w:color="000000" w:sz="8" w:space="0"/>
            </w:tcBorders>
            <w:noWrap w:val="0"/>
            <w:vAlign w:val="center"/>
          </w:tcPr>
          <w:p w14:paraId="20B235A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08DE669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套</w:t>
            </w:r>
          </w:p>
        </w:tc>
        <w:tc>
          <w:tcPr>
            <w:tcW w:w="1445" w:type="pct"/>
            <w:tcBorders>
              <w:top w:val="nil"/>
              <w:left w:val="nil"/>
              <w:bottom w:val="single" w:color="000000" w:sz="8" w:space="0"/>
              <w:right w:val="single" w:color="000000" w:sz="8" w:space="0"/>
            </w:tcBorders>
            <w:noWrap w:val="0"/>
            <w:vAlign w:val="center"/>
          </w:tcPr>
          <w:p w14:paraId="05E8C3F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29593F25">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6242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55A0B93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44</w:t>
            </w:r>
          </w:p>
        </w:tc>
        <w:tc>
          <w:tcPr>
            <w:tcW w:w="1479" w:type="pct"/>
            <w:tcBorders>
              <w:top w:val="nil"/>
              <w:left w:val="nil"/>
              <w:bottom w:val="single" w:color="000000" w:sz="8" w:space="0"/>
              <w:right w:val="single" w:color="000000" w:sz="8" w:space="0"/>
            </w:tcBorders>
            <w:noWrap w:val="0"/>
            <w:vAlign w:val="center"/>
          </w:tcPr>
          <w:p w14:paraId="2AF70C0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功能模块一</w:t>
            </w:r>
          </w:p>
        </w:tc>
        <w:tc>
          <w:tcPr>
            <w:tcW w:w="450" w:type="pct"/>
            <w:tcBorders>
              <w:top w:val="nil"/>
              <w:left w:val="nil"/>
              <w:bottom w:val="single" w:color="000000" w:sz="8" w:space="0"/>
              <w:right w:val="single" w:color="000000" w:sz="8" w:space="0"/>
            </w:tcBorders>
            <w:noWrap w:val="0"/>
            <w:vAlign w:val="center"/>
          </w:tcPr>
          <w:p w14:paraId="78D435A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715F607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1445" w:type="pct"/>
            <w:tcBorders>
              <w:top w:val="nil"/>
              <w:left w:val="nil"/>
              <w:bottom w:val="single" w:color="000000" w:sz="8" w:space="0"/>
              <w:right w:val="single" w:color="000000" w:sz="8" w:space="0"/>
            </w:tcBorders>
            <w:noWrap w:val="0"/>
            <w:vAlign w:val="center"/>
          </w:tcPr>
          <w:p w14:paraId="5B76E93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11D7389A">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3DC1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574B526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45</w:t>
            </w:r>
          </w:p>
        </w:tc>
        <w:tc>
          <w:tcPr>
            <w:tcW w:w="1479" w:type="pct"/>
            <w:tcBorders>
              <w:top w:val="nil"/>
              <w:left w:val="nil"/>
              <w:bottom w:val="single" w:color="000000" w:sz="8" w:space="0"/>
              <w:right w:val="single" w:color="000000" w:sz="8" w:space="0"/>
            </w:tcBorders>
            <w:noWrap w:val="0"/>
            <w:vAlign w:val="center"/>
          </w:tcPr>
          <w:p w14:paraId="5B4FFEF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集成</w:t>
            </w:r>
          </w:p>
        </w:tc>
        <w:tc>
          <w:tcPr>
            <w:tcW w:w="450" w:type="pct"/>
            <w:tcBorders>
              <w:top w:val="nil"/>
              <w:left w:val="nil"/>
              <w:bottom w:val="single" w:color="000000" w:sz="8" w:space="0"/>
              <w:right w:val="single" w:color="000000" w:sz="8" w:space="0"/>
            </w:tcBorders>
            <w:noWrap w:val="0"/>
            <w:vAlign w:val="center"/>
          </w:tcPr>
          <w:p w14:paraId="1E10C0E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5EC5797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1445" w:type="pct"/>
            <w:tcBorders>
              <w:top w:val="nil"/>
              <w:left w:val="nil"/>
              <w:bottom w:val="single" w:color="000000" w:sz="8" w:space="0"/>
              <w:right w:val="single" w:color="000000" w:sz="8" w:space="0"/>
            </w:tcBorders>
            <w:noWrap w:val="0"/>
            <w:vAlign w:val="center"/>
          </w:tcPr>
          <w:p w14:paraId="35C5342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2D20FF55">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44666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7BD0561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46</w:t>
            </w:r>
          </w:p>
        </w:tc>
        <w:tc>
          <w:tcPr>
            <w:tcW w:w="1479" w:type="pct"/>
            <w:tcBorders>
              <w:top w:val="nil"/>
              <w:left w:val="nil"/>
              <w:bottom w:val="single" w:color="000000" w:sz="8" w:space="0"/>
              <w:right w:val="single" w:color="000000" w:sz="8" w:space="0"/>
            </w:tcBorders>
            <w:noWrap w:val="0"/>
            <w:vAlign w:val="center"/>
          </w:tcPr>
          <w:p w14:paraId="3739516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软件测评</w:t>
            </w:r>
          </w:p>
        </w:tc>
        <w:tc>
          <w:tcPr>
            <w:tcW w:w="450" w:type="pct"/>
            <w:tcBorders>
              <w:top w:val="nil"/>
              <w:left w:val="nil"/>
              <w:bottom w:val="single" w:color="000000" w:sz="8" w:space="0"/>
              <w:right w:val="single" w:color="000000" w:sz="8" w:space="0"/>
            </w:tcBorders>
            <w:noWrap w:val="0"/>
            <w:vAlign w:val="center"/>
          </w:tcPr>
          <w:p w14:paraId="0048548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67EC1A9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1445" w:type="pct"/>
            <w:tcBorders>
              <w:top w:val="nil"/>
              <w:left w:val="nil"/>
              <w:bottom w:val="single" w:color="000000" w:sz="8" w:space="0"/>
              <w:right w:val="single" w:color="000000" w:sz="8" w:space="0"/>
            </w:tcBorders>
            <w:noWrap w:val="0"/>
            <w:vAlign w:val="center"/>
          </w:tcPr>
          <w:p w14:paraId="0B605A2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7811DF11">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1F02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2" w:type="pct"/>
            <w:tcBorders>
              <w:top w:val="nil"/>
              <w:left w:val="single" w:color="000000" w:sz="8" w:space="0"/>
              <w:bottom w:val="single" w:color="000000" w:sz="8" w:space="0"/>
              <w:right w:val="single" w:color="000000" w:sz="8" w:space="0"/>
            </w:tcBorders>
            <w:noWrap w:val="0"/>
            <w:vAlign w:val="center"/>
          </w:tcPr>
          <w:p w14:paraId="67C5FBA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47</w:t>
            </w:r>
          </w:p>
        </w:tc>
        <w:tc>
          <w:tcPr>
            <w:tcW w:w="1479" w:type="pct"/>
            <w:tcBorders>
              <w:top w:val="nil"/>
              <w:left w:val="nil"/>
              <w:bottom w:val="single" w:color="000000" w:sz="8" w:space="0"/>
              <w:right w:val="single" w:color="000000" w:sz="8" w:space="0"/>
            </w:tcBorders>
            <w:noWrap w:val="0"/>
            <w:vAlign w:val="center"/>
          </w:tcPr>
          <w:p w14:paraId="2261738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安全测评</w:t>
            </w:r>
          </w:p>
        </w:tc>
        <w:tc>
          <w:tcPr>
            <w:tcW w:w="450" w:type="pct"/>
            <w:tcBorders>
              <w:top w:val="nil"/>
              <w:left w:val="nil"/>
              <w:bottom w:val="single" w:color="000000" w:sz="8" w:space="0"/>
              <w:right w:val="single" w:color="000000" w:sz="8" w:space="0"/>
            </w:tcBorders>
            <w:noWrap w:val="0"/>
            <w:vAlign w:val="center"/>
          </w:tcPr>
          <w:p w14:paraId="1097D7F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465" w:type="pct"/>
            <w:tcBorders>
              <w:top w:val="nil"/>
              <w:left w:val="nil"/>
              <w:bottom w:val="single" w:color="000000" w:sz="8" w:space="0"/>
              <w:right w:val="single" w:color="000000" w:sz="8" w:space="0"/>
            </w:tcBorders>
            <w:noWrap w:val="0"/>
            <w:vAlign w:val="center"/>
          </w:tcPr>
          <w:p w14:paraId="7D8BFCB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项</w:t>
            </w:r>
          </w:p>
        </w:tc>
        <w:tc>
          <w:tcPr>
            <w:tcW w:w="1445" w:type="pct"/>
            <w:tcBorders>
              <w:top w:val="nil"/>
              <w:left w:val="nil"/>
              <w:bottom w:val="single" w:color="000000" w:sz="8" w:space="0"/>
              <w:right w:val="single" w:color="000000" w:sz="8" w:space="0"/>
            </w:tcBorders>
            <w:noWrap w:val="0"/>
            <w:vAlign w:val="center"/>
          </w:tcPr>
          <w:p w14:paraId="5594AE1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软件和信息技术服务业</w:t>
            </w:r>
          </w:p>
        </w:tc>
        <w:tc>
          <w:tcPr>
            <w:tcW w:w="715" w:type="pct"/>
            <w:tcBorders>
              <w:top w:val="nil"/>
              <w:left w:val="nil"/>
              <w:bottom w:val="single" w:color="000000" w:sz="8" w:space="0"/>
              <w:right w:val="single" w:color="000000" w:sz="8" w:space="0"/>
            </w:tcBorders>
            <w:noWrap w:val="0"/>
            <w:vAlign w:val="center"/>
          </w:tcPr>
          <w:p w14:paraId="7634DA69">
            <w:pPr>
              <w:pageBreakBefore w:val="0"/>
              <w:wordWrap/>
              <w:topLinePunct w:val="0"/>
              <w:bidi w:val="0"/>
              <w:snapToGrid w:val="0"/>
              <w:spacing w:beforeAutospacing="0" w:afterAutospacing="0" w:line="360" w:lineRule="auto"/>
              <w:jc w:val="center"/>
              <w:rPr>
                <w:rFonts w:hint="eastAsia" w:ascii="仿宋" w:hAnsi="仿宋" w:eastAsia="仿宋" w:cs="仿宋"/>
                <w:i w:val="0"/>
                <w:iCs w:val="0"/>
                <w:color w:val="auto"/>
                <w:sz w:val="24"/>
                <w:szCs w:val="24"/>
                <w:highlight w:val="none"/>
                <w:u w:val="none"/>
              </w:rPr>
            </w:pPr>
          </w:p>
        </w:tc>
      </w:tr>
      <w:tr w14:paraId="1C11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single" w:color="000000" w:sz="8" w:space="0"/>
              <w:left w:val="single" w:color="000000" w:sz="8" w:space="0"/>
              <w:bottom w:val="single" w:color="000000" w:sz="8" w:space="0"/>
              <w:right w:val="single" w:color="000000" w:sz="8" w:space="0"/>
            </w:tcBorders>
            <w:noWrap w:val="0"/>
            <w:vAlign w:val="center"/>
          </w:tcPr>
          <w:p w14:paraId="6EE556FE">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投标人在本包所投的每一序号对应产品，均须为同一品牌、规格、型号及配置。</w:t>
            </w:r>
          </w:p>
        </w:tc>
      </w:tr>
    </w:tbl>
    <w:p w14:paraId="4C2987D5">
      <w:pPr>
        <w:pageBreakBefore w:val="0"/>
        <w:wordWrap/>
        <w:topLinePunct w:val="0"/>
        <w:bidi w:val="0"/>
        <w:snapToGrid w:val="0"/>
        <w:spacing w:beforeAutospacing="0" w:afterAutospacing="0" w:line="360" w:lineRule="auto"/>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 背景/项目概述</w:t>
      </w:r>
    </w:p>
    <w:p w14:paraId="472F00D7">
      <w:pPr>
        <w:pageBreakBefore w:val="0"/>
        <w:wordWrap/>
        <w:topLinePunct w:val="0"/>
        <w:bidi w:val="0"/>
        <w:snapToGrid w:val="0"/>
        <w:spacing w:beforeAutospacing="0" w:afterAutospacing="0" w:line="360" w:lineRule="auto"/>
        <w:ind w:firstLine="482"/>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项目应严格在公安部的整体要求下开展建设，在我局云计算平台一期、二期和三期基础上，结合我局现状及需求，扩容完善云计算平台IaaS层和PaaS层功能，升级完善统一运维平台，扩容升级云平台主机安全、态势感知等安全防护能力，为我局信息化项目提供基础软硬件支撑环境。</w:t>
      </w:r>
    </w:p>
    <w:p w14:paraId="453A0360">
      <w:pPr>
        <w:pStyle w:val="3"/>
        <w:pageBreakBefore w:val="0"/>
        <w:wordWrap/>
        <w:topLinePunct w:val="0"/>
        <w:bidi w:val="0"/>
        <w:snapToGrid w:val="0"/>
        <w:spacing w:before="0" w:beforeAutospacing="0" w:afterAutospacing="0" w:line="360" w:lineRule="auto"/>
        <w:jc w:val="both"/>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rPr>
        <w:t>二、商务要求</w:t>
      </w:r>
    </w:p>
    <w:p w14:paraId="590E02B6">
      <w:pPr>
        <w:pageBreakBefore w:val="0"/>
        <w:wordWrap/>
        <w:topLinePunct w:val="0"/>
        <w:bidi w:val="0"/>
        <w:snapToGrid w:val="0"/>
        <w:spacing w:beforeAutospacing="0" w:afterAutospacing="0" w:line="360" w:lineRule="auto"/>
        <w:contextualSpacing/>
        <w:rPr>
          <w:rFonts w:hint="eastAsia" w:ascii="仿宋" w:hAnsi="仿宋" w:eastAsia="仿宋" w:cs="仿宋"/>
          <w:i/>
          <w:color w:val="auto"/>
          <w:sz w:val="28"/>
          <w:szCs w:val="28"/>
          <w:highlight w:val="none"/>
        </w:rPr>
      </w:pPr>
      <w:r>
        <w:rPr>
          <w:rFonts w:hint="eastAsia" w:ascii="仿宋" w:hAnsi="仿宋" w:eastAsia="仿宋" w:cs="仿宋"/>
          <w:color w:val="auto"/>
          <w:sz w:val="28"/>
          <w:szCs w:val="28"/>
          <w:highlight w:val="none"/>
        </w:rPr>
        <w:t>1. 交付（实施）的时间（期限）和地点（范围）</w:t>
      </w:r>
    </w:p>
    <w:p w14:paraId="77DD7922">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交付时间：本项目合同签订生效后，在180个日历日内完成整体项目建设，</w:t>
      </w:r>
      <w:r>
        <w:rPr>
          <w:rFonts w:hint="eastAsia" w:ascii="仿宋" w:hAnsi="仿宋" w:eastAsia="仿宋" w:cs="仿宋"/>
          <w:iCs/>
          <w:color w:val="auto"/>
          <w:sz w:val="28"/>
          <w:szCs w:val="28"/>
          <w:highlight w:val="none"/>
          <w:lang w:val="en-US" w:eastAsia="zh-CN"/>
        </w:rPr>
        <w:t>自接到</w:t>
      </w:r>
      <w:r>
        <w:rPr>
          <w:rFonts w:hint="eastAsia" w:ascii="仿宋" w:hAnsi="仿宋" w:eastAsia="仿宋" w:cs="仿宋"/>
          <w:iCs/>
          <w:color w:val="auto"/>
          <w:sz w:val="28"/>
          <w:szCs w:val="28"/>
          <w:highlight w:val="none"/>
        </w:rPr>
        <w:t>采购人供货要求之日起30个日历日内完成全部货物的到货。项目建设完成后30个日历日内完成初验，进入至少为期180个日历日的试运行期。经过180个日历日试运行后，且完成了</w:t>
      </w:r>
      <w:r>
        <w:rPr>
          <w:rFonts w:hint="eastAsia" w:ascii="仿宋" w:hAnsi="仿宋" w:eastAsia="仿宋" w:cs="仿宋"/>
          <w:iCs/>
          <w:color w:val="auto"/>
          <w:sz w:val="28"/>
          <w:szCs w:val="28"/>
          <w:highlight w:val="none"/>
          <w:lang w:val="en-US" w:eastAsia="zh-CN"/>
        </w:rPr>
        <w:t>项目整体的</w:t>
      </w:r>
      <w:r>
        <w:rPr>
          <w:rFonts w:hint="eastAsia" w:ascii="仿宋" w:hAnsi="仿宋" w:eastAsia="仿宋" w:cs="仿宋"/>
          <w:iCs/>
          <w:color w:val="auto"/>
          <w:sz w:val="28"/>
          <w:szCs w:val="28"/>
          <w:highlight w:val="none"/>
        </w:rPr>
        <w:t>软件测评、安全（验收）测评、密码应用安全性评估，在30个日历日内完成项目终验，系统投入正式运行。质保期不少于3年，从项目通过最终验收合格之日起开始计算。</w:t>
      </w:r>
    </w:p>
    <w:p w14:paraId="2C1B1427">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iCs/>
          <w:color w:val="auto"/>
          <w:sz w:val="28"/>
          <w:szCs w:val="28"/>
          <w:highlight w:val="none"/>
        </w:rPr>
      </w:pPr>
      <w:r>
        <w:rPr>
          <w:rFonts w:hint="eastAsia" w:ascii="仿宋" w:hAnsi="仿宋" w:eastAsia="仿宋" w:cs="仿宋"/>
          <w:iCs/>
          <w:color w:val="auto"/>
          <w:sz w:val="28"/>
          <w:szCs w:val="28"/>
          <w:highlight w:val="none"/>
        </w:rPr>
        <w:t>交付地点：采购人指定地点。</w:t>
      </w:r>
    </w:p>
    <w:p w14:paraId="2F98044F">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付款条件（进度和方式）</w:t>
      </w:r>
    </w:p>
    <w:p w14:paraId="27B0939B">
      <w:pPr>
        <w:pageBreakBefore w:val="0"/>
        <w:wordWrap/>
        <w:topLinePunct w:val="0"/>
        <w:bidi w:val="0"/>
        <w:snapToGrid w:val="0"/>
        <w:spacing w:beforeAutospacing="0" w:afterAutospacing="0" w:line="360" w:lineRule="auto"/>
        <w:ind w:firstLine="42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（1）合同签订生效后7个工作日内，采购人向投标人支付合同总价</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0%预付款：即人民币小写：          元，人民币大写：          。</w:t>
      </w:r>
    </w:p>
    <w:p w14:paraId="217B9F89">
      <w:pPr>
        <w:pageBreakBefore w:val="0"/>
        <w:wordWrap/>
        <w:topLinePunct w:val="0"/>
        <w:bidi w:val="0"/>
        <w:snapToGrid w:val="0"/>
        <w:spacing w:beforeAutospacing="0" w:afterAutospacing="0" w:line="360" w:lineRule="auto"/>
        <w:ind w:firstLine="42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（2）系统部署调试完成，通过项目初验后7个工作日内，采购人向投标人支付合同总价50%：即人民币小写：          元，人民币大写：          。</w:t>
      </w:r>
    </w:p>
    <w:p w14:paraId="4CBB4CEF">
      <w:pPr>
        <w:pageBreakBefore w:val="0"/>
        <w:wordWrap/>
        <w:topLinePunct w:val="0"/>
        <w:bidi w:val="0"/>
        <w:snapToGrid w:val="0"/>
        <w:spacing w:beforeAutospacing="0" w:afterAutospacing="0" w:line="360" w:lineRule="auto"/>
        <w:ind w:firstLine="42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（3）项目最终验收合格且乙方向甲方提交由其开户银行出具的合同总价的5%的履约保函正本后7个工作日内，甲方按照相关职能部门最终批复金额向乙方支付剩余款项。          </w:t>
      </w:r>
    </w:p>
    <w:p w14:paraId="61F8D0C7">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包装和运输（须满足《关于印发〈商品包装政府采购需求标准（试行）〉、〈快递包装政府采购需求标准（试行）〉的通知》（财办库﹝2020﹞123号））</w:t>
      </w:r>
    </w:p>
    <w:p w14:paraId="25B715F2">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售后服务（质保期）</w:t>
      </w:r>
    </w:p>
    <w:p w14:paraId="7F6F59BB">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应保证货物是全新的、未使用过的，并完全符合合同规定的质量、规格和性能的要求。投标人应保证所提供的货物经正确安装、正常运转和维护，使其在使用寿命期内应具有满意的性能。在货物质量保证期之内，投标人应对由于设计、工艺或材料的缺陷而发生的任何不足或故障负责。</w:t>
      </w:r>
    </w:p>
    <w:p w14:paraId="363B4D1F">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根据技术合同约定的，或者在质量保证期内，如果货物的数量、质量或规格与合同不符，或证实货物是有缺陷的，包括潜在缺陷或使用不符合要求的材料等，采购人应尽快以书面形式通知投标人，提出索赔。</w:t>
      </w:r>
    </w:p>
    <w:p w14:paraId="1C6BD806">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在收到通知后2小时内响应，4小时以内解决问题；不能当场修复的，必须于2个日历日内采取提供备品、备件或备机等措施，以保证采购人的正常使用，相关费用应包含在投标总价中。投标人服务响应时间以各分项采购要求为准。</w:t>
      </w:r>
    </w:p>
    <w:p w14:paraId="6147DDCE">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（4）如果投标人在收到通知后10个日历日内没有弥补缺陷，采购人可采取必要的补救措施，但风险和费用将由投标人承担。</w:t>
      </w:r>
    </w:p>
    <w:p w14:paraId="71AB8B26">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人为项目提供的质保期不少于3年，质保期从项目通过最终验收合格之日起开始计算。对于质保期内更换的设备，质量保证期从设备更换之日起重新计算。其中对更换的存储设备提供故障设备不返还服务。相关费用应包含在投标总价中。</w:t>
      </w:r>
    </w:p>
    <w:p w14:paraId="55A1E4D1">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（6）遇节假日、敏感时期及突发重大事件时，投标人根据采购人要求派相关人员提供现场系统维护保障服务。</w:t>
      </w:r>
    </w:p>
    <w:p w14:paraId="3BA721C7">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（7）质保期内，投标人负责对本项目所提供的软件进行升级和保修；如果采购人要求修改软件时，投标人应及时修改，相关费用应包含在投标总价中。</w:t>
      </w:r>
    </w:p>
    <w:p w14:paraId="22EA62E1">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（8）投标人负责为采购人技术人员提供必要的培训服务及现场技术支持，相关费用应包含在投标总价中。</w:t>
      </w:r>
    </w:p>
    <w:p w14:paraId="459DAAFF">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（9）中标人应自中标公告发出之日起3个工作日内，向采购人提供加盖原厂公章的原厂承诺函。</w:t>
      </w:r>
    </w:p>
    <w:p w14:paraId="4E6AB6DB">
      <w:pPr>
        <w:pageBreakBefore w:val="0"/>
        <w:tabs>
          <w:tab w:val="left" w:pos="0"/>
        </w:tabs>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5.其他</w:t>
      </w:r>
    </w:p>
    <w:p w14:paraId="3F35FB89">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第三方软件测评报告、安全（验收）测评报告、密码应用安全性评估</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费用</w:t>
      </w:r>
      <w:r>
        <w:rPr>
          <w:rFonts w:hint="eastAsia" w:ascii="仿宋" w:hAnsi="仿宋" w:eastAsia="仿宋" w:cs="仿宋"/>
          <w:color w:val="auto"/>
          <w:sz w:val="28"/>
          <w:szCs w:val="28"/>
          <w:highlight w:val="none"/>
          <w:lang w:val="en-US" w:eastAsia="zh-CN"/>
        </w:rPr>
        <w:t>包含在投标总价内</w:t>
      </w:r>
      <w:r>
        <w:rPr>
          <w:rFonts w:hint="eastAsia" w:ascii="仿宋" w:hAnsi="仿宋" w:eastAsia="仿宋" w:cs="仿宋"/>
          <w:color w:val="auto"/>
          <w:sz w:val="28"/>
          <w:szCs w:val="28"/>
          <w:highlight w:val="none"/>
        </w:rPr>
        <w:t>。</w:t>
      </w:r>
    </w:p>
    <w:p w14:paraId="3CB67338">
      <w:pPr>
        <w:pStyle w:val="3"/>
        <w:pageBreakBefore w:val="0"/>
        <w:wordWrap/>
        <w:topLinePunct w:val="0"/>
        <w:bidi w:val="0"/>
        <w:snapToGrid w:val="0"/>
        <w:spacing w:before="0" w:beforeAutospacing="0" w:afterAutospacing="0"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三、技术要求</w:t>
      </w:r>
    </w:p>
    <w:p w14:paraId="2BFA66D4">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基本要求</w:t>
      </w:r>
    </w:p>
    <w:p w14:paraId="5F9DBC61">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采购标的需实现的功能或者目标</w:t>
      </w:r>
    </w:p>
    <w:p w14:paraId="7457CDAA">
      <w:pPr>
        <w:pageBreakBefore w:val="0"/>
        <w:wordWrap/>
        <w:topLinePunct w:val="0"/>
        <w:bidi w:val="0"/>
        <w:snapToGrid w:val="0"/>
        <w:spacing w:beforeAutospacing="0" w:afterAutospacing="0" w:line="360" w:lineRule="auto"/>
        <w:ind w:firstLine="482"/>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通过本项目建设，完善IaaS层、PaaS层、运维服务功能，为</w:t>
      </w:r>
      <w:r>
        <w:rPr>
          <w:rFonts w:hint="eastAsia" w:ascii="仿宋" w:hAnsi="仿宋" w:eastAsia="仿宋" w:cs="仿宋"/>
          <w:bCs/>
          <w:color w:val="auto"/>
          <w:sz w:val="28"/>
          <w:szCs w:val="28"/>
          <w:highlight w:val="none"/>
          <w:lang w:val="en-US" w:eastAsia="zh-CN"/>
        </w:rPr>
        <w:t>采购人</w:t>
      </w:r>
      <w:r>
        <w:rPr>
          <w:rFonts w:hint="eastAsia" w:ascii="仿宋" w:hAnsi="仿宋" w:eastAsia="仿宋" w:cs="仿宋"/>
          <w:bCs/>
          <w:color w:val="auto"/>
          <w:sz w:val="28"/>
          <w:szCs w:val="28"/>
          <w:highlight w:val="none"/>
        </w:rPr>
        <w:t>各业务单位提供丰富的云服务能力，进一步提升运行维护保障水平，使</w:t>
      </w:r>
      <w:r>
        <w:rPr>
          <w:rFonts w:hint="eastAsia" w:ascii="仿宋" w:hAnsi="仿宋" w:eastAsia="仿宋" w:cs="仿宋"/>
          <w:bCs/>
          <w:color w:val="auto"/>
          <w:sz w:val="28"/>
          <w:szCs w:val="28"/>
          <w:highlight w:val="none"/>
          <w:lang w:val="en-US" w:eastAsia="zh-CN"/>
        </w:rPr>
        <w:t>采购人</w:t>
      </w:r>
      <w:r>
        <w:rPr>
          <w:rFonts w:hint="eastAsia" w:ascii="仿宋" w:hAnsi="仿宋" w:eastAsia="仿宋" w:cs="仿宋"/>
          <w:bCs/>
          <w:color w:val="auto"/>
          <w:sz w:val="28"/>
          <w:szCs w:val="28"/>
          <w:highlight w:val="none"/>
        </w:rPr>
        <w:t>基础性软硬件环境支撑从技术、管理、服务等方面再上一个新台阶。在</w:t>
      </w:r>
      <w:r>
        <w:rPr>
          <w:rFonts w:hint="eastAsia" w:ascii="仿宋" w:hAnsi="仿宋" w:eastAsia="仿宋" w:cs="仿宋"/>
          <w:bCs/>
          <w:color w:val="auto"/>
          <w:sz w:val="28"/>
          <w:szCs w:val="28"/>
          <w:highlight w:val="none"/>
          <w:lang w:val="en-US" w:eastAsia="zh-CN"/>
        </w:rPr>
        <w:t>采购人</w:t>
      </w:r>
      <w:r>
        <w:rPr>
          <w:rFonts w:hint="eastAsia" w:ascii="仿宋" w:hAnsi="仿宋" w:eastAsia="仿宋" w:cs="仿宋"/>
          <w:bCs/>
          <w:color w:val="auto"/>
          <w:sz w:val="28"/>
          <w:szCs w:val="28"/>
          <w:highlight w:val="none"/>
        </w:rPr>
        <w:t>云计算平台一期、二期和三期基础上，对标公安部标准，扩容完善云计算平台IaaS层和PaaS层功能，升级完善统一运维平台，在现有安全防护基础上，对云平台安全防护能力进行扩容和升级。</w:t>
      </w:r>
    </w:p>
    <w:p w14:paraId="76432BB2">
      <w:pPr>
        <w:pageBreakBefore w:val="0"/>
        <w:wordWrap/>
        <w:topLinePunct w:val="0"/>
        <w:bidi w:val="0"/>
        <w:snapToGrid w:val="0"/>
        <w:spacing w:beforeAutospacing="0" w:afterAutospacing="0" w:line="360" w:lineRule="auto"/>
        <w:ind w:firstLine="482"/>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★投标人设计方案应具有足够兼容性，本包所采购的</w:t>
      </w:r>
      <w:r>
        <w:rPr>
          <w:rFonts w:hint="eastAsia" w:ascii="仿宋" w:hAnsi="仿宋" w:eastAsia="仿宋" w:cs="仿宋"/>
          <w:bCs/>
          <w:color w:val="auto"/>
          <w:sz w:val="28"/>
          <w:szCs w:val="28"/>
          <w:highlight w:val="none"/>
          <w:lang w:val="en-US" w:eastAsia="zh-CN"/>
        </w:rPr>
        <w:t>网络节点</w:t>
      </w:r>
      <w:r>
        <w:rPr>
          <w:rFonts w:hint="eastAsia" w:ascii="仿宋" w:hAnsi="仿宋" w:eastAsia="仿宋" w:cs="仿宋"/>
          <w:bCs/>
          <w:color w:val="auto"/>
          <w:sz w:val="28"/>
          <w:szCs w:val="28"/>
          <w:highlight w:val="none"/>
        </w:rPr>
        <w:t>、网络</w:t>
      </w:r>
      <w:r>
        <w:rPr>
          <w:rFonts w:hint="eastAsia" w:ascii="仿宋" w:hAnsi="仿宋" w:eastAsia="仿宋" w:cs="仿宋"/>
          <w:bCs/>
          <w:color w:val="auto"/>
          <w:sz w:val="28"/>
          <w:szCs w:val="28"/>
          <w:highlight w:val="none"/>
          <w:lang w:val="en-US" w:eastAsia="zh-CN"/>
        </w:rPr>
        <w:t>与安全</w:t>
      </w:r>
      <w:r>
        <w:rPr>
          <w:rFonts w:hint="eastAsia" w:ascii="仿宋" w:hAnsi="仿宋" w:eastAsia="仿宋" w:cs="仿宋"/>
          <w:bCs/>
          <w:color w:val="auto"/>
          <w:sz w:val="28"/>
          <w:szCs w:val="28"/>
          <w:highlight w:val="none"/>
        </w:rPr>
        <w:t>等硬件设备应完全兼容适配本包对应采购的云平台IaaS层、PaaS层、运维等基础软件。本包所采购的</w:t>
      </w:r>
      <w:r>
        <w:rPr>
          <w:rFonts w:hint="eastAsia" w:ascii="仿宋" w:hAnsi="仿宋" w:eastAsia="仿宋" w:cs="仿宋"/>
          <w:bCs/>
          <w:color w:val="auto"/>
          <w:sz w:val="28"/>
          <w:szCs w:val="28"/>
          <w:highlight w:val="none"/>
          <w:lang w:val="en-US" w:eastAsia="zh-CN"/>
        </w:rPr>
        <w:t>网络节点</w:t>
      </w:r>
      <w:r>
        <w:rPr>
          <w:rFonts w:hint="eastAsia" w:ascii="仿宋" w:hAnsi="仿宋" w:eastAsia="仿宋" w:cs="仿宋"/>
          <w:bCs/>
          <w:color w:val="auto"/>
          <w:sz w:val="28"/>
          <w:szCs w:val="28"/>
          <w:highlight w:val="none"/>
        </w:rPr>
        <w:t>、网络</w:t>
      </w:r>
      <w:r>
        <w:rPr>
          <w:rFonts w:hint="eastAsia" w:ascii="仿宋" w:hAnsi="仿宋" w:eastAsia="仿宋" w:cs="仿宋"/>
          <w:bCs/>
          <w:color w:val="auto"/>
          <w:sz w:val="28"/>
          <w:szCs w:val="28"/>
          <w:highlight w:val="none"/>
          <w:lang w:val="en-US" w:eastAsia="zh-CN"/>
        </w:rPr>
        <w:t>与安全</w:t>
      </w:r>
      <w:r>
        <w:rPr>
          <w:rFonts w:hint="eastAsia" w:ascii="仿宋" w:hAnsi="仿宋" w:eastAsia="仿宋" w:cs="仿宋"/>
          <w:bCs/>
          <w:color w:val="auto"/>
          <w:sz w:val="28"/>
          <w:szCs w:val="28"/>
          <w:highlight w:val="none"/>
        </w:rPr>
        <w:t>等硬件设备和云平台IaaS层、PaaS层、运维等基础软件，应完全兼容适配</w:t>
      </w:r>
      <w:r>
        <w:rPr>
          <w:rFonts w:hint="eastAsia" w:ascii="仿宋" w:hAnsi="仿宋" w:eastAsia="仿宋" w:cs="仿宋"/>
          <w:bCs/>
          <w:color w:val="auto"/>
          <w:sz w:val="28"/>
          <w:szCs w:val="28"/>
          <w:highlight w:val="none"/>
          <w:lang w:eastAsia="zh-CN"/>
        </w:rPr>
        <w:t>“北京市公安局服务器、操作系统、数据库、工作站采购项目”</w:t>
      </w:r>
      <w:r>
        <w:rPr>
          <w:rFonts w:hint="eastAsia" w:ascii="仿宋" w:hAnsi="仿宋" w:eastAsia="仿宋" w:cs="仿宋"/>
          <w:bCs/>
          <w:color w:val="auto"/>
          <w:sz w:val="28"/>
          <w:szCs w:val="28"/>
          <w:highlight w:val="none"/>
          <w:lang w:val="en-US" w:eastAsia="zh-CN"/>
        </w:rPr>
        <w:t>项目</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第1包</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中采购的</w:t>
      </w:r>
      <w:r>
        <w:rPr>
          <w:rFonts w:hint="eastAsia" w:ascii="仿宋" w:hAnsi="仿宋" w:eastAsia="仿宋" w:cs="仿宋"/>
          <w:bCs/>
          <w:color w:val="auto"/>
          <w:sz w:val="28"/>
          <w:szCs w:val="28"/>
          <w:highlight w:val="none"/>
        </w:rPr>
        <w:t>服务器和操作系统</w:t>
      </w:r>
      <w:r>
        <w:rPr>
          <w:rFonts w:hint="eastAsia" w:ascii="仿宋" w:hAnsi="仿宋" w:eastAsia="仿宋" w:cs="仿宋"/>
          <w:bCs/>
          <w:color w:val="auto"/>
          <w:sz w:val="28"/>
          <w:szCs w:val="28"/>
          <w:highlight w:val="none"/>
          <w:lang w:val="en-US" w:eastAsia="zh-CN"/>
        </w:rPr>
        <w:t>等</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须在</w:t>
      </w:r>
      <w:r>
        <w:rPr>
          <w:rFonts w:hint="eastAsia" w:ascii="仿宋" w:hAnsi="仿宋" w:eastAsia="仿宋" w:cs="仿宋"/>
          <w:bCs/>
          <w:color w:val="auto"/>
          <w:sz w:val="28"/>
          <w:szCs w:val="28"/>
          <w:highlight w:val="none"/>
          <w:lang w:val="en-US" w:eastAsia="zh-CN"/>
        </w:rPr>
        <w:t>本项目</w:t>
      </w:r>
      <w:r>
        <w:rPr>
          <w:rFonts w:hint="eastAsia" w:ascii="仿宋" w:hAnsi="仿宋" w:eastAsia="仿宋" w:cs="仿宋"/>
          <w:bCs/>
          <w:color w:val="auto"/>
          <w:sz w:val="28"/>
          <w:szCs w:val="28"/>
          <w:highlight w:val="none"/>
        </w:rPr>
        <w:t>投标截止日前完成兼容适配</w:t>
      </w:r>
      <w:r>
        <w:rPr>
          <w:rFonts w:hint="eastAsia" w:ascii="仿宋" w:hAnsi="仿宋" w:eastAsia="仿宋" w:cs="仿宋"/>
          <w:bCs/>
          <w:color w:val="auto"/>
          <w:sz w:val="28"/>
          <w:szCs w:val="28"/>
          <w:highlight w:val="none"/>
          <w:lang w:val="en-US" w:eastAsia="zh-CN"/>
        </w:rPr>
        <w:t>的评估</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根据自身评估情况，</w:t>
      </w:r>
      <w:r>
        <w:rPr>
          <w:rFonts w:hint="eastAsia" w:ascii="仿宋" w:hAnsi="仿宋" w:eastAsia="仿宋" w:cs="仿宋"/>
          <w:bCs/>
          <w:color w:val="auto"/>
          <w:sz w:val="28"/>
          <w:szCs w:val="28"/>
          <w:highlight w:val="none"/>
        </w:rPr>
        <w:t>提供兼容适配承诺函并加盖投标人公章。</w:t>
      </w:r>
    </w:p>
    <w:p w14:paraId="7820DCAE">
      <w:pPr>
        <w:pageBreakBefore w:val="0"/>
        <w:wordWrap/>
        <w:topLinePunct w:val="0"/>
        <w:bidi w:val="0"/>
        <w:snapToGrid w:val="0"/>
        <w:spacing w:beforeAutospacing="0" w:afterAutospacing="0" w:line="360" w:lineRule="auto"/>
        <w:ind w:firstLine="482"/>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★本包所采购云平台的运行基础数据能够和现有的运维运营平台对接，实现云平台一期、二期、三期和本项目IaaS层、PaaS层等资源的统一管理、统一调度、统一监测，投标人须提供承诺函并加盖投标人公章。</w:t>
      </w:r>
    </w:p>
    <w:p w14:paraId="5BB9FA3A">
      <w:pPr>
        <w:pageBreakBefore w:val="0"/>
        <w:wordWrap/>
        <w:topLinePunct w:val="0"/>
        <w:bidi w:val="0"/>
        <w:snapToGrid w:val="0"/>
        <w:spacing w:beforeAutospacing="0" w:afterAutospacing="0" w:line="360" w:lineRule="auto"/>
        <w:ind w:firstLine="482"/>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★本次方案设计应该具有足够兼容性，能够充分利用、兼容采购人早期信息化建设成果，并能够按采购人要求将前期设备统一管理，投标人须提供承诺函并加盖投标人公章。</w:t>
      </w:r>
    </w:p>
    <w:p w14:paraId="51E84398">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需执行的国家相关标准、行业标准、地方标准或者其他标准、规范</w:t>
      </w:r>
    </w:p>
    <w:p w14:paraId="5F64A2D5">
      <w:pPr>
        <w:pageBreakBefore w:val="0"/>
        <w:widowControl/>
        <w:wordWrap/>
        <w:topLinePunct w:val="0"/>
        <w:bidi w:val="0"/>
        <w:snapToGrid w:val="0"/>
        <w:spacing w:beforeAutospacing="0" w:afterAutospacing="0"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《中华人民共和国网络安全法》</w:t>
      </w:r>
    </w:p>
    <w:p w14:paraId="3097F1D3">
      <w:pPr>
        <w:pageBreakBefore w:val="0"/>
        <w:widowControl/>
        <w:wordWrap/>
        <w:topLinePunct w:val="0"/>
        <w:bidi w:val="0"/>
        <w:snapToGrid w:val="0"/>
        <w:spacing w:beforeAutospacing="0" w:afterAutospacing="0"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《中华人民共和国密码法》</w:t>
      </w:r>
    </w:p>
    <w:p w14:paraId="14D2DDCC">
      <w:pPr>
        <w:pageBreakBefore w:val="0"/>
        <w:widowControl/>
        <w:wordWrap/>
        <w:topLinePunct w:val="0"/>
        <w:bidi w:val="0"/>
        <w:snapToGrid w:val="0"/>
        <w:spacing w:beforeAutospacing="0" w:afterAutospacing="0"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《信息安全技术网络安全等级保护安全设计技术要求》（GB/T25070-2019）</w:t>
      </w:r>
    </w:p>
    <w:p w14:paraId="2A217081">
      <w:pPr>
        <w:pageBreakBefore w:val="0"/>
        <w:widowControl/>
        <w:wordWrap/>
        <w:topLinePunct w:val="0"/>
        <w:bidi w:val="0"/>
        <w:snapToGrid w:val="0"/>
        <w:spacing w:beforeAutospacing="0" w:afterAutospacing="0"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《信息安全技术网络安全等级保护基本要求》（GB/T 22239—2019）</w:t>
      </w:r>
    </w:p>
    <w:p w14:paraId="232A55C9">
      <w:pPr>
        <w:pageBreakBefore w:val="0"/>
        <w:widowControl/>
        <w:wordWrap/>
        <w:topLinePunct w:val="0"/>
        <w:bidi w:val="0"/>
        <w:snapToGrid w:val="0"/>
        <w:spacing w:beforeAutospacing="0" w:afterAutospacing="0"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《信息安全技术网络安全等级保护基本要求》（GB/T22239-2019）</w:t>
      </w:r>
    </w:p>
    <w:p w14:paraId="65A4706D">
      <w:pPr>
        <w:pageBreakBefore w:val="0"/>
        <w:widowControl/>
        <w:wordWrap/>
        <w:topLinePunct w:val="0"/>
        <w:bidi w:val="0"/>
        <w:snapToGrid w:val="0"/>
        <w:spacing w:beforeAutospacing="0" w:afterAutospacing="0"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《信息安全技术网络安全等级保护安全设计技术要求》（GB/T25070-2019）</w:t>
      </w:r>
    </w:p>
    <w:p w14:paraId="24D092AC">
      <w:pPr>
        <w:pageBreakBefore w:val="0"/>
        <w:widowControl/>
        <w:wordWrap/>
        <w:topLinePunct w:val="0"/>
        <w:bidi w:val="0"/>
        <w:snapToGrid w:val="0"/>
        <w:spacing w:beforeAutospacing="0" w:afterAutospacing="0" w:line="360" w:lineRule="auto"/>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《国务院办公厅关于国家政务信息化项目建设管理办法的通知》（国办发〔2019〕57号）</w:t>
      </w:r>
    </w:p>
    <w:p w14:paraId="76094CAC">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《政务信息系统密码应用与安全性评估工作指南（2020版）》</w:t>
      </w:r>
    </w:p>
    <w:p w14:paraId="3BBF6F72">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《商用密码应用安全性评估管理办法》</w:t>
      </w:r>
    </w:p>
    <w:p w14:paraId="442254CB">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《商用密码应用安全性评估量化规则》</w:t>
      </w:r>
    </w:p>
    <w:p w14:paraId="4D0DE60C">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《信息安全技术信息系统密码应用基本要求》（GB/T 39786-2021）</w:t>
      </w:r>
    </w:p>
    <w:p w14:paraId="05CB5218">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《信息系统密码应用测评要求》（GMT 0115-2021）</w:t>
      </w:r>
    </w:p>
    <w:p w14:paraId="4129EF10">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《信息系统密码应用测评过程指南》（GMT 0116-2021）</w:t>
      </w:r>
    </w:p>
    <w:p w14:paraId="5BA7DFF5">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《北京市“十四五”时期智慧城市发展行动纲要》（京大数据发〔2021〕1号）</w:t>
      </w:r>
    </w:p>
    <w:p w14:paraId="47077552">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《计算机软件文档编制规范》（GB/T 8567-2006）</w:t>
      </w:r>
    </w:p>
    <w:p w14:paraId="75A0EC3B">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《信息技术 云计算 参考架构》（GB/T 32399-2024）</w:t>
      </w:r>
    </w:p>
    <w:p w14:paraId="262EF290">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《信息安全技术 云计算服务安全能力要求》（GB/T 31168-2023）</w:t>
      </w:r>
    </w:p>
    <w:p w14:paraId="7227493A">
      <w:pPr>
        <w:pageBreakBefore w:val="0"/>
        <w:tabs>
          <w:tab w:val="left" w:pos="0"/>
        </w:tabs>
        <w:wordWrap/>
        <w:topLinePunct w:val="0"/>
        <w:bidi w:val="0"/>
        <w:snapToGrid w:val="0"/>
        <w:spacing w:beforeAutospacing="0" w:afterAutospacing="0" w:line="360" w:lineRule="auto"/>
        <w:ind w:firstLine="557" w:firstLineChars="19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《信息安全技术 云计算服务安全指南》（GB/T 31167-2023）</w:t>
      </w:r>
    </w:p>
    <w:p w14:paraId="6C7A3B5C">
      <w:pPr>
        <w:pageBreakBefore w:val="0"/>
        <w:widowControl/>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以上规范如有更新，以国家、地方、行业最新标准为准。在实施本项目期间除应遵循上述规范外，还须遵循公安部发布的公安云计算平台相关标准规范。</w:t>
      </w:r>
    </w:p>
    <w:p w14:paraId="0C4019C9">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服务内容及要求/货物技术要求</w:t>
      </w:r>
    </w:p>
    <w:p w14:paraId="349CA84B">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2.1采购标的需满足的性能、材料、结构、外观、质量、安全、技术规格、物理特性等要求；</w:t>
      </w:r>
    </w:p>
    <w:p w14:paraId="381DA884">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指标要求，需要提供投标人出具的技术指标满足度承诺函，承诺所有投标应答真实有效，若中标后发现有虚假应答，依法追究相应责任。给采购人造成损失的，投标人依法承担赔偿责任，承诺函需要加盖投标人公章。</w:t>
      </w:r>
    </w:p>
    <w:p w14:paraId="357576EC">
      <w:pPr>
        <w:pageBreakBefore w:val="0"/>
        <w:widowControl/>
        <w:wordWrap/>
        <w:topLinePunct w:val="0"/>
        <w:bidi w:val="0"/>
        <w:snapToGrid w:val="0"/>
        <w:spacing w:beforeAutospacing="0" w:afterAutospacing="0" w:line="360" w:lineRule="auto"/>
        <w:ind w:firstLine="562" w:firstLineChars="200"/>
        <w:contextualSpacing/>
        <w:rPr>
          <w:rFonts w:hint="default" w:ascii="仿宋" w:hAnsi="仿宋" w:eastAsia="仿宋" w:cs="仿宋"/>
          <w:b/>
          <w:bCs/>
          <w:color w:val="auto"/>
          <w:sz w:val="28"/>
          <w:szCs w:val="28"/>
          <w:highlight w:val="none"/>
          <w:u w:val="single"/>
          <w:lang w:val="en-US" w:eastAsia="zh-CN"/>
        </w:rPr>
      </w:pPr>
      <w:r>
        <w:rPr>
          <w:rFonts w:hint="eastAsia" w:ascii="仿宋" w:hAnsi="仿宋" w:eastAsia="仿宋" w:cs="仿宋"/>
          <w:b/>
          <w:bCs/>
          <w:color w:val="auto"/>
          <w:sz w:val="28"/>
          <w:szCs w:val="28"/>
          <w:highlight w:val="none"/>
          <w:u w:val="single"/>
        </w:rPr>
        <w:t>#指标</w:t>
      </w:r>
      <w:r>
        <w:rPr>
          <w:rFonts w:hint="eastAsia" w:ascii="仿宋" w:hAnsi="仿宋" w:eastAsia="仿宋" w:cs="仿宋"/>
          <w:b/>
          <w:bCs/>
          <w:color w:val="auto"/>
          <w:sz w:val="28"/>
          <w:szCs w:val="28"/>
          <w:highlight w:val="none"/>
          <w:u w:val="single"/>
          <w:lang w:val="en-US" w:eastAsia="zh-CN"/>
        </w:rPr>
        <w:t>标注在下表的序号前面时，则意味着指标要求中所要求的各项要求均需要满足，有任意一条不满足的则视为该项</w:t>
      </w:r>
      <w:r>
        <w:rPr>
          <w:rFonts w:hint="eastAsia" w:ascii="仿宋" w:hAnsi="仿宋" w:eastAsia="仿宋" w:cs="仿宋"/>
          <w:b/>
          <w:bCs/>
          <w:color w:val="auto"/>
          <w:sz w:val="28"/>
          <w:szCs w:val="28"/>
          <w:highlight w:val="none"/>
          <w:u w:val="single"/>
        </w:rPr>
        <w:t>#指标</w:t>
      </w:r>
      <w:r>
        <w:rPr>
          <w:rFonts w:hint="eastAsia" w:ascii="仿宋" w:hAnsi="仿宋" w:eastAsia="仿宋" w:cs="仿宋"/>
          <w:b/>
          <w:bCs/>
          <w:color w:val="auto"/>
          <w:sz w:val="28"/>
          <w:szCs w:val="28"/>
          <w:highlight w:val="none"/>
          <w:u w:val="single"/>
          <w:lang w:val="en-US" w:eastAsia="zh-CN"/>
        </w:rPr>
        <w:t>不满足招标文件要求；</w:t>
      </w:r>
      <w:r>
        <w:rPr>
          <w:rFonts w:hint="eastAsia" w:ascii="仿宋" w:hAnsi="仿宋" w:eastAsia="仿宋" w:cs="仿宋"/>
          <w:b/>
          <w:bCs/>
          <w:color w:val="auto"/>
          <w:sz w:val="28"/>
          <w:szCs w:val="28"/>
          <w:highlight w:val="none"/>
          <w:u w:val="single"/>
        </w:rPr>
        <w:t>#指标</w:t>
      </w:r>
      <w:r>
        <w:rPr>
          <w:rFonts w:hint="eastAsia" w:ascii="仿宋" w:hAnsi="仿宋" w:eastAsia="仿宋" w:cs="仿宋"/>
          <w:b/>
          <w:bCs/>
          <w:color w:val="auto"/>
          <w:sz w:val="28"/>
          <w:szCs w:val="28"/>
          <w:highlight w:val="none"/>
          <w:u w:val="single"/>
          <w:lang w:val="en-US" w:eastAsia="zh-CN"/>
        </w:rPr>
        <w:t>标注在下表的指标要求的序号前时，则意味着投标人需要对该条目的#指标进行响应。指标要求中明确要求供应商应提供相应证明文件的，则需要按照要求提供，不按要求提供的视为未满足招标文件要求；如未明确要求提供相应证明文件的，以投标人出具的技术指标满足的承诺函为响应依据，承诺函中承诺满足招标文件要求的则视为满足招标文件要求，未提供承诺函的则视为不满足招标文件要求。</w:t>
      </w:r>
    </w:p>
    <w:p w14:paraId="434F2C62">
      <w:pPr>
        <w:pageBreakBefore w:val="0"/>
        <w:wordWrap/>
        <w:topLinePunct w:val="0"/>
        <w:bidi w:val="0"/>
        <w:snapToGrid w:val="0"/>
        <w:spacing w:beforeAutospacing="0" w:afterAutospacing="0" w:line="360" w:lineRule="auto"/>
        <w:ind w:firstLine="562" w:firstLineChars="20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指标要求中如有“投标人/供应商给出......”等表述要求的，请投标人明确提供响应具体内容。</w:t>
      </w:r>
    </w:p>
    <w:p w14:paraId="6FF258C9">
      <w:pPr>
        <w:pageBreakBefore w:val="0"/>
        <w:wordWrap/>
        <w:topLinePunct w:val="0"/>
        <w:bidi w:val="0"/>
        <w:snapToGrid w:val="0"/>
        <w:spacing w:beforeAutospacing="0" w:afterAutospacing="0" w:line="360" w:lineRule="auto"/>
        <w:ind w:firstLine="560" w:firstLineChars="200"/>
        <w:rPr>
          <w:rFonts w:hint="default" w:ascii="仿宋" w:hAnsi="仿宋" w:eastAsia="仿宋" w:cs="仿宋"/>
          <w:b/>
          <w:bCs/>
          <w:color w:val="auto"/>
          <w:sz w:val="28"/>
          <w:szCs w:val="28"/>
          <w:highlight w:val="none"/>
          <w:lang w:val="en-US" w:eastAsia="zh-CN"/>
        </w:rPr>
      </w:pPr>
      <w:r>
        <w:rPr>
          <w:rFonts w:hint="eastAsia" w:ascii="仿宋" w:hAnsi="仿宋" w:eastAsia="仿宋" w:cs="仿宋"/>
          <w:bCs/>
          <w:color w:val="auto"/>
          <w:sz w:val="28"/>
          <w:szCs w:val="28"/>
          <w:highlight w:val="none"/>
          <w:u w:val="single"/>
        </w:rPr>
        <w:t>★</w:t>
      </w:r>
      <w:r>
        <w:rPr>
          <w:rFonts w:hint="eastAsia" w:ascii="仿宋" w:hAnsi="仿宋" w:eastAsia="仿宋" w:cs="仿宋"/>
          <w:b/>
          <w:bCs/>
          <w:color w:val="auto"/>
          <w:sz w:val="28"/>
          <w:szCs w:val="28"/>
          <w:highlight w:val="none"/>
          <w:u w:val="single"/>
          <w:lang w:val="en-US" w:eastAsia="zh-CN"/>
        </w:rPr>
        <w:t>本项目</w:t>
      </w:r>
      <w:r>
        <w:rPr>
          <w:rFonts w:hint="eastAsia" w:ascii="仿宋" w:hAnsi="仿宋" w:eastAsia="仿宋" w:cs="仿宋"/>
          <w:b/>
          <w:bCs/>
          <w:color w:val="auto"/>
          <w:sz w:val="28"/>
          <w:szCs w:val="28"/>
          <w:highlight w:val="none"/>
          <w:u w:val="singl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lang w:val="en-US" w:eastAsia="zh-CN"/>
        </w:rPr>
        <w:t>投标人必须提供承诺函，并加盖投标人公章，未按照要求提供承诺函的视为未实质性响应招标文件要求。</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6"/>
        <w:gridCol w:w="1171"/>
        <w:gridCol w:w="6652"/>
        <w:gridCol w:w="776"/>
      </w:tblGrid>
      <w:tr w14:paraId="32989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0C97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4388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产品名称</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59A7760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指标要求</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7BB98FA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数量</w:t>
            </w:r>
          </w:p>
        </w:tc>
      </w:tr>
      <w:tr w14:paraId="4BBB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CFE9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EAA6C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万兆接入交换机</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5F8D6F83">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1、交换容量≥4.8Tbps/96Tbps，包转发率≥2000Mpps。</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2、支持M-LAG、VxLAN、EVPN、微分段等特性。</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3、≥48个10GE SFP+光端口，≥8个40GE/100GE QSFP28光端口，≥2块交流电源，≥3个风机模块，≥4个40G多模光模块，≥40个10G多模光模块，≥1根QSFP+ 40G高速电缆5m；单台配置IPv6授权、VxLAN授权。</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4、为了实现平台统一纳管，能够对接已建设云平台的网络及安全设备，兼容已建设的云管及Overlay控制管理器。</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7DD86B3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195</w:t>
            </w:r>
          </w:p>
        </w:tc>
      </w:tr>
      <w:tr w14:paraId="2F91E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6CA2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1511C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BMC接入交换机</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45A8EEA5">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1、交换容量：≥1.36Tbps/13.6Tbps，包转发率：≥560Mpps</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2、≥48个10/100/1000BASE-T以太网端口或SFP+万兆光口,≥4个万兆SFP+或40GE,≥2块150W交流电源，≥4个光模块-SFP+-10G-多模模块(850nm,0.3km,LC)。</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3、为了实现平台统一纳管，能够对接已建设云平台的网络及安全设备，兼容已建设的云管及Overlay控制管理器。</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0A1966E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16</w:t>
            </w:r>
          </w:p>
        </w:tc>
      </w:tr>
      <w:tr w14:paraId="502DC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A2CE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3BF99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云管理防火墙</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45DD0377">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1、防火墙吞吐量≥50Gbps，最大并发连接数≥2000万，每秒新建连接数≥50万，支持SRv6，IPSec VPN吞吐量≥30Gbps，IPS吞吐量≥18Gbps，虚拟防火墙数量≥2000。</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2、提供千兆COMBO口或千兆光口≥8，千兆电接口≥4个，万兆光接口≥10个；≥2块交流电源，240G固态硬盘≥1个，10G多模光模块≥10个，配置≥3年威胁防护。</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3、系统预定义IPS签名数量不少于12000条，可识别应用层协议数量≥6000种。</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4、支持NAT地址复用技术，可实现单个公网IP地址的无限制端口转换。</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5、支持与本项目的沙箱联动，能针对威胁事件生成阻断策略，支持与现有的安全态势感知系统兼容和对接。</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0BF1EA5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r>
      <w:tr w14:paraId="61651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57D52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8F867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核心交换机</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06E72806">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1、交换容量≥1600Tbps/4820Tbs，包转发率≥460800Mpps。</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2、交换网板插槽数量≥8个，业务槽位数≥8个。</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3、≥2个主控，≥5块交换网板，≥3个风机盒，≥4块3000W交流电源，≥2块36端口40GE QSFP+光板卡，40G多模光模块≥36个，≥1块48端口10GE SFP+光板卡，10G多模光模块≥48个，≥2根QSFP+40G高速电缆5m；单台配置IPv6授权、VxLAN授权和Telemetry功能授权。</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4、设备需支持IP分片和重组，支持M-LAG、VxLAN、EVPN、微分段等。</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5、为了实现平台统一纳管，能够对接已建设云平台的网络及安全设备，兼容已建设的云管及安全平台。</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7C37D39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16</w:t>
            </w:r>
          </w:p>
        </w:tc>
      </w:tr>
      <w:tr w14:paraId="5A16D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860D9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35F2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出口防火墙</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5237AFC3">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1、配置双主控，双电源；除两个主控板外，整机扩展插槽≥4个，配置≥4个40/100GE QSFP+光端口，≥4个40GE  QSFP+多模光模块；≥24个10GE SFP+光端口，≥24个10GE SFP+多模光模块，虚拟防火墙数量≥2000。</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2、接口板和业务板分离，电源、主控板、接口板、业务板支持热插拔。</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3、支持系统预定义IPS签名数量≥20000条，可识别应用层协议数量≥6000种，支持SRv6。</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4、配置≥3年IPS 特征库、网络病毒特征库、URL 特征库升级。</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5、配置网络吞吐量≥80Gbps，IPS吞吐量≥40Gbps。</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6、支持与本项目的沙箱联动，能针对威胁事件生成阻断策略，支持与现有的安全态势感知系统兼容和对接。</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03A8B1F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10</w:t>
            </w:r>
          </w:p>
        </w:tc>
      </w:tr>
      <w:tr w14:paraId="2FB65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2913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95A79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安全管理平台</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0955A500">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1、配置安全控制器平台软硬件，可联动管理现有及本项目的防火墙，配置防火墙授权：≥10个。硬件配置要求：≥6个GE电口，≥4个10GE光口,≥2个交流电源，RAID卡。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6F3B85E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r>
      <w:tr w14:paraId="5D80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4589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10726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统一运维审计</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740BB505">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1、高度≤2U，配置≥4个GE电口，≥2个10GE光口，1+1冗余电源。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2、字符型最大并发连接数≥700，图像型最大并发连接数≥200。</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3、支持管理路由器，交换机，防火墙，服务器等多种设备类型。</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4、支持集群部署，支持证书等双因子认证方式，支持自动收集设备IP、运维协议、端口号、账号、密码、与用户的权限关系。</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A32913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21DB3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8292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8</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6EABF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日志审计</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5089C805">
            <w:pPr>
              <w:keepNext w:val="0"/>
              <w:keepLines w:val="0"/>
              <w:pageBreakBefore w:val="0"/>
              <w:widowControl/>
              <w:numPr>
                <w:ilvl w:val="0"/>
                <w:numId w:val="4"/>
              </w:numPr>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高度≤2U，配置≥4个GE电接口，≥2个10GE光口，1+1冗余电源，电源可热插拔。</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2、管理资产数≥200，最大日志处理性能≥8000 EPS。</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3、支持关联分析规则。</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4、支持通过Syslog、Agent、FTP、SFTP、TCP、Kafka等方式对网络安全设备、交换设备、路由设备等资产所产生的日志信息进行收集。</w:t>
            </w:r>
          </w:p>
          <w:p w14:paraId="1EC8F9DC">
            <w:pPr>
              <w:keepNext w:val="0"/>
              <w:keepLines w:val="0"/>
              <w:pageBreakBefore w:val="0"/>
              <w:widowControl/>
              <w:numPr>
                <w:ilvl w:val="0"/>
                <w:numId w:val="0"/>
              </w:numPr>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5、支持与现有的安全态势感知系统兼容和对接，并提供现有日志审计设备所需软件授权。。</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6787DEF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18710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F83B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9</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6F025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数据库审计</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7657FF32">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1、配置≥8个GE电口，≥4个10GE光口，1+1冗余电源，3年漏洞库升级许可。</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2、支持对数据库进行审计。审计流量（纯数据库）：≥800Mbps。</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3、每秒最大处理事务数：≥70000TPS。</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4、支持与现有的安全态势感知系统兼容和对接。</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663D6A8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373B3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9D3C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CF3E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漏洞扫描</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3CDC8F89">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1、配置千兆电口≥6个，可支持扩展1张4电口或4光口插卡，1+1冗余电源，含3年漏洞库升级许可；</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2、支持系统扫描、WEB扫描、数据库扫描、安全基线检测、弱口令扫描五大扫描能力并支持分布式部署，资产扫描个数无限制。</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3、支持限制扫描IP范围。</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4、支持IPV4、IPV6双协议栈地址扫描。</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5、支持漏洞库涵盖标准包含CVE、CVSS、CNVID、CNNVD、CNCVE、Bugtraq等。</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6、支持与现有的安全态势感知系统兼容和对接。</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767E97E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6EB26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017C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11</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9AE1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沙箱</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18B71463">
            <w:pPr>
              <w:keepNext w:val="0"/>
              <w:keepLines w:val="0"/>
              <w:pageBreakBefore w:val="0"/>
              <w:widowControl/>
              <w:numPr>
                <w:ilvl w:val="0"/>
                <w:numId w:val="5"/>
              </w:numPr>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模拟多种操作系统，虚拟执行环境动态执行检测。</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2、支持多种协议还原：支持HTTP、SMTP、POP3、IMAP、FTP协议的流量还原。</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可识别高级恶意软件，通过实时行为分析技术，分析记录软件的关键行为，可配合防火墙对可疑流量实时检测和阻断，并以报告形式呈现，防止未知威胁攻击，保护信息资产安全。沙箱内置AV，除支持上述检测文件类型，还支持检测chm、asp、php、com、elf格式文件</w:t>
            </w:r>
          </w:p>
          <w:p w14:paraId="68F5AC58">
            <w:pPr>
              <w:keepNext w:val="0"/>
              <w:keepLines w:val="0"/>
              <w:pageBreakBefore w:val="0"/>
              <w:widowControl/>
              <w:numPr>
                <w:ilvl w:val="0"/>
                <w:numId w:val="0"/>
              </w:numPr>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4、输出详细恶意文件检测报告，包括文件检测详情、威胁行为分类、动态行为分析等。</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5、≥4个GE电口、≥2个10GE光口、≥2*900W电源；3年检测能力库升级服务。</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6、能够与本项目采购防火墙策略联动，阻断威胁事件，支持与现有的安全态势感知系统兼容和对接。</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E20CD6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5</w:t>
            </w:r>
          </w:p>
        </w:tc>
      </w:tr>
      <w:tr w14:paraId="4E9E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71AC1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BCA92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APT防御及安全态势感知系统</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56831068">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1、现有APT防御及安全态势感知系统上扩容2台探针及相关配套软件，可以对接现网态势感知。</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2、探针应用层吞吐量≥10Gbps，IPS签名数量≥12000，千兆电口≥4，万兆光口≥10。</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6A090B9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268B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4202B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#13</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8370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网络节点</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E99B60">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颗CPU处理器，单颗处理器不低于64个物理核,基准频率不低于2.6GHZ,支持精简指令集，CPU关键部件应当符合安全可靠测评要求（提供通过测评证明材料关键页复印件），能够被现有云平台及本项目采购的云平台软件识别、分配资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2、≥24*32GB DDR4内存,≥2*960GB SATA或者SAS硬盘,≥8*6TB SATA或SAS硬盘，通过RAID卡（支持RAID 0/1/10/5/50/6,带2G cache和超级电容）或者其它技术特性保障数据可靠性,≥8*10G光口（满配光模块）,冗余电源和风扇，含3年硬盘无返还服务。</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3、单CPU 的热设计功耗（TDP）≤180W。</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F8041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w:t>
            </w:r>
          </w:p>
        </w:tc>
      </w:tr>
      <w:tr w14:paraId="782DD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9D75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#14</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D3FC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网络节点</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3168F">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1、2颗CPU处理器，单颗处理器不低于32个物理核,基准频率不低于2.6GHZ,支持精简指令集，CPU关键部件应当符合安全可靠测评要求（提供通过测评证明材料关键页复印件）</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2、≥4*32GB DDR4内存,≥4*1200GB SAS硬盘，通过RAID卡（支持RAID 0/1/10/5/50/6,带2G cache和超级电容）或者其它技术特性保障数据可靠性,≥8*10G光口（满配光模块）,冗余电源和风扇，含3年硬盘无返还服务。</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3、单CPU 的热设计功耗（TDP）≤180W。</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98BF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r>
      <w:tr w14:paraId="52D4D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9632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#15</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C2209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网络节点</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53EF">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2颗CPU处理器，单颗处理器不低于48个物理核,基准频率不低于2.6GHZ，支持精简指令集，CPU关键部件应当符合安全可靠测评要求（提供通过测评证明材料关键页复印件），能够被现有云平台及本项目采购的云平台软件识别、分配资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2、≥8*32GB DDR4内存,≥2*480G SSD硬盘,≥4*960GB SSD硬盘，通过RAID卡（支持RAID 0/1/10/5/50/6,带2G cache和超级电容）或者其它技术特性保障数据可靠性,≥6*10G光口（满配光模块）,冗余电源和风扇，含3年硬盘无返还服务。</w:t>
            </w:r>
          </w:p>
          <w:p w14:paraId="325DFC85">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3、单CPU 的热设计功耗（TDP）≤180W。</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4F55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r>
      <w:tr w14:paraId="034CA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B26B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16</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FD4B7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内存条</w:t>
            </w:r>
          </w:p>
        </w:tc>
        <w:tc>
          <w:tcPr>
            <w:tcW w:w="6652" w:type="dxa"/>
            <w:tcBorders>
              <w:top w:val="nil"/>
              <w:left w:val="single" w:color="000000" w:sz="4" w:space="0"/>
              <w:bottom w:val="single" w:color="000000" w:sz="4" w:space="0"/>
              <w:right w:val="single" w:color="000000" w:sz="4" w:space="0"/>
            </w:tcBorders>
            <w:noWrap w:val="0"/>
            <w:vAlign w:val="center"/>
          </w:tcPr>
          <w:p w14:paraId="413DBCBC">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1、在现有服务器基础上扩容内存条，规格要求：内存条，≥32GB DDR4</w:t>
            </w:r>
          </w:p>
        </w:tc>
        <w:tc>
          <w:tcPr>
            <w:tcW w:w="776" w:type="dxa"/>
            <w:tcBorders>
              <w:top w:val="nil"/>
              <w:left w:val="single" w:color="000000" w:sz="4" w:space="0"/>
              <w:bottom w:val="single" w:color="000000" w:sz="4" w:space="0"/>
              <w:right w:val="single" w:color="000000" w:sz="4" w:space="0"/>
            </w:tcBorders>
            <w:noWrap w:val="0"/>
            <w:vAlign w:val="center"/>
          </w:tcPr>
          <w:p w14:paraId="63545B3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144</w:t>
            </w:r>
          </w:p>
        </w:tc>
      </w:tr>
      <w:tr w14:paraId="410C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059D4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17</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5474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25G接入交换机</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7093D38C">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1、交换容量：≥8T/128T，包转发率：≥2400Mpps。</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2.支持M-LAG、VxLAN、EVPN、微分段等特性。</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3、≥48*25GE SFP28,≥8*100GE QSFP28,≥2*交流电源,≥5*风机盒,≥25GBase-SR光模块-SFP28-25G多模模块(850nm,0.1km,LC)*48，≥100G光模块-QSFP28-100G-多模模块*2，≥40G光模块-QSFP+-多模模块*4，≥1根QSFP+ 40G高速电缆。单台配置IPv6授权、VxLAN授权、Telemetry授权。</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4.为了实现平台统一纳管，能够对接已建设云平台的网络及安全设备，兼容已建设的云管及Overlay控制管理器</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078B135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w:t>
            </w:r>
          </w:p>
        </w:tc>
      </w:tr>
      <w:tr w14:paraId="7F10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B3DF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18</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C067C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BMC接入交换机</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049117F1">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1、交换容量：≥1.36Tbps/13.6Tbps，包转发率：≥560Mpps</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2、≥48个10/100/1000BASE-T以太网端口,≥4个万兆SFP+,≥2块150W交流电源，≥4个光模块-SFP+-10G-多模模块(850nm,0.3km,LC)。</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3、为了实现平台统一纳管，能够对接已建设云平台的网络及安全设备，兼容已建设的云管及Overlay控制管理器。</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3F97BAC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140</w:t>
            </w:r>
          </w:p>
        </w:tc>
      </w:tr>
      <w:tr w14:paraId="59D8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FAF3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#19</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AD8AE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光传输设备</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48EA7">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1、在现有光传输设备上，扩容≥2块板卡，采用波分复用技术，波分侧速率不低于100Gbit/s，实现将接入的光信号映射成1路OTU4信号，可以兼容现网光传输设备。</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2、单板支持10GE/40GE/100GE/FC 1600/FC3200等业务的接入。</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3、线路侧端口要求：使用100G波道承载。业务侧端口要求：每张板卡提供不少于2个10GE光接口、不少于2个40GE光接口。</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1749A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r>
      <w:tr w14:paraId="6D7D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C858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64DD9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交换机板卡扩容</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E85DE">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1、在现有核心交换机上，扩容≥2块36端口40GE以太网光接口板，可以兼容现网核心交换机。</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69767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790B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1BBD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#21</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AA794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交换机板卡扩容</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B2B36">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1、在现有核心交换机上，扩容≥2块48端口10GE以太网光接口板，可以兼容现网核心交换机。</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41D9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27C5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9111D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#22</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CDF84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APT防御及安全态势感知系统</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64E1C3AD">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1、现有APT防御及安全态势感知系统上扩容6台探针及相关配套软件，可以对接现网态势感知。</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2、探针应用层吞吐量≥10Gbps，IPS签名数量≥12000，千兆电口≥4，万兆光口≥10。</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14555C1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2D03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947F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23</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3315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入侵防御系统</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1C416ACF">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1、支持IPS检测吞吐量≥54Gbps，IPS最大并发连接数≥450万，IPS每秒新建连接数≥144000；</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2、提供100G光口≥4个，25G光口（或通过100G光口一分四方式实现）≥16个，万兆光口≥8个，双电源，3年IPS特征库升级许可；</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3、系统预定义入侵防御签名库数量≥10000条且具备CVE和CNNVD编号的签名条目数≥8000条；</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4、支持用户自定义签名规则，支持正则表达式；</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5、支持静态路由、策略路由，OSFP、BGP、ISIS或RIP等路由。</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1492B580">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w:t>
            </w:r>
          </w:p>
        </w:tc>
      </w:tr>
      <w:tr w14:paraId="14E6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C03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24</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7E56E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负载均衡</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2603BCFA">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提供负载均衡类型服务，对应用数据进行端到端的分析、调度、保护、加密和优化，能够探测应用交付过程中的故障，并毫秒级切换。同时具备网络层DDOS攻击防护、应用层DDOS攻击防护，SSL加密功能（支持最新加密算法，支持商密国密混配）。</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2.4层吞吐量≥36Gbps，冗余双电源，尺寸≤2U；接口≥6个GE电口，≥4个千兆光口，≥2个万兆光口（包含光纤模块），≥64GB SSD硬盘;</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3.支持串接部署方式和旁路部署方式，支持三角传输模式。</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6360B2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42</w:t>
            </w:r>
          </w:p>
        </w:tc>
      </w:tr>
      <w:tr w14:paraId="263E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8D3C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25</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506D0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WEB应用防火墙</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7F95E8B7">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1、提供WEB应用安全防护类型服务，设备高度≤2U，≥10个千兆电接口，冗余双电源。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2、HTTP吞吐量≥20 Gbps，HTTPS 吞吐量≥2.2Gbps。</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7FC2E37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r>
      <w:tr w14:paraId="4FB8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B89A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26</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67B1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备份机房WEB应用防火墙</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2871BC7E">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1、提供WEB应用安全防护类型服务，设备高度≤2U，≥10个千兆电接口，≥2个10GE光接口，冗余双电源；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2、HTTP吞吐量≥10Gbps，HTTPS 吞吐量≥800Mbps。</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0BFC699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r>
      <w:tr w14:paraId="2723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5D8BD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27</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187988">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密码应用监督系统核心节点</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07AB797C">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#1.带宽≥7000Mbps，通过网络镜像对网络数据进行采集与分析；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2.支持IPSEC VPN、SSL VPN、HTTP、SSH、SSL/TLS密码应用安全性评估，可以对国际常用密码协议进行识别和解析处理；</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3.支持国密算法SM1/SM2/SM3/SM4/SM9、国际常用算法：RSA/ECC/DES/3DES/AES/MD5/SHA/RC，可分析密码算法≥100种；</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4.支持应用的密码算法的多种方式统计及图形化展示，可以对数据使用的密码算法及安全性进行实时监控及打分等；</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5.支持国密的数字证书登录方式，可对数字证书进行密码安全性分析；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支持与现有云平台已建设的系统密码应用监督系统核心节点对接，包括：利用其专用身份鉴别系统进行登录认证，实现采集、分析密码数据的统一管理，实现加密日志的统一管理，实现加密采集探针的统一管理；</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★7.产品经过国家密码管理局校准，提供校准标识复印件并加盖投标人公章。</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190133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7C2C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8E8D6">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28</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2E21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密码应用监督系统管理节点</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189321DE">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#1、带宽≥1000Mbps，通过网络镜像对网络数据进行采集与分析。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2、支持IPSEC VPN、SSL VPN、HTTP、SSH、SSL/TLS密码应用安全性评估，可以对国际常用密码协议进行识别和解析处理。</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3、支持国密算法SM1/SM2/SM3/SM4/SM9、国际常用算法RSA/ECC/DES/3DES/AES/MD5/SHA/RC，可分析密码算法≥100种。</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4、支持应用的密码算法的多种方式统计及图形化展示，可以对数据使用的密码算法及安全性进行实时监控及评估。</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5、支持国密的数字证书登录方式。</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支持与现有云平台已建设的系统密码应用监督系统核心节点对接，包括：利用其专用身份鉴别系统进行登录认证，实现采集、分析密码数据的统一管理，实现加密日志的统一管理，实现加密采集探针的统一管理。</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★7、产品经过国家密码管理局校准，提供校准标识复印件并加盖投标人公章。</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0FBAE23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7B6F9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6AEF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#29</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5324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云平台软件</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40D12A7E">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1、具有自主研发能力，非OEM。</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2、标准遵从：云平台软件符合公安部发布的公安云计算平台相关标准规范中规定的技术要求，能够满足计算、存储、网络、安全的基础服务能力要求。</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3、为保障云平台自主可控及后续演进，要求云平台支持管理鲲鹏、飞腾、海光等国产服务器，要求云主机、容器服务支持国产AI智能芯片。</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 xml:space="preserve">4、统一运维与资源管理 ：为计算存储设备上云提供云平台软件，对现有云平台系统进行扩容，兼容现有云平台软件，通过计算虚拟化、存储虚拟化、网络虚拟化技术，实现对底层硬件资源的虚拟化整合、统一管理及统一入口申请发放支持查看已分配资源和资源回收站，支持通过资源中心快速管理在云平台上申请的资源，支持按照多种维度查看资源，支持查看资源性能统计情况、资源性能TOP分析报表等。支持与现有云平台日志文件格式统一，便于更高效的监控平台及排查问题；（提供投标人承诺函并加盖投标人公章）。 </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多租户能力：具备灵活的组织模型管理能力，包含租户、多级VDC、项目、资源集、用户组等，方便灵活匹配自身的组织架构；提供虚拟数据中心(VDC)运营能力，满足业务警种对资源的使用需求，同时可以在VDC服务管理界面配置服务可见范围，并支持在VDC下再划分多级子VDC，以满足多业务警种资源隔离和管理需求。</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虚拟化服务：能提供主流虚拟化技术的虚拟机服务；能支持虚拟机亲和性和反亲和性配置，满足高可靠要求，能支持将GPU、SSD、USB等设备映射给虚拟机使用，满足高性能要求；兼容丰富的国产操作系统类型，包括中标麒麟、银河麒麟、统信OS等国产操作系统。</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7、存储服务：支持同时接入分布式存储和集中式存储。分布式块存储支持3副本或EC模式实现数据可靠性保障，最大化存储利用率；支持分布式块存储的新建、扩容、挂载、卸载、申请快照、重命名、删除、变更类型等基本操作；支持集中式SAN存储，可以通过NOF、IPSAN和FCSAN三种方式进行对接。</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8、网络服务：利用网络交换设备构建云平台组网系统。不依赖专用硬件设备，通过软件定义网络SDN技术，进行网络资源的池化管理，提供包括虚拟私有网络VPC、软件负载均衡、安全组、网络ACL、弹性IP、跨VPC通信等多种网络功能和服务资源；通过VPC机制，为租户提供独享的虚拟网络，实现和其他租户的网络逻辑隔离，为应用提供独占的网络容器，支持租户自助创建、配置VPC资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9、安全加固：为保障云平台安全稳定运行，云节点部署初始化时可对所在宿主机操作系统进行配置，根据最小化权限原则，关闭不需要的服务组件及端口，并对宿主机的账户管理及访问控制做安全初始化配置。</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10、自动伸缩服务：针对虚拟机配置伸缩策略，根据虚拟机的CPU、内存、网络等条件判断是否需要增加业务组内的虚拟机或者按指定时间/周期进行弹性伸缩，并指定伸缩组内最大、最小可以支持的虚拟机数量。</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11、负载均衡服务：可以将访问流量自动分发到多台虚拟机，提升对外服务的性能和容错能力，支持租户自助申请、配置、删除虚拟负载均衡服务实例。</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12、弹性IP服务：支持将公网IP地址和VPC内的虚拟机绑定，实现虚拟机通过固定的公网IP地址对外提供服务。用户可以自助进行弹性IP的申请、绑定、解绑定、释放等操作，用户可以一次申请一个或者多个弹性IP地址，并将弹性IP地址绑定到物理机或者虚拟机指定的网卡或者某个指定IP上。</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13.按照CPU颗数提供配套云平台软件永久授权。</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50A5B50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1084</w:t>
            </w:r>
          </w:p>
        </w:tc>
      </w:tr>
      <w:tr w14:paraId="4310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F294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E383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大数据平台软件</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3E98B398">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xml:space="preserve">1、具有自主研发能力，非OEM。具备完整的大数据平台解决方案基础能力。 </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 xml:space="preserve">2、大数据平台软件符合公安部发布的公安大数据平台相关标准规范中规定的技术要求，能够提供分布式文件系统、分布式内存数据库、全文数据库、离线计算、流式计算、内存计算服务能力。 </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提供大数据平台软件，对现有大数据平台进行扩容，兼容现有大数据平台软件，支持在现有大数据集群上平滑扩容大数据节点，无需额外增加一套管理节点；配套提供大数据平台软件授权；需要部署1个以上集群。（提供投标人承诺函并加盖投标人公章）</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4、离线计算服务支持MapReduce等相关组件能力。</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5、具备管理较大规模集群的能力，确保在业务不中断的情况下，支持单集群500节点以上滚动升级与补丁，一次升级少量节点，循环滚动，直至集群所有节点完成升级。</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6、支持提供HDFS分布式文件系统，提供访问HDFS的REST接口，通过REST接口可实现创建、删除、上传、下载文件等操作。</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 xml:space="preserve">7、在大规模集群场景下，HDFS支持DN分组，保证集群性能不受影响。 </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8、应提供海量数据、高并发的数据上传下载能力，实现PB级别的计算吞吐能力。</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9、大数据平台支持系统级安全加固，支持Kerberos认证，支持认证鉴权，支持表和列加密以及数据加密，支持全系统的审计能力。</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10、按照节点数提供配套大数据平台软件授权。</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5384F6B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755</w:t>
            </w:r>
          </w:p>
        </w:tc>
      </w:tr>
      <w:tr w14:paraId="56C15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A59F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#31</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1AFB8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并行数据库软件</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02531AA0">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1、采用全对称分布式的Active-Active多节点集群架构，系统无单点故障。</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2、支持全局事务一致性，数据库事务特性支持RC/RR两种隔离级。</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3、支持在线扩容，扩容过程中数据持续可查询（包括正在数据重分布的表）。</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4、支持多层级并行计算，包括节点并行、算子并行、指令并行，实现全并行的数据查询处理。</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5、同时支持行存储引擎和列存储引擎，支持用户自定义表的存储格式(行存储/列存储)，支持行列表关联运算。</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6、支持集群级全量、增量的备份与恢复，支持自动快照策略和一次性手动快照策略实现灵活备份管理。</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 xml:space="preserve">7、支持一套集群按服务器为单位划分为多个逻辑子集群或多个逻辑租户，实现逻辑子集群间物理资源隔离或逻辑租户间资源隔离，计算弹性共享，数据授权访问，并且支持多个逻辑子集群统一管理、运维。 </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8、对现有并行数据库系统扩容，兼容现有系统，提供低延时、高并发查询的大数据分析（提供投标人承诺函并加盖投标人公章）。</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9、提供TB容量授权。</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5516237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300</w:t>
            </w:r>
          </w:p>
        </w:tc>
      </w:tr>
      <w:tr w14:paraId="122E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7ED49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32</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A5D6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API网关</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094CF953">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1、支持HTTP、HTTPS，websocket访问。</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2、支持统一接入：提供API注册、授权、测试的全生命周期管理，同时提供密钥管理、访问控制等功能，并提供外部接口允许第三方系统接入。</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3、支持服务编排：支持通过定制js脚本，完成服务的编排封装。</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4、提供API策略路由能力，支持根据不同的Header、Query来定制API接口的后端。</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5、支持API的监控统计和分析。</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6、支持秒级API流控，针对不同的业务等级、用户等级，可实施API级别的精细流控，保护集成业务的稳定运行。</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7、安全认证，支持app key&amp;app Secret对应用进行认证，可编写自定义脚本对接第三方认证。</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8、支持API安全管理：支持SSL证书加密。</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9、支持API的在线调试。</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 xml:space="preserve">10、支持数据库到API的转换发布能力，降低应用开发的用数难度，支撑应用快速开发，SQL-&gt;RESTful API。 </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E23E7B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2CE5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F216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33</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6C31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云安全管理平台</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5C8D700D">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1、支持云安全监管、运维管理、运营管理及其它管理功能。平台内集成了丰富的安全组件，包括WEB应用防火墙、虚拟主机安全等组件，从网络、主机、应用等多个层面保障云租户/业务安全。</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011518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5</w:t>
            </w:r>
          </w:p>
        </w:tc>
      </w:tr>
      <w:tr w14:paraId="35C9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ED74B3">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34</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D5A0F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虚拟主机安全组件</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5E709958">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1、提供云主机资产管理、漏洞管理、入侵检测、基线检查、病毒防御等能力，识别并管理主机中的信息资产，实时监测主机中的风险并阻止非法入侵行为。</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49EB644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2766</w:t>
            </w:r>
          </w:p>
        </w:tc>
      </w:tr>
      <w:tr w14:paraId="48AE1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E4FF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35</w:t>
            </w:r>
          </w:p>
        </w:tc>
        <w:tc>
          <w:tcPr>
            <w:tcW w:w="1171" w:type="dxa"/>
            <w:tcBorders>
              <w:top w:val="single" w:color="000000" w:sz="4" w:space="0"/>
              <w:left w:val="single" w:color="000000" w:sz="4" w:space="0"/>
              <w:bottom w:val="nil"/>
              <w:right w:val="single" w:color="000000" w:sz="4" w:space="0"/>
            </w:tcBorders>
            <w:shd w:val="clear" w:color="auto" w:fill="FFFFFF"/>
            <w:noWrap w:val="0"/>
            <w:vAlign w:val="center"/>
          </w:tcPr>
          <w:p w14:paraId="270D597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虚拟防火墙组件</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C000A">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提供虚拟化防火墙安全能力，为业务上云提供网络安全防护，快速灵活应对威胁。提供VPC和云上互联网边界的防护，包括实时入侵检测与防御、全局统一访问控制、全流量分析可视化、日志审计与溯源分析等。</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2、支持按需弹性扩容，AI提升智能防御能力，可灵活扩展满足云上业务的变化和扩容需求。</w:t>
            </w:r>
          </w:p>
        </w:tc>
        <w:tc>
          <w:tcPr>
            <w:tcW w:w="776" w:type="dxa"/>
            <w:tcBorders>
              <w:top w:val="single" w:color="000000" w:sz="4" w:space="0"/>
              <w:left w:val="single" w:color="000000" w:sz="4" w:space="0"/>
              <w:bottom w:val="nil"/>
              <w:right w:val="single" w:color="000000" w:sz="4" w:space="0"/>
            </w:tcBorders>
            <w:shd w:val="clear" w:color="auto" w:fill="FFFFFF"/>
            <w:noWrap w:val="0"/>
            <w:vAlign w:val="center"/>
          </w:tcPr>
          <w:p w14:paraId="060C9E9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6</w:t>
            </w:r>
          </w:p>
        </w:tc>
      </w:tr>
      <w:tr w14:paraId="58522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C2952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36</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C222CC">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虚拟WEB应用防火墙组件</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1BDF70">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1、Web应用防火墙需支持防绕过能力，能够对常见的OWASP Top攻击进行安全防护，支持包括XSS、SQL注入、命令注入、代码注入、远程溢出攻击、Webshell检测（上传木马）等。</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C9C07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w:t>
            </w:r>
          </w:p>
        </w:tc>
      </w:tr>
      <w:tr w14:paraId="528F9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E201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37</w:t>
            </w:r>
          </w:p>
        </w:tc>
        <w:tc>
          <w:tcPr>
            <w:tcW w:w="1171" w:type="dxa"/>
            <w:tcBorders>
              <w:top w:val="single" w:color="000000" w:sz="4" w:space="0"/>
              <w:left w:val="single" w:color="000000" w:sz="4" w:space="0"/>
              <w:bottom w:val="nil"/>
              <w:right w:val="single" w:color="000000" w:sz="4" w:space="0"/>
            </w:tcBorders>
            <w:shd w:val="clear" w:color="auto" w:fill="FFFFFF"/>
            <w:noWrap w:val="0"/>
            <w:vAlign w:val="center"/>
          </w:tcPr>
          <w:p w14:paraId="0D0EA27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虚拟网页防篡改组件</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6F11C">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1、提供静态网页和动态网页防篡改能力。</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2、支持静态网页防篡改检测、防护、备份、恢复，防止网站服务器中的静态网页文件和动态网页内容被篡改。</w:t>
            </w:r>
          </w:p>
        </w:tc>
        <w:tc>
          <w:tcPr>
            <w:tcW w:w="776" w:type="dxa"/>
            <w:tcBorders>
              <w:top w:val="single" w:color="000000" w:sz="4" w:space="0"/>
              <w:left w:val="single" w:color="000000" w:sz="4" w:space="0"/>
              <w:bottom w:val="nil"/>
              <w:right w:val="single" w:color="000000" w:sz="4" w:space="0"/>
            </w:tcBorders>
            <w:shd w:val="clear" w:color="auto" w:fill="FFFFFF"/>
            <w:noWrap w:val="0"/>
            <w:vAlign w:val="center"/>
          </w:tcPr>
          <w:p w14:paraId="278AA83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w:t>
            </w:r>
          </w:p>
        </w:tc>
      </w:tr>
      <w:tr w14:paraId="0FF04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44661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38</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2DC23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虚拟漏洞扫描组件</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704F5">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1、漏洞扫描提供综合漏洞检测能力，包括基线核查、操作系统扫描安全检测、弱口令、端口与服务探测。</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2、支持生成专业的扫描报告，并提供专业的修复建议，支持导出漏洞扫描报告，支持汇总报告、单台主机报告，支持PDF、Excel报告格式。</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B695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w:t>
            </w:r>
          </w:p>
        </w:tc>
      </w:tr>
      <w:tr w14:paraId="4C66B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829A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39</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7D4DCB">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虚拟堡垒机组件</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17762">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1、提供对服务器、云主机、数据库、应用系统等云上资源的集中管理和运维审计。支持提供细粒度的权限控制策略实现对资源不同维度的控制。</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CA89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w:t>
            </w:r>
          </w:p>
        </w:tc>
      </w:tr>
      <w:tr w14:paraId="00DED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BE877">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eastAsia="zh-CN"/>
              </w:rPr>
            </w:pPr>
            <w:r>
              <w:rPr>
                <w:rFonts w:hint="eastAsia" w:ascii="仿宋" w:hAnsi="仿宋" w:eastAsia="仿宋" w:cs="仿宋"/>
                <w:i w:val="0"/>
                <w:iCs w:val="0"/>
                <w:color w:val="auto"/>
                <w:sz w:val="28"/>
                <w:szCs w:val="28"/>
                <w:highlight w:val="none"/>
                <w:u w:val="none"/>
                <w:lang w:val="en-US" w:eastAsia="zh-CN"/>
              </w:rPr>
              <w:t>40</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AF5B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虚拟数据库安全组件</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18E89">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1、支持实时记录用户访问数据库行为，形成细粒度的审计报告，对风险行为和攻击行为进行实时告警。功能包括用户行为发现审计、多维度分析、实时告警和报表等。</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63E51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w:t>
            </w:r>
          </w:p>
        </w:tc>
      </w:tr>
      <w:tr w14:paraId="1D89C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0DBEA">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41</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436C9E">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虚拟日志审计组件</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16033">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为云平台的各种网络设备、安全服务、主机和应用系统，提供集中化的统一日志管理平台。收集所有的日志信息，统一管理信息资产、监控资产的运行状况，协助全面审计信息系统整体安全状况，满足等保要求的日志留存至少180天。</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2B17A1">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w:t>
            </w:r>
          </w:p>
        </w:tc>
      </w:tr>
      <w:tr w14:paraId="06FDC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3D13E4">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42</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CD89B9">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虚拟态势感知组件</w:t>
            </w:r>
          </w:p>
        </w:tc>
        <w:tc>
          <w:tcPr>
            <w:tcW w:w="665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771A1">
            <w:pPr>
              <w:keepNext w:val="0"/>
              <w:keepLines w:val="0"/>
              <w:pageBreakBefore w:val="0"/>
              <w:widowControl/>
              <w:suppressLineNumbers w:val="0"/>
              <w:wordWrap/>
              <w:topLinePunct w:val="0"/>
              <w:bidi w:val="0"/>
              <w:snapToGrid w:val="0"/>
              <w:spacing w:beforeAutospacing="0" w:afterAutospacing="0" w:line="360" w:lineRule="auto"/>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1、提供各种安全事件日志，包括攻击、入侵、异常等，各种行为事件日志、各种弱点扫描日志(漏洞)的采集能力。并提供智能分析、态势感知、编排响应等快速闭环的安全信息和事件管理能力。</w:t>
            </w:r>
          </w:p>
        </w:tc>
        <w:tc>
          <w:tcPr>
            <w:tcW w:w="7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5FA362">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22</w:t>
            </w:r>
          </w:p>
        </w:tc>
      </w:tr>
      <w:tr w14:paraId="0A84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443AF">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default" w:ascii="仿宋" w:hAnsi="仿宋" w:eastAsia="仿宋" w:cs="仿宋"/>
                <w:i w:val="0"/>
                <w:iCs w:val="0"/>
                <w:color w:val="auto"/>
                <w:sz w:val="28"/>
                <w:szCs w:val="28"/>
                <w:highlight w:val="none"/>
                <w:u w:val="none"/>
                <w:lang w:val="en-US"/>
              </w:rPr>
            </w:pPr>
            <w:r>
              <w:rPr>
                <w:rFonts w:hint="eastAsia" w:ascii="仿宋" w:hAnsi="仿宋" w:eastAsia="仿宋" w:cs="仿宋"/>
                <w:i w:val="0"/>
                <w:iCs w:val="0"/>
                <w:color w:val="auto"/>
                <w:kern w:val="0"/>
                <w:sz w:val="28"/>
                <w:szCs w:val="28"/>
                <w:highlight w:val="none"/>
                <w:u w:val="none"/>
                <w:lang w:val="en-US" w:eastAsia="zh-CN" w:bidi="ar"/>
              </w:rPr>
              <w:t>#43</w:t>
            </w:r>
          </w:p>
        </w:tc>
        <w:tc>
          <w:tcPr>
            <w:tcW w:w="117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0E18D">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统一运维平台</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195A5F47">
            <w:pPr>
              <w:keepNext w:val="0"/>
              <w:keepLines w:val="0"/>
              <w:pageBreakBefore w:val="0"/>
              <w:widowControl/>
              <w:suppressLineNumbers w:val="0"/>
              <w:wordWrap/>
              <w:topLinePunct w:val="0"/>
              <w:bidi w:val="0"/>
              <w:snapToGrid w:val="0"/>
              <w:spacing w:beforeAutospacing="0" w:afterAutospacing="0" w:line="360" w:lineRule="auto"/>
              <w:jc w:val="both"/>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基于现有平台的运维采集框架、数据模型、监控规则，统筹管理新增的公安网和专网的国产化服务器、网络设备、存储设备、云平台资源、大数据资源，持续提供监控告警、资源管理等运维服务，共增加≥10套网管、≥5000个设备管理授权。</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2、支持对虚机及系统组件的告警、性能指标进行监控和分析，提供本项目所需授权。</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3、支持对网络设备的告警、性能指标进行监控和分析，提供本项目所需授权。</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4、支持通过带外、带内方式监控服务器硬件设备和硬件报错日志；支持通过SMI-SSNMP或者HTTP爬虫方式监控存储硬件设备，提供本项目所需授权。</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5、提供应用看板、应用概览、全局告警、状态感知、应用资源监控模板、应用监控策略、告警管理、应用日志分析、微服务分析功能，实现应用故障原因定位定界。</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6、提供知识采集管理、编辑管理、知识检索、知识库权限管理等功能，与流程管理和监控管理联动实现工单转知识和告警一键查询功能。</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7、围绕PaaS 层服务运营流程，设计运营指标和系统化评估机制，按局属单位维度统计服务被订阅、被调用次数、平均时延和异常率，对时延和异常率较高的服务进行预警。</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提供业务与指标管理功能，包括业务专题管理、数据查询、指标类配置、指标类字典、指标任务管理功能，梳理基础运维数据，实现数据按主题收集整理，并建立事件库、指标库、配置库和工单库。</w:t>
            </w:r>
            <w:r>
              <w:rPr>
                <w:rFonts w:hint="eastAsia" w:ascii="仿宋" w:hAnsi="仿宋" w:eastAsia="仿宋" w:cs="仿宋"/>
                <w:i w:val="0"/>
                <w:iCs w:val="0"/>
                <w:color w:val="auto"/>
                <w:kern w:val="0"/>
                <w:sz w:val="28"/>
                <w:szCs w:val="28"/>
                <w:highlight w:val="none"/>
                <w:u w:val="none"/>
                <w:lang w:val="en-US" w:eastAsia="zh-CN" w:bidi="ar"/>
              </w:rPr>
              <w:br w:type="textWrapping"/>
            </w:r>
            <w:r>
              <w:rPr>
                <w:rFonts w:hint="eastAsia" w:ascii="仿宋" w:hAnsi="仿宋" w:eastAsia="仿宋" w:cs="仿宋"/>
                <w:i w:val="0"/>
                <w:iCs w:val="0"/>
                <w:color w:val="auto"/>
                <w:kern w:val="0"/>
                <w:sz w:val="28"/>
                <w:szCs w:val="28"/>
                <w:highlight w:val="none"/>
                <w:u w:val="none"/>
                <w:lang w:val="en-US" w:eastAsia="zh-CN" w:bidi="ar"/>
              </w:rPr>
              <w:t>8、提供云资源专题库表、大数据资源专题库表和数据中心专题库表，分析和展示相关资源的使用情况。提供报表设计模块、数据源管理、主题管理以及报表管理，实现自定义报表功能。提供内置报表，支持按需定制资源使用管理报表。</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17DB63A5">
            <w:pPr>
              <w:keepNext w:val="0"/>
              <w:keepLines w:val="0"/>
              <w:pageBreakBefore w:val="0"/>
              <w:widowControl/>
              <w:suppressLineNumbers w:val="0"/>
              <w:wordWrap/>
              <w:topLinePunct w:val="0"/>
              <w:bidi w:val="0"/>
              <w:snapToGrid w:val="0"/>
              <w:spacing w:beforeAutospacing="0" w:afterAutospacing="0" w:line="360" w:lineRule="auto"/>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r>
      <w:tr w14:paraId="7594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809200">
            <w:pPr>
              <w:pageBreakBefore w:val="0"/>
              <w:widowControl/>
              <w:wordWrap/>
              <w:topLinePunct w:val="0"/>
              <w:bidi w:val="0"/>
              <w:snapToGrid w:val="0"/>
              <w:spacing w:beforeAutospacing="0" w:afterAutospacing="0" w:line="360" w:lineRule="auto"/>
              <w:jc w:val="center"/>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44</w:t>
            </w:r>
          </w:p>
        </w:tc>
        <w:tc>
          <w:tcPr>
            <w:tcW w:w="11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5DBDF2">
            <w:pPr>
              <w:pageBreakBefore w:val="0"/>
              <w:widowControl/>
              <w:wordWrap/>
              <w:topLinePunct w:val="0"/>
              <w:bidi w:val="0"/>
              <w:snapToGrid w:val="0"/>
              <w:spacing w:beforeAutospacing="0" w:afterAutospacing="0"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功能模块一</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13C739CD">
            <w:pPr>
              <w:pageBreakBefore w:val="0"/>
              <w:widowControl/>
              <w:numPr>
                <w:ilvl w:val="0"/>
                <w:numId w:val="6"/>
              </w:numPr>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bidi="ar"/>
              </w:rPr>
              <w:t>针对本次建设内容和现有情况进行适配性的软件开发，将现有备份软件、Pass容器平台软件迁移至新环境。整个迁移过程应确保现有数据的完整性和准确性，能够满足北京市公安局服务器、操作系统、数据库、工作站采购项目（第1包）采购的服务器和操作系统的兼容性要求</w:t>
            </w:r>
            <w:r>
              <w:rPr>
                <w:rFonts w:hint="eastAsia" w:ascii="仿宋" w:hAnsi="仿宋" w:eastAsia="仿宋" w:cs="仿宋"/>
                <w:color w:val="auto"/>
                <w:kern w:val="0"/>
                <w:sz w:val="28"/>
                <w:szCs w:val="28"/>
                <w:highlight w:val="none"/>
                <w:lang w:eastAsia="zh-CN" w:bidi="ar"/>
              </w:rPr>
              <w:t>。</w:t>
            </w:r>
          </w:p>
          <w:p w14:paraId="224F7D18">
            <w:pPr>
              <w:pageBreakBefore w:val="0"/>
              <w:widowControl/>
              <w:numPr>
                <w:ilvl w:val="0"/>
                <w:numId w:val="6"/>
              </w:numPr>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将现有云平台运行的运维管理平台</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val="en-US" w:eastAsia="zh-CN" w:bidi="ar"/>
              </w:rPr>
              <w:t>包括云管软件及运维软件，</w:t>
            </w:r>
            <w:r>
              <w:rPr>
                <w:rFonts w:hint="eastAsia" w:ascii="仿宋" w:hAnsi="仿宋" w:eastAsia="仿宋" w:cs="仿宋"/>
                <w:color w:val="auto"/>
                <w:kern w:val="0"/>
                <w:sz w:val="28"/>
                <w:szCs w:val="28"/>
                <w:highlight w:val="none"/>
                <w:lang w:bidi="ar"/>
              </w:rPr>
              <w:t>迁移至新环境，并与统一运维平台、态势感知等系统对接，将现网、本项目以及北京市公安局服务器、操作系统、数据库、工作站采购项目（第1包）采购的软硬件资源等情况进行梳理，按照业务逻辑实现可视化展示。整个迁移过程应确保现有用户数据、CMDB资源数据、监控告警规则</w:t>
            </w:r>
            <w:r>
              <w:rPr>
                <w:rFonts w:hint="eastAsia" w:ascii="仿宋" w:hAnsi="仿宋" w:eastAsia="仿宋" w:cs="仿宋"/>
                <w:color w:val="auto"/>
                <w:kern w:val="0"/>
                <w:sz w:val="28"/>
                <w:szCs w:val="28"/>
                <w:highlight w:val="none"/>
                <w:lang w:val="en-US" w:eastAsia="zh-CN" w:bidi="ar"/>
              </w:rPr>
              <w:t>等</w:t>
            </w:r>
            <w:r>
              <w:rPr>
                <w:rFonts w:hint="eastAsia" w:ascii="仿宋" w:hAnsi="仿宋" w:eastAsia="仿宋" w:cs="仿宋"/>
                <w:color w:val="auto"/>
                <w:kern w:val="0"/>
                <w:sz w:val="28"/>
                <w:szCs w:val="28"/>
                <w:highlight w:val="none"/>
                <w:lang w:bidi="ar"/>
              </w:rPr>
              <w:t>数据</w:t>
            </w:r>
            <w:r>
              <w:rPr>
                <w:rFonts w:hint="eastAsia" w:ascii="仿宋" w:hAnsi="仿宋" w:eastAsia="仿宋" w:cs="仿宋"/>
                <w:color w:val="auto"/>
                <w:kern w:val="0"/>
                <w:sz w:val="28"/>
                <w:szCs w:val="28"/>
                <w:highlight w:val="none"/>
                <w:lang w:val="en-US" w:eastAsia="zh-CN" w:bidi="ar"/>
              </w:rPr>
              <w:t>的</w:t>
            </w:r>
            <w:r>
              <w:rPr>
                <w:rFonts w:hint="eastAsia" w:ascii="仿宋" w:hAnsi="仿宋" w:eastAsia="仿宋" w:cs="仿宋"/>
                <w:color w:val="auto"/>
                <w:kern w:val="0"/>
                <w:sz w:val="28"/>
                <w:szCs w:val="28"/>
                <w:highlight w:val="none"/>
                <w:lang w:bidi="ar"/>
              </w:rPr>
              <w:t>完整性和准确性</w:t>
            </w:r>
            <w:r>
              <w:rPr>
                <w:rFonts w:hint="eastAsia" w:ascii="仿宋" w:hAnsi="仿宋" w:eastAsia="仿宋" w:cs="仿宋"/>
                <w:color w:val="auto"/>
                <w:kern w:val="0"/>
                <w:sz w:val="28"/>
                <w:szCs w:val="28"/>
                <w:highlight w:val="none"/>
                <w:lang w:val="en-US" w:eastAsia="zh-CN" w:bidi="ar"/>
              </w:rPr>
              <w:t>,</w:t>
            </w:r>
            <w:r>
              <w:rPr>
                <w:rFonts w:hint="eastAsia" w:ascii="仿宋" w:hAnsi="仿宋" w:eastAsia="仿宋" w:cs="仿宋"/>
                <w:color w:val="auto"/>
                <w:kern w:val="0"/>
                <w:sz w:val="28"/>
                <w:szCs w:val="28"/>
                <w:highlight w:val="none"/>
                <w:lang w:bidi="ar"/>
              </w:rPr>
              <w:t>能够满足北京市公安局服务器、操作系统、数据库、工作站采购项目（第1包）采购的服务器和操作系统的兼容性要求</w:t>
            </w:r>
            <w:r>
              <w:rPr>
                <w:rFonts w:hint="eastAsia" w:ascii="仿宋" w:hAnsi="仿宋" w:eastAsia="仿宋" w:cs="仿宋"/>
                <w:color w:val="auto"/>
                <w:kern w:val="0"/>
                <w:sz w:val="28"/>
                <w:szCs w:val="28"/>
                <w:highlight w:val="none"/>
                <w:lang w:eastAsia="zh-CN" w:bidi="ar"/>
              </w:rPr>
              <w:t>。</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149A3681">
            <w:pPr>
              <w:pageBreakBefore w:val="0"/>
              <w:widowControl/>
              <w:wordWrap/>
              <w:topLinePunct w:val="0"/>
              <w:bidi w:val="0"/>
              <w:snapToGrid w:val="0"/>
              <w:spacing w:beforeAutospacing="0" w:afterAutospacing="0" w:line="360" w:lineRule="auto"/>
              <w:jc w:val="center"/>
              <w:textAlignment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rPr>
              <w:t>1</w:t>
            </w:r>
          </w:p>
        </w:tc>
      </w:tr>
      <w:tr w14:paraId="5997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3"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2E25B">
            <w:pPr>
              <w:pageBreakBefore w:val="0"/>
              <w:widowControl/>
              <w:wordWrap/>
              <w:topLinePunct w:val="0"/>
              <w:bidi w:val="0"/>
              <w:snapToGrid w:val="0"/>
              <w:spacing w:beforeAutospacing="0" w:afterAutospacing="0" w:line="360" w:lineRule="auto"/>
              <w:jc w:val="center"/>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45</w:t>
            </w:r>
          </w:p>
        </w:tc>
        <w:tc>
          <w:tcPr>
            <w:tcW w:w="11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3C851B">
            <w:pPr>
              <w:pageBreakBefore w:val="0"/>
              <w:widowControl/>
              <w:wordWrap/>
              <w:topLinePunct w:val="0"/>
              <w:bidi w:val="0"/>
              <w:snapToGrid w:val="0"/>
              <w:spacing w:beforeAutospacing="0" w:afterAutospacing="0"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集成</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4B8A4333">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1、</w:t>
            </w:r>
            <w:r>
              <w:rPr>
                <w:rFonts w:hint="eastAsia" w:ascii="仿宋" w:hAnsi="仿宋" w:eastAsia="仿宋" w:cs="仿宋"/>
                <w:color w:val="auto"/>
                <w:sz w:val="28"/>
                <w:szCs w:val="28"/>
                <w:highlight w:val="none"/>
              </w:rPr>
              <w:t>投标人应具备主流软硬件的集成实施能力，投标人须提供承诺函并加盖投标人公章。（承诺函格式自拟）</w:t>
            </w:r>
          </w:p>
          <w:p w14:paraId="788FFC39">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2、提供本项目的系统集成服务，具体内容包括但不限于：</w:t>
            </w:r>
          </w:p>
          <w:p w14:paraId="6734094E">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（1）方案设计</w:t>
            </w:r>
          </w:p>
          <w:p w14:paraId="71EE25D9">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1）集成规划方案，包括但不限于：整体架构设计、计算、存储与网络架构设计等。</w:t>
            </w:r>
          </w:p>
          <w:p w14:paraId="766EFF5F">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2）详细设计方案，包括但不限于：提供IaaS层、PaaS层等功能实现、运维等细节设计。</w:t>
            </w:r>
          </w:p>
          <w:p w14:paraId="183008ED">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（2）准备工作</w:t>
            </w:r>
          </w:p>
          <w:p w14:paraId="2BCEC5BE">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1）机房工勘：投标人中标后，勘查机房环境、现状。</w:t>
            </w:r>
          </w:p>
          <w:p w14:paraId="2B974BCC">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2）实施方案编制：包括上架图纸、布线图、IP地址和VLAN规划等详细实施方案。</w:t>
            </w:r>
          </w:p>
          <w:p w14:paraId="20F13DC2">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3）实施计划编制：根据采购人的需求，编制实施计划，明确具体实施时间节点，并按照实施计划开展后续工作。</w:t>
            </w:r>
          </w:p>
          <w:p w14:paraId="379866A0">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4）到货验收，确认货物，完成货物清点和外包装及外观检查；协助采购人完成资产登记。</w:t>
            </w:r>
          </w:p>
          <w:p w14:paraId="4ECE0C51">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5）完成功能、指标验收及文档整理。</w:t>
            </w:r>
          </w:p>
          <w:p w14:paraId="0DCBB093">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（3）设备上架</w:t>
            </w:r>
          </w:p>
          <w:p w14:paraId="0FF0E762">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1）工具准备：包括检查机柜配电是否合格，承重情况，准备相应的工具。</w:t>
            </w:r>
          </w:p>
          <w:p w14:paraId="0208E599">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2）设备安装：安装时需注意设备安装顺序，从下往上，从重到轻。同时，设备功率之和不能超过机柜的供电总功率。</w:t>
            </w:r>
          </w:p>
          <w:p w14:paraId="142F9473">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3）设备检查：检查设备是否安装合格。</w:t>
            </w:r>
          </w:p>
          <w:p w14:paraId="7803254C">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4）设备标签粘贴：根据采购人要求打印并粘贴标签。</w:t>
            </w:r>
          </w:p>
          <w:p w14:paraId="20A6A111">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（4）综合布线</w:t>
            </w:r>
          </w:p>
          <w:p w14:paraId="10EDBCDE">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1）线缆提供：提供完成本项目建设涉及的设备所需要的线缆及耗材，规格须满足采购人要求。</w:t>
            </w:r>
          </w:p>
          <w:p w14:paraId="43AF78D3">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2）线缆连接：开展完成本项目建设涉及的设备所需要的线缆连接工作，完成综合布线。</w:t>
            </w:r>
          </w:p>
          <w:p w14:paraId="78175FDE">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3）布线检查：检查综合布线效果，包括交流电源线卡扣是否良好，接地线、光纤、电缆、网线、串口线是否正确固定并完全插入等。</w:t>
            </w:r>
          </w:p>
          <w:p w14:paraId="63668BCB">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4）线缆标签粘贴：根据采购人要求打印并粘贴标签。</w:t>
            </w:r>
          </w:p>
          <w:p w14:paraId="1E162445">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（5）加电测试</w:t>
            </w:r>
          </w:p>
          <w:p w14:paraId="0A9EF4CB">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1）电源检查：确保设备已正确连接到电源，并且电源开关已打开。</w:t>
            </w:r>
          </w:p>
          <w:p w14:paraId="4DC1F66E">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2）指示灯检查：检查设备的指示灯是否亮起，确认设备已成功加电。</w:t>
            </w:r>
          </w:p>
          <w:p w14:paraId="5E7D9189">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3）显示屏检查：如果设备有显示屏，检查显示屏是否显示正常并无异常信息。</w:t>
            </w:r>
          </w:p>
          <w:p w14:paraId="69D79B6F">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4）功能测试：进行基本功能测试，观察设备是否正常工作。</w:t>
            </w:r>
          </w:p>
          <w:p w14:paraId="781A0FE9">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5）连接测试：检查设备的连接接口，确认设备与外部设备的连接是否正常。</w:t>
            </w:r>
          </w:p>
          <w:p w14:paraId="40AC701C">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6）网络测试：如果设备有网络功能，测试网络连接是否正常。</w:t>
            </w:r>
          </w:p>
          <w:p w14:paraId="4765320E">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7）测试要求：在测试过程中，定时观察设备的状态灯和设备的输出是否正常。</w:t>
            </w:r>
          </w:p>
          <w:p w14:paraId="467036B6">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8）测试报告：记录时间，开始测试，测试时间达到或超过48小时后，如果设备一切正常，断电，记录结束时间并填写《设备加电测试报告》。</w:t>
            </w:r>
          </w:p>
          <w:p w14:paraId="31C73E3E">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（6）软件实施</w:t>
            </w:r>
          </w:p>
          <w:p w14:paraId="20CD83C7">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1）开展需求分析，完成资源规划，软件概要设计，软件详细设计，形成项目实施方案。</w:t>
            </w:r>
          </w:p>
          <w:p w14:paraId="3CFA91F8">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2）基础环境准备：进行系统安装前的环境检查，确保安装环境符合系统要求。进行云平台的服务器、存储、网络等硬件设备的基础配置，完成软件环境的准备工作，完成安装所需文档、工具、软件包的准备工作。</w:t>
            </w:r>
          </w:p>
          <w:p w14:paraId="45A71746">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3）IaaS层部署：根据安装手册和实施方案，进行操作系统、虚拟资源池、云安全等IaaS层软件的安装和配置。</w:t>
            </w:r>
          </w:p>
          <w:p w14:paraId="29EF7132">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4）PaaS层部署：根据安装手册和实施方案，进行大数据等PaaS层软件的安装和配置。</w:t>
            </w:r>
          </w:p>
          <w:p w14:paraId="31C40A4A">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5）其他软件部署：根据实施方案，进行运维等其他软件的部署和配置。</w:t>
            </w:r>
          </w:p>
          <w:p w14:paraId="31F21F9C">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6）云平台初始化：对云平台进行初始化，包括系统配置、用户权限设置等。</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88C393E">
            <w:pPr>
              <w:pageBreakBefore w:val="0"/>
              <w:widowControl/>
              <w:wordWrap/>
              <w:topLinePunct w:val="0"/>
              <w:bidi w:val="0"/>
              <w:snapToGrid w:val="0"/>
              <w:spacing w:beforeAutospacing="0" w:afterAutospacing="0" w:line="360" w:lineRule="auto"/>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w:t>
            </w:r>
          </w:p>
        </w:tc>
      </w:tr>
      <w:tr w14:paraId="2BF0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24FF6">
            <w:pPr>
              <w:pageBreakBefore w:val="0"/>
              <w:widowControl/>
              <w:wordWrap/>
              <w:topLinePunct w:val="0"/>
              <w:bidi w:val="0"/>
              <w:snapToGrid w:val="0"/>
              <w:spacing w:beforeAutospacing="0" w:afterAutospacing="0" w:line="360" w:lineRule="auto"/>
              <w:jc w:val="center"/>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46</w:t>
            </w:r>
          </w:p>
        </w:tc>
        <w:tc>
          <w:tcPr>
            <w:tcW w:w="11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228929">
            <w:pPr>
              <w:pageBreakBefore w:val="0"/>
              <w:widowControl/>
              <w:wordWrap/>
              <w:topLinePunct w:val="0"/>
              <w:bidi w:val="0"/>
              <w:snapToGrid w:val="0"/>
              <w:spacing w:beforeAutospacing="0" w:afterAutospacing="0"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软件测评</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30516CDC">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经采购人同意的第三方测评机构完成软件测评，出具相关报告。</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8B43B0B">
            <w:pPr>
              <w:pageBreakBefore w:val="0"/>
              <w:widowControl/>
              <w:wordWrap/>
              <w:topLinePunct w:val="0"/>
              <w:bidi w:val="0"/>
              <w:snapToGrid w:val="0"/>
              <w:spacing w:beforeAutospacing="0" w:afterAutospacing="0" w:line="360" w:lineRule="auto"/>
              <w:jc w:val="center"/>
              <w:textAlignment w:val="center"/>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rPr>
              <w:t>1</w:t>
            </w:r>
          </w:p>
        </w:tc>
      </w:tr>
      <w:tr w14:paraId="30AF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2"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FFB07">
            <w:pPr>
              <w:pageBreakBefore w:val="0"/>
              <w:widowControl/>
              <w:wordWrap/>
              <w:topLinePunct w:val="0"/>
              <w:bidi w:val="0"/>
              <w:snapToGrid w:val="0"/>
              <w:spacing w:beforeAutospacing="0" w:afterAutospacing="0" w:line="360" w:lineRule="auto"/>
              <w:jc w:val="center"/>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47</w:t>
            </w:r>
          </w:p>
        </w:tc>
        <w:tc>
          <w:tcPr>
            <w:tcW w:w="117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2735B1">
            <w:pPr>
              <w:pageBreakBefore w:val="0"/>
              <w:widowControl/>
              <w:wordWrap/>
              <w:topLinePunct w:val="0"/>
              <w:bidi w:val="0"/>
              <w:snapToGrid w:val="0"/>
              <w:spacing w:beforeAutospacing="0" w:afterAutospacing="0" w:line="360" w:lineRule="auto"/>
              <w:jc w:val="center"/>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安全测评</w:t>
            </w:r>
          </w:p>
        </w:tc>
        <w:tc>
          <w:tcPr>
            <w:tcW w:w="6652" w:type="dxa"/>
            <w:tcBorders>
              <w:top w:val="single" w:color="000000" w:sz="4" w:space="0"/>
              <w:left w:val="single" w:color="000000" w:sz="4" w:space="0"/>
              <w:bottom w:val="single" w:color="000000" w:sz="4" w:space="0"/>
              <w:right w:val="single" w:color="000000" w:sz="4" w:space="0"/>
            </w:tcBorders>
            <w:noWrap w:val="0"/>
            <w:vAlign w:val="center"/>
          </w:tcPr>
          <w:p w14:paraId="3AB64545">
            <w:pPr>
              <w:pageBreakBefore w:val="0"/>
              <w:widowControl/>
              <w:wordWrap/>
              <w:topLinePunct w:val="0"/>
              <w:bidi w:val="0"/>
              <w:snapToGrid w:val="0"/>
              <w:spacing w:beforeAutospacing="0" w:afterAutospacing="0" w:line="360" w:lineRule="auto"/>
              <w:textAlignment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经采购人同意的第三方测评机构完成安全（验收）测评</w:t>
            </w:r>
            <w:r>
              <w:rPr>
                <w:rFonts w:hint="eastAsia" w:ascii="仿宋" w:hAnsi="仿宋" w:eastAsia="仿宋" w:cs="仿宋"/>
                <w:color w:val="auto"/>
                <w:kern w:val="0"/>
                <w:sz w:val="28"/>
                <w:szCs w:val="28"/>
                <w:highlight w:val="none"/>
                <w:lang w:val="en-US" w:eastAsia="zh-CN" w:bidi="ar"/>
              </w:rPr>
              <w:t>及</w:t>
            </w:r>
            <w:r>
              <w:rPr>
                <w:rFonts w:hint="eastAsia" w:ascii="仿宋" w:hAnsi="仿宋" w:eastAsia="仿宋" w:cs="仿宋"/>
                <w:color w:val="auto"/>
                <w:kern w:val="0"/>
                <w:sz w:val="28"/>
                <w:szCs w:val="28"/>
                <w:highlight w:val="none"/>
                <w:lang w:bidi="ar"/>
              </w:rPr>
              <w:t>密码应用安全性评估</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kern w:val="0"/>
                <w:sz w:val="28"/>
                <w:szCs w:val="28"/>
                <w:highlight w:val="none"/>
                <w:lang w:bidi="ar"/>
              </w:rPr>
              <w:t>出具相关报告。</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6F3FB0CD">
            <w:pPr>
              <w:pageBreakBefore w:val="0"/>
              <w:widowControl/>
              <w:wordWrap/>
              <w:topLinePunct w:val="0"/>
              <w:bidi w:val="0"/>
              <w:snapToGrid w:val="0"/>
              <w:spacing w:beforeAutospacing="0" w:afterAutospacing="0" w:line="360" w:lineRule="auto"/>
              <w:jc w:val="center"/>
              <w:textAlignment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w:t>
            </w:r>
          </w:p>
        </w:tc>
      </w:tr>
    </w:tbl>
    <w:p w14:paraId="2982F2AF">
      <w:pPr>
        <w:pageBreakBefore w:val="0"/>
        <w:widowControl/>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采购标的需满足的服务标准、期限、效率等要求；</w:t>
      </w:r>
    </w:p>
    <w:p w14:paraId="1F188E6D">
      <w:pPr>
        <w:pageBreakBefore w:val="0"/>
        <w:wordWrap/>
        <w:topLinePunct w:val="0"/>
        <w:bidi w:val="0"/>
        <w:snapToGrid w:val="0"/>
        <w:spacing w:line="360" w:lineRule="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kern w:val="0"/>
          <w:sz w:val="28"/>
          <w:szCs w:val="28"/>
          <w:highlight w:val="none"/>
        </w:rPr>
        <w:t>★2.2.</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sz w:val="28"/>
          <w:szCs w:val="28"/>
          <w:highlight w:val="none"/>
        </w:rPr>
        <w:t>产品质量</w:t>
      </w:r>
      <w:r>
        <w:rPr>
          <w:rFonts w:hint="eastAsia" w:ascii="仿宋" w:hAnsi="仿宋" w:eastAsia="仿宋" w:cs="仿宋"/>
          <w:b/>
          <w:bCs/>
          <w:color w:val="auto"/>
          <w:sz w:val="28"/>
          <w:szCs w:val="28"/>
          <w:highlight w:val="none"/>
          <w:lang w:val="en-US" w:eastAsia="zh-CN"/>
        </w:rPr>
        <w:t>要求（</w:t>
      </w:r>
      <w:r>
        <w:rPr>
          <w:rFonts w:hint="eastAsia" w:ascii="仿宋" w:hAnsi="仿宋" w:eastAsia="仿宋" w:cs="仿宋"/>
          <w:b/>
          <w:bCs/>
          <w:color w:val="auto"/>
          <w:sz w:val="28"/>
          <w:szCs w:val="28"/>
          <w:highlight w:val="none"/>
        </w:rPr>
        <w:t>投标人须提供承诺函并加盖投标人公章</w:t>
      </w:r>
      <w:r>
        <w:rPr>
          <w:rFonts w:hint="eastAsia" w:ascii="仿宋" w:hAnsi="仿宋" w:eastAsia="仿宋" w:cs="仿宋"/>
          <w:b/>
          <w:bCs/>
          <w:color w:val="auto"/>
          <w:sz w:val="28"/>
          <w:szCs w:val="28"/>
          <w:highlight w:val="none"/>
          <w:lang w:val="en-US" w:eastAsia="zh-CN"/>
        </w:rPr>
        <w:t>）：</w:t>
      </w:r>
    </w:p>
    <w:p w14:paraId="6F6A2568">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承诺要求如下：</w:t>
      </w:r>
    </w:p>
    <w:p w14:paraId="5DB310F7">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（1）投标产品是符合国家技术规范和质量标准的合格产品。</w:t>
      </w:r>
    </w:p>
    <w:p w14:paraId="37AC901C">
      <w:pPr>
        <w:pStyle w:val="5"/>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（2）投标人保证所提供硬件产品包括相关附件为相应硬件厂家原装正品，软件产品为相关厂家正版软件，符合国家有关规定且无质量瑕疵。</w:t>
      </w:r>
    </w:p>
    <w:p w14:paraId="69D468D9">
      <w:pPr>
        <w:pStyle w:val="5"/>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（3）投标人保证所提供产品具有合法的版权或使用权，本项目采购的产品，如在本项目范围内使用过程中出现版权或使用权纠纷，由投标人负责，采购人不承担责任。</w:t>
      </w:r>
    </w:p>
    <w:p w14:paraId="6120FC86">
      <w:pPr>
        <w:pageBreakBefore w:val="0"/>
        <w:wordWrap/>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（4）质保期满后，投标人仍须对因产品存在的固有缺陷和瑕疵承担相应责任。</w:t>
      </w:r>
    </w:p>
    <w:p w14:paraId="452B202F">
      <w:pPr>
        <w:pageBreakBefore w:val="0"/>
        <w:wordWrap/>
        <w:topLinePunct w:val="0"/>
        <w:bidi w:val="0"/>
        <w:snapToGrid w:val="0"/>
        <w:spacing w:line="360" w:lineRule="auto"/>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2.2.</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集成服务要求</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投标人须提供承诺函并加盖投标人公章</w:t>
      </w:r>
      <w:r>
        <w:rPr>
          <w:rFonts w:hint="eastAsia" w:ascii="仿宋" w:hAnsi="仿宋" w:eastAsia="仿宋" w:cs="仿宋"/>
          <w:b/>
          <w:bCs/>
          <w:color w:val="auto"/>
          <w:kern w:val="0"/>
          <w:sz w:val="28"/>
          <w:szCs w:val="28"/>
          <w:highlight w:val="none"/>
          <w:lang w:eastAsia="zh-CN"/>
        </w:rPr>
        <w:t>）：</w:t>
      </w:r>
    </w:p>
    <w:p w14:paraId="0CEC956F">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承诺要求如下：</w:t>
      </w:r>
    </w:p>
    <w:p w14:paraId="737F1135">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（1）投标人需从业务需求出发，合理实施设备的安装、配置和参数调优，更好地发挥设备性能，提供稳定、可靠并满足应用需求的支撑平台。</w:t>
      </w:r>
    </w:p>
    <w:p w14:paraId="25C12F71">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（2）投标人提供本项目设备部署和集成实施的方案，分析风险并给出明确对策，明确给出系统部署集成的时间进度和人员安排。</w:t>
      </w:r>
    </w:p>
    <w:p w14:paraId="3358947F">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（3）投标人应针对本项目配备项目经理，负责在项目实施过程中保持项目团队成员稳定，协调、统一项目各软、硬件厂商之间的进度，按照采购人的要求开展工作。</w:t>
      </w:r>
    </w:p>
    <w:p w14:paraId="728D3297">
      <w:pPr>
        <w:pStyle w:val="5"/>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（4）软硬件的部署、安装、调试调优等工作由投标人负责组织原厂工程师进行安装调试服务，投标人完成软、硬件系统之间的联调工作。</w:t>
      </w:r>
    </w:p>
    <w:p w14:paraId="15E991BA">
      <w:pPr>
        <w:pStyle w:val="5"/>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投标人中标后，需根据采购人的要求完成项目设计方案、实施方案、集成方案的编写工作，制定详细的工作计划并在工作结束后向用户提交工作进展情况报告，严格控制项目进度。实施阶段，需按照采购人的要求完成实施中的操作手册制定，严格按照操作手册规定的步骤实施。</w:t>
      </w:r>
    </w:p>
    <w:p w14:paraId="1C150ABF">
      <w:pPr>
        <w:pStyle w:val="5"/>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（6）投标人中标后，需在本项目规定的履约时间内完成系统平台的部署。</w:t>
      </w:r>
    </w:p>
    <w:p w14:paraId="09AE24AA">
      <w:pPr>
        <w:pageBreakBefore w:val="0"/>
        <w:wordWrap/>
        <w:topLinePunct w:val="0"/>
        <w:bidi w:val="0"/>
        <w:snapToGrid w:val="0"/>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（7）投标人中标后，应按照采购人要求提供数据备份服务。</w:t>
      </w:r>
    </w:p>
    <w:p w14:paraId="2E531C1A">
      <w:pPr>
        <w:pageBreakBefore w:val="0"/>
        <w:wordWrap/>
        <w:topLinePunct w:val="0"/>
        <w:bidi w:val="0"/>
        <w:snapToGrid w:val="0"/>
        <w:spacing w:line="360" w:lineRule="auto"/>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★2.2.3</w:t>
      </w:r>
      <w:r>
        <w:rPr>
          <w:rFonts w:hint="eastAsia"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rPr>
        <w:t>交付要求</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投标人须提供承诺函并加盖投标人公章</w:t>
      </w:r>
      <w:r>
        <w:rPr>
          <w:rFonts w:hint="eastAsia" w:ascii="仿宋" w:hAnsi="仿宋" w:eastAsia="仿宋" w:cs="仿宋"/>
          <w:b/>
          <w:bCs/>
          <w:color w:val="auto"/>
          <w:kern w:val="0"/>
          <w:sz w:val="28"/>
          <w:szCs w:val="28"/>
          <w:highlight w:val="none"/>
          <w:lang w:eastAsia="zh-CN"/>
        </w:rPr>
        <w:t>）：</w:t>
      </w:r>
    </w:p>
    <w:p w14:paraId="4A590B36">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承诺要求如下：</w:t>
      </w:r>
    </w:p>
    <w:p w14:paraId="0402060B">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（1）为做好本项目整体实施工作，在北京市公安局服务器、操作系统、数据库、工作站采购项目（第1包）货物到货时，投标人到场共同验货，确认货品数量和质量。</w:t>
      </w:r>
    </w:p>
    <w:p w14:paraId="188D6917">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iCs/>
          <w:color w:val="auto"/>
          <w:sz w:val="28"/>
          <w:szCs w:val="28"/>
          <w:highlight w:val="none"/>
        </w:rPr>
        <w:t>交付时间：本项目合同签订生效后，在180个日历日内完成整体项目建设，</w:t>
      </w:r>
      <w:r>
        <w:rPr>
          <w:rFonts w:hint="eastAsia" w:ascii="仿宋" w:hAnsi="仿宋" w:eastAsia="仿宋" w:cs="仿宋"/>
          <w:iCs/>
          <w:color w:val="auto"/>
          <w:sz w:val="28"/>
          <w:szCs w:val="28"/>
          <w:highlight w:val="none"/>
          <w:lang w:val="en-US" w:eastAsia="zh-CN"/>
        </w:rPr>
        <w:t>自接到</w:t>
      </w:r>
      <w:r>
        <w:rPr>
          <w:rFonts w:hint="eastAsia" w:ascii="仿宋" w:hAnsi="仿宋" w:eastAsia="仿宋" w:cs="仿宋"/>
          <w:iCs/>
          <w:color w:val="auto"/>
          <w:sz w:val="28"/>
          <w:szCs w:val="28"/>
          <w:highlight w:val="none"/>
        </w:rPr>
        <w:t>采购人供货要求之日起30个日历日内完成全部货物的到货。</w:t>
      </w:r>
    </w:p>
    <w:p w14:paraId="31513B32">
      <w:pPr>
        <w:pageBreakBefore w:val="0"/>
        <w:wordWrap/>
        <w:topLinePunct w:val="0"/>
        <w:bidi w:val="0"/>
        <w:snapToGrid w:val="0"/>
        <w:spacing w:beforeAutospacing="0" w:afterAutospacing="0" w:line="360" w:lineRule="auto"/>
        <w:rPr>
          <w:color w:val="auto"/>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本</w:t>
      </w:r>
      <w:r>
        <w:rPr>
          <w:rFonts w:hint="eastAsia" w:ascii="仿宋" w:hAnsi="仿宋" w:eastAsia="仿宋" w:cs="仿宋"/>
          <w:iCs/>
          <w:color w:val="auto"/>
          <w:sz w:val="28"/>
          <w:szCs w:val="28"/>
          <w:highlight w:val="none"/>
        </w:rPr>
        <w:t>项目建设完成后30个日历日内完成初验，进入至少为期180个日历日的试运行期。经过180个日历日试运行后，且完成了</w:t>
      </w:r>
      <w:r>
        <w:rPr>
          <w:rFonts w:hint="eastAsia" w:ascii="仿宋" w:hAnsi="仿宋" w:eastAsia="仿宋" w:cs="仿宋"/>
          <w:iCs/>
          <w:color w:val="auto"/>
          <w:sz w:val="28"/>
          <w:szCs w:val="28"/>
          <w:highlight w:val="none"/>
          <w:lang w:val="en-US" w:eastAsia="zh-CN"/>
        </w:rPr>
        <w:t>项目整体的</w:t>
      </w:r>
      <w:r>
        <w:rPr>
          <w:rFonts w:hint="eastAsia" w:ascii="仿宋" w:hAnsi="仿宋" w:eastAsia="仿宋" w:cs="仿宋"/>
          <w:iCs/>
          <w:color w:val="auto"/>
          <w:sz w:val="28"/>
          <w:szCs w:val="28"/>
          <w:highlight w:val="none"/>
        </w:rPr>
        <w:t>软件测评、安全（验收）测评、密码应用安全性评估，在30个日历日内完成项目终验，系统投入正式运行。质保期不少于3年，从项目通过最终验收合格之日起开始计算。</w:t>
      </w:r>
    </w:p>
    <w:p w14:paraId="46CFBF2C">
      <w:pPr>
        <w:pageBreakBefore w:val="0"/>
        <w:wordWrap/>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（4）本项目交付过程中，投标人应保证不因投标人的技术方案存在缺陷，导致现网重要业务中断。</w:t>
      </w:r>
    </w:p>
    <w:p w14:paraId="1BBE533D">
      <w:pPr>
        <w:pageBreakBefore w:val="0"/>
        <w:wordWrap/>
        <w:topLinePunct w:val="0"/>
        <w:bidi w:val="0"/>
        <w:snapToGrid w:val="0"/>
        <w:spacing w:line="360" w:lineRule="auto"/>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2.2.4</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售后服务要求</w:t>
      </w:r>
      <w:r>
        <w:rPr>
          <w:rFonts w:hint="eastAsia" w:ascii="仿宋" w:hAnsi="仿宋" w:eastAsia="仿宋" w:cs="仿宋"/>
          <w:b/>
          <w:bCs/>
          <w:color w:val="auto"/>
          <w:kern w:val="0"/>
          <w:sz w:val="28"/>
          <w:szCs w:val="28"/>
          <w:highlight w:val="none"/>
          <w:lang w:eastAsia="zh-CN"/>
        </w:rPr>
        <w:t>（</w:t>
      </w:r>
      <w:r>
        <w:rPr>
          <w:rFonts w:hint="eastAsia" w:ascii="仿宋" w:hAnsi="仿宋" w:eastAsia="仿宋" w:cs="仿宋"/>
          <w:b/>
          <w:bCs/>
          <w:color w:val="auto"/>
          <w:kern w:val="0"/>
          <w:sz w:val="28"/>
          <w:szCs w:val="28"/>
          <w:highlight w:val="none"/>
        </w:rPr>
        <w:t>投标人须提供承诺函并加盖投标人公章</w:t>
      </w:r>
      <w:r>
        <w:rPr>
          <w:rFonts w:hint="eastAsia" w:ascii="仿宋" w:hAnsi="仿宋" w:eastAsia="仿宋" w:cs="仿宋"/>
          <w:b/>
          <w:bCs/>
          <w:color w:val="auto"/>
          <w:kern w:val="0"/>
          <w:sz w:val="28"/>
          <w:szCs w:val="28"/>
          <w:highlight w:val="none"/>
          <w:lang w:eastAsia="zh-CN"/>
        </w:rPr>
        <w:t>）：</w:t>
      </w:r>
    </w:p>
    <w:p w14:paraId="45DE7D51">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承诺要求如下：</w:t>
      </w:r>
    </w:p>
    <w:p w14:paraId="52852307">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（1）投标人必须具有完善的售后服务队伍，及时响应采购人的服务要求。</w:t>
      </w:r>
    </w:p>
    <w:p w14:paraId="2015C090">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（2）所投产品须提供</w:t>
      </w:r>
      <w:r>
        <w:rPr>
          <w:rFonts w:hint="eastAsia" w:ascii="仿宋" w:hAnsi="仿宋" w:eastAsia="仿宋" w:cs="仿宋"/>
          <w:color w:val="auto"/>
          <w:sz w:val="28"/>
          <w:szCs w:val="28"/>
          <w:highlight w:val="none"/>
          <w:lang w:val="en-US" w:eastAsia="zh-CN"/>
        </w:rPr>
        <w:t>不少于三年</w:t>
      </w:r>
      <w:r>
        <w:rPr>
          <w:rFonts w:hint="eastAsia" w:ascii="仿宋" w:hAnsi="仿宋" w:eastAsia="仿宋" w:cs="仿宋"/>
          <w:color w:val="auto"/>
          <w:sz w:val="28"/>
          <w:szCs w:val="28"/>
          <w:highlight w:val="none"/>
        </w:rPr>
        <w:t xml:space="preserve">原厂质保，以及每周7×24小时售后服务。 </w:t>
      </w:r>
      <w:r>
        <w:rPr>
          <w:rFonts w:hint="eastAsia" w:ascii="仿宋" w:hAnsi="仿宋" w:eastAsia="仿宋" w:cs="仿宋"/>
          <w:color w:val="auto"/>
          <w:sz w:val="28"/>
          <w:szCs w:val="28"/>
          <w:highlight w:val="none"/>
          <w:lang w:val="en-US" w:eastAsia="zh-CN"/>
        </w:rPr>
        <w:t>质保期从项目通过最终验收合格之日起开始计算。</w:t>
      </w:r>
    </w:p>
    <w:p w14:paraId="006C167C">
      <w:pPr>
        <w:pStyle w:val="5"/>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负责对本项目及北京市公安局服务器、操作系统、数据库、工作站采购项目（第1包）采购建设的系统硬件、基础软件和应用软件运行状态进行检查，一旦发现问题应立即向采购人汇报，按照运维流程处理。对设备在线情况做好统计分析，定期通报采购人。如发现系统及相关软硬件存在漏洞，投标人及时协调北京市公安局服务器、操作系统、数据库、工作站采购项目（第1包）中标人共同进行修补或提出其他有效可行的解决方案，保证其正常使用。</w:t>
      </w:r>
    </w:p>
    <w:p w14:paraId="723389E5">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当业务出现问题时，投标人须与现网运维公司配合，共同排查定位故障原因，并解决问题。</w:t>
      </w:r>
    </w:p>
    <w:p w14:paraId="1EAB3EC6">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）投标人设7天×24小时热线服务电话，提供故障保修和技术咨询等电话支持服务。</w:t>
      </w:r>
    </w:p>
    <w:p w14:paraId="7B019FDC">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）在质保期内，投标人应对故障2小时内响应，4小时以内解决问题；不能当场修复的，必须于2个日历日内采取提供备品、备件或备机等措施，以保证采购人的正常使用。</w:t>
      </w:r>
    </w:p>
    <w:p w14:paraId="1BD29E6D">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）质保期内同一设备连续出现2次同样故障，投标人无条件进行更换，更换后的设备从更换之日起重新计算不少于三年质保期。</w:t>
      </w:r>
    </w:p>
    <w:p w14:paraId="5A6F2095">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）本项目涉及存储或服务器设备的资料涉及保密信息，磁盘驱动器和（或）SSD卡因故障进行更换后，被更换的存储介质交由采购人处置。</w:t>
      </w:r>
    </w:p>
    <w:p w14:paraId="13170F52">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投标人应定期对系统安全进行检查，如发现系统及相关软件存在漏洞，进行修补或提出其他有效可行的解决方案，保证其正常使用。如无法对漏洞进行修补或修补后无法保证系统正常使用，投标人作出书面说明并承担由此漏洞造成的一切损失。</w:t>
      </w:r>
    </w:p>
    <w:p w14:paraId="392C4AC2">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）投标人对所有服务的实施情况全部进行记录，并对服务记录定期汇总和分析，生成分析报告。对服务过程中出现的具体问题，做到闭环处理，确保系统故障按照采购人的要求及时处理。</w:t>
      </w:r>
    </w:p>
    <w:p w14:paraId="53C9143D">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）投标人按照采购人要求定期对机房设备进行巡检，提供巡检报告，发现问题及时解决，并将问题和结果及时告知采购人。</w:t>
      </w:r>
    </w:p>
    <w:p w14:paraId="0BDA43AD">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）投标人定期调查用户系统使用情况，了解系统环境的使用情况，进行系统检测，对存在的潜在安全或故障进行隐患分析，并提出相应的解决方案。</w:t>
      </w:r>
    </w:p>
    <w:p w14:paraId="06E20ED8">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投标人为应用系统方提供多种数据备份方案，云平台上运行的应用系统，如因云平台本身原因导致数据丢失，能够进行数据恢复，如由应用系统本身的原因导致的数据丢失，投标人应积极配合做好相关数据恢复工作。</w:t>
      </w:r>
    </w:p>
    <w:p w14:paraId="25075CF5">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）投标人应在项目终验合格前配合采购人、项目集成商、项目监理方做好设备现场安装、集成、调试，并进行操作试验。全部软硬件的安装、调试、维护、更换和升级费用应包括在投标总价中。</w:t>
      </w:r>
    </w:p>
    <w:p w14:paraId="64CD1CB6">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）投标人应在采购人提供的地点配备常用备件库，包括但不限于硬盘、内存、光模块、电源模块，在重大勤务保障期间应按照采购人要求做好备品备件保障工作。</w:t>
      </w:r>
    </w:p>
    <w:p w14:paraId="2FAC41A7">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）投标人采取必要的技术和管理手段保障系统的安全性，并保证信息的保密，必须根据国家相关要求与采购人签订保密协议。</w:t>
      </w:r>
    </w:p>
    <w:p w14:paraId="7F67017A">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）质保期满后，投标人仍须对因投标方案存在的固有缺陷和瑕疵承担相应责任。</w:t>
      </w:r>
    </w:p>
    <w:p w14:paraId="26E778DE">
      <w:pPr>
        <w:pageBreakBefore w:val="0"/>
        <w:wordWrap/>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）投标人应按照采购人要求配备专业运维团队，更换运维人员时，应提前14天向采购人书面报告，经采购人同意后方可更换，应以相当资格与能力的运维人员替换，并提供相应资格证明。</w:t>
      </w:r>
    </w:p>
    <w:p w14:paraId="095128EB">
      <w:pPr>
        <w:pageBreakBefore w:val="0"/>
        <w:wordWrap/>
        <w:topLinePunct w:val="0"/>
        <w:bidi w:val="0"/>
        <w:snapToGrid w:val="0"/>
        <w:spacing w:line="360" w:lineRule="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rPr>
        <w:t>2.2.</w:t>
      </w:r>
      <w:r>
        <w:rPr>
          <w:rFonts w:hint="eastAsia" w:ascii="仿宋" w:hAnsi="仿宋" w:eastAsia="仿宋" w:cs="仿宋"/>
          <w:b/>
          <w:bCs/>
          <w:color w:val="auto"/>
          <w:kern w:val="0"/>
          <w:sz w:val="28"/>
          <w:szCs w:val="28"/>
          <w:highlight w:val="none"/>
          <w:lang w:val="en-US" w:eastAsia="zh-CN"/>
        </w:rPr>
        <w:t>5.项目实施团队要求（</w:t>
      </w:r>
      <w:r>
        <w:rPr>
          <w:rFonts w:hint="eastAsia" w:ascii="仿宋" w:hAnsi="仿宋" w:eastAsia="仿宋" w:cs="仿宋"/>
          <w:b/>
          <w:bCs/>
          <w:color w:val="auto"/>
          <w:kern w:val="0"/>
          <w:sz w:val="28"/>
          <w:szCs w:val="28"/>
          <w:highlight w:val="none"/>
        </w:rPr>
        <w:t>投标人须提供承诺函并加盖投标人公章</w:t>
      </w:r>
      <w:r>
        <w:rPr>
          <w:rFonts w:hint="eastAsia" w:ascii="仿宋" w:hAnsi="仿宋" w:eastAsia="仿宋" w:cs="仿宋"/>
          <w:b/>
          <w:bCs/>
          <w:color w:val="auto"/>
          <w:kern w:val="0"/>
          <w:sz w:val="28"/>
          <w:szCs w:val="28"/>
          <w:highlight w:val="none"/>
          <w:lang w:val="en-US" w:eastAsia="zh-CN"/>
        </w:rPr>
        <w:t>）：</w:t>
      </w:r>
    </w:p>
    <w:p w14:paraId="3F1842C0">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承诺要求如下：</w:t>
      </w:r>
    </w:p>
    <w:p w14:paraId="793FEA86">
      <w:pPr>
        <w:pageBreakBefore w:val="0"/>
        <w:widowControl/>
        <w:wordWrap/>
        <w:topLinePunct w:val="0"/>
        <w:bidi w:val="0"/>
        <w:adjustRightInd w:val="0"/>
        <w:snapToGrid w:val="0"/>
        <w:spacing w:beforeAutospacing="0" w:afterAutospacing="0" w:line="360" w:lineRule="auto"/>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（1）项目经理具有5年以上（含）相关从业经验、具有行政部门颁发的信息系统项目管理师（高级）证书。</w:t>
      </w:r>
    </w:p>
    <w:p w14:paraId="514A68FE">
      <w:pPr>
        <w:pageBreakBefore w:val="0"/>
        <w:widowControl/>
        <w:wordWrap/>
        <w:topLinePunct w:val="0"/>
        <w:bidi w:val="0"/>
        <w:adjustRightInd w:val="0"/>
        <w:snapToGrid w:val="0"/>
        <w:spacing w:beforeAutospacing="0" w:afterAutospacing="0" w:line="360" w:lineRule="auto"/>
        <w:textAlignment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（2）技术负责人具有5年以上（含）相关从业经验、具有</w:t>
      </w:r>
      <w:r>
        <w:rPr>
          <w:rFonts w:hint="eastAsia" w:ascii="仿宋" w:hAnsi="仿宋" w:eastAsia="仿宋" w:cs="仿宋"/>
          <w:color w:val="auto"/>
          <w:sz w:val="28"/>
          <w:szCs w:val="28"/>
          <w:highlight w:val="none"/>
          <w:lang w:val="en-US" w:eastAsia="zh-CN"/>
        </w:rPr>
        <w:t>相关专业</w:t>
      </w:r>
      <w:r>
        <w:rPr>
          <w:rFonts w:hint="eastAsia" w:ascii="仿宋" w:hAnsi="仿宋" w:eastAsia="仿宋" w:cs="仿宋"/>
          <w:color w:val="auto"/>
          <w:sz w:val="28"/>
          <w:szCs w:val="28"/>
          <w:highlight w:val="none"/>
        </w:rPr>
        <w:t>高级工程师职称。</w:t>
      </w:r>
    </w:p>
    <w:p w14:paraId="4F6120C4">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（3）项目组成员（不包括项目经理和技术负责人）</w:t>
      </w:r>
      <w:r>
        <w:rPr>
          <w:rFonts w:hint="eastAsia" w:ascii="仿宋" w:hAnsi="仿宋" w:eastAsia="仿宋" w:cs="仿宋"/>
          <w:color w:val="auto"/>
          <w:sz w:val="28"/>
          <w:szCs w:val="28"/>
          <w:highlight w:val="none"/>
          <w:lang w:val="en-US" w:eastAsia="zh-CN"/>
        </w:rPr>
        <w:t>需</w:t>
      </w:r>
      <w:r>
        <w:rPr>
          <w:rFonts w:hint="eastAsia" w:ascii="仿宋" w:hAnsi="仿宋" w:eastAsia="仿宋" w:cs="仿宋"/>
          <w:color w:val="auto"/>
          <w:sz w:val="28"/>
          <w:szCs w:val="28"/>
          <w:highlight w:val="none"/>
        </w:rPr>
        <w:t>具备相关专业证书。</w:t>
      </w:r>
    </w:p>
    <w:p w14:paraId="1C64AFAE">
      <w:pPr>
        <w:pStyle w:val="4"/>
        <w:pageBreakBefore w:val="0"/>
        <w:wordWrap/>
        <w:topLinePunct w:val="0"/>
        <w:bidi w:val="0"/>
        <w:snapToGrid w:val="0"/>
        <w:spacing w:before="0" w:beforeAutospacing="0" w:afterAutospacing="0"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（4）项目组提供网络设备、存储设备、云平台软件及大数据软件各不少于1名原厂工程师配合本项目交付实施。</w:t>
      </w:r>
      <w:r>
        <w:rPr>
          <w:rFonts w:hint="eastAsia" w:ascii="仿宋" w:hAnsi="仿宋" w:eastAsia="仿宋" w:cs="仿宋"/>
          <w:b/>
          <w:bCs/>
          <w:color w:val="auto"/>
          <w:sz w:val="28"/>
          <w:szCs w:val="28"/>
          <w:highlight w:val="none"/>
          <w:u w:val="single"/>
          <w:lang w:eastAsia="zh-CN"/>
        </w:rPr>
        <w:t>（</w:t>
      </w:r>
      <w:r>
        <w:rPr>
          <w:rFonts w:hint="eastAsia" w:ascii="仿宋" w:hAnsi="仿宋" w:eastAsia="仿宋" w:cs="仿宋"/>
          <w:b/>
          <w:bCs/>
          <w:color w:val="auto"/>
          <w:sz w:val="28"/>
          <w:szCs w:val="28"/>
          <w:highlight w:val="none"/>
          <w:u w:val="single"/>
        </w:rPr>
        <w:t>项目实施团队要求（4）需要在投标人提供的承诺函中体现</w:t>
      </w:r>
      <w:r>
        <w:rPr>
          <w:rFonts w:hint="eastAsia" w:ascii="仿宋" w:hAnsi="仿宋" w:eastAsia="仿宋" w:cs="仿宋"/>
          <w:b/>
          <w:bCs/>
          <w:color w:val="auto"/>
          <w:sz w:val="28"/>
          <w:szCs w:val="28"/>
          <w:highlight w:val="none"/>
          <w:u w:val="single"/>
          <w:lang w:bidi="ar"/>
        </w:rPr>
        <w:t>已经取得加盖原厂商公章的参与本项目实施的承诺函</w:t>
      </w:r>
      <w:r>
        <w:rPr>
          <w:rFonts w:hint="eastAsia" w:ascii="仿宋" w:hAnsi="仿宋" w:eastAsia="仿宋" w:cs="仿宋"/>
          <w:b/>
          <w:bCs/>
          <w:color w:val="auto"/>
          <w:sz w:val="28"/>
          <w:szCs w:val="28"/>
          <w:highlight w:val="none"/>
          <w:u w:val="single"/>
        </w:rPr>
        <w:t>（标明本项目采购编号及项目名称），并加盖投标人公章</w:t>
      </w:r>
      <w:r>
        <w:rPr>
          <w:rFonts w:hint="eastAsia" w:ascii="仿宋" w:hAnsi="仿宋" w:eastAsia="仿宋" w:cs="仿宋"/>
          <w:b/>
          <w:bCs/>
          <w:color w:val="auto"/>
          <w:sz w:val="28"/>
          <w:szCs w:val="28"/>
          <w:highlight w:val="none"/>
          <w:u w:val="single"/>
          <w:lang w:eastAsia="zh-CN"/>
        </w:rPr>
        <w:t>）</w:t>
      </w:r>
    </w:p>
    <w:p w14:paraId="6DCF3301">
      <w:pPr>
        <w:pageBreakBefore w:val="0"/>
        <w:wordWrap/>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（注：（1）-（3）项要求涉及的项目实施团队成员须为投标人单位员工。）</w:t>
      </w:r>
    </w:p>
    <w:p w14:paraId="411F16B0">
      <w:pPr>
        <w:pageBreakBefore w:val="0"/>
        <w:wordWrap/>
        <w:topLinePunct w:val="0"/>
        <w:bidi w:val="0"/>
        <w:snapToGrid w:val="0"/>
        <w:spacing w:line="360" w:lineRule="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rPr>
        <w:t>2.2.</w:t>
      </w:r>
      <w:r>
        <w:rPr>
          <w:rFonts w:hint="eastAsia" w:ascii="仿宋" w:hAnsi="仿宋" w:eastAsia="仿宋" w:cs="仿宋"/>
          <w:b/>
          <w:bCs/>
          <w:color w:val="auto"/>
          <w:kern w:val="0"/>
          <w:sz w:val="28"/>
          <w:szCs w:val="28"/>
          <w:highlight w:val="none"/>
          <w:lang w:val="en-US" w:eastAsia="zh-CN"/>
        </w:rPr>
        <w:t>6.安装、更新及开发服务（</w:t>
      </w:r>
      <w:r>
        <w:rPr>
          <w:rFonts w:hint="eastAsia" w:ascii="仿宋" w:hAnsi="仿宋" w:eastAsia="仿宋" w:cs="仿宋"/>
          <w:b/>
          <w:bCs/>
          <w:color w:val="auto"/>
          <w:kern w:val="0"/>
          <w:sz w:val="28"/>
          <w:szCs w:val="28"/>
          <w:highlight w:val="none"/>
        </w:rPr>
        <w:t>投标人须提供承诺函并加盖投标人公章</w:t>
      </w:r>
      <w:r>
        <w:rPr>
          <w:rFonts w:hint="eastAsia" w:ascii="仿宋" w:hAnsi="仿宋" w:eastAsia="仿宋" w:cs="仿宋"/>
          <w:b/>
          <w:bCs/>
          <w:color w:val="auto"/>
          <w:kern w:val="0"/>
          <w:sz w:val="28"/>
          <w:szCs w:val="28"/>
          <w:highlight w:val="none"/>
          <w:lang w:val="en-US" w:eastAsia="zh-CN"/>
        </w:rPr>
        <w:t>）：</w:t>
      </w:r>
    </w:p>
    <w:p w14:paraId="5CDB2B5C">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承诺要求如下：</w:t>
      </w:r>
    </w:p>
    <w:p w14:paraId="29E30C7C">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（1）投标人在质保期内安装的任何产品，必须是产品制造厂商原产的或是经其认可，并经采购人同意。</w:t>
      </w:r>
    </w:p>
    <w:p w14:paraId="679BD769">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（2）从合同签订之日起至项目质保期结束为止，投标人须根据采购人实际需要对软件内容进行定制开发、优化完善，相关费用应包含在投标总价中。</w:t>
      </w:r>
    </w:p>
    <w:p w14:paraId="4690E1CF">
      <w:pPr>
        <w:pageBreakBefore w:val="0"/>
        <w:wordWrap/>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（3）从合同签订之日起至项目质保期结束为止，中标人应负责协调北京市公安局服务器、操作系统、数据库、工作站采购项目（第1包）中标人开展所采购产品的原厂安装、更新、补丁、升级服务。</w:t>
      </w:r>
    </w:p>
    <w:p w14:paraId="46C527E4">
      <w:pPr>
        <w:pageBreakBefore w:val="0"/>
        <w:wordWrap/>
        <w:topLinePunct w:val="0"/>
        <w:bidi w:val="0"/>
        <w:snapToGrid w:val="0"/>
        <w:spacing w:line="360" w:lineRule="auto"/>
        <w:rPr>
          <w:rFonts w:hint="eastAsia" w:ascii="仿宋" w:hAnsi="仿宋" w:eastAsia="仿宋" w:cs="仿宋"/>
          <w:b/>
          <w:bCs/>
          <w:color w:val="auto"/>
          <w:kern w:val="0"/>
          <w:sz w:val="28"/>
          <w:szCs w:val="28"/>
          <w:highlight w:val="none"/>
          <w:lang w:val="en-US" w:eastAsia="zh-CN"/>
        </w:rPr>
      </w:pPr>
      <w:r>
        <w:rPr>
          <w:rFonts w:hint="default"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rPr>
        <w:t>2.2.</w:t>
      </w:r>
      <w:r>
        <w:rPr>
          <w:rFonts w:hint="default" w:ascii="仿宋" w:hAnsi="仿宋" w:eastAsia="仿宋" w:cs="仿宋"/>
          <w:b/>
          <w:bCs/>
          <w:color w:val="auto"/>
          <w:kern w:val="0"/>
          <w:sz w:val="28"/>
          <w:szCs w:val="28"/>
          <w:highlight w:val="none"/>
          <w:lang w:val="en-US" w:eastAsia="zh-CN"/>
        </w:rPr>
        <w:t>7</w:t>
      </w:r>
      <w:r>
        <w:rPr>
          <w:rFonts w:hint="eastAsia" w:ascii="仿宋" w:hAnsi="仿宋" w:eastAsia="仿宋" w:cs="仿宋"/>
          <w:b/>
          <w:bCs/>
          <w:color w:val="auto"/>
          <w:kern w:val="0"/>
          <w:sz w:val="28"/>
          <w:szCs w:val="28"/>
          <w:highlight w:val="none"/>
          <w:lang w:val="en-US" w:eastAsia="zh-CN"/>
        </w:rPr>
        <w:t>.</w:t>
      </w:r>
      <w:r>
        <w:rPr>
          <w:rFonts w:hint="default" w:ascii="仿宋" w:hAnsi="仿宋" w:eastAsia="仿宋" w:cs="仿宋"/>
          <w:b/>
          <w:bCs/>
          <w:color w:val="auto"/>
          <w:kern w:val="0"/>
          <w:sz w:val="28"/>
          <w:szCs w:val="28"/>
          <w:highlight w:val="none"/>
          <w:lang w:val="en-US" w:eastAsia="zh-CN"/>
        </w:rPr>
        <w:t>驻场人员要求</w:t>
      </w:r>
      <w:r>
        <w:rPr>
          <w:rFonts w:hint="eastAsia" w:ascii="仿宋" w:hAnsi="仿宋" w:eastAsia="仿宋" w:cs="仿宋"/>
          <w:b/>
          <w:bCs/>
          <w:color w:val="auto"/>
          <w:kern w:val="0"/>
          <w:sz w:val="28"/>
          <w:szCs w:val="28"/>
          <w:highlight w:val="none"/>
          <w:lang w:val="en-US" w:eastAsia="zh-CN"/>
        </w:rPr>
        <w:t>（</w:t>
      </w:r>
      <w:r>
        <w:rPr>
          <w:rFonts w:hint="eastAsia" w:ascii="仿宋" w:hAnsi="仿宋" w:eastAsia="仿宋" w:cs="仿宋"/>
          <w:b/>
          <w:bCs/>
          <w:color w:val="auto"/>
          <w:kern w:val="0"/>
          <w:sz w:val="28"/>
          <w:szCs w:val="28"/>
          <w:highlight w:val="none"/>
        </w:rPr>
        <w:t>投标人须提供承诺函并加盖投标人公章</w:t>
      </w:r>
      <w:r>
        <w:rPr>
          <w:rFonts w:hint="eastAsia" w:ascii="仿宋" w:hAnsi="仿宋" w:eastAsia="仿宋" w:cs="仿宋"/>
          <w:b/>
          <w:bCs/>
          <w:color w:val="auto"/>
          <w:kern w:val="0"/>
          <w:sz w:val="28"/>
          <w:szCs w:val="28"/>
          <w:highlight w:val="none"/>
          <w:lang w:val="en-US" w:eastAsia="zh-CN"/>
        </w:rPr>
        <w:t>）：</w:t>
      </w:r>
    </w:p>
    <w:p w14:paraId="15547D6C">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承诺要求如下：</w:t>
      </w:r>
      <w:bookmarkStart w:id="1" w:name="_GoBack"/>
      <w:bookmarkEnd w:id="1"/>
    </w:p>
    <w:p w14:paraId="7E814E26">
      <w:pPr>
        <w:pStyle w:val="5"/>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（1）投标人应在</w:t>
      </w:r>
      <w:r>
        <w:rPr>
          <w:rFonts w:hint="eastAsia" w:ascii="仿宋" w:hAnsi="仿宋" w:eastAsia="仿宋" w:cs="仿宋"/>
          <w:color w:val="auto"/>
          <w:sz w:val="28"/>
          <w:szCs w:val="28"/>
          <w:highlight w:val="none"/>
          <w:lang w:val="en-US" w:eastAsia="zh-CN"/>
        </w:rPr>
        <w:t>终验</w:t>
      </w:r>
      <w:r>
        <w:rPr>
          <w:rFonts w:hint="eastAsia" w:ascii="仿宋" w:hAnsi="仿宋" w:eastAsia="仿宋" w:cs="仿宋"/>
          <w:color w:val="auto"/>
          <w:sz w:val="28"/>
          <w:szCs w:val="28"/>
          <w:highlight w:val="none"/>
        </w:rPr>
        <w:t>结束前提供每周7（天）×24（小时）倒班制驻场服务；每班至少</w:t>
      </w:r>
      <w:r>
        <w:rPr>
          <w:rFonts w:hint="eastAsia" w:ascii="仿宋" w:hAnsi="仿宋" w:eastAsia="仿宋" w:cs="仿宋"/>
          <w:color w:val="auto"/>
          <w:sz w:val="28"/>
          <w:szCs w:val="28"/>
          <w:highlight w:val="none"/>
          <w:lang w:val="en-US" w:eastAsia="zh-CN"/>
        </w:rPr>
        <w:t>3人，至少</w:t>
      </w:r>
      <w:r>
        <w:rPr>
          <w:rFonts w:hint="eastAsia" w:ascii="仿宋" w:hAnsi="仿宋" w:eastAsia="仿宋" w:cs="仿宋"/>
          <w:color w:val="auto"/>
          <w:sz w:val="28"/>
          <w:szCs w:val="28"/>
          <w:highlight w:val="none"/>
        </w:rPr>
        <w:t>1人负责云平台软件、大数据软件等基础软件操作值守及运维，</w:t>
      </w:r>
      <w:r>
        <w:rPr>
          <w:rFonts w:hint="eastAsia" w:ascii="仿宋" w:hAnsi="仿宋" w:eastAsia="仿宋" w:cs="仿宋"/>
          <w:color w:val="auto"/>
          <w:sz w:val="28"/>
          <w:szCs w:val="28"/>
          <w:highlight w:val="none"/>
          <w:lang w:val="en-US" w:eastAsia="zh-CN"/>
        </w:rPr>
        <w:t>至少</w:t>
      </w:r>
      <w:r>
        <w:rPr>
          <w:rFonts w:hint="eastAsia" w:ascii="仿宋" w:hAnsi="仿宋" w:eastAsia="仿宋" w:cs="仿宋"/>
          <w:color w:val="auto"/>
          <w:sz w:val="28"/>
          <w:szCs w:val="28"/>
          <w:highlight w:val="none"/>
        </w:rPr>
        <w:t>1人负责云平台硬件设备日常维护，</w:t>
      </w:r>
      <w:r>
        <w:rPr>
          <w:rFonts w:hint="eastAsia" w:ascii="仿宋" w:hAnsi="仿宋" w:eastAsia="仿宋" w:cs="仿宋"/>
          <w:color w:val="auto"/>
          <w:sz w:val="28"/>
          <w:szCs w:val="28"/>
          <w:highlight w:val="none"/>
          <w:lang w:val="en-US" w:eastAsia="zh-CN"/>
        </w:rPr>
        <w:t>至少</w:t>
      </w:r>
      <w:r>
        <w:rPr>
          <w:rFonts w:hint="eastAsia" w:ascii="仿宋" w:hAnsi="仿宋" w:eastAsia="仿宋" w:cs="仿宋"/>
          <w:color w:val="auto"/>
          <w:sz w:val="28"/>
          <w:szCs w:val="28"/>
          <w:highlight w:val="none"/>
        </w:rPr>
        <w:t>1人负责云平台网络及安全相关软硬件日常运维；驻场人员应具备3年以上云平台维护经验。</w:t>
      </w:r>
    </w:p>
    <w:p w14:paraId="0ADE7290">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质保期内</w:t>
      </w:r>
      <w:r>
        <w:rPr>
          <w:rFonts w:hint="eastAsia" w:ascii="仿宋" w:hAnsi="仿宋" w:eastAsia="仿宋" w:cs="仿宋"/>
          <w:color w:val="auto"/>
          <w:sz w:val="28"/>
          <w:szCs w:val="28"/>
          <w:highlight w:val="none"/>
        </w:rPr>
        <w:t>，投标人按照采购人要求在指定地点提供现场驻场人员服务：</w:t>
      </w:r>
    </w:p>
    <w:p w14:paraId="360F3E3C">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1）驻场经理：1人，实行每周5（天）×8（小时）工作模式，负责整体运维管理工作。驻场经理应具备3年以上云平台维护经验。</w:t>
      </w:r>
    </w:p>
    <w:p w14:paraId="419A5E0E">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2）原厂驻场人员：至少</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人，实行每周5（天）×8（小时）驻场服务，至少1人负责云平台软件维护，至少1人负责大数据软件维护。驻场人员应具备3年以上软件维护经验。</w:t>
      </w:r>
    </w:p>
    <w:p w14:paraId="361191F2">
      <w:pPr>
        <w:pageBreakBefore w:val="0"/>
        <w:wordWrap/>
        <w:topLinePunct w:val="0"/>
        <w:bidi w:val="0"/>
        <w:snapToGrid w:val="0"/>
        <w:spacing w:beforeAutospacing="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3）值守人员：实行365（天）×24（小时）倒班制，提供至少</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人每周7（天）×24（小时）日常值守服务。其中，至少1人负责云平台系统及相关软件操作值守与运维，至少2人负责云平台硬件设备日常维护，至少</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人负责云安全相关软硬件日常维护。值守人员应具备3年以上云平台维护经验。</w:t>
      </w:r>
    </w:p>
    <w:p w14:paraId="7F863FA5">
      <w:pPr>
        <w:pageBreakBefore w:val="0"/>
        <w:wordWrap/>
        <w:topLinePunct w:val="0"/>
        <w:bidi w:val="0"/>
        <w:snapToGrid w:val="0"/>
        <w:spacing w:beforeAutospacing="0" w:afterAutospacing="0" w:line="360" w:lineRule="auto"/>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rPr>
        <w:t>4）软件研发驻场人员：至少1人，实行每周5（天）×8（小时）软件研发驻场服务，驻场人员应具备3年以上云平台管理平台接口开发、页面开发及测试经验。</w:t>
      </w:r>
    </w:p>
    <w:p w14:paraId="05FA8BF3">
      <w:pPr>
        <w:pageBreakBefore w:val="0"/>
        <w:wordWrap/>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5）从合同签订之日起至项目质保期结束为止，如遇重大勤务保障，需按照采购人要求增派运维人员进行每周7（天）×24（小时）保障。</w:t>
      </w:r>
    </w:p>
    <w:p w14:paraId="60E447D3">
      <w:pPr>
        <w:pageBreakBefore w:val="0"/>
        <w:wordWrap/>
        <w:topLinePunct w:val="0"/>
        <w:bidi w:val="0"/>
        <w:snapToGrid w:val="0"/>
        <w:spacing w:line="360" w:lineRule="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rPr>
        <w:t>2.2.</w:t>
      </w:r>
      <w:r>
        <w:rPr>
          <w:rFonts w:hint="default" w:ascii="仿宋" w:hAnsi="仿宋" w:eastAsia="仿宋" w:cs="仿宋"/>
          <w:b/>
          <w:bCs/>
          <w:color w:val="auto"/>
          <w:kern w:val="0"/>
          <w:sz w:val="28"/>
          <w:szCs w:val="28"/>
          <w:highlight w:val="none"/>
          <w:lang w:val="en-US" w:eastAsia="zh-CN"/>
        </w:rPr>
        <w:t>8</w:t>
      </w:r>
      <w:r>
        <w:rPr>
          <w:rFonts w:hint="eastAsia" w:ascii="仿宋" w:hAnsi="仿宋" w:eastAsia="仿宋" w:cs="仿宋"/>
          <w:b/>
          <w:bCs/>
          <w:color w:val="auto"/>
          <w:kern w:val="0"/>
          <w:sz w:val="28"/>
          <w:szCs w:val="28"/>
          <w:highlight w:val="none"/>
          <w:lang w:val="en-US" w:eastAsia="zh-CN"/>
        </w:rPr>
        <w:t>.</w:t>
      </w:r>
      <w:r>
        <w:rPr>
          <w:rFonts w:hint="default" w:ascii="仿宋" w:hAnsi="仿宋" w:eastAsia="仿宋" w:cs="仿宋"/>
          <w:b/>
          <w:bCs/>
          <w:color w:val="auto"/>
          <w:kern w:val="0"/>
          <w:sz w:val="28"/>
          <w:szCs w:val="28"/>
          <w:highlight w:val="none"/>
          <w:lang w:val="en-US" w:eastAsia="zh-CN"/>
        </w:rPr>
        <w:t>培训服务</w:t>
      </w:r>
      <w:r>
        <w:rPr>
          <w:rFonts w:hint="eastAsia" w:ascii="仿宋" w:hAnsi="仿宋" w:eastAsia="仿宋" w:cs="仿宋"/>
          <w:b/>
          <w:bCs/>
          <w:color w:val="auto"/>
          <w:kern w:val="0"/>
          <w:sz w:val="28"/>
          <w:szCs w:val="28"/>
          <w:highlight w:val="none"/>
          <w:lang w:val="en-US" w:eastAsia="zh-CN"/>
        </w:rPr>
        <w:t>（</w:t>
      </w:r>
      <w:r>
        <w:rPr>
          <w:rFonts w:hint="default" w:ascii="仿宋" w:hAnsi="仿宋" w:eastAsia="仿宋" w:cs="仿宋"/>
          <w:b/>
          <w:bCs/>
          <w:color w:val="auto"/>
          <w:kern w:val="0"/>
          <w:sz w:val="28"/>
          <w:szCs w:val="28"/>
          <w:highlight w:val="none"/>
          <w:lang w:val="en-US" w:eastAsia="zh-CN"/>
        </w:rPr>
        <w:t>投标人须提供承诺函并加盖投标人公章</w:t>
      </w:r>
      <w:r>
        <w:rPr>
          <w:rFonts w:hint="eastAsia" w:ascii="仿宋" w:hAnsi="仿宋" w:eastAsia="仿宋" w:cs="仿宋"/>
          <w:b/>
          <w:bCs/>
          <w:color w:val="auto"/>
          <w:kern w:val="0"/>
          <w:sz w:val="28"/>
          <w:szCs w:val="28"/>
          <w:highlight w:val="none"/>
          <w:lang w:val="en-US" w:eastAsia="zh-CN"/>
        </w:rPr>
        <w:t>）：</w:t>
      </w:r>
    </w:p>
    <w:p w14:paraId="7D71AC1B">
      <w:pPr>
        <w:pageBreakBefore w:val="0"/>
        <w:wordWrap/>
        <w:topLinePunct w:val="0"/>
        <w:bidi w:val="0"/>
        <w:snapToGrid w:val="0"/>
        <w:spacing w:line="360" w:lineRule="auto"/>
        <w:ind w:firstLine="560" w:firstLineChars="200"/>
        <w:rPr>
          <w:rFonts w:hint="eastAsia" w:ascii="仿宋" w:hAnsi="仿宋" w:eastAsia="仿宋" w:cs="仿宋"/>
          <w:color w:val="auto"/>
          <w:sz w:val="28"/>
          <w:szCs w:val="28"/>
          <w:highlight w:val="none"/>
        </w:rPr>
      </w:pPr>
      <w:r>
        <w:rPr>
          <w:rFonts w:hint="default" w:ascii="仿宋" w:hAnsi="仿宋" w:eastAsia="仿宋" w:cs="仿宋"/>
          <w:color w:val="auto"/>
          <w:sz w:val="28"/>
          <w:szCs w:val="28"/>
          <w:highlight w:val="none"/>
          <w:lang w:val="en-US" w:eastAsia="zh-CN"/>
        </w:rPr>
        <w:t>承诺要求如下：投标人必须提供云计算平台的技术培训服务。针对本项目的系统使用与运维人员进行集中的基础理论培训和现场的实践技能培训。保证本项目相关人员在培训后能够独立地对云计算平台进行管理、维护，能够熟练的掌握、使用应用系统，而不需项目开发的人员在场指导。培训场地、交通等与培训相关的费用应包含在投标总价中。</w:t>
      </w:r>
    </w:p>
    <w:p w14:paraId="4ECAE82A">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2.3采购标的的其他技术、服务等要求；</w:t>
      </w:r>
    </w:p>
    <w:p w14:paraId="679F4F1B">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（1）总报价包括完成该项目所需的各项费用及必要的保险费用、各项税金等所有费用的总和，应为履行合同的最终价格，其市场风险由报价单位承担。</w:t>
      </w:r>
    </w:p>
    <w:p w14:paraId="3D4F8DDA">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（2）中标供应商须保证所提供产品应为合格正品，符合国家有关规定。本项目采购的产品，中标供应商负责产品的运输、安装、调试、系统集成、</w:t>
      </w:r>
      <w:r>
        <w:rPr>
          <w:rFonts w:hint="eastAsia" w:ascii="仿宋" w:hAnsi="仿宋" w:eastAsia="仿宋" w:cs="仿宋"/>
          <w:color w:val="auto"/>
          <w:sz w:val="28"/>
          <w:szCs w:val="28"/>
          <w:highlight w:val="none"/>
          <w:lang w:val="en-US" w:eastAsia="zh-CN"/>
        </w:rPr>
        <w:t>综合布线、线缆耗材、</w:t>
      </w:r>
      <w:r>
        <w:rPr>
          <w:rFonts w:hint="eastAsia" w:ascii="仿宋" w:hAnsi="仿宋" w:eastAsia="仿宋" w:cs="仿宋"/>
          <w:color w:val="auto"/>
          <w:sz w:val="28"/>
          <w:szCs w:val="28"/>
          <w:highlight w:val="none"/>
        </w:rPr>
        <w:t>培训等工作，其相关费用以及保修期内设备正常运行所需一切必要费用</w:t>
      </w:r>
      <w:r>
        <w:rPr>
          <w:rFonts w:hint="eastAsia" w:ascii="仿宋" w:hAnsi="仿宋" w:eastAsia="仿宋" w:cs="仿宋"/>
          <w:color w:val="auto"/>
          <w:sz w:val="28"/>
          <w:szCs w:val="28"/>
          <w:highlight w:val="none"/>
          <w:lang w:val="en-US" w:eastAsia="zh-CN"/>
        </w:rPr>
        <w:t>均包含在投标总价内</w:t>
      </w:r>
      <w:r>
        <w:rPr>
          <w:rFonts w:hint="eastAsia" w:ascii="仿宋" w:hAnsi="仿宋" w:eastAsia="仿宋" w:cs="仿宋"/>
          <w:color w:val="auto"/>
          <w:sz w:val="28"/>
          <w:szCs w:val="28"/>
          <w:highlight w:val="none"/>
        </w:rPr>
        <w:t>。中标供应商必须保证解决项目所涉及的技术问题，如因技术原因无法满足用户需求，由此产生的风险由中标供应商承担。</w:t>
      </w:r>
    </w:p>
    <w:p w14:paraId="66AA541C">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（3）中标供应商需配合采购方完成</w:t>
      </w:r>
      <w:r>
        <w:rPr>
          <w:rFonts w:hint="eastAsia" w:ascii="仿宋" w:hAnsi="仿宋" w:eastAsia="仿宋" w:cs="仿宋"/>
          <w:color w:val="auto"/>
          <w:sz w:val="28"/>
          <w:szCs w:val="28"/>
          <w:highlight w:val="none"/>
          <w:lang w:val="en-US" w:eastAsia="zh-CN"/>
        </w:rPr>
        <w:t>项目整体的</w:t>
      </w:r>
      <w:r>
        <w:rPr>
          <w:rFonts w:hint="eastAsia" w:ascii="仿宋" w:hAnsi="仿宋" w:eastAsia="仿宋" w:cs="仿宋"/>
          <w:color w:val="auto"/>
          <w:sz w:val="28"/>
          <w:szCs w:val="28"/>
          <w:highlight w:val="none"/>
        </w:rPr>
        <w:t>软件测评、安全（验收）测评、密码应用安全性评估</w:t>
      </w:r>
      <w:r>
        <w:rPr>
          <w:rFonts w:hint="eastAsia" w:ascii="仿宋" w:hAnsi="仿宋" w:eastAsia="仿宋" w:cs="仿宋"/>
          <w:color w:val="auto"/>
          <w:sz w:val="28"/>
          <w:szCs w:val="28"/>
          <w:highlight w:val="none"/>
          <w:lang w:val="en-US" w:eastAsia="zh-CN"/>
        </w:rPr>
        <w:t>等</w:t>
      </w:r>
      <w:r>
        <w:rPr>
          <w:rFonts w:hint="eastAsia" w:ascii="仿宋" w:hAnsi="仿宋" w:eastAsia="仿宋" w:cs="仿宋"/>
          <w:color w:val="auto"/>
          <w:sz w:val="28"/>
          <w:szCs w:val="28"/>
          <w:highlight w:val="none"/>
        </w:rPr>
        <w:t>。如有相关软硬件整改工作，中标供应商需配合完成整改，确保系统通过测评，费用</w:t>
      </w:r>
      <w:r>
        <w:rPr>
          <w:rFonts w:hint="eastAsia" w:ascii="仿宋" w:hAnsi="仿宋" w:eastAsia="仿宋" w:cs="仿宋"/>
          <w:color w:val="auto"/>
          <w:sz w:val="28"/>
          <w:szCs w:val="28"/>
          <w:highlight w:val="none"/>
          <w:lang w:val="en-US" w:eastAsia="zh-CN"/>
        </w:rPr>
        <w:t>均包含在投标总价内</w:t>
      </w:r>
      <w:r>
        <w:rPr>
          <w:rFonts w:hint="eastAsia" w:ascii="仿宋" w:hAnsi="仿宋" w:eastAsia="仿宋" w:cs="仿宋"/>
          <w:color w:val="auto"/>
          <w:sz w:val="28"/>
          <w:szCs w:val="28"/>
          <w:highlight w:val="none"/>
        </w:rPr>
        <w:t>。</w:t>
      </w:r>
    </w:p>
    <w:p w14:paraId="62DF2B8B">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（4）投标人提供的产品必须安装在用户使用单位指定场所，对本次项目中的产品在质保期内提供免费升级、维护等服务，费用</w:t>
      </w:r>
      <w:r>
        <w:rPr>
          <w:rFonts w:hint="eastAsia" w:ascii="仿宋" w:hAnsi="仿宋" w:eastAsia="仿宋" w:cs="仿宋"/>
          <w:color w:val="auto"/>
          <w:sz w:val="28"/>
          <w:szCs w:val="28"/>
          <w:highlight w:val="none"/>
          <w:lang w:val="en-US" w:eastAsia="zh-CN"/>
        </w:rPr>
        <w:t>均包含在投标总价内</w:t>
      </w:r>
      <w:r>
        <w:rPr>
          <w:rFonts w:hint="eastAsia" w:ascii="仿宋" w:hAnsi="仿宋" w:eastAsia="仿宋" w:cs="仿宋"/>
          <w:color w:val="auto"/>
          <w:sz w:val="28"/>
          <w:szCs w:val="28"/>
          <w:highlight w:val="none"/>
        </w:rPr>
        <w:t>。</w:t>
      </w:r>
    </w:p>
    <w:p w14:paraId="44D1A111">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2.5需由供应商提供设计方案、解决方案或者组织方案的采购项目，应当说明采购标的的功能、应用场景、目标等基本要求。</w:t>
      </w:r>
    </w:p>
    <w:p w14:paraId="67488357">
      <w:pPr>
        <w:pageBreakBefore w:val="0"/>
        <w:wordWrap/>
        <w:topLinePunct w:val="0"/>
        <w:bidi w:val="0"/>
        <w:snapToGrid w:val="0"/>
        <w:spacing w:beforeAutospacing="0" w:afterAutospacing="0" w:line="360" w:lineRule="auto"/>
        <w:contextualSpacing/>
        <w:rPr>
          <w:rFonts w:hint="eastAsia" w:ascii="仿宋" w:hAnsi="仿宋" w:eastAsia="仿宋" w:cs="仿宋"/>
          <w:i/>
          <w:iCs/>
          <w:color w:val="auto"/>
          <w:sz w:val="28"/>
          <w:szCs w:val="28"/>
          <w:highlight w:val="none"/>
        </w:rPr>
      </w:pPr>
      <w:r>
        <w:rPr>
          <w:rFonts w:hint="eastAsia" w:ascii="仿宋" w:hAnsi="仿宋" w:eastAsia="仿宋" w:cs="仿宋"/>
          <w:color w:val="auto"/>
          <w:sz w:val="28"/>
          <w:szCs w:val="28"/>
          <w:highlight w:val="none"/>
        </w:rPr>
        <w:t>3. 验收标准</w:t>
      </w:r>
    </w:p>
    <w:p w14:paraId="4E3B68E2">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项目建设完成后，采购人及投标人双方依据技术合同约定的系统功能和性能等要求，组织初验。验收合格后，双方签字认可，出具初验报告。</w:t>
      </w:r>
    </w:p>
    <w:p w14:paraId="30FDEDC7">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项目通过初验后进入至少为期</w:t>
      </w:r>
      <w:r>
        <w:rPr>
          <w:rFonts w:hint="eastAsia" w:ascii="仿宋" w:hAnsi="仿宋" w:eastAsia="仿宋" w:cs="仿宋"/>
          <w:color w:val="auto"/>
          <w:sz w:val="28"/>
          <w:szCs w:val="28"/>
          <w:highlight w:val="none"/>
          <w:u w:val="single"/>
        </w:rPr>
        <w:t>180</w:t>
      </w:r>
      <w:r>
        <w:rPr>
          <w:rFonts w:hint="eastAsia" w:ascii="仿宋" w:hAnsi="仿宋" w:eastAsia="仿宋" w:cs="仿宋"/>
          <w:color w:val="auto"/>
          <w:sz w:val="28"/>
          <w:szCs w:val="28"/>
          <w:highlight w:val="none"/>
        </w:rPr>
        <w:t>个日历日的试运行期，期间如发生问题，自问题发生之日起试运行期将予以延长</w:t>
      </w:r>
      <w:r>
        <w:rPr>
          <w:rFonts w:hint="eastAsia" w:ascii="仿宋" w:hAnsi="仿宋" w:eastAsia="仿宋" w:cs="仿宋"/>
          <w:color w:val="auto"/>
          <w:sz w:val="28"/>
          <w:szCs w:val="28"/>
          <w:highlight w:val="none"/>
          <w:u w:val="single"/>
        </w:rPr>
        <w:t>30</w:t>
      </w:r>
      <w:r>
        <w:rPr>
          <w:rFonts w:hint="eastAsia" w:ascii="仿宋" w:hAnsi="仿宋" w:eastAsia="仿宋" w:cs="仿宋"/>
          <w:color w:val="auto"/>
          <w:sz w:val="28"/>
          <w:szCs w:val="28"/>
          <w:highlight w:val="none"/>
        </w:rPr>
        <w:t>个日历日。</w:t>
      </w:r>
    </w:p>
    <w:p w14:paraId="3550E1EB">
      <w:pPr>
        <w:pageBreakBefore w:val="0"/>
        <w:tabs>
          <w:tab w:val="left" w:pos="0"/>
        </w:tabs>
        <w:wordWrap/>
        <w:topLinePunct w:val="0"/>
        <w:bidi w:val="0"/>
        <w:snapToGrid w:val="0"/>
        <w:spacing w:beforeAutospacing="0" w:afterAutospacing="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项目试运行期满，并完成</w:t>
      </w:r>
      <w:r>
        <w:rPr>
          <w:rFonts w:hint="eastAsia" w:ascii="仿宋" w:hAnsi="仿宋" w:eastAsia="仿宋" w:cs="仿宋"/>
          <w:color w:val="auto"/>
          <w:sz w:val="28"/>
          <w:szCs w:val="28"/>
          <w:highlight w:val="none"/>
          <w:lang w:val="en-US" w:eastAsia="zh-CN"/>
        </w:rPr>
        <w:t>项目整体的</w:t>
      </w:r>
      <w:r>
        <w:rPr>
          <w:rFonts w:hint="eastAsia" w:ascii="仿宋" w:hAnsi="仿宋" w:eastAsia="仿宋" w:cs="仿宋"/>
          <w:color w:val="auto"/>
          <w:sz w:val="28"/>
          <w:szCs w:val="28"/>
          <w:highlight w:val="none"/>
        </w:rPr>
        <w:t>第三方软件测评、安全（验收）测评和密码应用安全性评估后，采购人及中标人双方共同组成验收小组，经采购人确认后按照技术合同约定的验收标准和采购人科技项目管理相关规定进行最终验收。验收应在采购人提供的各类硬件运行环境下进行，通过后出具最终验收报告。</w:t>
      </w:r>
    </w:p>
    <w:p w14:paraId="72E32A1F">
      <w:pPr>
        <w:pageBreakBefore w:val="0"/>
        <w:wordWrap/>
        <w:topLinePunct w:val="0"/>
        <w:bidi w:val="0"/>
        <w:snapToGrid w:val="0"/>
        <w:spacing w:beforeAutospacing="0" w:afterAutospacing="0"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验收文档的提交应覆盖以下内容，电子文档是成果不可分割的部分。要求如下文档：</w:t>
      </w:r>
    </w:p>
    <w:p w14:paraId="3EF4B024">
      <w:pPr>
        <w:pageBreakBefore w:val="0"/>
        <w:wordWrap/>
        <w:topLinePunct w:val="0"/>
        <w:bidi w:val="0"/>
        <w:snapToGrid w:val="0"/>
        <w:spacing w:beforeAutospacing="0" w:afterAutospacing="0" w:line="360" w:lineRule="auto"/>
        <w:ind w:left="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（1）项目实施前：需求分析报告；施工方案、项目实施计划；</w:t>
      </w:r>
    </w:p>
    <w:p w14:paraId="5FE7F8A6">
      <w:pPr>
        <w:pageBreakBefore w:val="0"/>
        <w:wordWrap/>
        <w:topLinePunct w:val="0"/>
        <w:bidi w:val="0"/>
        <w:snapToGrid w:val="0"/>
        <w:spacing w:beforeAutospacing="0" w:afterAutospacing="0" w:line="360" w:lineRule="auto"/>
        <w:ind w:left="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（2）项目实施期间：项目实施工作单、故障诊断及排除记录、项目例会会议纪要等项目实施过程中衍生的其它相关资料；</w:t>
      </w:r>
    </w:p>
    <w:p w14:paraId="53BC2754">
      <w:pPr>
        <w:pageBreakBefore w:val="0"/>
        <w:wordWrap/>
        <w:topLinePunct w:val="0"/>
        <w:bidi w:val="0"/>
        <w:snapToGrid w:val="0"/>
        <w:spacing w:beforeAutospacing="0" w:afterAutospacing="0" w:line="360" w:lineRule="auto"/>
        <w:ind w:left="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（3）项目实施后：项目竣工报告、系统试运行和自测报告、故障诊断与排除手册、项目工作总结报告、协助采购人编制资产财务报告；</w:t>
      </w:r>
    </w:p>
    <w:p w14:paraId="0868A17D">
      <w:pPr>
        <w:pageBreakBefore w:val="0"/>
        <w:wordWrap/>
        <w:topLinePunct w:val="0"/>
        <w:bidi w:val="0"/>
        <w:snapToGrid w:val="0"/>
        <w:spacing w:beforeAutospacing="0" w:afterAutospacing="0" w:line="360" w:lineRule="auto"/>
        <w:ind w:left="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（4）在系统试运行期间由专业评测资质的机构</w:t>
      </w:r>
      <w:r>
        <w:rPr>
          <w:rFonts w:hint="eastAsia" w:ascii="仿宋" w:hAnsi="仿宋" w:eastAsia="仿宋" w:cs="仿宋"/>
          <w:color w:val="auto"/>
          <w:sz w:val="28"/>
          <w:szCs w:val="28"/>
          <w:highlight w:val="none"/>
          <w:lang w:val="en-US" w:eastAsia="zh-CN"/>
        </w:rPr>
        <w:t>完成</w:t>
      </w:r>
      <w:r>
        <w:rPr>
          <w:rFonts w:hint="eastAsia" w:ascii="仿宋" w:hAnsi="仿宋" w:eastAsia="仿宋" w:cs="仿宋"/>
          <w:color w:val="auto"/>
          <w:sz w:val="28"/>
          <w:szCs w:val="28"/>
          <w:highlight w:val="none"/>
        </w:rPr>
        <w:t>对本项目</w:t>
      </w:r>
      <w:r>
        <w:rPr>
          <w:rFonts w:hint="eastAsia" w:ascii="仿宋" w:hAnsi="仿宋" w:eastAsia="仿宋" w:cs="仿宋"/>
          <w:color w:val="auto"/>
          <w:sz w:val="28"/>
          <w:szCs w:val="28"/>
          <w:highlight w:val="none"/>
          <w:lang w:val="en-US" w:eastAsia="zh-CN"/>
        </w:rPr>
        <w:t>整体</w:t>
      </w:r>
      <w:r>
        <w:rPr>
          <w:rFonts w:hint="eastAsia" w:ascii="仿宋" w:hAnsi="仿宋" w:eastAsia="仿宋" w:cs="仿宋"/>
          <w:color w:val="auto"/>
          <w:sz w:val="28"/>
          <w:szCs w:val="28"/>
          <w:highlight w:val="none"/>
        </w:rPr>
        <w:t>的软件测评、安全（验收）测评、密码应用安全性评估，并提供测评报告；</w:t>
      </w:r>
    </w:p>
    <w:p w14:paraId="0B50A619">
      <w:pPr>
        <w:pageBreakBefore w:val="0"/>
        <w:wordWrap/>
        <w:topLinePunct w:val="0"/>
        <w:bidi w:val="0"/>
        <w:snapToGrid w:val="0"/>
        <w:spacing w:beforeAutospacing="0" w:afterAutospacing="0" w:line="360" w:lineRule="auto"/>
        <w:ind w:left="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（5）培训期间：培训计划、培训教材、用户使用手册、管理员使用手册；</w:t>
      </w:r>
    </w:p>
    <w:p w14:paraId="2C0C443C">
      <w:pPr>
        <w:pageBreakBefore w:val="0"/>
        <w:wordWrap/>
        <w:topLinePunct w:val="0"/>
        <w:bidi w:val="0"/>
        <w:snapToGrid w:val="0"/>
        <w:spacing w:beforeAutospacing="0" w:afterAutospacing="0" w:line="360" w:lineRule="auto"/>
        <w:ind w:left="48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（6）其他需要提交的材料。</w:t>
      </w:r>
    </w:p>
    <w:p w14:paraId="234E14F8">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其他要求</w:t>
      </w:r>
    </w:p>
    <w:p w14:paraId="5BCF3741">
      <w:pPr>
        <w:pageBreakBefore w:val="0"/>
        <w:widowControl/>
        <w:wordWrap/>
        <w:topLinePunct w:val="0"/>
        <w:bidi w:val="0"/>
        <w:snapToGrid w:val="0"/>
        <w:spacing w:beforeAutospacing="0" w:afterAutospacing="0" w:line="360" w:lineRule="auto"/>
        <w:ind w:firstLine="0" w:firstLineChars="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4.1</w:t>
      </w:r>
      <w:r>
        <w:rPr>
          <w:rFonts w:hint="eastAsia" w:ascii="仿宋" w:hAnsi="仿宋" w:eastAsia="仿宋" w:cs="仿宋"/>
          <w:bCs/>
          <w:color w:val="auto"/>
          <w:sz w:val="28"/>
          <w:szCs w:val="28"/>
          <w:highlight w:val="none"/>
        </w:rPr>
        <w:t>采购需求还应当符合《政务信息系统政府采购管理暂行办法》（财库〔2017〕210号）的相关要求。</w:t>
      </w:r>
    </w:p>
    <w:p w14:paraId="32C41927">
      <w:pPr>
        <w:pageBreakBefore w:val="0"/>
        <w:widowControl/>
        <w:wordWrap/>
        <w:topLinePunct w:val="0"/>
        <w:bidi w:val="0"/>
        <w:snapToGrid w:val="0"/>
        <w:spacing w:beforeAutospacing="0" w:afterAutospacing="0" w:line="360" w:lineRule="auto"/>
        <w:ind w:firstLine="0" w:firstLineChars="0"/>
        <w:contextualSpacing/>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4.2供货保障要求</w:t>
      </w:r>
    </w:p>
    <w:p w14:paraId="2ABAEC93">
      <w:pPr>
        <w:pageBreakBefore w:val="0"/>
        <w:widowControl/>
        <w:wordWrap/>
        <w:topLinePunct w:val="0"/>
        <w:bidi w:val="0"/>
        <w:snapToGrid w:val="0"/>
        <w:spacing w:beforeAutospacing="0" w:afterAutospacing="0" w:line="360" w:lineRule="auto"/>
        <w:ind w:firstLine="560" w:firstLineChars="200"/>
        <w:contextualSpacing/>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投标人须提供承诺函（加盖投标人公章），承诺保证在采购人指定时间内完成网络节点整机供货，并承诺已获得采购标的所有网络节点设备的CPU原厂商和整机原厂商的供货保障承诺函（标明参与该项目投标的网络节点处理器的品牌、型号和数量），不会因网络节点处理器、内存及硬盘产能或供货问题影响项目进度。投标人并需承诺所有产品均由原厂供货。</w:t>
      </w:r>
    </w:p>
    <w:p w14:paraId="3902833E">
      <w:pPr>
        <w:pageBreakBefore w:val="0"/>
        <w:widowControl/>
        <w:wordWrap/>
        <w:topLinePunct w:val="0"/>
        <w:bidi w:val="0"/>
        <w:snapToGrid w:val="0"/>
        <w:spacing w:beforeAutospacing="0" w:afterAutospacing="0" w:line="360" w:lineRule="auto"/>
        <w:ind w:firstLine="0" w:firstLineChars="0"/>
        <w:contextualSpacing/>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4.3测试要求</w:t>
      </w:r>
    </w:p>
    <w:p w14:paraId="2F2E64D8">
      <w:pPr>
        <w:pageBreakBefore w:val="0"/>
        <w:widowControl/>
        <w:wordWrap/>
        <w:topLinePunct w:val="0"/>
        <w:bidi w:val="0"/>
        <w:snapToGrid w:val="0"/>
        <w:spacing w:beforeAutospacing="0" w:afterAutospacing="0" w:line="360" w:lineRule="auto"/>
        <w:ind w:firstLine="560" w:firstLineChars="200"/>
        <w:contextualSpacing/>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投标人提供所投云计算相关平台，由公安部计算机信息系统安全产品质量监督检验中心针对公安云计算平台相关7个标准（标准编号包括111、112、113、121、122、123、124）的检测报告，包含基于公安部基准环境的符合性测试结果</w:t>
      </w:r>
      <w:r>
        <w:rPr>
          <w:rFonts w:hint="eastAsia" w:ascii="仿宋" w:hAnsi="仿宋" w:eastAsia="仿宋" w:cs="仿宋"/>
          <w:bCs/>
          <w:color w:val="auto"/>
          <w:sz w:val="28"/>
          <w:szCs w:val="28"/>
          <w:highlight w:val="none"/>
          <w:lang w:val="en-US" w:eastAsia="zh-CN"/>
        </w:rPr>
        <w:t>、基于异构兼容环境的符合性测试结果、基于其他云平台的南北向异构兼容性测试结果</w:t>
      </w:r>
      <w:r>
        <w:rPr>
          <w:rFonts w:hint="default" w:ascii="仿宋" w:hAnsi="仿宋" w:eastAsia="仿宋" w:cs="仿宋"/>
          <w:bCs/>
          <w:color w:val="auto"/>
          <w:sz w:val="28"/>
          <w:szCs w:val="28"/>
          <w:highlight w:val="none"/>
          <w:lang w:val="en-US" w:eastAsia="zh-CN"/>
        </w:rPr>
        <w:t>，并加盖投标人公章。</w:t>
      </w:r>
    </w:p>
    <w:p w14:paraId="15F2063A">
      <w:pPr>
        <w:pageBreakBefore w:val="0"/>
        <w:widowControl/>
        <w:wordWrap/>
        <w:topLinePunct w:val="0"/>
        <w:bidi w:val="0"/>
        <w:snapToGrid w:val="0"/>
        <w:spacing w:beforeAutospacing="0" w:afterAutospacing="0" w:line="360" w:lineRule="auto"/>
        <w:ind w:firstLine="0" w:firstLineChars="0"/>
        <w:contextualSpacing/>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4.4技术方案要求</w:t>
      </w:r>
    </w:p>
    <w:p w14:paraId="16605191">
      <w:pPr>
        <w:pageBreakBefore w:val="0"/>
        <w:widowControl/>
        <w:wordWrap/>
        <w:topLinePunct w:val="0"/>
        <w:bidi w:val="0"/>
        <w:snapToGrid w:val="0"/>
        <w:spacing w:beforeAutospacing="0" w:afterAutospacing="0" w:line="360" w:lineRule="auto"/>
        <w:ind w:firstLine="560" w:firstLineChars="200"/>
        <w:contextualSpacing/>
        <w:rPr>
          <w:rFonts w:hint="default" w:ascii="仿宋" w:hAnsi="仿宋" w:eastAsia="仿宋" w:cs="仿宋"/>
          <w:bCs/>
          <w:color w:val="auto"/>
          <w:sz w:val="28"/>
          <w:szCs w:val="28"/>
          <w:highlight w:val="none"/>
          <w:lang w:val="en-US" w:eastAsia="zh-CN"/>
        </w:rPr>
      </w:pPr>
      <w:r>
        <w:rPr>
          <w:rFonts w:hint="default" w:ascii="仿宋" w:hAnsi="仿宋" w:eastAsia="仿宋" w:cs="仿宋"/>
          <w:bCs/>
          <w:color w:val="auto"/>
          <w:sz w:val="28"/>
          <w:szCs w:val="28"/>
          <w:highlight w:val="none"/>
          <w:lang w:val="en-US" w:eastAsia="zh-CN"/>
        </w:rPr>
        <w:t>技术方案需</w:t>
      </w:r>
      <w:r>
        <w:rPr>
          <w:rFonts w:hint="eastAsia" w:ascii="仿宋" w:hAnsi="仿宋" w:eastAsia="仿宋" w:cs="仿宋"/>
          <w:bCs/>
          <w:color w:val="auto"/>
          <w:sz w:val="28"/>
          <w:szCs w:val="28"/>
          <w:highlight w:val="none"/>
          <w:lang w:val="en-US" w:eastAsia="zh-CN"/>
        </w:rPr>
        <w:t>至少</w:t>
      </w:r>
      <w:r>
        <w:rPr>
          <w:rFonts w:hint="default" w:ascii="仿宋" w:hAnsi="仿宋" w:eastAsia="仿宋" w:cs="仿宋"/>
          <w:bCs/>
          <w:color w:val="auto"/>
          <w:sz w:val="28"/>
          <w:szCs w:val="28"/>
          <w:highlight w:val="none"/>
          <w:lang w:val="en-US" w:eastAsia="zh-CN"/>
        </w:rPr>
        <w:t>包含①总体方案规划②IaaS层兼容方案③PaaS层兼容方案④安全兼容方案⑤方案优势⑥产品选型优势</w:t>
      </w:r>
      <w:r>
        <w:rPr>
          <w:rFonts w:hint="eastAsia" w:ascii="仿宋" w:hAnsi="仿宋" w:eastAsia="仿宋" w:cs="仿宋"/>
          <w:b w:val="0"/>
          <w:bCs/>
          <w:color w:val="auto"/>
          <w:kern w:val="2"/>
          <w:sz w:val="28"/>
          <w:szCs w:val="28"/>
          <w:highlight w:val="none"/>
          <w:lang w:val="en-US" w:eastAsia="zh-CN"/>
        </w:rPr>
        <w:t>等内容</w:t>
      </w:r>
      <w:r>
        <w:rPr>
          <w:rFonts w:hint="default" w:ascii="仿宋" w:hAnsi="仿宋" w:eastAsia="仿宋" w:cs="仿宋"/>
          <w:bCs/>
          <w:color w:val="auto"/>
          <w:sz w:val="28"/>
          <w:szCs w:val="28"/>
          <w:highlight w:val="none"/>
          <w:lang w:val="en-US" w:eastAsia="zh-CN"/>
        </w:rPr>
        <w:t>。</w:t>
      </w:r>
    </w:p>
    <w:p w14:paraId="7EEA23C5">
      <w:pPr>
        <w:pageBreakBefore w:val="0"/>
        <w:widowControl/>
        <w:wordWrap/>
        <w:topLinePunct w:val="0"/>
        <w:bidi w:val="0"/>
        <w:snapToGrid w:val="0"/>
        <w:spacing w:beforeAutospacing="0" w:afterAutospacing="0" w:line="360" w:lineRule="auto"/>
        <w:ind w:firstLine="0" w:firstLineChars="0"/>
        <w:contextualSpacing/>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4.5软件适配改造要求</w:t>
      </w:r>
    </w:p>
    <w:p w14:paraId="606E8070">
      <w:pPr>
        <w:pageBreakBefore w:val="0"/>
        <w:widowControl/>
        <w:wordWrap/>
        <w:topLinePunct w:val="0"/>
        <w:bidi w:val="0"/>
        <w:snapToGrid w:val="0"/>
        <w:spacing w:beforeAutospacing="0" w:afterAutospacing="0" w:line="360" w:lineRule="auto"/>
        <w:ind w:firstLine="560" w:firstLineChars="200"/>
        <w:contextualSpacing/>
        <w:rPr>
          <w:rFonts w:hint="default" w:ascii="仿宋" w:hAnsi="仿宋" w:eastAsia="仿宋" w:cs="仿宋"/>
          <w:b w:val="0"/>
          <w:bCs/>
          <w:color w:val="auto"/>
          <w:kern w:val="2"/>
          <w:sz w:val="28"/>
          <w:szCs w:val="28"/>
          <w:highlight w:val="none"/>
        </w:rPr>
      </w:pPr>
      <w:r>
        <w:rPr>
          <w:rFonts w:hint="eastAsia" w:ascii="仿宋" w:hAnsi="仿宋" w:eastAsia="仿宋" w:cs="仿宋"/>
          <w:bCs/>
          <w:color w:val="auto"/>
          <w:sz w:val="28"/>
          <w:szCs w:val="28"/>
          <w:highlight w:val="none"/>
          <w:lang w:val="en-US" w:eastAsia="zh-CN"/>
        </w:rPr>
        <w:t>软件适配改造要求应至少</w:t>
      </w:r>
      <w:r>
        <w:rPr>
          <w:rFonts w:hint="default" w:ascii="仿宋" w:hAnsi="仿宋" w:eastAsia="仿宋" w:cs="仿宋"/>
          <w:b w:val="0"/>
          <w:bCs/>
          <w:color w:val="auto"/>
          <w:kern w:val="2"/>
          <w:sz w:val="28"/>
          <w:szCs w:val="28"/>
          <w:highlight w:val="none"/>
        </w:rPr>
        <w:t>包括①软件适配方案②数据迁移方案③软件测试方案④软件部署与切换方案</w:t>
      </w:r>
      <w:r>
        <w:rPr>
          <w:rFonts w:hint="eastAsia" w:ascii="仿宋" w:hAnsi="仿宋" w:eastAsia="仿宋" w:cs="仿宋"/>
          <w:b w:val="0"/>
          <w:bCs/>
          <w:color w:val="auto"/>
          <w:kern w:val="2"/>
          <w:sz w:val="28"/>
          <w:szCs w:val="28"/>
          <w:highlight w:val="none"/>
          <w:lang w:val="en-US" w:eastAsia="zh-CN"/>
        </w:rPr>
        <w:t>等内容</w:t>
      </w:r>
      <w:r>
        <w:rPr>
          <w:rFonts w:hint="default" w:ascii="仿宋" w:hAnsi="仿宋" w:eastAsia="仿宋" w:cs="仿宋"/>
          <w:b w:val="0"/>
          <w:bCs/>
          <w:color w:val="auto"/>
          <w:kern w:val="2"/>
          <w:sz w:val="28"/>
          <w:szCs w:val="28"/>
          <w:highlight w:val="none"/>
        </w:rPr>
        <w:t>。</w:t>
      </w:r>
    </w:p>
    <w:p w14:paraId="12ED1AFE">
      <w:pPr>
        <w:pageBreakBefore w:val="0"/>
        <w:widowControl/>
        <w:wordWrap/>
        <w:topLinePunct w:val="0"/>
        <w:bidi w:val="0"/>
        <w:snapToGrid w:val="0"/>
        <w:spacing w:beforeAutospacing="0" w:afterAutospacing="0" w:line="360" w:lineRule="auto"/>
        <w:ind w:firstLine="0" w:firstLineChars="0"/>
        <w:contextualSpacing/>
        <w:rPr>
          <w:rFonts w:hint="eastAsia"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4.6实施方案要求</w:t>
      </w:r>
    </w:p>
    <w:p w14:paraId="27CD3FDD">
      <w:pPr>
        <w:pageBreakBefore w:val="0"/>
        <w:widowControl/>
        <w:wordWrap/>
        <w:topLinePunct w:val="0"/>
        <w:bidi w:val="0"/>
        <w:snapToGrid w:val="0"/>
        <w:spacing w:beforeAutospacing="0" w:afterAutospacing="0" w:line="360" w:lineRule="auto"/>
        <w:ind w:firstLine="560" w:firstLineChars="200"/>
        <w:contextualSpacing/>
        <w:rPr>
          <w:rFonts w:hint="default"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实施方案要应至少</w:t>
      </w:r>
      <w:r>
        <w:rPr>
          <w:rFonts w:hint="default" w:ascii="仿宋" w:hAnsi="仿宋" w:eastAsia="仿宋" w:cs="仿宋"/>
          <w:b w:val="0"/>
          <w:bCs/>
          <w:color w:val="auto"/>
          <w:kern w:val="2"/>
          <w:sz w:val="28"/>
          <w:szCs w:val="28"/>
          <w:highlight w:val="none"/>
          <w:lang w:val="en-US" w:eastAsia="zh-CN"/>
        </w:rPr>
        <w:t>包含①项目进度②实施技术方法与步骤③实施工作管理制度④应急预案及措施⑤实施过程质量保证措施⑥综合布线</w:t>
      </w:r>
      <w:r>
        <w:rPr>
          <w:rFonts w:hint="eastAsia" w:ascii="仿宋" w:hAnsi="仿宋" w:eastAsia="仿宋" w:cs="仿宋"/>
          <w:b w:val="0"/>
          <w:bCs/>
          <w:color w:val="auto"/>
          <w:kern w:val="2"/>
          <w:sz w:val="28"/>
          <w:szCs w:val="28"/>
          <w:highlight w:val="none"/>
          <w:lang w:val="en-US" w:eastAsia="zh-CN"/>
        </w:rPr>
        <w:t>等内容</w:t>
      </w:r>
      <w:r>
        <w:rPr>
          <w:rFonts w:hint="default" w:ascii="仿宋" w:hAnsi="仿宋" w:eastAsia="仿宋" w:cs="仿宋"/>
          <w:b w:val="0"/>
          <w:bCs/>
          <w:color w:val="auto"/>
          <w:kern w:val="2"/>
          <w:sz w:val="28"/>
          <w:szCs w:val="28"/>
          <w:highlight w:val="none"/>
          <w:lang w:val="en-US" w:eastAsia="zh-CN"/>
        </w:rPr>
        <w:t>。</w:t>
      </w:r>
    </w:p>
    <w:p w14:paraId="55FB061A">
      <w:pPr>
        <w:pageBreakBefore w:val="0"/>
        <w:widowControl/>
        <w:wordWrap/>
        <w:topLinePunct w:val="0"/>
        <w:bidi w:val="0"/>
        <w:snapToGrid w:val="0"/>
        <w:spacing w:beforeAutospacing="0" w:afterAutospacing="0" w:line="360" w:lineRule="auto"/>
        <w:ind w:firstLine="0" w:firstLineChars="0"/>
        <w:contextualSpacing/>
        <w:rPr>
          <w:rFonts w:hint="eastAsia"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4.7</w:t>
      </w:r>
      <w:r>
        <w:rPr>
          <w:rFonts w:hint="default" w:ascii="仿宋" w:hAnsi="仿宋" w:eastAsia="仿宋" w:cs="仿宋"/>
          <w:b w:val="0"/>
          <w:bCs/>
          <w:color w:val="auto"/>
          <w:kern w:val="2"/>
          <w:sz w:val="28"/>
          <w:szCs w:val="28"/>
          <w:highlight w:val="none"/>
          <w:lang w:val="en-US" w:eastAsia="zh-CN"/>
        </w:rPr>
        <w:t>集成方案</w:t>
      </w:r>
      <w:r>
        <w:rPr>
          <w:rFonts w:hint="eastAsia" w:ascii="仿宋" w:hAnsi="仿宋" w:eastAsia="仿宋" w:cs="仿宋"/>
          <w:b w:val="0"/>
          <w:bCs/>
          <w:color w:val="auto"/>
          <w:kern w:val="2"/>
          <w:sz w:val="28"/>
          <w:szCs w:val="28"/>
          <w:highlight w:val="none"/>
          <w:lang w:val="en-US" w:eastAsia="zh-CN"/>
        </w:rPr>
        <w:t>要求</w:t>
      </w:r>
    </w:p>
    <w:p w14:paraId="535952E2">
      <w:pPr>
        <w:pageBreakBefore w:val="0"/>
        <w:widowControl/>
        <w:wordWrap/>
        <w:topLinePunct w:val="0"/>
        <w:bidi w:val="0"/>
        <w:snapToGrid w:val="0"/>
        <w:spacing w:beforeAutospacing="0" w:afterAutospacing="0" w:line="360" w:lineRule="auto"/>
        <w:ind w:firstLine="560" w:firstLineChars="200"/>
        <w:contextualSpacing/>
        <w:rPr>
          <w:rFonts w:hint="default" w:ascii="仿宋" w:hAnsi="仿宋" w:eastAsia="仿宋" w:cs="仿宋"/>
          <w:b w:val="0"/>
          <w:bCs/>
          <w:color w:val="auto"/>
          <w:kern w:val="2"/>
          <w:sz w:val="28"/>
          <w:szCs w:val="28"/>
          <w:highlight w:val="none"/>
          <w:lang w:val="en-US" w:eastAsia="zh-CN"/>
        </w:rPr>
      </w:pPr>
      <w:r>
        <w:rPr>
          <w:rFonts w:hint="default" w:ascii="仿宋" w:hAnsi="仿宋" w:eastAsia="仿宋" w:cs="仿宋"/>
          <w:b w:val="0"/>
          <w:bCs/>
          <w:color w:val="auto"/>
          <w:kern w:val="2"/>
          <w:sz w:val="28"/>
          <w:szCs w:val="28"/>
          <w:highlight w:val="none"/>
          <w:lang w:val="en-US" w:eastAsia="zh-CN"/>
        </w:rPr>
        <w:t>集成方案</w:t>
      </w:r>
      <w:r>
        <w:rPr>
          <w:rFonts w:hint="eastAsia" w:ascii="仿宋" w:hAnsi="仿宋" w:eastAsia="仿宋" w:cs="仿宋"/>
          <w:b w:val="0"/>
          <w:bCs/>
          <w:color w:val="auto"/>
          <w:kern w:val="2"/>
          <w:sz w:val="28"/>
          <w:szCs w:val="28"/>
          <w:highlight w:val="none"/>
          <w:lang w:val="en-US" w:eastAsia="zh-CN"/>
        </w:rPr>
        <w:t>应至少</w:t>
      </w:r>
      <w:r>
        <w:rPr>
          <w:rFonts w:hint="default" w:ascii="仿宋" w:hAnsi="仿宋" w:eastAsia="仿宋" w:cs="仿宋"/>
          <w:b w:val="0"/>
          <w:bCs/>
          <w:color w:val="auto"/>
          <w:kern w:val="2"/>
          <w:sz w:val="28"/>
          <w:szCs w:val="28"/>
          <w:highlight w:val="none"/>
          <w:lang w:val="en-US" w:eastAsia="zh-CN"/>
        </w:rPr>
        <w:t>包含①整体集成架构设计方案②逻辑架构设计方案③技术架构设计方案④物理架构设计方案</w:t>
      </w:r>
      <w:r>
        <w:rPr>
          <w:rFonts w:hint="eastAsia" w:ascii="仿宋" w:hAnsi="仿宋" w:eastAsia="仿宋" w:cs="仿宋"/>
          <w:b w:val="0"/>
          <w:bCs/>
          <w:color w:val="auto"/>
          <w:kern w:val="2"/>
          <w:sz w:val="28"/>
          <w:szCs w:val="28"/>
          <w:highlight w:val="none"/>
          <w:lang w:val="en-US" w:eastAsia="zh-CN"/>
        </w:rPr>
        <w:t>等内容</w:t>
      </w:r>
      <w:r>
        <w:rPr>
          <w:rFonts w:hint="default" w:ascii="仿宋" w:hAnsi="仿宋" w:eastAsia="仿宋" w:cs="仿宋"/>
          <w:b w:val="0"/>
          <w:bCs/>
          <w:color w:val="auto"/>
          <w:kern w:val="2"/>
          <w:sz w:val="28"/>
          <w:szCs w:val="28"/>
          <w:highlight w:val="none"/>
          <w:lang w:val="en-US" w:eastAsia="zh-CN"/>
        </w:rPr>
        <w:t>。</w:t>
      </w:r>
    </w:p>
    <w:p w14:paraId="0ECF233E">
      <w:pPr>
        <w:pageBreakBefore w:val="0"/>
        <w:widowControl/>
        <w:wordWrap/>
        <w:topLinePunct w:val="0"/>
        <w:bidi w:val="0"/>
        <w:snapToGrid w:val="0"/>
        <w:spacing w:beforeAutospacing="0" w:afterAutospacing="0" w:line="360" w:lineRule="auto"/>
        <w:ind w:firstLine="0" w:firstLineChars="0"/>
        <w:contextualSpacing/>
        <w:rPr>
          <w:rFonts w:hint="eastAsia"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4.8</w:t>
      </w:r>
      <w:r>
        <w:rPr>
          <w:rFonts w:hint="default" w:ascii="仿宋" w:hAnsi="仿宋" w:eastAsia="仿宋" w:cs="仿宋"/>
          <w:b w:val="0"/>
          <w:bCs/>
          <w:color w:val="auto"/>
          <w:kern w:val="2"/>
          <w:sz w:val="28"/>
          <w:szCs w:val="28"/>
          <w:highlight w:val="none"/>
        </w:rPr>
        <w:t>售后服务方案</w:t>
      </w:r>
      <w:r>
        <w:rPr>
          <w:rFonts w:hint="eastAsia" w:ascii="仿宋" w:hAnsi="仿宋" w:eastAsia="仿宋" w:cs="仿宋"/>
          <w:b w:val="0"/>
          <w:bCs/>
          <w:color w:val="auto"/>
          <w:kern w:val="2"/>
          <w:sz w:val="28"/>
          <w:szCs w:val="28"/>
          <w:highlight w:val="none"/>
          <w:lang w:val="en-US" w:eastAsia="zh-CN"/>
        </w:rPr>
        <w:t>要求</w:t>
      </w:r>
    </w:p>
    <w:p w14:paraId="769B7F53">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b w:val="0"/>
          <w:bCs/>
          <w:color w:val="auto"/>
          <w:kern w:val="2"/>
          <w:sz w:val="28"/>
          <w:szCs w:val="28"/>
          <w:highlight w:val="none"/>
          <w:lang w:val="en-US" w:eastAsia="zh-CN"/>
        </w:rPr>
      </w:pPr>
      <w:r>
        <w:rPr>
          <w:rFonts w:hint="default" w:ascii="仿宋" w:hAnsi="仿宋" w:eastAsia="仿宋" w:cs="仿宋"/>
          <w:b w:val="0"/>
          <w:bCs/>
          <w:color w:val="auto"/>
          <w:kern w:val="2"/>
          <w:sz w:val="28"/>
          <w:szCs w:val="28"/>
          <w:highlight w:val="none"/>
        </w:rPr>
        <w:t>售后服务方案</w:t>
      </w:r>
      <w:r>
        <w:rPr>
          <w:rFonts w:hint="eastAsia" w:ascii="仿宋" w:hAnsi="仿宋" w:eastAsia="仿宋" w:cs="仿宋"/>
          <w:b w:val="0"/>
          <w:bCs/>
          <w:color w:val="auto"/>
          <w:kern w:val="2"/>
          <w:sz w:val="28"/>
          <w:szCs w:val="28"/>
          <w:highlight w:val="none"/>
          <w:lang w:val="en-US" w:eastAsia="zh-CN"/>
        </w:rPr>
        <w:t>应至少包含需包括①响应时间及处理措施②服务质量保障③技术支持方案等内容。</w:t>
      </w:r>
    </w:p>
    <w:p w14:paraId="4AEFD4F1">
      <w:pPr>
        <w:pageBreakBefore w:val="0"/>
        <w:widowControl/>
        <w:wordWrap/>
        <w:topLinePunct w:val="0"/>
        <w:bidi w:val="0"/>
        <w:snapToGrid w:val="0"/>
        <w:spacing w:beforeAutospacing="0" w:afterAutospacing="0" w:line="360" w:lineRule="auto"/>
        <w:ind w:firstLine="0" w:firstLineChars="0"/>
        <w:contextualSpacing/>
        <w:rPr>
          <w:rFonts w:hint="eastAsia"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4.9培训方案要求</w:t>
      </w:r>
    </w:p>
    <w:p w14:paraId="335B973F">
      <w:pPr>
        <w:pageBreakBefore w:val="0"/>
        <w:widowControl/>
        <w:wordWrap/>
        <w:topLinePunct w:val="0"/>
        <w:bidi w:val="0"/>
        <w:snapToGrid w:val="0"/>
        <w:spacing w:beforeAutospacing="0" w:afterAutospacing="0" w:line="360" w:lineRule="auto"/>
        <w:ind w:firstLine="560" w:firstLineChars="200"/>
        <w:contextualSpacing/>
        <w:rPr>
          <w:rFonts w:hint="default" w:ascii="仿宋" w:hAnsi="仿宋" w:eastAsia="仿宋" w:cs="仿宋"/>
          <w:b w:val="0"/>
          <w:bCs/>
          <w:color w:val="auto"/>
          <w:kern w:val="2"/>
          <w:sz w:val="28"/>
          <w:szCs w:val="28"/>
          <w:highlight w:val="none"/>
          <w:lang w:val="en-US" w:eastAsia="zh-CN"/>
        </w:rPr>
      </w:pPr>
      <w:r>
        <w:rPr>
          <w:rFonts w:hint="eastAsia" w:ascii="仿宋" w:hAnsi="仿宋" w:eastAsia="仿宋" w:cs="仿宋"/>
          <w:b w:val="0"/>
          <w:bCs/>
          <w:color w:val="auto"/>
          <w:kern w:val="2"/>
          <w:sz w:val="28"/>
          <w:szCs w:val="28"/>
          <w:highlight w:val="none"/>
          <w:lang w:val="en-US" w:eastAsia="zh-CN"/>
        </w:rPr>
        <w:t>培训方案应至少</w:t>
      </w:r>
      <w:r>
        <w:rPr>
          <w:rFonts w:hint="default" w:ascii="仿宋" w:hAnsi="仿宋" w:eastAsia="仿宋" w:cs="仿宋"/>
          <w:b w:val="0"/>
          <w:bCs/>
          <w:color w:val="auto"/>
          <w:kern w:val="2"/>
          <w:sz w:val="28"/>
          <w:szCs w:val="28"/>
          <w:highlight w:val="none"/>
          <w:lang w:val="en-US" w:eastAsia="zh-CN"/>
        </w:rPr>
        <w:t>包括培训计划和培训方案</w:t>
      </w:r>
      <w:r>
        <w:rPr>
          <w:rFonts w:hint="eastAsia" w:ascii="仿宋" w:hAnsi="仿宋" w:eastAsia="仿宋" w:cs="仿宋"/>
          <w:b w:val="0"/>
          <w:bCs/>
          <w:color w:val="auto"/>
          <w:kern w:val="2"/>
          <w:sz w:val="28"/>
          <w:szCs w:val="28"/>
          <w:highlight w:val="none"/>
          <w:lang w:val="en-US" w:eastAsia="zh-CN"/>
        </w:rPr>
        <w:t>等内容</w:t>
      </w:r>
      <w:r>
        <w:rPr>
          <w:rFonts w:hint="default" w:ascii="仿宋" w:hAnsi="仿宋" w:eastAsia="仿宋" w:cs="仿宋"/>
          <w:b w:val="0"/>
          <w:bCs/>
          <w:color w:val="auto"/>
          <w:kern w:val="2"/>
          <w:sz w:val="28"/>
          <w:szCs w:val="28"/>
          <w:highlight w:val="none"/>
          <w:lang w:val="en-US" w:eastAsia="zh-CN"/>
        </w:rPr>
        <w:t>。</w:t>
      </w:r>
    </w:p>
    <w:p w14:paraId="02A6F700">
      <w:pPr>
        <w:pageBreakBefore w:val="0"/>
        <w:wordWrap/>
        <w:topLinePunct w:val="0"/>
        <w:bidi w:val="0"/>
        <w:snapToGrid w:val="0"/>
        <w:spacing w:beforeAutospacing="0" w:afterAutospacing="0"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br w:type="page"/>
      </w:r>
    </w:p>
    <w:p w14:paraId="7821C347">
      <w:pPr>
        <w:pStyle w:val="3"/>
        <w:pageBreakBefore w:val="0"/>
        <w:wordWrap/>
        <w:topLinePunct w:val="0"/>
        <w:bidi w:val="0"/>
        <w:snapToGrid w:val="0"/>
        <w:spacing w:before="0" w:beforeAutospacing="0" w:afterAutospacing="0" w:line="360" w:lineRule="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包：监理服务</w:t>
      </w:r>
    </w:p>
    <w:p w14:paraId="6B73B9BD">
      <w:pPr>
        <w:pStyle w:val="3"/>
        <w:pageBreakBefore w:val="0"/>
        <w:wordWrap/>
        <w:topLinePunct w:val="0"/>
        <w:bidi w:val="0"/>
        <w:snapToGrid w:val="0"/>
        <w:spacing w:before="0" w:beforeAutospacing="0" w:afterAutospacing="0" w:line="360" w:lineRule="auto"/>
        <w:jc w:val="both"/>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rPr>
        <w:t>一、采购标的</w:t>
      </w:r>
      <w:r>
        <w:rPr>
          <w:rFonts w:hint="eastAsia" w:ascii="仿宋" w:hAnsi="仿宋" w:eastAsia="仿宋" w:cs="仿宋"/>
          <w:b w:val="0"/>
          <w:color w:val="auto"/>
          <w:sz w:val="28"/>
          <w:szCs w:val="28"/>
          <w:highlight w:val="none"/>
        </w:rPr>
        <w:t>（本项目不接受进口产品）</w:t>
      </w:r>
    </w:p>
    <w:p w14:paraId="61E1109C">
      <w:pPr>
        <w:pageBreakBefore w:val="0"/>
        <w:wordWrap/>
        <w:topLinePunct w:val="0"/>
        <w:bidi w:val="0"/>
        <w:snapToGrid w:val="0"/>
        <w:spacing w:beforeAutospacing="0" w:afterAutospacing="0" w:line="360" w:lineRule="auto"/>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 采购标的</w:t>
      </w:r>
    </w:p>
    <w:p w14:paraId="50FC1267">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对</w:t>
      </w:r>
      <w:r>
        <w:rPr>
          <w:rFonts w:hint="eastAsia" w:ascii="仿宋" w:hAnsi="仿宋" w:eastAsia="仿宋" w:cs="仿宋"/>
          <w:color w:val="auto"/>
          <w:sz w:val="28"/>
          <w:szCs w:val="28"/>
          <w:highlight w:val="none"/>
          <w:lang w:eastAsia="zh-CN"/>
        </w:rPr>
        <w:t>北京市公安局信息系统适配项目（云计算平台部分）</w:t>
      </w: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lang w:eastAsia="zh-CN"/>
        </w:rPr>
        <w:t xml:space="preserve"> </w:t>
      </w:r>
      <w:r>
        <w:rPr>
          <w:rFonts w:hint="eastAsia" w:ascii="仿宋" w:hAnsi="仿宋" w:eastAsia="仿宋" w:cs="仿宋"/>
          <w:bCs/>
          <w:color w:val="auto"/>
          <w:sz w:val="28"/>
          <w:szCs w:val="28"/>
          <w:highlight w:val="none"/>
        </w:rPr>
        <w:t>监理服务，1项</w:t>
      </w:r>
    </w:p>
    <w:p w14:paraId="221FF3FC">
      <w:pPr>
        <w:pageBreakBefore w:val="0"/>
        <w:wordWrap/>
        <w:topLinePunct w:val="0"/>
        <w:bidi w:val="0"/>
        <w:snapToGrid w:val="0"/>
        <w:spacing w:beforeAutospacing="0" w:afterAutospacing="0" w:line="360" w:lineRule="auto"/>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 背景/项目概述</w:t>
      </w:r>
    </w:p>
    <w:p w14:paraId="69999F91">
      <w:pPr>
        <w:pageBreakBefore w:val="0"/>
        <w:wordWrap/>
        <w:topLinePunct w:val="0"/>
        <w:bidi w:val="0"/>
        <w:snapToGrid w:val="0"/>
        <w:spacing w:beforeAutospacing="0" w:afterAutospacing="0" w:line="360" w:lineRule="auto"/>
        <w:ind w:firstLine="482"/>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本项目应严格在公安部的整体要求下开展建设，在</w:t>
      </w:r>
      <w:r>
        <w:rPr>
          <w:rFonts w:hint="eastAsia" w:ascii="仿宋" w:hAnsi="仿宋" w:eastAsia="仿宋" w:cs="仿宋"/>
          <w:bCs/>
          <w:color w:val="auto"/>
          <w:sz w:val="28"/>
          <w:szCs w:val="28"/>
          <w:highlight w:val="none"/>
          <w:lang w:val="en-US" w:eastAsia="zh-CN"/>
        </w:rPr>
        <w:t>采购人</w:t>
      </w:r>
      <w:r>
        <w:rPr>
          <w:rFonts w:hint="eastAsia" w:ascii="仿宋" w:hAnsi="仿宋" w:eastAsia="仿宋" w:cs="仿宋"/>
          <w:bCs/>
          <w:color w:val="auto"/>
          <w:sz w:val="28"/>
          <w:szCs w:val="28"/>
          <w:highlight w:val="none"/>
        </w:rPr>
        <w:t>云计算平台一期、二期和三期基础上，结合</w:t>
      </w:r>
      <w:r>
        <w:rPr>
          <w:rFonts w:hint="eastAsia" w:ascii="仿宋" w:hAnsi="仿宋" w:eastAsia="仿宋" w:cs="仿宋"/>
          <w:bCs/>
          <w:color w:val="auto"/>
          <w:sz w:val="28"/>
          <w:szCs w:val="28"/>
          <w:highlight w:val="none"/>
          <w:lang w:val="en-US" w:eastAsia="zh-CN"/>
        </w:rPr>
        <w:t>采购人</w:t>
      </w:r>
      <w:r>
        <w:rPr>
          <w:rFonts w:hint="eastAsia" w:ascii="仿宋" w:hAnsi="仿宋" w:eastAsia="仿宋" w:cs="仿宋"/>
          <w:bCs/>
          <w:color w:val="auto"/>
          <w:sz w:val="28"/>
          <w:szCs w:val="28"/>
          <w:highlight w:val="none"/>
        </w:rPr>
        <w:t>现状及需求，扩容完善云计算平台IaaS层和PaaS层功能，升级完善统一运维平台，扩容升级云平台主机安全、态势感知等安全防护能力，为</w:t>
      </w:r>
      <w:r>
        <w:rPr>
          <w:rFonts w:hint="eastAsia" w:ascii="仿宋" w:hAnsi="仿宋" w:eastAsia="仿宋" w:cs="仿宋"/>
          <w:bCs/>
          <w:color w:val="auto"/>
          <w:sz w:val="28"/>
          <w:szCs w:val="28"/>
          <w:highlight w:val="none"/>
          <w:lang w:val="en-US" w:eastAsia="zh-CN"/>
        </w:rPr>
        <w:t>采购人</w:t>
      </w:r>
      <w:r>
        <w:rPr>
          <w:rFonts w:hint="eastAsia" w:ascii="仿宋" w:hAnsi="仿宋" w:eastAsia="仿宋" w:cs="仿宋"/>
          <w:bCs/>
          <w:color w:val="auto"/>
          <w:sz w:val="28"/>
          <w:szCs w:val="28"/>
          <w:highlight w:val="none"/>
        </w:rPr>
        <w:t>信息化项目提供基础软硬件支撑环境。</w:t>
      </w:r>
    </w:p>
    <w:p w14:paraId="4881234E">
      <w:pPr>
        <w:pStyle w:val="3"/>
        <w:pageBreakBefore w:val="0"/>
        <w:wordWrap/>
        <w:topLinePunct w:val="0"/>
        <w:bidi w:val="0"/>
        <w:snapToGrid w:val="0"/>
        <w:spacing w:before="0" w:beforeAutospacing="0" w:afterAutospacing="0" w:line="360" w:lineRule="auto"/>
        <w:jc w:val="both"/>
        <w:rPr>
          <w:rFonts w:hint="eastAsia" w:ascii="仿宋" w:hAnsi="仿宋" w:eastAsia="仿宋" w:cs="仿宋"/>
          <w:b w:val="0"/>
          <w:color w:val="auto"/>
          <w:sz w:val="28"/>
          <w:szCs w:val="28"/>
          <w:highlight w:val="none"/>
        </w:rPr>
      </w:pPr>
      <w:r>
        <w:rPr>
          <w:rFonts w:hint="eastAsia" w:ascii="仿宋" w:hAnsi="仿宋" w:eastAsia="仿宋" w:cs="仿宋"/>
          <w:color w:val="auto"/>
          <w:sz w:val="28"/>
          <w:szCs w:val="28"/>
          <w:highlight w:val="none"/>
        </w:rPr>
        <w:t>二、商务要求</w:t>
      </w:r>
    </w:p>
    <w:p w14:paraId="72C72BEE">
      <w:pPr>
        <w:pageBreakBefore w:val="0"/>
        <w:wordWrap/>
        <w:topLinePunct w:val="0"/>
        <w:bidi w:val="0"/>
        <w:snapToGrid w:val="0"/>
        <w:spacing w:beforeAutospacing="0" w:afterAutospacing="0" w:line="360" w:lineRule="auto"/>
        <w:contextualSpacing/>
        <w:rPr>
          <w:rFonts w:hint="eastAsia" w:ascii="仿宋" w:hAnsi="仿宋" w:eastAsia="仿宋" w:cs="仿宋"/>
          <w:i/>
          <w:color w:val="auto"/>
          <w:sz w:val="28"/>
          <w:szCs w:val="28"/>
          <w:highlight w:val="none"/>
        </w:rPr>
      </w:pPr>
      <w:r>
        <w:rPr>
          <w:rFonts w:hint="eastAsia" w:ascii="仿宋" w:hAnsi="仿宋" w:eastAsia="仿宋" w:cs="仿宋"/>
          <w:color w:val="auto"/>
          <w:sz w:val="28"/>
          <w:szCs w:val="28"/>
          <w:highlight w:val="none"/>
        </w:rPr>
        <w:t>1. 交付（实施）的时间（期限）和地点（范围）</w:t>
      </w:r>
    </w:p>
    <w:p w14:paraId="171B8A5B">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交付时间：自监理合同生效之日起，至项目终验结束时止。</w:t>
      </w:r>
    </w:p>
    <w:p w14:paraId="226502A5">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交付地点：采购人指定地点。</w:t>
      </w:r>
    </w:p>
    <w:p w14:paraId="276A1647">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付款条件（进度和方式）</w:t>
      </w:r>
    </w:p>
    <w:p w14:paraId="6BBF2652">
      <w:pPr>
        <w:pageBreakBefore w:val="0"/>
        <w:wordWrap/>
        <w:topLinePunct w:val="0"/>
        <w:bidi w:val="0"/>
        <w:snapToGrid w:val="0"/>
        <w:spacing w:beforeAutospacing="0" w:afterAutospacing="0" w:line="360" w:lineRule="auto"/>
        <w:ind w:firstLine="42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（1）合同签订生效后7个工作日内，采购人向投标人支付合同总价</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0%预付款：即人民币小写：          元，人民币大写：          。</w:t>
      </w:r>
    </w:p>
    <w:p w14:paraId="61E975F2">
      <w:pPr>
        <w:pageBreakBefore w:val="0"/>
        <w:wordWrap/>
        <w:topLinePunct w:val="0"/>
        <w:bidi w:val="0"/>
        <w:snapToGrid w:val="0"/>
        <w:spacing w:beforeAutospacing="0" w:afterAutospacing="0" w:line="360" w:lineRule="auto"/>
        <w:ind w:firstLine="42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（2）系统部署调试完成，通过项目初验后7个工作日内，采购人向投标人支付合同总价50%：即人民币小写：          元，人民币大写：          。</w:t>
      </w:r>
    </w:p>
    <w:p w14:paraId="6D3AE39F">
      <w:pPr>
        <w:pageBreakBefore w:val="0"/>
        <w:wordWrap/>
        <w:topLinePunct w:val="0"/>
        <w:bidi w:val="0"/>
        <w:snapToGrid w:val="0"/>
        <w:spacing w:beforeAutospacing="0" w:afterAutospacing="0" w:line="360" w:lineRule="auto"/>
        <w:ind w:firstLine="42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（3）项目最终验收合格且乙方向甲方提交由其开户银行出具的合同总价的5%的履约保函正本后7个工作日内，甲方按照相关职能部门最终批复金额向乙方支付剩余款项。</w:t>
      </w:r>
    </w:p>
    <w:p w14:paraId="61FA51E2">
      <w:pPr>
        <w:pStyle w:val="3"/>
        <w:pageBreakBefore w:val="0"/>
        <w:wordWrap/>
        <w:topLinePunct w:val="0"/>
        <w:bidi w:val="0"/>
        <w:snapToGrid w:val="0"/>
        <w:spacing w:before="0" w:beforeAutospacing="0" w:afterAutospacing="0" w:line="360" w:lineRule="auto"/>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三、技术要求</w:t>
      </w:r>
    </w:p>
    <w:p w14:paraId="29DACED9">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 基本要求</w:t>
      </w:r>
    </w:p>
    <w:p w14:paraId="30304BBC">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采购标的需实现的功能或者目标</w:t>
      </w:r>
    </w:p>
    <w:p w14:paraId="69FB2868">
      <w:pPr>
        <w:pageBreakBefore w:val="0"/>
        <w:wordWrap/>
        <w:topLinePunct w:val="0"/>
        <w:bidi w:val="0"/>
        <w:snapToGrid w:val="0"/>
        <w:spacing w:beforeAutospacing="0" w:afterAutospacing="0" w:line="360" w:lineRule="auto"/>
        <w:ind w:firstLine="482"/>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包采购监理服务，投标人须负责所有建设内容的监理工作。监理范围包括：依据采购文件、合同、技术协议等进行项目监理。按照国家及行业的监理的标准、规范和规程，在所监理的包组合同签署、方案审核、开工报审、系统开发、调试、试运行、开通、培训、技术文件整理、文档移交、验收和资产移交及管理等项目全过程的监理服务。</w:t>
      </w:r>
    </w:p>
    <w:p w14:paraId="5BC09CEF">
      <w:pPr>
        <w:pageBreakBefore w:val="0"/>
        <w:wordWrap/>
        <w:topLinePunct w:val="0"/>
        <w:bidi w:val="0"/>
        <w:snapToGrid w:val="0"/>
        <w:spacing w:beforeAutospacing="0" w:afterAutospacing="0" w:line="360" w:lineRule="auto"/>
        <w:ind w:firstLine="482"/>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监理工作责任：</w:t>
      </w:r>
    </w:p>
    <w:p w14:paraId="2F215129">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负责对全部建设内容、流程，从启动、规划到实施、控制、收尾各阶段的工程相关活动进行全程监理。严格按照《建设工程监理规范》（GB50319-2013）、《信息技术服务监理》（GB/T19668－2014）等国家、行业标准的要求配合采购人对整个项目的建设质量、安全生产监督管理、建设效果、合同执行等方面开展监理工作。</w:t>
      </w:r>
    </w:p>
    <w:p w14:paraId="0D571661">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（2）负责编写详细的监理工作规范，建立工作制度，针对但不限于对合同、人员、进度、质量、预算、风险、保密、安全、知识产权等进行全时、全面、全程的监督、控制、管理，确保项目按时保质完成。</w:t>
      </w:r>
    </w:p>
    <w:p w14:paraId="5D05CCDB">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（3）出具开工令。</w:t>
      </w:r>
    </w:p>
    <w:p w14:paraId="757A785D">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（4）负责组织各类例会的召开。</w:t>
      </w:r>
    </w:p>
    <w:p w14:paraId="7024C1C5">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（5）负责协调采购人、承建方及第三方间的工作关系。</w:t>
      </w:r>
    </w:p>
    <w:p w14:paraId="6C476502">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（6）负责审核、审查项目相关文件、文档，并做好签字盖章。</w:t>
      </w:r>
    </w:p>
    <w:p w14:paraId="0CB12394">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（7）负责协助采购人组织项目初验、验收。</w:t>
      </w:r>
    </w:p>
    <w:p w14:paraId="08E6E41D">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（8）负责协助采购人整理、汇总、管理项目相关文件、文档。</w:t>
      </w:r>
    </w:p>
    <w:p w14:paraId="5F7C8EA9">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需执行的国家相关标准、行业标准、地方标准或者其他标准、规范</w:t>
      </w:r>
    </w:p>
    <w:p w14:paraId="3D1D4843">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《信息化工程监理规范》（GB/T 19668.1 – 2014、GB/T 19668.2-2007~GB/T 19668.6-2007）、《信息系统工程监理暂行规定》（信部信[2002]570号）、《信息技术服务 监理》（GB/T 19668－2014）等国家、行业标准的要求。</w:t>
      </w:r>
    </w:p>
    <w:p w14:paraId="254E00C6">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以上规范如有更新，以国家、地方、行业最新标准为准。在实施本项目期间除应遵循上述规范外，还须遵循未列出的其他相关国家、地方、行业标准规范。</w:t>
      </w:r>
    </w:p>
    <w:p w14:paraId="08701FF1">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 服务内容及要求/货物技术要求</w:t>
      </w:r>
    </w:p>
    <w:p w14:paraId="24D9CFDE">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2.1采购标的需满足的性能、材料、结构、外观、质量、安全、技术规格、物理特性等要求；</w:t>
      </w:r>
    </w:p>
    <w:p w14:paraId="59ED8650">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（1）项目组织以及总体技术方案的监理</w:t>
      </w:r>
    </w:p>
    <w:p w14:paraId="5A2E8BD4">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1）审核和协助采购人确认承建单位的总体设计方案；</w:t>
      </w:r>
    </w:p>
    <w:p w14:paraId="5E810702">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2）审核和协助采购人确认项目建设过程中的各种关键技术方案；</w:t>
      </w:r>
    </w:p>
    <w:p w14:paraId="12AC5AD7">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3）审核和协助采购人确认承建单位的组织和实施方案，和承建单位提交的《项目计划》；</w:t>
      </w:r>
    </w:p>
    <w:p w14:paraId="09C1FE1C">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4）审核和协助采购人确认承建单位的项目质量保证计划、质量控制体系（含质量控制的关键性节点）；</w:t>
      </w:r>
    </w:p>
    <w:p w14:paraId="675A73C0">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5）审核和协助采购人确认承建单位的源代码管理方案；</w:t>
      </w:r>
    </w:p>
    <w:p w14:paraId="1C10D75E">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6）审核和协助采购人确认承建单位的测试计划；</w:t>
      </w:r>
    </w:p>
    <w:p w14:paraId="191033EC">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7）审核和协助采购人确认承建单位的项目进度计划和进度控制节点。</w:t>
      </w:r>
    </w:p>
    <w:p w14:paraId="6F911BCF">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（2）项目质量控制</w:t>
      </w:r>
    </w:p>
    <w:p w14:paraId="73083626">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1）协助审核和确认承建单位的项目质量保证计划及质量控制体系；</w:t>
      </w:r>
    </w:p>
    <w:p w14:paraId="4FD20043">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采购人对项目承建单位提出的系统总体设计方案进行审核，主要包括（不限于以下内容）：硬件到货验收方案，软硬件集成方案，系统软件详细设计方案，测试方案，验收方案，并以书面形式提出监理意见；</w:t>
      </w:r>
    </w:p>
    <w:p w14:paraId="25FA0907">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3）协助采购人对项目承建单位的应用软件开发阶段性计划、开发质量进行审核，对软件源代码、开发文件的移交进行验收，并以书面形式提出监理意见；</w:t>
      </w:r>
    </w:p>
    <w:p w14:paraId="4918270B">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协助采购人做好系统集成方案的审核和确认，并以书面形式提出监理意见；在实施过程中全程、实时地参与项目建设，检查、督促承建单位严格按合同和施工规范、保密标准、相关技术标准、设计要求进行实施，通过旁站、巡视、检测、试验和验收等手段全面监督、检查和控制项目质量；</w:t>
      </w:r>
    </w:p>
    <w:p w14:paraId="6AD48F61">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协助采购人做好设备验收工作，审查承建单位采购清单，检查项目使用材料、设备的规格型号、配置、质量与数量；负责对采购的硬件设备和软件产品的合格证、检测报告和准用证进行审查，对采购的各类设备及网络环境的综合质量进行测试和验收并配合承建单位出具验收报告；对第三方测试机构给出的验收测试方案进行审核，保证测试方案的有效性和对功能点、各项验收指标的覆盖。</w:t>
      </w:r>
    </w:p>
    <w:p w14:paraId="144C93E4">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6）对设备安装、系统软件的安装调试与采购人共同组织验收，并以书面形式提出监理意见；</w:t>
      </w:r>
    </w:p>
    <w:p w14:paraId="6C8A8FC9">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7）协助采购人监督项目承建单位的系统集成工作，并以书面形式提出监理意见；</w:t>
      </w:r>
    </w:p>
    <w:p w14:paraId="7642635F">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8）协助采购人对系统集成进行总体验收，并以书面形式提出验收意见；</w:t>
      </w:r>
    </w:p>
    <w:p w14:paraId="3510F38D">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9）审核项目承建单位、第三方测试机构提交的测试方案（计划），并以书面形式提出监理意见；</w:t>
      </w:r>
    </w:p>
    <w:p w14:paraId="7F26B64B">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10）负责监督项目承建单位对软件进行单元测试、集成测试、系统测试等方面的测试工作，监督第三方测试机构对软件进行的验收测试工作，并以书面形式提出监理意见；</w:t>
      </w:r>
    </w:p>
    <w:p w14:paraId="65DAE8AD">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11）负责对测试报告内容进行检查，并抽查部分测试结果，直至全部合格，并以书面形式提出验收意见；</w:t>
      </w:r>
    </w:p>
    <w:p w14:paraId="35F1E631">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12）协助采购人组织系统总体验收，负责系统验收完毕进入质保阶段的审核。</w:t>
      </w:r>
    </w:p>
    <w:p w14:paraId="318E7B5A">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（3）项目进度控制</w:t>
      </w:r>
    </w:p>
    <w:p w14:paraId="7F4956BD">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1）审核承建单位的进度分解计划，确认分解计划可以保证总体计划目标；</w:t>
      </w:r>
    </w:p>
    <w:p w14:paraId="2B8FD223">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2）在本项目配套机房项目完成初验后，按照采购人要求出具开工令；</w:t>
      </w:r>
    </w:p>
    <w:p w14:paraId="52A041E2">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3）对项目实施进度进行实时跟踪，并要求承建单位按项目总进度计划及时进行动态调整，以确保项目的阶段目标和总体进度目标的实现；</w:t>
      </w:r>
    </w:p>
    <w:p w14:paraId="1597855A">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4）当工期目标严重偏离时，应及时指出，并与建设单位商议提出对策建议，同时督促承建单位尽快采取措施。</w:t>
      </w:r>
    </w:p>
    <w:p w14:paraId="79A672F1">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（4）项目成本控制</w:t>
      </w:r>
    </w:p>
    <w:p w14:paraId="33DBCE0E">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1）通过对项目实施中的方案以及设计的评估，确保投资控制在合理、性价比高的范围内；</w:t>
      </w:r>
    </w:p>
    <w:p w14:paraId="6BE0EF26">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2）协助采购人做好项目支付预算的现金流量表，参与付款前的项目完成量确认，将付款进度与项目质量及项目进度结合起来，协助采购人完成项目检查。</w:t>
      </w:r>
    </w:p>
    <w:p w14:paraId="0FE4EE58">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（5）项目变更控制</w:t>
      </w:r>
    </w:p>
    <w:p w14:paraId="4AB0902F">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1）对每个项目合同有针对性地构建一个变更控制系统，通过它对项目计划、流程、预算、进度或可交付成果的变更申请进行评估；</w:t>
      </w:r>
    </w:p>
    <w:p w14:paraId="133D3950">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2）注重对项目经理的时间管理是否合理、有效进行监督，并且就检查结果与项目经理本人进行沟通，帮助项目经理进行有效的时间管理；</w:t>
      </w:r>
    </w:p>
    <w:p w14:paraId="5A22A88A">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3）根据项目制定出的计划成本，通过采用成本分析方法找出计划成本与实际成本间的偏差，并分析产生偏差的原因与变化发展趋势，进而督促承建单位采取措施以减少或消除偏差，实现目标成本；</w:t>
      </w:r>
    </w:p>
    <w:p w14:paraId="0A6BEC71">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4）及时记录合同变更情况，并经采购人审核确认后组织实施。</w:t>
      </w:r>
    </w:p>
    <w:p w14:paraId="36EC83FD">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（6）项目合同管理</w:t>
      </w:r>
    </w:p>
    <w:p w14:paraId="37466868">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1）跟踪检查合同的执行情况，监督承建单位按时履约；</w:t>
      </w:r>
    </w:p>
    <w:p w14:paraId="6C54066F">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2）对合同工期的延误和延期进行审核确认；</w:t>
      </w:r>
    </w:p>
    <w:p w14:paraId="0A1827C4">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3）对合同变更、索赔等事宜进行审核确认；</w:t>
      </w:r>
    </w:p>
    <w:p w14:paraId="642F4E3B">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4）根据合同约定，审核承建单位提交的支付申请，报采购人审核确认。</w:t>
      </w:r>
    </w:p>
    <w:p w14:paraId="73AD6EEB">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（7）信息管理/项目文档管理</w:t>
      </w:r>
    </w:p>
    <w:p w14:paraId="010F9BA9">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1）做好监理日记及项目大事记；</w:t>
      </w:r>
    </w:p>
    <w:p w14:paraId="4CE0A7F0">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2）做好合同批复等各类往来文件的批复和存档；</w:t>
      </w:r>
    </w:p>
    <w:p w14:paraId="77DFCAE4">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3）做好项目例会、技术专题会的会议纪要；</w:t>
      </w:r>
    </w:p>
    <w:p w14:paraId="6A5E57B5">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4）管理好实施期间的各类技术文档；</w:t>
      </w:r>
    </w:p>
    <w:p w14:paraId="29481D60">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5）向采购人提交项目周报；</w:t>
      </w:r>
    </w:p>
    <w:p w14:paraId="182E4CCA">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6）根据需要提交监理建议书；</w:t>
      </w:r>
    </w:p>
    <w:p w14:paraId="25966E81">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7）阶段性项目总结；</w:t>
      </w:r>
    </w:p>
    <w:p w14:paraId="6E5A397B">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8）管理各承建单位提交的技术文档。</w:t>
      </w:r>
    </w:p>
    <w:p w14:paraId="758D36C7">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（8）信息安全管理</w:t>
      </w:r>
    </w:p>
    <w:p w14:paraId="2BF4039C">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1）对安全系统的设计更改、安全产品测试规范、安全设计的审核和确认、安全设计评审进行监督管理；</w:t>
      </w:r>
    </w:p>
    <w:p w14:paraId="1D4DF95F">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2）软硬件设备采购等过程的监督管理；</w:t>
      </w:r>
    </w:p>
    <w:p w14:paraId="6D83714A">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3）管理各项与验收相关的文档和数据满足验收要求，这些文档和数据应反映信息系统的安全实际情况；</w:t>
      </w:r>
    </w:p>
    <w:p w14:paraId="5410182B">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4）管理项目过程中的技术文档的准确性、完整性和详细程度等，并对项目文档进行审查、分析；</w:t>
      </w:r>
    </w:p>
    <w:p w14:paraId="2026FC9C">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5）建立完整的信息安全管理文档。</w:t>
      </w:r>
    </w:p>
    <w:p w14:paraId="31218B5F">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（9）协调解决各类纠纷</w:t>
      </w:r>
    </w:p>
    <w:p w14:paraId="420BC0BA">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经采购人委托，负责协调本项目所涉及的各单位之间的工作关系，并协调解决项目建设过程中的各类纠纷。</w:t>
      </w:r>
    </w:p>
    <w:p w14:paraId="471B2792">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监理方应该通过必要的会议制度来实施协调工作，主要包括：</w:t>
      </w:r>
    </w:p>
    <w:p w14:paraId="041ACD07">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1）第一次现场会；</w:t>
      </w:r>
    </w:p>
    <w:p w14:paraId="6E6AE50F">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2）监理交底会；</w:t>
      </w:r>
    </w:p>
    <w:p w14:paraId="7DF02885">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3）周例会；</w:t>
      </w:r>
    </w:p>
    <w:p w14:paraId="2C872B14">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4）监理协调会；</w:t>
      </w:r>
    </w:p>
    <w:p w14:paraId="7AEDB0E3">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5）专题讨论会；</w:t>
      </w:r>
    </w:p>
    <w:p w14:paraId="1D3580D9">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6）专家论证会；</w:t>
      </w:r>
    </w:p>
    <w:p w14:paraId="0BF02A6C">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7）阶段工作总结会；</w:t>
      </w:r>
    </w:p>
    <w:p w14:paraId="0DE6C39E">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8）问题通报会；</w:t>
      </w:r>
    </w:p>
    <w:p w14:paraId="3797396B">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9）阶段以及最终验收会。</w:t>
      </w:r>
    </w:p>
    <w:p w14:paraId="79FFA564">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2.2采购标的需满足的服务标准、期限、效率等要求；</w:t>
      </w:r>
    </w:p>
    <w:p w14:paraId="05697016">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1、监理工作期限</w:t>
      </w:r>
    </w:p>
    <w:p w14:paraId="50C1011B">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自本合同签订之日起至所监理项目全部通过最终验收为止。</w:t>
      </w:r>
    </w:p>
    <w:p w14:paraId="2C42F902">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2、针对本项目应组建专有监理服务团队，成员应为投标人单位员工，人员构成包括：总监理工程师、总监理工程师代表</w:t>
      </w:r>
      <w:r>
        <w:rPr>
          <w:rFonts w:hint="eastAsia" w:ascii="仿宋" w:hAnsi="仿宋" w:eastAsia="仿宋" w:cs="仿宋"/>
          <w:b/>
          <w:bCs/>
          <w:color w:val="auto"/>
          <w:sz w:val="28"/>
          <w:szCs w:val="28"/>
          <w:highlight w:val="none"/>
        </w:rPr>
        <w:t>（与总监理工程师不是同一人）</w:t>
      </w:r>
      <w:r>
        <w:rPr>
          <w:rFonts w:hint="eastAsia" w:ascii="仿宋" w:hAnsi="仿宋" w:eastAsia="仿宋" w:cs="仿宋"/>
          <w:color w:val="auto"/>
          <w:sz w:val="28"/>
          <w:szCs w:val="28"/>
          <w:highlight w:val="none"/>
        </w:rPr>
        <w:t>、监理工程师团队。投标人应保证项目服务团队人员稳定性，在采购人本身未提出更换的情况下，监理单位不得以任何理由提出更换监理组人员，否则监理单位将首先承担违约罚款。</w:t>
      </w:r>
    </w:p>
    <w:p w14:paraId="52F04F17">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其中</w:t>
      </w:r>
      <w:r>
        <w:rPr>
          <w:rFonts w:hint="eastAsia" w:ascii="仿宋" w:hAnsi="仿宋" w:eastAsia="仿宋" w:cs="仿宋"/>
          <w:b/>
          <w:bCs/>
          <w:color w:val="auto"/>
          <w:sz w:val="28"/>
          <w:szCs w:val="28"/>
          <w:highlight w:val="none"/>
        </w:rPr>
        <w:t>总监理工程师</w:t>
      </w:r>
      <w:r>
        <w:rPr>
          <w:rFonts w:hint="eastAsia" w:ascii="仿宋" w:hAnsi="仿宋" w:eastAsia="仿宋" w:cs="仿宋"/>
          <w:color w:val="auto"/>
          <w:sz w:val="28"/>
          <w:szCs w:val="28"/>
          <w:highlight w:val="none"/>
        </w:rPr>
        <w:t>应具有信息系统监理师证书（获取监理证书时间超过10年，以证书批准日期为准）、</w:t>
      </w:r>
      <w:r>
        <w:rPr>
          <w:rFonts w:hint="eastAsia" w:ascii="仿宋" w:hAnsi="仿宋" w:eastAsia="仿宋" w:cs="仿宋"/>
          <w:color w:val="auto"/>
          <w:sz w:val="28"/>
          <w:szCs w:val="28"/>
          <w:highlight w:val="none"/>
          <w:lang w:val="en-US" w:eastAsia="zh-CN"/>
        </w:rPr>
        <w:t>相关专业</w:t>
      </w:r>
      <w:r>
        <w:rPr>
          <w:rFonts w:hint="eastAsia" w:ascii="仿宋" w:hAnsi="仿宋" w:eastAsia="仿宋" w:cs="仿宋"/>
          <w:color w:val="auto"/>
          <w:sz w:val="28"/>
          <w:szCs w:val="28"/>
          <w:highlight w:val="none"/>
        </w:rPr>
        <w:t>高级工程师证书、系统分析师（高级）证书、系统规划与管理师（高级）证书、数据库系统工程师证书、软件设计师证书、注册信息安全专业人员（CISP）证书、软件评测师证书；</w:t>
      </w:r>
    </w:p>
    <w:p w14:paraId="43DAB679">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总监理工程师代表</w:t>
      </w:r>
      <w:r>
        <w:rPr>
          <w:rFonts w:hint="eastAsia" w:ascii="仿宋" w:hAnsi="仿宋" w:eastAsia="仿宋" w:cs="仿宋"/>
          <w:color w:val="auto"/>
          <w:sz w:val="28"/>
          <w:szCs w:val="28"/>
          <w:highlight w:val="none"/>
        </w:rPr>
        <w:t>应具有信息系统监理师证书（获取监理证书时间超过8年，以证书批准日期为准）、信息系统项目管理师（高级）证书、系统规划与管理师（高级）证书、网络工程师证书和注册信息安全专业人员（CISP）证书；</w:t>
      </w:r>
    </w:p>
    <w:p w14:paraId="2A13D7A4">
      <w:pPr>
        <w:pageBreakBefore w:val="0"/>
        <w:widowControl/>
        <w:wordWrap/>
        <w:topLinePunct w:val="0"/>
        <w:bidi w:val="0"/>
        <w:snapToGrid w:val="0"/>
        <w:spacing w:beforeAutospacing="0" w:afterAutospacing="0" w:line="360" w:lineRule="auto"/>
        <w:ind w:firstLine="562" w:firstLineChars="200"/>
        <w:contextualSpacing/>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监理工程师团队（除总监理工程师和总监理工程师代表外）</w:t>
      </w:r>
      <w:r>
        <w:rPr>
          <w:rFonts w:hint="eastAsia" w:ascii="仿宋" w:hAnsi="仿宋" w:eastAsia="仿宋" w:cs="仿宋"/>
          <w:color w:val="auto"/>
          <w:sz w:val="28"/>
          <w:szCs w:val="28"/>
          <w:highlight w:val="none"/>
        </w:rPr>
        <w:t>应具有信息系统监理师证书（获取监理证书时间超过5年，以证书批准日期为准）、系统分析师（高级）证书、网络工程师证书、信息系统管理工程师证书、数据库系统工程师证书、信息安全保障人员认证证书（安全运维专业级）、注册信息安全专业人员（CISP）证书</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highlight w:val="none"/>
        </w:rPr>
        <w:t>软件评测师证书。</w:t>
      </w:r>
    </w:p>
    <w:p w14:paraId="42CF2965">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监理项目实行总监理工程师负责制。要求参与本项目的监理人员不少于</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人，其中总监理工程师1人，总监理工程师代表1人，监理工程师不少于6人。投标人在投标方案中应明确监理的各项运作，包括监理组织的构成、监理人员的职能及工作流程、各项监理工作的相关负责人等。拟派驻场监理工程师不少于2人，具有类似从业经验3年（含）以上。</w:t>
      </w:r>
    </w:p>
    <w:p w14:paraId="31155F42">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3、保证24小时响应，2小时内到场。不得出现因监理人员不到位影响项目进度的情况。</w:t>
      </w:r>
    </w:p>
    <w:p w14:paraId="490D5D6C">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4、在本合同期内及合同终止后，未征得采购人同意，不得泄露与本工程项目有关的资料。</w:t>
      </w:r>
    </w:p>
    <w:p w14:paraId="04414926">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5、监理服务遵照的依据：</w:t>
      </w:r>
    </w:p>
    <w:p w14:paraId="1C20A072">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（1）国家相关部门有关信息系统项目建设和监理的法律、法规和管理规范。</w:t>
      </w:r>
    </w:p>
    <w:p w14:paraId="265FC436">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（2）建设单位与项目中标人签订的合同。</w:t>
      </w:r>
    </w:p>
    <w:p w14:paraId="7E67D76F">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（3）建设单位与监理单位签订的监理合同。</w:t>
      </w:r>
    </w:p>
    <w:p w14:paraId="22677A70">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（4）有关国家和北京市技术规范和标准，包括：中华人民共和国通信行业标准；软件开发的国际、国家有关标准和规范；网络质量、安全控制等国际、国家和行业标准。</w:t>
      </w:r>
    </w:p>
    <w:p w14:paraId="730ADD94">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6、监理服务准则</w:t>
      </w:r>
    </w:p>
    <w:p w14:paraId="494385D3">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（1）维护国家的荣誉和利益，按照“守法、诚信、公正、科学”的准则执业。</w:t>
      </w:r>
    </w:p>
    <w:p w14:paraId="5366395F">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（2）执行有关工程建设的法律、法规、规范、标准和制度，履行监理合同规定的义务和职责。</w:t>
      </w:r>
    </w:p>
    <w:p w14:paraId="42DAA950">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（3）不收受被监理单位的任何礼金。</w:t>
      </w:r>
    </w:p>
    <w:p w14:paraId="77F8F5AE">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（4）不泄漏所监理工程各方认为需要保密的事项。</w:t>
      </w:r>
    </w:p>
    <w:p w14:paraId="76F5954E">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（5）遵守国家的法律和政府的有关条例、规定和办法等。</w:t>
      </w:r>
    </w:p>
    <w:p w14:paraId="77A7D807">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（6）认真履行工程建设监理合同所承诺的义务和承担约定的责任。</w:t>
      </w:r>
    </w:p>
    <w:p w14:paraId="6A07BA68">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（7）坚持公正的立场，公平地处理有关各方的争议。</w:t>
      </w:r>
    </w:p>
    <w:p w14:paraId="75A720F8">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（8）坚持科学的态度和实事求是的原则。</w:t>
      </w:r>
    </w:p>
    <w:p w14:paraId="597300F4">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（9）在坚持按监理合同的规定向采购人提供技术服务的同时，帮助被监理者完成其担负的建设任务。</w:t>
      </w:r>
    </w:p>
    <w:p w14:paraId="345FAF87">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（10）不泄漏所监理的工程需保密的事项。</w:t>
      </w:r>
    </w:p>
    <w:p w14:paraId="139411D0">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2.3为落实政府采购政策需满足的要求：</w:t>
      </w:r>
    </w:p>
    <w:p w14:paraId="671520BB">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无。</w:t>
      </w:r>
    </w:p>
    <w:p w14:paraId="67972491">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2.4采购标的的其他技术、服务等要求；</w:t>
      </w:r>
    </w:p>
    <w:p w14:paraId="29514662">
      <w:pPr>
        <w:pStyle w:val="9"/>
        <w:pageBreakBefore w:val="0"/>
        <w:wordWrap/>
        <w:topLinePunct w:val="0"/>
        <w:bidi w:val="0"/>
        <w:adjustRightInd w:val="0"/>
        <w:snapToGrid w:val="0"/>
        <w:spacing w:beforeAutospacing="0" w:afterAutospacing="0" w:line="360" w:lineRule="auto"/>
        <w:ind w:firstLine="495" w:firstLineChars="177"/>
        <w:contextualSpacing/>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无。</w:t>
      </w:r>
    </w:p>
    <w:p w14:paraId="629F4FCD">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验收标准</w:t>
      </w:r>
    </w:p>
    <w:p w14:paraId="42AEDBB5">
      <w:pPr>
        <w:pageBreakBefore w:val="0"/>
        <w:wordWrap/>
        <w:topLinePunct w:val="0"/>
        <w:bidi w:val="0"/>
        <w:snapToGrid w:val="0"/>
        <w:spacing w:beforeAutospacing="0" w:afterAutospacing="0" w:line="360" w:lineRule="auto"/>
        <w:ind w:firstLine="560" w:firstLineChars="200"/>
        <w:contextualSpacing/>
        <w:rPr>
          <w:rFonts w:hint="eastAsia" w:ascii="仿宋" w:hAnsi="仿宋" w:eastAsia="仿宋" w:cs="仿宋"/>
          <w:color w:val="auto"/>
          <w:sz w:val="28"/>
          <w:szCs w:val="28"/>
          <w:highlight w:val="none"/>
        </w:rPr>
      </w:pPr>
      <w:r>
        <w:rPr>
          <w:rFonts w:hint="eastAsia" w:ascii="仿宋" w:hAnsi="仿宋" w:eastAsia="仿宋" w:cs="仿宋"/>
          <w:bCs w:val="0"/>
          <w:color w:val="auto"/>
          <w:sz w:val="28"/>
          <w:szCs w:val="28"/>
          <w:highlight w:val="none"/>
          <w:lang w:val="en-US" w:eastAsia="zh-CN"/>
        </w:rPr>
        <w:t>北京市公安局信息系统适配项目（云计算平台部分）</w:t>
      </w:r>
      <w:r>
        <w:rPr>
          <w:rFonts w:hint="eastAsia" w:ascii="仿宋" w:hAnsi="仿宋" w:eastAsia="仿宋" w:cs="仿宋"/>
          <w:color w:val="auto"/>
          <w:sz w:val="28"/>
          <w:szCs w:val="28"/>
          <w:highlight w:val="none"/>
        </w:rPr>
        <w:t>全部内容建设完成并通过竣工验收。</w:t>
      </w:r>
    </w:p>
    <w:p w14:paraId="4D3A7204">
      <w:pPr>
        <w:pageBreakBefore w:val="0"/>
        <w:wordWrap/>
        <w:topLinePunct w:val="0"/>
        <w:bidi w:val="0"/>
        <w:snapToGrid w:val="0"/>
        <w:spacing w:beforeAutospacing="0" w:afterAutospacing="0" w:line="360" w:lineRule="auto"/>
        <w:contextualSpacing/>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 其他要求</w:t>
      </w:r>
    </w:p>
    <w:p w14:paraId="66E230F3">
      <w:pPr>
        <w:pageBreakBefore w:val="0"/>
        <w:widowControl/>
        <w:wordWrap/>
        <w:topLinePunct w:val="0"/>
        <w:bidi w:val="0"/>
        <w:snapToGrid w:val="0"/>
        <w:spacing w:beforeAutospacing="0" w:afterAutospacing="0" w:line="360" w:lineRule="auto"/>
        <w:ind w:firstLine="560" w:firstLineChars="200"/>
        <w:contextualSpacing/>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采购需求还应当符合《政务信息系统政府采购管理暂行办法》（财库〔2017〕210号）的相关要求。</w:t>
      </w:r>
    </w:p>
    <w:p w14:paraId="7E2F9F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1762D"/>
    <w:multiLevelType w:val="singleLevel"/>
    <w:tmpl w:val="CB51762D"/>
    <w:lvl w:ilvl="0" w:tentative="0">
      <w:start w:val="1"/>
      <w:numFmt w:val="decimal"/>
      <w:suff w:val="nothing"/>
      <w:lvlText w:val="%1、"/>
      <w:lvlJc w:val="left"/>
    </w:lvl>
  </w:abstractNum>
  <w:abstractNum w:abstractNumId="1">
    <w:nsid w:val="036524DD"/>
    <w:multiLevelType w:val="singleLevel"/>
    <w:tmpl w:val="036524DD"/>
    <w:lvl w:ilvl="0" w:tentative="0">
      <w:start w:val="1"/>
      <w:numFmt w:val="decimal"/>
      <w:suff w:val="space"/>
      <w:lvlText w:val="%1."/>
      <w:lvlJc w:val="left"/>
      <w:rPr>
        <w:rFonts w:hint="default"/>
        <w:sz w:val="28"/>
        <w:szCs w:val="28"/>
      </w:rPr>
    </w:lvl>
  </w:abstractNum>
  <w:abstractNum w:abstractNumId="2">
    <w:nsid w:val="1328A028"/>
    <w:multiLevelType w:val="singleLevel"/>
    <w:tmpl w:val="1328A028"/>
    <w:lvl w:ilvl="0" w:tentative="0">
      <w:start w:val="5"/>
      <w:numFmt w:val="chineseCounting"/>
      <w:suff w:val="space"/>
      <w:lvlText w:val="第%1章"/>
      <w:lvlJc w:val="left"/>
      <w:rPr>
        <w:rFonts w:hint="eastAsia"/>
      </w:rPr>
    </w:lvl>
  </w:abstractNum>
  <w:abstractNum w:abstractNumId="3">
    <w:nsid w:val="2DF540A9"/>
    <w:multiLevelType w:val="singleLevel"/>
    <w:tmpl w:val="2DF540A9"/>
    <w:lvl w:ilvl="0" w:tentative="0">
      <w:start w:val="1"/>
      <w:numFmt w:val="chineseCounting"/>
      <w:suff w:val="nothing"/>
      <w:lvlText w:val="%1、"/>
      <w:lvlJc w:val="left"/>
      <w:rPr>
        <w:rFonts w:hint="eastAsia"/>
        <w:sz w:val="28"/>
        <w:szCs w:val="28"/>
      </w:rPr>
    </w:lvl>
  </w:abstractNum>
  <w:abstractNum w:abstractNumId="4">
    <w:nsid w:val="6B2D51CE"/>
    <w:multiLevelType w:val="singleLevel"/>
    <w:tmpl w:val="6B2D51CE"/>
    <w:lvl w:ilvl="0" w:tentative="0">
      <w:start w:val="1"/>
      <w:numFmt w:val="decimal"/>
      <w:suff w:val="nothing"/>
      <w:lvlText w:val="%1、"/>
      <w:lvlJc w:val="left"/>
    </w:lvl>
  </w:abstractNum>
  <w:abstractNum w:abstractNumId="5">
    <w:nsid w:val="6F3F716E"/>
    <w:multiLevelType w:val="singleLevel"/>
    <w:tmpl w:val="6F3F716E"/>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66C66"/>
    <w:rsid w:val="59066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Body Text"/>
    <w:basedOn w:val="1"/>
    <w:next w:val="1"/>
    <w:qFormat/>
    <w:uiPriority w:val="1"/>
    <w:pPr>
      <w:tabs>
        <w:tab w:val="left" w:pos="567"/>
      </w:tabs>
      <w:spacing w:before="120" w:line="22" w:lineRule="atLeast"/>
    </w:pPr>
    <w:rPr>
      <w:rFonts w:ascii="宋体" w:hAnsi="宋体"/>
      <w:sz w:val="24"/>
    </w:rPr>
  </w:style>
  <w:style w:type="paragraph" w:styleId="5">
    <w:name w:val="Plain Text"/>
    <w:basedOn w:val="1"/>
    <w:next w:val="1"/>
    <w:qFormat/>
    <w:uiPriority w:val="0"/>
    <w:rPr>
      <w:rFonts w:hint="eastAsia" w:ascii="宋体" w:hAnsi="Courier New"/>
      <w:szCs w:val="20"/>
    </w:rPr>
  </w:style>
  <w:style w:type="paragraph" w:customStyle="1" w:styleId="8">
    <w:name w:val="列出段落1"/>
    <w:basedOn w:val="1"/>
    <w:qFormat/>
    <w:uiPriority w:val="0"/>
    <w:pPr>
      <w:ind w:firstLine="420" w:firstLineChars="200"/>
    </w:pPr>
    <w:rPr>
      <w:szCs w:val="2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2026-01-22T06:18:00Z</dcterms:created>
  <dc:creator>亚希Edison</dc:creator>
  <cp:lastModifiedBy>亚希Edison</cp:lastModifiedBy>
  <dcterms:modified xsi:type="dcterms:W3CDTF">2026-01-22T06:20:36Z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9D9EC79B3192400FA83AB8BF1F711874_11</vt:lpwstr>
  </property>
  <property fmtid="{D5CDD505-2E9C-101B-9397-08002B2CF9AE}" pid="4" name="KSOTemplateDocerSaveRecord">
    <vt:lpwstr>eyJoZGlkIjoiNDY0MzQwNDM3NzMyOTAwZGViMTFjZmY0M2U4NTllMzgiLCJ1c2VySWQiOiIyNjk3ODg1OTAifQ==</vt:lpwstr>
  </property>
</Properties>
</file>