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0D9FD9">
      <w:pPr>
        <w:spacing w:line="360" w:lineRule="auto"/>
        <w:jc w:val="center"/>
        <w:outlineLvl w:val="0"/>
        <w:rPr>
          <w:b/>
          <w:sz w:val="36"/>
          <w:szCs w:val="36"/>
        </w:rPr>
      </w:pPr>
      <w:bookmarkStart w:id="0" w:name="_Toc99301424"/>
      <w:bookmarkStart w:id="1" w:name="_Toc353825545"/>
      <w:bookmarkStart w:id="2" w:name="_Toc142311057"/>
      <w:bookmarkStart w:id="3" w:name="_Toc150480793"/>
      <w:bookmarkStart w:id="4" w:name="_Toc150774760"/>
      <w:bookmarkStart w:id="5" w:name="_Toc265228393"/>
      <w:bookmarkStart w:id="6" w:name="_Toc305158897"/>
      <w:bookmarkStart w:id="7" w:name="_Toc353873665"/>
      <w:bookmarkStart w:id="8" w:name="_Toc305158823"/>
      <w:bookmarkStart w:id="9" w:name="_Toc264969245"/>
      <w:bookmarkStart w:id="10" w:name="_Toc195842920"/>
      <w:bookmarkStart w:id="11" w:name="_Toc226337251"/>
      <w:bookmarkStart w:id="12" w:name="_Toc353873935"/>
      <w:bookmarkStart w:id="13" w:name="_Toc226965828"/>
      <w:bookmarkStart w:id="14" w:name="_Toc127151555"/>
      <w:r>
        <w:rPr>
          <w:b/>
          <w:sz w:val="36"/>
          <w:szCs w:val="36"/>
        </w:rPr>
        <w:t xml:space="preserve">   采购需求</w:t>
      </w:r>
      <w:bookmarkEnd w:id="0"/>
    </w:p>
    <w:p w14:paraId="699BB20C">
      <w:pPr>
        <w:pStyle w:val="2"/>
        <w:numPr>
          <w:ilvl w:val="0"/>
          <w:numId w:val="0"/>
        </w:numPr>
        <w:ind w:leftChars="0"/>
        <w:jc w:val="left"/>
        <w:rPr>
          <w:rFonts w:hint="default"/>
          <w:lang w:val="en-US"/>
        </w:rPr>
      </w:pPr>
      <w:bookmarkStart w:id="15" w:name="_Toc27514"/>
      <w:r>
        <w:rPr>
          <w:rFonts w:hint="eastAsia" w:ascii="黑体" w:hAnsi="黑体" w:eastAsia="黑体" w:cs="黑体"/>
          <w:sz w:val="24"/>
          <w:highlight w:val="none"/>
          <w:lang w:eastAsia="zh-CN"/>
        </w:rPr>
        <w:t>一、</w:t>
      </w:r>
      <w:bookmarkEnd w:id="15"/>
      <w:r>
        <w:rPr>
          <w:rFonts w:hint="eastAsia" w:ascii="黑体" w:hAnsi="黑体" w:eastAsia="黑体" w:cs="黑体"/>
          <w:sz w:val="24"/>
          <w:highlight w:val="none"/>
          <w:lang w:val="en-US" w:eastAsia="zh-CN"/>
        </w:rPr>
        <w:t>采购标的</w:t>
      </w:r>
    </w:p>
    <w:p w14:paraId="7404FBDD">
      <w:pPr>
        <w:keepNext/>
        <w:keepLines/>
        <w:spacing w:before="260" w:after="200"/>
        <w:outlineLvl w:val="1"/>
        <w:rPr>
          <w:rFonts w:ascii="楷体" w:hAnsi="楷体" w:eastAsia="楷体" w:cs="楷体"/>
          <w:b/>
          <w:sz w:val="24"/>
        </w:rPr>
      </w:pPr>
      <w:r>
        <w:rPr>
          <w:rFonts w:hint="eastAsia" w:ascii="楷体" w:hAnsi="楷体" w:eastAsia="楷体" w:cs="楷体"/>
          <w:b/>
          <w:sz w:val="24"/>
        </w:rPr>
        <w:t>1. 采购标的</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744"/>
        <w:gridCol w:w="1744"/>
      </w:tblGrid>
      <w:tr w14:paraId="2288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14:paraId="5C012919">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序号</w:t>
            </w:r>
          </w:p>
        </w:tc>
        <w:tc>
          <w:tcPr>
            <w:tcW w:w="1744" w:type="dxa"/>
          </w:tcPr>
          <w:p w14:paraId="16B70CD3">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服务名称</w:t>
            </w:r>
          </w:p>
        </w:tc>
        <w:tc>
          <w:tcPr>
            <w:tcW w:w="1744" w:type="dxa"/>
          </w:tcPr>
          <w:p w14:paraId="667B30A1">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数量</w:t>
            </w:r>
          </w:p>
        </w:tc>
        <w:tc>
          <w:tcPr>
            <w:tcW w:w="1744" w:type="dxa"/>
          </w:tcPr>
          <w:p w14:paraId="662CF163">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单位</w:t>
            </w:r>
          </w:p>
        </w:tc>
        <w:tc>
          <w:tcPr>
            <w:tcW w:w="1744" w:type="dxa"/>
          </w:tcPr>
          <w:p w14:paraId="4B517203">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最高限价（元）</w:t>
            </w:r>
          </w:p>
        </w:tc>
      </w:tr>
      <w:tr w14:paraId="1FC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14:paraId="2C0BE02E">
            <w:pPr>
              <w:adjustRightInd w:val="0"/>
              <w:snapToGrid w:val="0"/>
              <w:spacing w:line="360" w:lineRule="auto"/>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1744" w:type="dxa"/>
          </w:tcPr>
          <w:p w14:paraId="279DF255">
            <w:pPr>
              <w:adjustRightInd w:val="0"/>
              <w:snapToGrid w:val="0"/>
              <w:spacing w:line="360" w:lineRule="auto"/>
              <w:rPr>
                <w:rFonts w:hint="eastAsia" w:ascii="宋体" w:hAnsi="宋体" w:cs="宋体"/>
                <w:sz w:val="24"/>
                <w:vertAlign w:val="baseline"/>
              </w:rPr>
            </w:pPr>
            <w:r>
              <w:rPr>
                <w:rFonts w:hint="eastAsia" w:ascii="宋体" w:hAnsi="宋体" w:cs="宋体"/>
                <w:bCs w:val="0"/>
                <w:sz w:val="24"/>
                <w:szCs w:val="24"/>
              </w:rPr>
              <w:t>北京住房公积金管理中心</w:t>
            </w:r>
            <w:r>
              <w:rPr>
                <w:rFonts w:hint="eastAsia" w:ascii="宋体" w:hAnsi="宋体" w:cs="宋体"/>
                <w:bCs w:val="0"/>
                <w:sz w:val="24"/>
                <w:szCs w:val="24"/>
                <w:lang w:val="en-US" w:eastAsia="zh-CN"/>
              </w:rPr>
              <w:t>2026年</w:t>
            </w:r>
            <w:r>
              <w:rPr>
                <w:rFonts w:hint="eastAsia" w:ascii="宋体" w:hAnsi="宋体" w:cs="宋体"/>
                <w:bCs w:val="0"/>
                <w:sz w:val="24"/>
                <w:szCs w:val="24"/>
              </w:rPr>
              <w:t>综合信息系统政务云租赁项目</w:t>
            </w:r>
          </w:p>
        </w:tc>
        <w:tc>
          <w:tcPr>
            <w:tcW w:w="1744" w:type="dxa"/>
          </w:tcPr>
          <w:p w14:paraId="33610973">
            <w:pPr>
              <w:adjustRightInd w:val="0"/>
              <w:snapToGrid w:val="0"/>
              <w:spacing w:line="360" w:lineRule="auto"/>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1744" w:type="dxa"/>
          </w:tcPr>
          <w:p w14:paraId="756655EA">
            <w:pPr>
              <w:adjustRightInd w:val="0"/>
              <w:snapToGrid w:val="0"/>
              <w:spacing w:line="360" w:lineRule="auto"/>
              <w:rPr>
                <w:rFonts w:hint="eastAsia" w:ascii="宋体" w:hAnsi="宋体" w:eastAsia="宋体" w:cs="宋体"/>
                <w:sz w:val="24"/>
                <w:vertAlign w:val="baseline"/>
                <w:lang w:eastAsia="zh-CN"/>
              </w:rPr>
            </w:pPr>
            <w:r>
              <w:rPr>
                <w:rFonts w:hint="eastAsia" w:ascii="宋体" w:hAnsi="宋体" w:cs="宋体"/>
                <w:sz w:val="24"/>
                <w:vertAlign w:val="baseline"/>
                <w:lang w:eastAsia="zh-CN"/>
              </w:rPr>
              <w:t>项</w:t>
            </w:r>
          </w:p>
        </w:tc>
        <w:tc>
          <w:tcPr>
            <w:tcW w:w="1744" w:type="dxa"/>
          </w:tcPr>
          <w:p w14:paraId="36EE9C73">
            <w:pPr>
              <w:adjustRightInd w:val="0"/>
              <w:snapToGrid w:val="0"/>
              <w:spacing w:line="360" w:lineRule="auto"/>
              <w:rPr>
                <w:rFonts w:hint="eastAsia" w:ascii="宋体" w:hAnsi="宋体" w:cs="宋体"/>
                <w:sz w:val="24"/>
                <w:vertAlign w:val="baseline"/>
              </w:rPr>
            </w:pPr>
            <w:r>
              <w:rPr>
                <w:rFonts w:hint="eastAsia"/>
                <w:sz w:val="24"/>
                <w:lang w:val="en-US" w:eastAsia="zh-CN"/>
              </w:rPr>
              <w:t>1831.87557</w:t>
            </w:r>
          </w:p>
        </w:tc>
      </w:tr>
    </w:tbl>
    <w:p w14:paraId="459FC625">
      <w:pPr>
        <w:adjustRightInd w:val="0"/>
        <w:snapToGrid w:val="0"/>
        <w:spacing w:line="360" w:lineRule="auto"/>
        <w:ind w:left="420"/>
        <w:rPr>
          <w:rFonts w:hint="eastAsia" w:ascii="宋体" w:hAnsi="宋体" w:cs="宋体"/>
          <w:sz w:val="24"/>
        </w:rPr>
      </w:pPr>
    </w:p>
    <w:p w14:paraId="0E465730">
      <w:pPr>
        <w:adjustRightInd w:val="0"/>
        <w:snapToGrid w:val="0"/>
        <w:spacing w:line="360" w:lineRule="auto"/>
        <w:ind w:left="420"/>
        <w:rPr>
          <w:rFonts w:hint="eastAsia" w:ascii="宋体" w:hAnsi="宋体" w:cs="宋体"/>
          <w:sz w:val="24"/>
        </w:rPr>
      </w:pPr>
    </w:p>
    <w:p w14:paraId="3489D8A1">
      <w:pPr>
        <w:keepNext/>
        <w:keepLines/>
        <w:spacing w:before="260" w:after="200"/>
        <w:outlineLvl w:val="1"/>
        <w:rPr>
          <w:rFonts w:ascii="楷体" w:hAnsi="楷体" w:eastAsia="楷体" w:cs="楷体"/>
          <w:b/>
          <w:sz w:val="24"/>
        </w:rPr>
      </w:pPr>
      <w:r>
        <w:rPr>
          <w:rFonts w:ascii="楷体" w:hAnsi="楷体" w:eastAsia="楷体" w:cs="楷体"/>
          <w:b/>
          <w:bCs w:val="0"/>
          <w:sz w:val="24"/>
        </w:rPr>
        <w:t>2. 项目概述</w:t>
      </w:r>
    </w:p>
    <w:p w14:paraId="3887F6C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lang w:val="en-US" w:eastAsia="zh-CN"/>
        </w:rPr>
        <w:t>北京住房</w:t>
      </w:r>
      <w:r>
        <w:rPr>
          <w:rFonts w:hint="eastAsia" w:ascii="宋体" w:hAnsi="宋体" w:cs="宋体"/>
          <w:sz w:val="24"/>
          <w:highlight w:val="none"/>
          <w:lang w:val="en-US" w:eastAsia="zh-CN"/>
        </w:rPr>
        <w:t>公积金</w:t>
      </w:r>
      <w:r>
        <w:rPr>
          <w:rFonts w:hint="eastAsia" w:ascii="宋体" w:hAnsi="宋体" w:eastAsia="宋体" w:cs="宋体"/>
          <w:sz w:val="24"/>
          <w:highlight w:val="none"/>
        </w:rPr>
        <w:t>管理中心</w:t>
      </w:r>
      <w:r>
        <w:rPr>
          <w:rFonts w:hint="eastAsia" w:ascii="宋体" w:hAnsi="宋体" w:eastAsia="宋体" w:cs="宋体"/>
          <w:sz w:val="24"/>
          <w:highlight w:val="none"/>
          <w:lang w:val="en-US" w:eastAsia="zh-CN"/>
        </w:rPr>
        <w:t>公积金综合业务信息系统</w:t>
      </w:r>
      <w:r>
        <w:rPr>
          <w:rFonts w:hint="eastAsia" w:ascii="宋体" w:hAnsi="宋体" w:eastAsia="宋体" w:cs="宋体"/>
          <w:sz w:val="24"/>
          <w:highlight w:val="none"/>
        </w:rPr>
        <w:t>于2020年8</w:t>
      </w:r>
      <w:r>
        <w:rPr>
          <w:rFonts w:hint="eastAsia" w:ascii="宋体" w:hAnsi="宋体" w:eastAsia="宋体" w:cs="宋体"/>
          <w:sz w:val="24"/>
          <w:highlight w:val="none"/>
          <w:lang w:val="en-US" w:eastAsia="zh-CN"/>
        </w:rPr>
        <w:t>迁入</w:t>
      </w:r>
      <w:r>
        <w:rPr>
          <w:rFonts w:hint="eastAsia" w:ascii="宋体" w:hAnsi="宋体" w:eastAsia="宋体" w:cs="宋体"/>
          <w:sz w:val="24"/>
          <w:highlight w:val="none"/>
        </w:rPr>
        <w:t>市级政务云（六里桥）</w:t>
      </w:r>
      <w:r>
        <w:rPr>
          <w:rFonts w:hint="eastAsia" w:ascii="宋体" w:hAnsi="宋体" w:eastAsia="宋体" w:cs="宋体"/>
          <w:sz w:val="24"/>
          <w:highlight w:val="none"/>
          <w:lang w:eastAsia="zh-CN"/>
        </w:rPr>
        <w:t>。</w:t>
      </w:r>
      <w:r>
        <w:rPr>
          <w:rFonts w:hint="eastAsia" w:ascii="宋体" w:hAnsi="宋体" w:eastAsia="宋体" w:cs="宋体"/>
          <w:bCs/>
          <w:sz w:val="24"/>
          <w:highlight w:val="none"/>
        </w:rPr>
        <w:t>现有信息系统情况如下：</w:t>
      </w:r>
    </w:p>
    <w:p w14:paraId="5F73BB5F">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北京</w:t>
      </w:r>
      <w:r>
        <w:rPr>
          <w:rFonts w:hint="eastAsia" w:ascii="宋体" w:hAnsi="宋体" w:eastAsia="宋体" w:cs="宋体"/>
          <w:sz w:val="24"/>
          <w:highlight w:val="none"/>
        </w:rPr>
        <w:t>公积金综合信息系统为了支撑住房公积金、住房补贴、房改售房款、住宅专项维修资金（包括售后公有住房住宅专项维修资金、商品住宅专项维修资金）等</w:t>
      </w:r>
      <w:r>
        <w:rPr>
          <w:rFonts w:hint="eastAsia" w:ascii="宋体" w:hAnsi="宋体" w:cs="宋体"/>
          <w:sz w:val="24"/>
          <w:highlight w:val="none"/>
          <w:lang w:eastAsia="zh-CN"/>
        </w:rPr>
        <w:t>系统</w:t>
      </w:r>
      <w:r>
        <w:rPr>
          <w:rFonts w:hint="eastAsia" w:ascii="宋体" w:hAnsi="宋体" w:eastAsia="宋体" w:cs="宋体"/>
          <w:sz w:val="24"/>
          <w:highlight w:val="none"/>
        </w:rPr>
        <w:t>的运行、管理和服务提供，管理中心持续建设、升级信息系统，公积金信息化越来越丰富、完善。</w:t>
      </w:r>
      <w:r>
        <w:rPr>
          <w:rFonts w:hint="eastAsia" w:ascii="宋体" w:hAnsi="宋体" w:eastAsia="宋体" w:cs="宋体"/>
          <w:sz w:val="24"/>
          <w:highlight w:val="none"/>
          <w:lang w:val="en-US" w:eastAsia="zh-CN"/>
        </w:rPr>
        <w:t>该</w:t>
      </w:r>
      <w:r>
        <w:rPr>
          <w:rFonts w:hint="eastAsia" w:ascii="宋体" w:hAnsi="宋体" w:eastAsia="宋体" w:cs="宋体"/>
          <w:sz w:val="24"/>
          <w:highlight w:val="none"/>
        </w:rPr>
        <w:t>系统包括综合业务子系统、客户服务子系统、内部管理子系统、决策支持子系统等四大应用子系统。</w:t>
      </w:r>
    </w:p>
    <w:p w14:paraId="58E424B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公积金综合信息系统支撑着重要的民生服务，涉及的用户多、资金量大、社会影响面广、系统关联复杂，要求支撑业务系统运行的市级政务云平台提供的服务全面、高效、安全。</w:t>
      </w:r>
    </w:p>
    <w:p w14:paraId="3849EC6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市级政务云承载公积金综合业务系统、客户服务系统、内部管理系统、决策支持系统四大应用系统运行，实现缴存职工个人与单位、管理部网点、银行、代办机构的线上、线下业务办理与访问</w:t>
      </w:r>
      <w:r>
        <w:rPr>
          <w:rFonts w:hint="eastAsia" w:ascii="宋体" w:hAnsi="宋体" w:eastAsia="宋体" w:cs="宋体"/>
          <w:sz w:val="24"/>
          <w:highlight w:val="none"/>
          <w:lang w:eastAsia="zh-CN"/>
        </w:rPr>
        <w:t>。</w:t>
      </w:r>
      <w:r>
        <w:rPr>
          <w:rFonts w:hint="eastAsia" w:ascii="宋体" w:hAnsi="宋体" w:eastAsia="宋体" w:cs="宋体"/>
          <w:bCs/>
          <w:sz w:val="24"/>
          <w:highlight w:val="none"/>
        </w:rPr>
        <w:br w:type="page"/>
      </w:r>
    </w:p>
    <w:p w14:paraId="29E178EB">
      <w:pPr>
        <w:pStyle w:val="2"/>
        <w:numPr>
          <w:ilvl w:val="0"/>
          <w:numId w:val="0"/>
        </w:numPr>
        <w:ind w:leftChars="0"/>
        <w:jc w:val="both"/>
        <w:rPr>
          <w:rFonts w:hint="default" w:ascii="黑体" w:hAnsi="黑体" w:eastAsia="宋体" w:cs="黑体"/>
          <w:sz w:val="24"/>
          <w:highlight w:val="none"/>
          <w:lang w:val="en-US" w:eastAsia="zh-CN"/>
        </w:rPr>
      </w:pPr>
      <w:bookmarkStart w:id="16" w:name="_Toc9754"/>
      <w:r>
        <w:rPr>
          <w:rFonts w:hint="eastAsia" w:ascii="黑体" w:hAnsi="黑体" w:eastAsia="黑体" w:cs="黑体"/>
          <w:sz w:val="24"/>
          <w:highlight w:val="none"/>
          <w:lang w:val="en-US" w:eastAsia="zh-CN"/>
        </w:rPr>
        <w:t>二</w:t>
      </w:r>
      <w:r>
        <w:rPr>
          <w:rFonts w:hint="eastAsia" w:ascii="黑体" w:hAnsi="黑体" w:eastAsia="黑体" w:cs="黑体"/>
          <w:sz w:val="24"/>
          <w:highlight w:val="none"/>
          <w:lang w:eastAsia="zh-CN"/>
        </w:rPr>
        <w:t>、</w:t>
      </w:r>
      <w:r>
        <w:rPr>
          <w:rFonts w:hint="eastAsia" w:ascii="黑体" w:hAnsi="黑体" w:eastAsia="黑体" w:cs="黑体"/>
          <w:sz w:val="24"/>
          <w:highlight w:val="none"/>
        </w:rPr>
        <w:t>商务要求</w:t>
      </w:r>
    </w:p>
    <w:p w14:paraId="56276644">
      <w:pPr>
        <w:keepNext/>
        <w:keepLines/>
        <w:spacing w:before="260" w:after="200"/>
        <w:outlineLvl w:val="1"/>
        <w:rPr>
          <w:rFonts w:ascii="楷体" w:hAnsi="楷体" w:eastAsia="楷体" w:cs="楷体"/>
          <w:b/>
          <w:sz w:val="24"/>
        </w:rPr>
      </w:pPr>
      <w:r>
        <w:rPr>
          <w:rFonts w:hint="eastAsia" w:ascii="楷体" w:hAnsi="楷体" w:eastAsia="楷体" w:cs="楷体"/>
          <w:b/>
          <w:sz w:val="24"/>
        </w:rPr>
        <w:t>1.</w:t>
      </w:r>
      <w:r>
        <w:rPr>
          <w:rFonts w:ascii="楷体" w:hAnsi="楷体" w:eastAsia="楷体" w:cs="楷体"/>
          <w:b/>
          <w:sz w:val="24"/>
        </w:rPr>
        <w:t xml:space="preserve"> 交付（实施）的时间（期限）和地点（范围）</w:t>
      </w:r>
    </w:p>
    <w:p w14:paraId="0CF4A8C8">
      <w:pPr>
        <w:snapToGrid w:val="0"/>
        <w:spacing w:line="360" w:lineRule="auto"/>
        <w:ind w:firstLine="480" w:firstLineChars="200"/>
        <w:rPr>
          <w:rFonts w:hint="eastAsia" w:ascii="宋体" w:hAnsi="宋体" w:cs="宋体"/>
          <w:sz w:val="24"/>
        </w:rPr>
      </w:pPr>
      <w:r>
        <w:rPr>
          <w:rFonts w:hint="eastAsia" w:ascii="宋体" w:hAnsi="宋体" w:cs="宋体"/>
          <w:sz w:val="24"/>
        </w:rPr>
        <w:t>服务地点：北京市</w:t>
      </w:r>
    </w:p>
    <w:p w14:paraId="67368773">
      <w:pPr>
        <w:snapToGrid w:val="0"/>
        <w:spacing w:line="360" w:lineRule="auto"/>
        <w:ind w:firstLine="480" w:firstLineChars="200"/>
        <w:rPr>
          <w:rFonts w:ascii="宋体" w:hAnsi="宋体" w:cs="宋体"/>
          <w:sz w:val="24"/>
        </w:rPr>
      </w:pPr>
      <w:r>
        <w:rPr>
          <w:rFonts w:hint="eastAsia" w:ascii="宋体" w:hAnsi="宋体" w:cs="宋体"/>
          <w:sz w:val="24"/>
        </w:rPr>
        <w:t>服务期限：</w:t>
      </w: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r>
        <w:rPr>
          <w:rFonts w:hint="eastAsia" w:ascii="宋体" w:hAnsi="宋体" w:cs="宋体"/>
          <w:sz w:val="24"/>
        </w:rPr>
        <w:t>。</w:t>
      </w:r>
    </w:p>
    <w:p w14:paraId="129B9587">
      <w:pPr>
        <w:keepNext/>
        <w:keepLines/>
        <w:spacing w:before="260" w:after="200"/>
        <w:outlineLvl w:val="1"/>
        <w:rPr>
          <w:rFonts w:ascii="楷体" w:hAnsi="楷体" w:eastAsia="楷体" w:cs="楷体"/>
          <w:b/>
          <w:sz w:val="24"/>
        </w:rPr>
      </w:pPr>
      <w:bookmarkStart w:id="17" w:name="OLE_LINK3"/>
      <w:r>
        <w:rPr>
          <w:rFonts w:ascii="楷体" w:hAnsi="楷体" w:eastAsia="楷体" w:cs="楷体"/>
          <w:b/>
          <w:sz w:val="24"/>
        </w:rPr>
        <w:t>2. 付款条件（进度和方式）</w:t>
      </w:r>
    </w:p>
    <w:bookmarkEnd w:id="17"/>
    <w:p w14:paraId="7D9EAC58">
      <w:pPr>
        <w:widowControl/>
        <w:snapToGrid w:val="0"/>
        <w:spacing w:line="360" w:lineRule="auto"/>
        <w:ind w:firstLine="480" w:firstLineChars="200"/>
        <w:rPr>
          <w:rFonts w:hint="eastAsia" w:ascii="宋体" w:hAnsi="宋体" w:cs="宋体"/>
          <w:sz w:val="24"/>
        </w:rPr>
      </w:pPr>
      <w:r>
        <w:rPr>
          <w:rFonts w:hint="eastAsia"/>
          <w:sz w:val="24"/>
          <w:szCs w:val="24"/>
          <w:highlight w:val="none"/>
        </w:rPr>
        <w:t>合同签订后,</w:t>
      </w:r>
      <w:r>
        <w:rPr>
          <w:rFonts w:hint="eastAsia"/>
          <w:sz w:val="24"/>
          <w:szCs w:val="24"/>
          <w:highlight w:val="none"/>
          <w:lang w:eastAsia="zh-CN"/>
        </w:rPr>
        <w:t>采购人</w:t>
      </w:r>
      <w:r>
        <w:rPr>
          <w:rFonts w:hint="eastAsia"/>
          <w:sz w:val="24"/>
          <w:szCs w:val="24"/>
          <w:highlight w:val="none"/>
        </w:rPr>
        <w:t>在收到首付款发票之日起10 个工作日内完成首付款支付</w:t>
      </w:r>
      <w:r>
        <w:rPr>
          <w:rFonts w:hint="eastAsia"/>
          <w:sz w:val="24"/>
          <w:szCs w:val="24"/>
          <w:highlight w:val="none"/>
          <w:lang w:eastAsia="zh-CN"/>
        </w:rPr>
        <w:t>，</w:t>
      </w:r>
      <w:r>
        <w:rPr>
          <w:rFonts w:hint="eastAsia"/>
          <w:sz w:val="24"/>
          <w:szCs w:val="24"/>
          <w:highlight w:val="none"/>
          <w:lang w:val="en-US" w:eastAsia="zh-CN"/>
        </w:rPr>
        <w:t>支付金额不低于合同款的50%；</w:t>
      </w:r>
      <w:r>
        <w:rPr>
          <w:rFonts w:hint="eastAsia"/>
          <w:sz w:val="24"/>
          <w:szCs w:val="24"/>
          <w:highlight w:val="none"/>
          <w:lang w:eastAsia="zh-CN"/>
        </w:rPr>
        <w:t>中标人</w:t>
      </w:r>
      <w:r>
        <w:rPr>
          <w:rFonts w:hint="eastAsia"/>
          <w:sz w:val="24"/>
          <w:szCs w:val="24"/>
          <w:highlight w:val="none"/>
        </w:rPr>
        <w:t>于 2026 年9月1日前向</w:t>
      </w:r>
      <w:r>
        <w:rPr>
          <w:rFonts w:hint="eastAsia"/>
          <w:sz w:val="24"/>
          <w:szCs w:val="24"/>
          <w:highlight w:val="none"/>
          <w:lang w:eastAsia="zh-CN"/>
        </w:rPr>
        <w:t>采购人</w:t>
      </w:r>
      <w:r>
        <w:rPr>
          <w:rFonts w:hint="eastAsia"/>
          <w:sz w:val="24"/>
          <w:szCs w:val="24"/>
          <w:highlight w:val="none"/>
        </w:rPr>
        <w:t>提出申请</w:t>
      </w:r>
      <w:r>
        <w:rPr>
          <w:rFonts w:hint="eastAsia"/>
          <w:sz w:val="24"/>
          <w:szCs w:val="24"/>
          <w:highlight w:val="none"/>
          <w:lang w:eastAsia="zh-CN"/>
        </w:rPr>
        <w:t>，采购人</w:t>
      </w:r>
      <w:r>
        <w:rPr>
          <w:rFonts w:hint="eastAsia"/>
          <w:sz w:val="24"/>
          <w:szCs w:val="24"/>
          <w:highlight w:val="none"/>
        </w:rPr>
        <w:t>对</w:t>
      </w:r>
      <w:r>
        <w:rPr>
          <w:rFonts w:hint="eastAsia"/>
          <w:sz w:val="24"/>
          <w:szCs w:val="24"/>
          <w:highlight w:val="none"/>
          <w:lang w:eastAsia="zh-CN"/>
        </w:rPr>
        <w:t>中标人</w:t>
      </w:r>
      <w:r>
        <w:rPr>
          <w:rFonts w:hint="eastAsia"/>
          <w:sz w:val="24"/>
          <w:szCs w:val="24"/>
          <w:highlight w:val="none"/>
        </w:rPr>
        <w:t>已完成服务内容进行验收，经验收合格后，通知</w:t>
      </w:r>
      <w:r>
        <w:rPr>
          <w:rFonts w:hint="eastAsia"/>
          <w:sz w:val="24"/>
          <w:szCs w:val="24"/>
          <w:highlight w:val="none"/>
          <w:lang w:eastAsia="zh-CN"/>
        </w:rPr>
        <w:t>中标人</w:t>
      </w:r>
      <w:r>
        <w:rPr>
          <w:rFonts w:hint="eastAsia"/>
          <w:sz w:val="24"/>
          <w:szCs w:val="24"/>
          <w:highlight w:val="none"/>
        </w:rPr>
        <w:t>提供付款发票，</w:t>
      </w:r>
      <w:r>
        <w:rPr>
          <w:rFonts w:hint="eastAsia"/>
          <w:sz w:val="24"/>
          <w:szCs w:val="24"/>
          <w:highlight w:val="none"/>
          <w:lang w:eastAsia="zh-CN"/>
        </w:rPr>
        <w:t>采购人</w:t>
      </w:r>
      <w:r>
        <w:rPr>
          <w:rFonts w:hint="eastAsia"/>
          <w:sz w:val="24"/>
          <w:szCs w:val="24"/>
          <w:highlight w:val="none"/>
        </w:rPr>
        <w:t>应在收到付款发票之日起10个工作日内完成支付</w:t>
      </w:r>
      <w:r>
        <w:rPr>
          <w:rFonts w:hint="eastAsia"/>
          <w:sz w:val="24"/>
          <w:szCs w:val="24"/>
          <w:highlight w:val="none"/>
          <w:lang w:val="en-US" w:eastAsia="zh-CN"/>
        </w:rPr>
        <w:t>不低于10%的合同款；</w:t>
      </w:r>
      <w:r>
        <w:rPr>
          <w:rFonts w:hint="eastAsia"/>
          <w:sz w:val="24"/>
          <w:szCs w:val="24"/>
          <w:highlight w:val="none"/>
        </w:rPr>
        <w:t>服务期满后30</w:t>
      </w:r>
      <w:r>
        <w:rPr>
          <w:rFonts w:hint="eastAsia"/>
          <w:sz w:val="24"/>
          <w:szCs w:val="24"/>
          <w:highlight w:val="none"/>
          <w:lang w:val="en-US" w:eastAsia="zh-CN"/>
        </w:rPr>
        <w:t>个工作</w:t>
      </w:r>
      <w:r>
        <w:rPr>
          <w:rFonts w:hint="eastAsia"/>
          <w:sz w:val="24"/>
          <w:szCs w:val="24"/>
          <w:highlight w:val="none"/>
        </w:rPr>
        <w:t>日内，</w:t>
      </w:r>
      <w:r>
        <w:rPr>
          <w:rFonts w:hint="eastAsia"/>
          <w:sz w:val="24"/>
          <w:szCs w:val="24"/>
          <w:highlight w:val="none"/>
          <w:lang w:eastAsia="zh-CN"/>
        </w:rPr>
        <w:t>中标人</w:t>
      </w:r>
      <w:r>
        <w:rPr>
          <w:rFonts w:hint="eastAsia"/>
          <w:sz w:val="24"/>
          <w:szCs w:val="24"/>
          <w:highlight w:val="none"/>
        </w:rPr>
        <w:t>向</w:t>
      </w:r>
      <w:r>
        <w:rPr>
          <w:rFonts w:hint="eastAsia"/>
          <w:sz w:val="24"/>
          <w:szCs w:val="24"/>
          <w:highlight w:val="none"/>
          <w:lang w:eastAsia="zh-CN"/>
        </w:rPr>
        <w:t>采购人</w:t>
      </w:r>
      <w:r>
        <w:rPr>
          <w:rFonts w:hint="eastAsia"/>
          <w:sz w:val="24"/>
          <w:szCs w:val="24"/>
          <w:highlight w:val="none"/>
        </w:rPr>
        <w:t>提出申请，</w:t>
      </w:r>
      <w:r>
        <w:rPr>
          <w:rFonts w:hint="eastAsia"/>
          <w:sz w:val="24"/>
          <w:szCs w:val="24"/>
          <w:highlight w:val="none"/>
          <w:lang w:eastAsia="zh-CN"/>
        </w:rPr>
        <w:t>采购人</w:t>
      </w:r>
      <w:r>
        <w:rPr>
          <w:rFonts w:hint="eastAsia"/>
          <w:sz w:val="24"/>
          <w:szCs w:val="24"/>
          <w:highlight w:val="none"/>
        </w:rPr>
        <w:t>对</w:t>
      </w:r>
      <w:r>
        <w:rPr>
          <w:rFonts w:hint="eastAsia"/>
          <w:sz w:val="24"/>
          <w:szCs w:val="24"/>
          <w:highlight w:val="none"/>
          <w:lang w:eastAsia="zh-CN"/>
        </w:rPr>
        <w:t>中标人</w:t>
      </w:r>
      <w:r>
        <w:rPr>
          <w:rFonts w:hint="eastAsia"/>
          <w:sz w:val="24"/>
          <w:szCs w:val="24"/>
          <w:highlight w:val="none"/>
        </w:rPr>
        <w:t>已完成服务内容进行验收，经验收合格后，通知</w:t>
      </w:r>
      <w:r>
        <w:rPr>
          <w:rFonts w:hint="eastAsia"/>
          <w:sz w:val="24"/>
          <w:szCs w:val="24"/>
          <w:highlight w:val="none"/>
          <w:lang w:eastAsia="zh-CN"/>
        </w:rPr>
        <w:t>中标人</w:t>
      </w:r>
      <w:r>
        <w:rPr>
          <w:rFonts w:hint="eastAsia"/>
          <w:sz w:val="24"/>
          <w:szCs w:val="24"/>
          <w:highlight w:val="none"/>
        </w:rPr>
        <w:t>提供付款发票，</w:t>
      </w:r>
      <w:r>
        <w:rPr>
          <w:rFonts w:hint="eastAsia"/>
          <w:sz w:val="24"/>
          <w:szCs w:val="24"/>
          <w:highlight w:val="none"/>
          <w:lang w:eastAsia="zh-CN"/>
        </w:rPr>
        <w:t>采购人</w:t>
      </w:r>
      <w:r>
        <w:rPr>
          <w:rFonts w:hint="eastAsia"/>
          <w:sz w:val="24"/>
          <w:szCs w:val="24"/>
          <w:highlight w:val="none"/>
        </w:rPr>
        <w:t>应在收到付款发票之日起 10 个工作日内完成支付</w:t>
      </w:r>
      <w:r>
        <w:rPr>
          <w:rFonts w:hint="eastAsia"/>
          <w:sz w:val="24"/>
          <w:szCs w:val="24"/>
          <w:highlight w:val="none"/>
          <w:lang w:val="en-US" w:eastAsia="zh-CN"/>
        </w:rPr>
        <w:t>剩余的服务费用</w:t>
      </w:r>
      <w:r>
        <w:rPr>
          <w:rFonts w:hint="eastAsia"/>
          <w:sz w:val="24"/>
          <w:szCs w:val="24"/>
          <w:highlight w:val="none"/>
        </w:rPr>
        <w:t>。</w:t>
      </w:r>
    </w:p>
    <w:p w14:paraId="4228EE07">
      <w:pPr>
        <w:pStyle w:val="5"/>
        <w:snapToGrid w:val="0"/>
        <w:ind w:firstLine="480"/>
        <w:rPr>
          <w:rFonts w:hint="eastAsia" w:ascii="宋体" w:hAnsi="宋体" w:eastAsia="宋体" w:cs="宋体"/>
          <w:sz w:val="24"/>
          <w:highlight w:val="none"/>
        </w:rPr>
      </w:pPr>
    </w:p>
    <w:p w14:paraId="3B79AD2E">
      <w:pPr>
        <w:pStyle w:val="2"/>
        <w:numPr>
          <w:ilvl w:val="-1"/>
          <w:numId w:val="0"/>
        </w:numPr>
        <w:ind w:leftChars="0"/>
        <w:jc w:val="left"/>
        <w:rPr>
          <w:rFonts w:hint="eastAsia" w:ascii="黑体" w:hAnsi="黑体" w:eastAsia="黑体" w:cs="黑体"/>
          <w:sz w:val="24"/>
          <w:highlight w:val="none"/>
        </w:rPr>
      </w:pPr>
      <w:r>
        <w:rPr>
          <w:rFonts w:hint="eastAsia" w:ascii="黑体" w:hAnsi="黑体" w:eastAsia="黑体" w:cs="黑体"/>
          <w:sz w:val="24"/>
          <w:highlight w:val="none"/>
          <w:lang w:val="en-US" w:eastAsia="zh-CN"/>
        </w:rPr>
        <w:t>三、</w:t>
      </w:r>
      <w:r>
        <w:rPr>
          <w:rFonts w:hint="eastAsia" w:ascii="黑体" w:hAnsi="黑体" w:eastAsia="黑体" w:cs="黑体"/>
          <w:sz w:val="24"/>
          <w:highlight w:val="none"/>
        </w:rPr>
        <w:t>技术要求</w:t>
      </w:r>
      <w:bookmarkEnd w:id="16"/>
    </w:p>
    <w:p w14:paraId="5B086014">
      <w:pPr>
        <w:keepNext/>
        <w:keepLines/>
        <w:spacing w:before="260" w:after="200"/>
        <w:outlineLvl w:val="1"/>
        <w:rPr>
          <w:rFonts w:ascii="楷体" w:hAnsi="楷体" w:eastAsia="楷体" w:cs="楷体"/>
          <w:b/>
          <w:sz w:val="24"/>
        </w:rPr>
      </w:pPr>
      <w:bookmarkStart w:id="18" w:name="OLE_LINK5"/>
      <w:r>
        <w:rPr>
          <w:rFonts w:hint="eastAsia" w:ascii="楷体" w:hAnsi="楷体" w:eastAsia="楷体" w:cs="楷体"/>
          <w:b/>
          <w:sz w:val="24"/>
        </w:rPr>
        <w:t>1. 基本要求</w:t>
      </w:r>
    </w:p>
    <w:bookmarkEnd w:id="18"/>
    <w:p w14:paraId="25928504">
      <w:pPr>
        <w:spacing w:line="360" w:lineRule="auto"/>
        <w:outlineLvl w:val="2"/>
        <w:rPr>
          <w:color w:val="000000"/>
          <w:sz w:val="24"/>
          <w:szCs w:val="20"/>
        </w:rPr>
      </w:pPr>
      <w:r>
        <w:rPr>
          <w:color w:val="000000"/>
          <w:sz w:val="24"/>
          <w:szCs w:val="20"/>
        </w:rPr>
        <w:t>1.1 采购标的需实现的功能或者目标</w:t>
      </w:r>
    </w:p>
    <w:p w14:paraId="28C9678F">
      <w:pPr>
        <w:snapToGrid w:val="0"/>
        <w:spacing w:line="360" w:lineRule="auto"/>
        <w:ind w:firstLine="480" w:firstLineChars="200"/>
        <w:rPr>
          <w:rFonts w:hint="eastAsia" w:ascii="宋体" w:hAnsi="宋体" w:cs="宋体"/>
          <w:bCs/>
          <w:sz w:val="24"/>
        </w:rPr>
      </w:pPr>
      <w:r>
        <w:rPr>
          <w:rFonts w:hint="eastAsia" w:ascii="宋体" w:hAnsi="宋体" w:cs="宋体"/>
          <w:bCs/>
          <w:sz w:val="24"/>
        </w:rPr>
        <w:t>本项目的总体目标是通过租用政务云平台基础服务，对</w:t>
      </w:r>
      <w:r>
        <w:rPr>
          <w:rFonts w:hint="eastAsia" w:ascii="宋体" w:hAnsi="宋体" w:cs="宋体"/>
          <w:sz w:val="24"/>
        </w:rPr>
        <w:t>北京市住房管理中心公积金综合业务信息系统</w:t>
      </w:r>
      <w:r>
        <w:rPr>
          <w:rFonts w:hint="eastAsia" w:ascii="宋体" w:hAnsi="宋体" w:cs="宋体"/>
          <w:bCs/>
          <w:sz w:val="24"/>
        </w:rPr>
        <w:t>的运行环境进行持续优化，提供可靠、稳定、安全的政务云基础服务，具体包括：</w:t>
      </w:r>
    </w:p>
    <w:p w14:paraId="07C40215">
      <w:pPr>
        <w:snapToGrid w:val="0"/>
        <w:spacing w:line="360" w:lineRule="auto"/>
        <w:ind w:firstLine="480" w:firstLineChars="200"/>
        <w:rPr>
          <w:rFonts w:hint="eastAsia" w:ascii="宋体" w:hAnsi="宋体" w:cs="宋体"/>
          <w:bCs/>
          <w:sz w:val="24"/>
        </w:rPr>
      </w:pPr>
      <w:r>
        <w:rPr>
          <w:rFonts w:hint="eastAsia" w:ascii="宋体" w:hAnsi="宋体" w:cs="宋体"/>
          <w:bCs/>
          <w:sz w:val="24"/>
        </w:rPr>
        <w:t>（1）提供政务云基础服务，包括计算服务、存储服务和网络服务等基础环境日常维护、应急响应等工作。</w:t>
      </w:r>
    </w:p>
    <w:p w14:paraId="1EA611F6">
      <w:pPr>
        <w:snapToGrid w:val="0"/>
        <w:spacing w:line="360" w:lineRule="auto"/>
        <w:ind w:firstLine="480" w:firstLineChars="200"/>
        <w:rPr>
          <w:rFonts w:hint="eastAsia" w:ascii="宋体" w:hAnsi="宋体" w:cs="宋体"/>
          <w:bCs/>
          <w:sz w:val="24"/>
        </w:rPr>
      </w:pPr>
      <w:r>
        <w:rPr>
          <w:rFonts w:hint="eastAsia" w:ascii="宋体" w:hAnsi="宋体" w:cs="宋体"/>
          <w:bCs/>
          <w:sz w:val="24"/>
        </w:rPr>
        <w:t>（2）提供7*24运维保障，做好重大活动和节假日应急值守保障服务，确保各系统在政务云环境中可靠稳定运行。</w:t>
      </w:r>
    </w:p>
    <w:p w14:paraId="7C59661F">
      <w:pPr>
        <w:widowControl/>
        <w:wordWrap w:val="0"/>
        <w:ind w:firstLine="480" w:firstLineChars="200"/>
        <w:rPr>
          <w:rFonts w:ascii="宋体" w:hAnsi="宋体" w:cs="宋体"/>
          <w:sz w:val="24"/>
        </w:rPr>
      </w:pPr>
      <w:r>
        <w:rPr>
          <w:rFonts w:hint="eastAsia" w:ascii="宋体" w:hAnsi="宋体" w:cs="宋体"/>
          <w:bCs/>
          <w:sz w:val="24"/>
        </w:rPr>
        <w:t>（3）服务期内，投标人须完成信息系统的日常运维和安全运维服务工作（包括但不限于：云平台服务、日常技术支持、系统日常维护、服务规范、安全及保密要求、响应的及时性），确保入云系统安全、稳定的运行。</w:t>
      </w:r>
    </w:p>
    <w:p w14:paraId="60FB2CA0">
      <w:pPr>
        <w:spacing w:line="360" w:lineRule="auto"/>
        <w:outlineLvl w:val="2"/>
        <w:rPr>
          <w:color w:val="000000"/>
          <w:sz w:val="24"/>
          <w:szCs w:val="20"/>
        </w:rPr>
      </w:pPr>
      <w:r>
        <w:rPr>
          <w:color w:val="000000"/>
          <w:sz w:val="24"/>
          <w:szCs w:val="20"/>
        </w:rPr>
        <w:t>1.2 需执行的国家相关标准、行业标准、地方标准或者其他标准、规范</w:t>
      </w:r>
    </w:p>
    <w:p w14:paraId="0AD0B1A9">
      <w:pPr>
        <w:snapToGrid w:val="0"/>
        <w:spacing w:line="360" w:lineRule="auto"/>
        <w:rPr>
          <w:rFonts w:ascii="宋体" w:hAnsi="宋体" w:cs="宋体"/>
          <w:bCs/>
          <w:sz w:val="24"/>
        </w:rPr>
      </w:pPr>
      <w:r>
        <w:rPr>
          <w:rFonts w:hint="eastAsia" w:ascii="宋体" w:hAnsi="宋体" w:cs="宋体"/>
          <w:bCs/>
          <w:sz w:val="24"/>
        </w:rPr>
        <w:t>（1）国家及北京市有关政策</w:t>
      </w:r>
    </w:p>
    <w:p w14:paraId="6676AF46">
      <w:pPr>
        <w:snapToGrid w:val="0"/>
        <w:spacing w:line="360" w:lineRule="auto"/>
        <w:rPr>
          <w:rFonts w:ascii="宋体" w:hAnsi="宋体" w:cs="宋体"/>
          <w:bCs/>
          <w:sz w:val="24"/>
        </w:rPr>
      </w:pPr>
      <w:r>
        <w:rPr>
          <w:rFonts w:hint="eastAsia" w:ascii="宋体" w:hAnsi="宋体" w:cs="宋体"/>
          <w:bCs/>
          <w:sz w:val="24"/>
        </w:rPr>
        <w:t>《关键信息基础设施安全保护条例》（中华人民共和国国务院令第745号）</w:t>
      </w:r>
    </w:p>
    <w:p w14:paraId="12BFB35F">
      <w:pPr>
        <w:snapToGrid w:val="0"/>
        <w:spacing w:line="360" w:lineRule="auto"/>
        <w:rPr>
          <w:rFonts w:ascii="宋体" w:hAnsi="宋体" w:cs="宋体"/>
          <w:bCs/>
          <w:sz w:val="24"/>
        </w:rPr>
      </w:pPr>
      <w:r>
        <w:rPr>
          <w:rFonts w:hint="eastAsia" w:ascii="宋体" w:hAnsi="宋体" w:cs="宋体"/>
          <w:bCs/>
          <w:sz w:val="24"/>
        </w:rPr>
        <w:t>《国家政务信息化项目建设管理办法》（国办发〔2019〕57号）</w:t>
      </w:r>
    </w:p>
    <w:p w14:paraId="6EB3BE3C">
      <w:pPr>
        <w:snapToGrid w:val="0"/>
        <w:spacing w:line="360" w:lineRule="auto"/>
        <w:rPr>
          <w:rFonts w:ascii="宋体" w:hAnsi="宋体" w:cs="宋体"/>
          <w:bCs/>
          <w:sz w:val="24"/>
        </w:rPr>
      </w:pPr>
      <w:r>
        <w:rPr>
          <w:rFonts w:ascii="宋体" w:hAnsi="宋体" w:cs="宋体"/>
          <w:sz w:val="24"/>
        </w:rPr>
        <w:t>《政府采购需求管理办法》(财库〔2021〕22号)</w:t>
      </w:r>
    </w:p>
    <w:p w14:paraId="1FE7DF49">
      <w:pPr>
        <w:snapToGrid w:val="0"/>
        <w:spacing w:line="360" w:lineRule="auto"/>
        <w:rPr>
          <w:rFonts w:ascii="宋体" w:hAnsi="宋体" w:cs="宋体"/>
          <w:bCs/>
          <w:sz w:val="24"/>
        </w:rPr>
      </w:pPr>
      <w:r>
        <w:rPr>
          <w:rFonts w:ascii="宋体" w:hAnsi="宋体" w:cs="宋体"/>
          <w:sz w:val="24"/>
        </w:rPr>
        <w:t>《关于促进政府采购公平竞争优化营商环境的通知》（财库〔2019〕38号）</w:t>
      </w:r>
    </w:p>
    <w:p w14:paraId="6AB29EE7">
      <w:pPr>
        <w:snapToGrid w:val="0"/>
        <w:spacing w:line="360" w:lineRule="auto"/>
        <w:rPr>
          <w:rFonts w:ascii="宋体" w:hAnsi="宋体" w:cs="宋体"/>
          <w:sz w:val="24"/>
        </w:rPr>
      </w:pPr>
      <w:r>
        <w:rPr>
          <w:rFonts w:ascii="宋体" w:hAnsi="宋体" w:cs="宋体"/>
          <w:sz w:val="24"/>
        </w:rPr>
        <w:t>《关于进一步提高政府采购透明度和采购效率相关事项的通知》（财办库〔2023〕243号）</w:t>
      </w:r>
    </w:p>
    <w:p w14:paraId="4B28C1D3">
      <w:pPr>
        <w:snapToGrid w:val="0"/>
        <w:spacing w:line="360" w:lineRule="auto"/>
        <w:rPr>
          <w:rFonts w:ascii="宋体" w:hAnsi="宋体" w:cs="宋体"/>
          <w:bCs/>
          <w:sz w:val="24"/>
        </w:rPr>
      </w:pPr>
      <w:r>
        <w:rPr>
          <w:rFonts w:hint="eastAsia" w:ascii="宋体" w:hAnsi="宋体" w:cs="宋体"/>
          <w:bCs/>
          <w:sz w:val="24"/>
        </w:rPr>
        <w:t>《工业和信息化部信息通信管理局关于督促互联网网络接入服务企业依法持证经营的通知》（工信管函〔2018〕84号）</w:t>
      </w:r>
    </w:p>
    <w:p w14:paraId="740DB780">
      <w:pPr>
        <w:snapToGrid w:val="0"/>
        <w:spacing w:line="360" w:lineRule="auto"/>
        <w:rPr>
          <w:rFonts w:ascii="宋体" w:hAnsi="宋体" w:cs="宋体"/>
          <w:bCs/>
          <w:sz w:val="24"/>
        </w:rPr>
      </w:pPr>
      <w:r>
        <w:rPr>
          <w:rFonts w:hint="eastAsia" w:ascii="宋体" w:hAnsi="宋体" w:cs="宋体"/>
          <w:bCs/>
          <w:sz w:val="24"/>
        </w:rPr>
        <w:t>《云计算服务安全评估办法》（国家互联网信息办公室、国家发展和改革委员会、工业和信息化部、财政部公告2019年2号）</w:t>
      </w:r>
    </w:p>
    <w:p w14:paraId="66AA7AAB">
      <w:pPr>
        <w:snapToGrid w:val="0"/>
        <w:spacing w:line="360" w:lineRule="auto"/>
        <w:rPr>
          <w:rFonts w:ascii="宋体" w:hAnsi="宋体" w:cs="宋体"/>
          <w:bCs/>
          <w:sz w:val="24"/>
        </w:rPr>
      </w:pPr>
      <w:r>
        <w:rPr>
          <w:rFonts w:hint="eastAsia" w:ascii="宋体" w:hAnsi="宋体" w:cs="宋体"/>
          <w:bCs/>
          <w:sz w:val="24"/>
        </w:rPr>
        <w:t>《关于加强党政部门云计算服务网络安全管理的意见》（中网办发文〔2014〕14号）</w:t>
      </w:r>
    </w:p>
    <w:p w14:paraId="41B1B29B">
      <w:pPr>
        <w:snapToGrid w:val="0"/>
        <w:spacing w:line="360" w:lineRule="auto"/>
        <w:rPr>
          <w:rFonts w:ascii="Arial" w:hAnsi="Arial" w:eastAsia="微软雅黑"/>
        </w:rPr>
      </w:pPr>
      <w:r>
        <w:rPr>
          <w:rFonts w:hint="eastAsia" w:ascii="宋体" w:hAnsi="宋体" w:cs="宋体"/>
          <w:bCs/>
          <w:sz w:val="24"/>
        </w:rPr>
        <w:t>《基于云计算的电子政务公共平台顶层设计指南》</w:t>
      </w:r>
    </w:p>
    <w:p w14:paraId="40A0BEBE">
      <w:pPr>
        <w:snapToGrid w:val="0"/>
        <w:spacing w:line="360" w:lineRule="auto"/>
        <w:rPr>
          <w:rFonts w:ascii="宋体" w:hAnsi="宋体" w:cs="宋体"/>
          <w:bCs/>
          <w:sz w:val="24"/>
        </w:rPr>
      </w:pPr>
      <w:r>
        <w:rPr>
          <w:rFonts w:ascii="宋体" w:hAnsi="宋体" w:cs="宋体"/>
          <w:sz w:val="24"/>
        </w:rPr>
        <w:t>《北京市财政局关于印发&lt;北京市政府采购负面清单&gt;的通知》（京财采购〔2020〕1345号）</w:t>
      </w:r>
    </w:p>
    <w:p w14:paraId="55712DC1">
      <w:pPr>
        <w:snapToGrid w:val="0"/>
        <w:spacing w:line="360" w:lineRule="auto"/>
        <w:rPr>
          <w:rFonts w:ascii="宋体" w:hAnsi="宋体" w:cs="宋体"/>
          <w:bCs/>
          <w:sz w:val="24"/>
        </w:rPr>
      </w:pPr>
      <w:r>
        <w:rPr>
          <w:rFonts w:ascii="宋体" w:hAnsi="宋体" w:cs="宋体"/>
          <w:sz w:val="24"/>
        </w:rPr>
        <w:t>《北京市财政局关于落实好政府采购支持中小企业发展的通知（京财采购〔2022〕1143</w:t>
      </w:r>
      <w:r>
        <w:rPr>
          <w:rFonts w:hint="eastAsia" w:ascii="宋体" w:hAnsi="宋体" w:cs="宋体"/>
          <w:sz w:val="24"/>
        </w:rPr>
        <w:t>号）</w:t>
      </w:r>
    </w:p>
    <w:p w14:paraId="4E90001A">
      <w:pPr>
        <w:snapToGrid w:val="0"/>
        <w:spacing w:line="360" w:lineRule="auto"/>
        <w:rPr>
          <w:rFonts w:ascii="宋体" w:hAnsi="宋体" w:cs="宋体"/>
          <w:bCs/>
          <w:sz w:val="24"/>
        </w:rPr>
      </w:pPr>
      <w:r>
        <w:rPr>
          <w:rFonts w:hint="eastAsia" w:ascii="宋体" w:hAnsi="宋体" w:cs="宋体"/>
          <w:color w:val="000000"/>
          <w:sz w:val="24"/>
        </w:rPr>
        <w:t>《关于印发&lt;关于推进我市政务信息系统整合共享的实施方案&gt;的通知》（京经信委发〔2017〕89号）</w:t>
      </w:r>
    </w:p>
    <w:p w14:paraId="09D8901D">
      <w:pPr>
        <w:snapToGrid w:val="0"/>
        <w:spacing w:line="360" w:lineRule="auto"/>
        <w:rPr>
          <w:rFonts w:ascii="宋体" w:hAnsi="宋体" w:cs="宋体"/>
          <w:sz w:val="24"/>
        </w:rPr>
      </w:pPr>
      <w:r>
        <w:rPr>
          <w:rFonts w:hint="eastAsia" w:ascii="宋体" w:hAnsi="宋体" w:cs="宋体"/>
          <w:color w:val="000000"/>
          <w:sz w:val="24"/>
        </w:rPr>
        <w:t>《北京市人民政府关于印发&lt;北京市政务信息资源管理办法（试行）&gt;的通知》（京政发〔2017〕37号）</w:t>
      </w:r>
    </w:p>
    <w:p w14:paraId="59AB8E44">
      <w:pPr>
        <w:snapToGrid w:val="0"/>
        <w:spacing w:line="360" w:lineRule="auto"/>
        <w:rPr>
          <w:rFonts w:ascii="宋体" w:hAnsi="宋体" w:cs="宋体"/>
          <w:sz w:val="24"/>
        </w:rPr>
      </w:pPr>
      <w:r>
        <w:rPr>
          <w:rFonts w:hint="eastAsia" w:ascii="宋体" w:hAnsi="宋体" w:cs="宋体"/>
          <w:sz w:val="24"/>
        </w:rPr>
        <w:t>《北京市政务网络和数据安全管理办法》（京经信发〔2023〕57号）</w:t>
      </w:r>
    </w:p>
    <w:p w14:paraId="5A2884BA">
      <w:pPr>
        <w:snapToGrid w:val="0"/>
        <w:spacing w:line="360" w:lineRule="auto"/>
        <w:rPr>
          <w:rFonts w:ascii="宋体" w:hAnsi="宋体" w:cs="宋体"/>
          <w:sz w:val="24"/>
        </w:rPr>
      </w:pPr>
      <w:r>
        <w:rPr>
          <w:rFonts w:hint="eastAsia" w:ascii="宋体" w:hAnsi="宋体" w:cs="宋体"/>
          <w:sz w:val="24"/>
        </w:rPr>
        <w:t>《北京市“十四五”时期智慧城市建设控制性规划要求（试行）》（京大数据发〔2021〕2号）</w:t>
      </w:r>
    </w:p>
    <w:p w14:paraId="25BFCE29">
      <w:pPr>
        <w:snapToGrid w:val="0"/>
        <w:spacing w:line="360" w:lineRule="auto"/>
        <w:rPr>
          <w:rFonts w:ascii="宋体" w:hAnsi="宋体" w:cs="宋体"/>
          <w:sz w:val="24"/>
        </w:rPr>
      </w:pPr>
      <w:r>
        <w:rPr>
          <w:rFonts w:hint="eastAsia" w:ascii="宋体" w:hAnsi="宋体" w:cs="宋体"/>
          <w:sz w:val="24"/>
        </w:rPr>
        <w:t>（2）国家相关标准</w:t>
      </w:r>
    </w:p>
    <w:p w14:paraId="77E6777A">
      <w:pPr>
        <w:snapToGrid w:val="0"/>
        <w:spacing w:line="360" w:lineRule="auto"/>
        <w:rPr>
          <w:rFonts w:ascii="宋体" w:hAnsi="宋体" w:cs="宋体"/>
          <w:bCs/>
          <w:sz w:val="24"/>
        </w:rPr>
      </w:pPr>
      <w:r>
        <w:rPr>
          <w:rFonts w:hint="eastAsia" w:ascii="宋体" w:hAnsi="宋体" w:cs="宋体"/>
          <w:bCs/>
          <w:sz w:val="24"/>
        </w:rPr>
        <w:t>《国家电子政务外网安全接入平台技术规范》</w:t>
      </w:r>
    </w:p>
    <w:p w14:paraId="3049A8A0">
      <w:pPr>
        <w:snapToGrid w:val="0"/>
        <w:spacing w:line="360" w:lineRule="auto"/>
        <w:rPr>
          <w:rFonts w:ascii="宋体" w:hAnsi="宋体" w:cs="宋体"/>
          <w:bCs/>
          <w:sz w:val="24"/>
        </w:rPr>
      </w:pPr>
      <w:r>
        <w:rPr>
          <w:rFonts w:hint="eastAsia" w:ascii="宋体" w:hAnsi="宋体" w:cs="宋体"/>
          <w:bCs/>
          <w:sz w:val="24"/>
        </w:rPr>
        <w:t>《信息技术—云计算—云服务质量评价指标》（GB/T 37738-2019）</w:t>
      </w:r>
    </w:p>
    <w:p w14:paraId="0D5E66B0">
      <w:pPr>
        <w:snapToGrid w:val="0"/>
        <w:spacing w:line="360" w:lineRule="auto"/>
        <w:rPr>
          <w:rFonts w:ascii="宋体" w:hAnsi="宋体" w:cs="宋体"/>
          <w:bCs/>
          <w:sz w:val="24"/>
        </w:rPr>
      </w:pPr>
      <w:r>
        <w:rPr>
          <w:rFonts w:hint="eastAsia" w:ascii="宋体" w:hAnsi="宋体" w:cs="宋体"/>
          <w:bCs/>
          <w:sz w:val="24"/>
        </w:rPr>
        <w:t>《信息技术—云计算—云服务计量指标》（GB/T 37735-2019）</w:t>
      </w:r>
    </w:p>
    <w:p w14:paraId="0426E7CB">
      <w:pPr>
        <w:snapToGrid w:val="0"/>
        <w:spacing w:line="360" w:lineRule="auto"/>
        <w:rPr>
          <w:rFonts w:ascii="宋体" w:hAnsi="宋体" w:cs="宋体"/>
          <w:bCs/>
          <w:sz w:val="24"/>
        </w:rPr>
      </w:pPr>
      <w:r>
        <w:rPr>
          <w:rFonts w:hint="eastAsia" w:ascii="宋体" w:hAnsi="宋体" w:cs="宋体"/>
          <w:bCs/>
          <w:sz w:val="24"/>
        </w:rPr>
        <w:t>《信息技术—云计算—云服务采购指南》（GB/T 37734-2019）</w:t>
      </w:r>
    </w:p>
    <w:p w14:paraId="016A341C">
      <w:pPr>
        <w:snapToGrid w:val="0"/>
        <w:spacing w:line="360" w:lineRule="auto"/>
        <w:rPr>
          <w:rFonts w:ascii="宋体" w:hAnsi="宋体" w:cs="宋体"/>
          <w:bCs/>
          <w:sz w:val="24"/>
        </w:rPr>
      </w:pPr>
      <w:r>
        <w:rPr>
          <w:rFonts w:hint="eastAsia" w:ascii="宋体" w:hAnsi="宋体" w:cs="宋体"/>
          <w:bCs/>
          <w:sz w:val="24"/>
        </w:rPr>
        <w:t>《信息技术—云计算—云存储系统服务接口功能》（GB/T 37732-2019）</w:t>
      </w:r>
    </w:p>
    <w:p w14:paraId="60F330C3">
      <w:pPr>
        <w:snapToGrid w:val="0"/>
        <w:spacing w:line="360" w:lineRule="auto"/>
        <w:rPr>
          <w:rFonts w:ascii="宋体" w:hAnsi="宋体" w:cs="宋体"/>
          <w:bCs/>
          <w:sz w:val="24"/>
        </w:rPr>
      </w:pPr>
      <w:r>
        <w:rPr>
          <w:rFonts w:hint="eastAsia" w:ascii="宋体" w:hAnsi="宋体" w:cs="宋体"/>
          <w:bCs/>
          <w:sz w:val="24"/>
        </w:rPr>
        <w:t>《信息技术—云计算—云资源监控通用要求》（GB/T 37736-2019）</w:t>
      </w:r>
    </w:p>
    <w:p w14:paraId="71169A0A">
      <w:pPr>
        <w:snapToGrid w:val="0"/>
        <w:spacing w:line="360" w:lineRule="auto"/>
        <w:rPr>
          <w:rFonts w:ascii="宋体" w:hAnsi="宋体" w:cs="宋体"/>
          <w:bCs/>
          <w:sz w:val="24"/>
        </w:rPr>
      </w:pPr>
      <w:r>
        <w:rPr>
          <w:rFonts w:hint="eastAsia" w:ascii="宋体" w:hAnsi="宋体" w:cs="宋体"/>
          <w:bCs/>
          <w:sz w:val="24"/>
        </w:rPr>
        <w:t>《信息技术—云计算—云平台间应用和数据迁移指南》（GB/T 37740-2019）</w:t>
      </w:r>
    </w:p>
    <w:p w14:paraId="78EE8ABE">
      <w:pPr>
        <w:snapToGrid w:val="0"/>
        <w:spacing w:line="360" w:lineRule="auto"/>
        <w:rPr>
          <w:rFonts w:ascii="宋体" w:hAnsi="宋体" w:cs="宋体"/>
          <w:bCs/>
          <w:sz w:val="24"/>
        </w:rPr>
      </w:pPr>
      <w:r>
        <w:rPr>
          <w:rFonts w:hint="eastAsia" w:ascii="宋体" w:hAnsi="宋体" w:cs="宋体"/>
          <w:bCs/>
          <w:sz w:val="24"/>
        </w:rPr>
        <w:t>《信息技术—云计算—云服务交付要求》（GB/T 37741-2019）</w:t>
      </w:r>
    </w:p>
    <w:p w14:paraId="099535EF">
      <w:pPr>
        <w:snapToGrid w:val="0"/>
        <w:spacing w:line="360" w:lineRule="auto"/>
        <w:rPr>
          <w:rFonts w:ascii="宋体" w:hAnsi="宋体" w:cs="宋体"/>
          <w:bCs/>
          <w:sz w:val="24"/>
        </w:rPr>
      </w:pPr>
      <w:r>
        <w:rPr>
          <w:rFonts w:hint="eastAsia" w:ascii="宋体" w:hAnsi="宋体" w:cs="宋体"/>
          <w:bCs/>
          <w:sz w:val="24"/>
        </w:rPr>
        <w:t>《信息系统灾难恢复规范》（GB/T 20988-2007）</w:t>
      </w:r>
    </w:p>
    <w:p w14:paraId="2EC8E769">
      <w:pPr>
        <w:snapToGrid w:val="0"/>
        <w:spacing w:line="360" w:lineRule="auto"/>
        <w:rPr>
          <w:rFonts w:ascii="宋体" w:hAnsi="宋体" w:cs="宋体"/>
          <w:bCs/>
          <w:sz w:val="24"/>
        </w:rPr>
      </w:pPr>
      <w:r>
        <w:rPr>
          <w:rFonts w:hint="eastAsia" w:ascii="宋体" w:hAnsi="宋体" w:cs="宋体"/>
          <w:bCs/>
          <w:sz w:val="24"/>
        </w:rPr>
        <w:t>《信息安全技术 云计算服务安全能力要求》（GB/T 31168-2014）</w:t>
      </w:r>
    </w:p>
    <w:p w14:paraId="7ADA0A99">
      <w:pPr>
        <w:snapToGrid w:val="0"/>
        <w:spacing w:line="360" w:lineRule="auto"/>
        <w:rPr>
          <w:rFonts w:ascii="宋体" w:hAnsi="宋体" w:cs="宋体"/>
          <w:bCs/>
          <w:sz w:val="24"/>
        </w:rPr>
      </w:pPr>
      <w:r>
        <w:rPr>
          <w:rFonts w:hint="eastAsia" w:ascii="宋体" w:hAnsi="宋体" w:cs="宋体"/>
          <w:bCs/>
          <w:sz w:val="24"/>
        </w:rPr>
        <w:t>《信息安全技术 网络安全等级保护定级指南》（GB/T 22240-2020）</w:t>
      </w:r>
    </w:p>
    <w:p w14:paraId="10544C2A">
      <w:pPr>
        <w:snapToGrid w:val="0"/>
        <w:spacing w:line="360" w:lineRule="auto"/>
        <w:rPr>
          <w:rFonts w:ascii="宋体" w:hAnsi="宋体" w:cs="宋体"/>
          <w:bCs/>
          <w:sz w:val="24"/>
        </w:rPr>
      </w:pPr>
      <w:r>
        <w:rPr>
          <w:rFonts w:hint="eastAsia" w:ascii="宋体" w:hAnsi="宋体" w:cs="宋体"/>
          <w:bCs/>
          <w:sz w:val="24"/>
        </w:rPr>
        <w:t>《信息安全技术 网络安全等级保护基本要求》（GB/T 22239-2019）</w:t>
      </w:r>
    </w:p>
    <w:p w14:paraId="26C31AA6">
      <w:pPr>
        <w:snapToGrid w:val="0"/>
        <w:spacing w:line="360" w:lineRule="auto"/>
        <w:rPr>
          <w:rFonts w:ascii="宋体" w:hAnsi="宋体" w:cs="宋体"/>
          <w:bCs/>
          <w:sz w:val="24"/>
        </w:rPr>
      </w:pPr>
      <w:r>
        <w:rPr>
          <w:rFonts w:hint="eastAsia" w:ascii="宋体" w:hAnsi="宋体" w:cs="宋体"/>
          <w:bCs/>
          <w:sz w:val="24"/>
        </w:rPr>
        <w:t>《信息安全技术 网络安全等级保护测评要求》（GB/T 28448-2019）</w:t>
      </w:r>
    </w:p>
    <w:p w14:paraId="6C94D2D6">
      <w:pPr>
        <w:snapToGrid w:val="0"/>
        <w:spacing w:line="360" w:lineRule="auto"/>
        <w:rPr>
          <w:rFonts w:ascii="宋体" w:hAnsi="宋体" w:cs="宋体"/>
          <w:sz w:val="24"/>
        </w:rPr>
      </w:pPr>
      <w:r>
        <w:rPr>
          <w:rFonts w:hint="eastAsia" w:ascii="宋体" w:hAnsi="宋体" w:cs="宋体"/>
          <w:bCs/>
          <w:sz w:val="24"/>
        </w:rPr>
        <w:t>《信息安全技术 信息系统密码应用基本要求》（GB/T39786-2021）</w:t>
      </w:r>
    </w:p>
    <w:p w14:paraId="3F08EE13">
      <w:pPr>
        <w:snapToGrid w:val="0"/>
        <w:spacing w:line="360" w:lineRule="auto"/>
        <w:rPr>
          <w:rFonts w:ascii="宋体" w:hAnsi="宋体" w:cs="宋体"/>
          <w:bCs/>
          <w:sz w:val="24"/>
        </w:rPr>
      </w:pPr>
      <w:r>
        <w:rPr>
          <w:rFonts w:hint="eastAsia" w:ascii="宋体" w:hAnsi="宋体" w:cs="宋体"/>
          <w:bCs/>
          <w:sz w:val="24"/>
        </w:rPr>
        <w:t>《信息安全技术 信息安全风险评估方法》（GB/T 20984-2022）</w:t>
      </w:r>
    </w:p>
    <w:p w14:paraId="34EEE24D">
      <w:pPr>
        <w:snapToGrid w:val="0"/>
        <w:spacing w:line="360" w:lineRule="auto"/>
        <w:rPr>
          <w:rFonts w:ascii="宋体" w:hAnsi="宋体" w:cs="宋体"/>
          <w:sz w:val="24"/>
        </w:rPr>
      </w:pPr>
      <w:r>
        <w:rPr>
          <w:rFonts w:hint="eastAsia" w:ascii="宋体" w:hAnsi="宋体" w:cs="宋体"/>
          <w:bCs/>
          <w:sz w:val="24"/>
        </w:rPr>
        <w:t>《信息安全技术 云计算服务安全指南》（GB/T 31167-2014）</w:t>
      </w:r>
    </w:p>
    <w:p w14:paraId="47E4C50E">
      <w:pPr>
        <w:snapToGrid w:val="0"/>
        <w:spacing w:line="360" w:lineRule="auto"/>
        <w:rPr>
          <w:rFonts w:ascii="宋体" w:hAnsi="宋体" w:cs="宋体"/>
          <w:sz w:val="24"/>
        </w:rPr>
      </w:pPr>
      <w:r>
        <w:rPr>
          <w:rFonts w:hint="eastAsia" w:ascii="宋体" w:hAnsi="宋体" w:cs="宋体"/>
          <w:bCs/>
          <w:sz w:val="24"/>
        </w:rPr>
        <w:t>《信息安全技术 政府网站云计算服务安全指南》（GB/T 38249—2019）</w:t>
      </w:r>
    </w:p>
    <w:p w14:paraId="546D162C">
      <w:pPr>
        <w:snapToGrid w:val="0"/>
        <w:spacing w:line="360" w:lineRule="auto"/>
        <w:rPr>
          <w:rFonts w:ascii="宋体" w:hAnsi="宋体" w:cs="宋体"/>
          <w:sz w:val="24"/>
        </w:rPr>
      </w:pPr>
      <w:r>
        <w:rPr>
          <w:rFonts w:hint="eastAsia" w:ascii="宋体" w:hAnsi="宋体" w:cs="宋体"/>
          <w:bCs/>
          <w:sz w:val="24"/>
        </w:rPr>
        <w:t>《信息安全技术 云计算安全参考架构》（GB/T 35279—2017）</w:t>
      </w:r>
    </w:p>
    <w:p w14:paraId="08AE94EA">
      <w:pPr>
        <w:snapToGrid w:val="0"/>
        <w:spacing w:line="360" w:lineRule="auto"/>
        <w:rPr>
          <w:rFonts w:ascii="宋体" w:hAnsi="宋体" w:cs="宋体"/>
          <w:sz w:val="24"/>
        </w:rPr>
      </w:pPr>
      <w:r>
        <w:rPr>
          <w:rFonts w:hint="eastAsia" w:ascii="宋体" w:hAnsi="宋体" w:cs="宋体"/>
          <w:bCs/>
          <w:sz w:val="24"/>
        </w:rPr>
        <w:t>《信息安全技术 云计算服务安全能力评估方法》GB/T 34942—2017</w:t>
      </w:r>
    </w:p>
    <w:p w14:paraId="18DBDDFB">
      <w:pPr>
        <w:snapToGrid w:val="0"/>
        <w:spacing w:line="360" w:lineRule="auto"/>
        <w:rPr>
          <w:rFonts w:ascii="宋体" w:hAnsi="宋体" w:cs="宋体"/>
          <w:sz w:val="24"/>
        </w:rPr>
      </w:pPr>
      <w:r>
        <w:rPr>
          <w:rFonts w:hint="eastAsia" w:ascii="宋体" w:hAnsi="宋体" w:cs="宋体"/>
          <w:bCs/>
          <w:sz w:val="24"/>
        </w:rPr>
        <w:t>《信息安全技术 云计算服务运行监管框架》（GB/T 37972—2019）</w:t>
      </w:r>
    </w:p>
    <w:p w14:paraId="684058FF">
      <w:pPr>
        <w:snapToGrid w:val="0"/>
        <w:spacing w:line="360" w:lineRule="auto"/>
        <w:rPr>
          <w:rFonts w:ascii="宋体" w:hAnsi="宋体" w:cs="宋体"/>
          <w:sz w:val="24"/>
        </w:rPr>
      </w:pPr>
      <w:r>
        <w:rPr>
          <w:rFonts w:hint="eastAsia" w:ascii="宋体" w:hAnsi="宋体" w:cs="宋体"/>
          <w:bCs/>
          <w:sz w:val="24"/>
        </w:rPr>
        <w:t>《信息技术 云资源监控指标体系》（GB/T 37938-2019）</w:t>
      </w:r>
    </w:p>
    <w:p w14:paraId="31225402">
      <w:pPr>
        <w:snapToGrid w:val="0"/>
        <w:spacing w:line="360" w:lineRule="auto"/>
        <w:rPr>
          <w:rFonts w:ascii="宋体" w:hAnsi="宋体" w:cs="宋体"/>
          <w:bCs/>
          <w:sz w:val="24"/>
        </w:rPr>
      </w:pPr>
      <w:r>
        <w:rPr>
          <w:rFonts w:hint="eastAsia" w:ascii="宋体" w:hAnsi="宋体" w:cs="宋体"/>
          <w:bCs/>
          <w:sz w:val="24"/>
        </w:rPr>
        <w:t>《电子信息系统机房设计规范》（GB50174-2017）</w:t>
      </w:r>
    </w:p>
    <w:p w14:paraId="201CD740">
      <w:pPr>
        <w:snapToGrid w:val="0"/>
        <w:spacing w:line="360" w:lineRule="auto"/>
        <w:rPr>
          <w:rFonts w:ascii="宋体" w:hAnsi="宋体" w:cs="宋体"/>
          <w:bCs/>
          <w:sz w:val="24"/>
        </w:rPr>
      </w:pPr>
      <w:r>
        <w:rPr>
          <w:rFonts w:hint="eastAsia" w:ascii="宋体" w:hAnsi="宋体" w:cs="宋体"/>
          <w:bCs/>
          <w:sz w:val="24"/>
        </w:rPr>
        <w:t>《数据中心电信基础设施标准》（ANSI/TIA-942）</w:t>
      </w:r>
    </w:p>
    <w:p w14:paraId="17020C25">
      <w:pPr>
        <w:snapToGrid w:val="0"/>
        <w:spacing w:line="360" w:lineRule="auto"/>
        <w:rPr>
          <w:rFonts w:ascii="宋体" w:hAnsi="宋体" w:cs="宋体"/>
          <w:bCs/>
          <w:sz w:val="24"/>
        </w:rPr>
      </w:pPr>
      <w:r>
        <w:rPr>
          <w:rFonts w:hint="eastAsia" w:ascii="宋体" w:hAnsi="宋体" w:cs="宋体"/>
          <w:bCs/>
          <w:sz w:val="24"/>
        </w:rPr>
        <w:t>《综合布线系统工程设计规范》（GB 50311—2016）</w:t>
      </w:r>
    </w:p>
    <w:p w14:paraId="4C9B4FCF">
      <w:pPr>
        <w:snapToGrid w:val="0"/>
        <w:spacing w:line="360" w:lineRule="auto"/>
        <w:rPr>
          <w:rFonts w:ascii="宋体" w:hAnsi="宋体" w:cs="宋体"/>
          <w:bCs/>
          <w:sz w:val="24"/>
        </w:rPr>
      </w:pPr>
      <w:r>
        <w:rPr>
          <w:rFonts w:hint="eastAsia" w:ascii="宋体" w:hAnsi="宋体" w:cs="宋体"/>
          <w:bCs/>
          <w:sz w:val="24"/>
        </w:rPr>
        <w:t>《云计算关键领域安全指南V4.0》</w:t>
      </w:r>
    </w:p>
    <w:p w14:paraId="5FC82BF0">
      <w:pPr>
        <w:snapToGrid w:val="0"/>
        <w:spacing w:line="360" w:lineRule="auto"/>
        <w:rPr>
          <w:rFonts w:ascii="宋体" w:hAnsi="宋体" w:cs="宋体"/>
          <w:bCs/>
          <w:sz w:val="24"/>
        </w:rPr>
      </w:pPr>
      <w:r>
        <w:rPr>
          <w:rFonts w:hint="eastAsia" w:ascii="宋体" w:hAnsi="宋体" w:cs="宋体"/>
          <w:bCs/>
          <w:sz w:val="24"/>
        </w:rPr>
        <w:t>（3）北京市相关标准</w:t>
      </w:r>
    </w:p>
    <w:p w14:paraId="15977823">
      <w:pPr>
        <w:snapToGrid w:val="0"/>
        <w:spacing w:line="360" w:lineRule="auto"/>
        <w:rPr>
          <w:rFonts w:ascii="宋体" w:hAnsi="宋体" w:cs="宋体"/>
          <w:bCs/>
          <w:sz w:val="24"/>
        </w:rPr>
      </w:pPr>
      <w:r>
        <w:rPr>
          <w:rFonts w:hint="eastAsia" w:ascii="宋体" w:hAnsi="宋体" w:cs="宋体"/>
          <w:bCs/>
          <w:sz w:val="24"/>
        </w:rPr>
        <w:t>《政务云平台建设技术要求》（DB11/T 2169-2023）</w:t>
      </w:r>
    </w:p>
    <w:p w14:paraId="669F6F55">
      <w:pPr>
        <w:snapToGrid w:val="0"/>
        <w:spacing w:line="360" w:lineRule="auto"/>
        <w:rPr>
          <w:rFonts w:ascii="宋体" w:hAnsi="宋体" w:cs="宋体"/>
          <w:bCs/>
          <w:sz w:val="24"/>
        </w:rPr>
      </w:pPr>
      <w:r>
        <w:rPr>
          <w:rFonts w:hint="eastAsia" w:ascii="宋体" w:hAnsi="宋体" w:cs="宋体"/>
          <w:bCs/>
          <w:sz w:val="24"/>
        </w:rPr>
        <w:t>《北京市政务云安全技术规范 IaaS云计算平台分册》</w:t>
      </w:r>
    </w:p>
    <w:p w14:paraId="082FDB7F">
      <w:pPr>
        <w:snapToGrid w:val="0"/>
        <w:spacing w:line="360" w:lineRule="auto"/>
        <w:rPr>
          <w:rFonts w:ascii="宋体" w:hAnsi="宋体" w:cs="宋体"/>
          <w:bCs/>
          <w:sz w:val="24"/>
        </w:rPr>
      </w:pPr>
      <w:r>
        <w:rPr>
          <w:rFonts w:hint="eastAsia" w:ascii="宋体" w:hAnsi="宋体" w:cs="宋体"/>
          <w:bCs/>
          <w:sz w:val="24"/>
        </w:rPr>
        <w:t>《北京市政务云安全技术规范 IaaS云计算平台安全监管接口分册》</w:t>
      </w:r>
    </w:p>
    <w:p w14:paraId="00014FBD">
      <w:pPr>
        <w:snapToGrid w:val="0"/>
        <w:spacing w:line="360" w:lineRule="auto"/>
        <w:rPr>
          <w:rFonts w:ascii="宋体" w:hAnsi="宋体" w:cs="宋体"/>
          <w:bCs/>
          <w:sz w:val="24"/>
        </w:rPr>
      </w:pPr>
      <w:r>
        <w:rPr>
          <w:rFonts w:hint="eastAsia" w:ascii="宋体" w:hAnsi="宋体" w:cs="宋体"/>
          <w:bCs/>
          <w:sz w:val="24"/>
        </w:rPr>
        <w:t>《北京市政务云安全技术规范 信息安全服务接口分册》</w:t>
      </w:r>
    </w:p>
    <w:p w14:paraId="7A6EE264">
      <w:pPr>
        <w:numPr>
          <w:ilvl w:val="0"/>
          <w:numId w:val="0"/>
        </w:numPr>
        <w:rPr>
          <w:rFonts w:hint="eastAsia"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p w14:paraId="743F5FE4">
      <w:pPr>
        <w:keepNext/>
        <w:keepLines/>
        <w:spacing w:before="260" w:after="200"/>
        <w:outlineLvl w:val="1"/>
        <w:rPr>
          <w:rFonts w:ascii="楷体" w:hAnsi="楷体" w:eastAsia="楷体" w:cs="楷体"/>
          <w:b/>
          <w:sz w:val="24"/>
        </w:rPr>
      </w:pPr>
      <w:r>
        <w:rPr>
          <w:rFonts w:hint="eastAsia" w:ascii="楷体" w:hAnsi="楷体" w:eastAsia="楷体" w:cs="楷体"/>
          <w:b/>
          <w:sz w:val="24"/>
        </w:rPr>
        <w:t>2. 服务内容及要求</w:t>
      </w:r>
    </w:p>
    <w:p w14:paraId="1E2EF1D6">
      <w:pPr>
        <w:spacing w:line="360" w:lineRule="auto"/>
        <w:outlineLvl w:val="2"/>
        <w:rPr>
          <w:rFonts w:hint="eastAsia" w:ascii="宋体" w:hAnsi="宋体" w:cs="宋体"/>
          <w:sz w:val="24"/>
        </w:rPr>
      </w:pPr>
      <w:r>
        <w:rPr>
          <w:rFonts w:hint="eastAsia"/>
          <w:color w:val="000000"/>
          <w:sz w:val="24"/>
          <w:szCs w:val="20"/>
        </w:rPr>
        <w:t>2.1采购服务清单</w:t>
      </w:r>
    </w:p>
    <w:p w14:paraId="1BB73147">
      <w:pPr>
        <w:pStyle w:val="4"/>
        <w:snapToGrid w:val="0"/>
        <w:rPr>
          <w:rFonts w:hint="eastAsia" w:ascii="楷体" w:hAnsi="楷体" w:eastAsia="楷体" w:cs="楷体"/>
          <w:bCs w:val="0"/>
          <w:sz w:val="24"/>
          <w:highlight w:val="none"/>
        </w:rPr>
      </w:pPr>
      <w:r>
        <w:rPr>
          <w:rFonts w:hint="eastAsia" w:ascii="楷体" w:hAnsi="楷体" w:eastAsia="楷体" w:cs="楷体"/>
          <w:bCs w:val="0"/>
          <w:sz w:val="24"/>
          <w:highlight w:val="none"/>
        </w:rPr>
        <w:t>（1）政务云基础服务</w:t>
      </w:r>
    </w:p>
    <w:tbl>
      <w:tblPr>
        <w:tblStyle w:val="43"/>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500"/>
        <w:gridCol w:w="992"/>
        <w:gridCol w:w="851"/>
        <w:gridCol w:w="992"/>
        <w:gridCol w:w="1618"/>
      </w:tblGrid>
      <w:tr w14:paraId="521F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48" w:type="dxa"/>
            <w:shd w:val="clear" w:color="auto" w:fill="D9D9D9"/>
            <w:vAlign w:val="center"/>
          </w:tcPr>
          <w:p w14:paraId="7D054D69">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服务子类</w:t>
            </w:r>
          </w:p>
        </w:tc>
        <w:tc>
          <w:tcPr>
            <w:tcW w:w="2500" w:type="dxa"/>
            <w:shd w:val="clear" w:color="auto" w:fill="D9D9D9"/>
            <w:vAlign w:val="center"/>
          </w:tcPr>
          <w:p w14:paraId="72C7F1E2">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服务项</w:t>
            </w:r>
          </w:p>
        </w:tc>
        <w:tc>
          <w:tcPr>
            <w:tcW w:w="992" w:type="dxa"/>
            <w:shd w:val="clear" w:color="auto" w:fill="D9D9D9"/>
            <w:vAlign w:val="center"/>
          </w:tcPr>
          <w:p w14:paraId="1CB08319">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计价单位</w:t>
            </w:r>
          </w:p>
        </w:tc>
        <w:tc>
          <w:tcPr>
            <w:tcW w:w="851" w:type="dxa"/>
            <w:shd w:val="clear" w:color="auto" w:fill="D9D9D9"/>
            <w:vAlign w:val="center"/>
          </w:tcPr>
          <w:p w14:paraId="194740C4">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报价单位</w:t>
            </w:r>
          </w:p>
        </w:tc>
        <w:tc>
          <w:tcPr>
            <w:tcW w:w="992" w:type="dxa"/>
            <w:shd w:val="clear" w:color="auto" w:fill="D9D9D9"/>
            <w:vAlign w:val="center"/>
          </w:tcPr>
          <w:p w14:paraId="605DFE25">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数量</w:t>
            </w:r>
          </w:p>
        </w:tc>
        <w:tc>
          <w:tcPr>
            <w:tcW w:w="1618" w:type="dxa"/>
            <w:shd w:val="clear" w:color="auto" w:fill="D9D9D9"/>
            <w:vAlign w:val="center"/>
          </w:tcPr>
          <w:p w14:paraId="016D4CA5">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服务期</w:t>
            </w:r>
          </w:p>
        </w:tc>
      </w:tr>
      <w:tr w14:paraId="2ED2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48" w:type="dxa"/>
            <w:vMerge w:val="restart"/>
            <w:shd w:val="clear" w:color="auto" w:fill="auto"/>
            <w:vAlign w:val="center"/>
          </w:tcPr>
          <w:p w14:paraId="5CBA8930">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云主机服务（包含X86、ARM、C86）</w:t>
            </w:r>
          </w:p>
        </w:tc>
        <w:tc>
          <w:tcPr>
            <w:tcW w:w="2500" w:type="dxa"/>
            <w:shd w:val="clear" w:color="auto" w:fill="auto"/>
            <w:vAlign w:val="center"/>
          </w:tcPr>
          <w:p w14:paraId="285A8AAB">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CPU（vCPU ARM架构主频不低于2.4GHz，C86和x86主频不低于2.2GHz，平均虚拟化率，即物理CPU/虚拟CPU≥1/4，虚拟CPU利用率不低于物理CPU的25% ）</w:t>
            </w:r>
          </w:p>
        </w:tc>
        <w:tc>
          <w:tcPr>
            <w:tcW w:w="992" w:type="dxa"/>
            <w:shd w:val="clear" w:color="auto" w:fill="auto"/>
            <w:vAlign w:val="center"/>
          </w:tcPr>
          <w:p w14:paraId="0E98B4B3">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1CPU</w:t>
            </w:r>
          </w:p>
        </w:tc>
        <w:tc>
          <w:tcPr>
            <w:tcW w:w="851" w:type="dxa"/>
            <w:shd w:val="clear" w:color="auto" w:fill="auto"/>
            <w:vAlign w:val="center"/>
          </w:tcPr>
          <w:p w14:paraId="7390C6B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17E6FB42">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3040</w:t>
            </w:r>
          </w:p>
        </w:tc>
        <w:tc>
          <w:tcPr>
            <w:tcW w:w="1618" w:type="dxa"/>
            <w:shd w:val="clear" w:color="auto" w:fill="auto"/>
            <w:vAlign w:val="center"/>
          </w:tcPr>
          <w:p w14:paraId="7C334B3B">
            <w:pPr>
              <w:widowControl/>
              <w:jc w:val="center"/>
              <w:textAlignment w:val="center"/>
              <w:rPr>
                <w:rFonts w:hint="default" w:ascii="宋体" w:hAnsi="宋体" w:eastAsia="宋体" w:cs="宋体"/>
                <w:color w:val="000000"/>
                <w:sz w:val="24"/>
                <w:highlight w:val="yellow"/>
                <w:lang w:val="en-US" w:eastAsia="zh-CN"/>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2BEE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48" w:type="dxa"/>
            <w:vMerge w:val="continue"/>
            <w:shd w:val="clear" w:color="auto" w:fill="auto"/>
            <w:vAlign w:val="center"/>
          </w:tcPr>
          <w:p w14:paraId="0D839DBE">
            <w:pPr>
              <w:jc w:val="center"/>
              <w:rPr>
                <w:rFonts w:hint="eastAsia" w:ascii="宋体" w:hAnsi="宋体" w:eastAsia="宋体" w:cs="宋体"/>
                <w:color w:val="000000"/>
                <w:sz w:val="24"/>
                <w:highlight w:val="none"/>
              </w:rPr>
            </w:pPr>
          </w:p>
        </w:tc>
        <w:tc>
          <w:tcPr>
            <w:tcW w:w="2500" w:type="dxa"/>
            <w:shd w:val="clear" w:color="auto" w:fill="auto"/>
            <w:vAlign w:val="center"/>
          </w:tcPr>
          <w:p w14:paraId="2BC25133">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内存</w:t>
            </w:r>
          </w:p>
        </w:tc>
        <w:tc>
          <w:tcPr>
            <w:tcW w:w="992" w:type="dxa"/>
            <w:shd w:val="clear" w:color="auto" w:fill="auto"/>
            <w:vAlign w:val="center"/>
          </w:tcPr>
          <w:p w14:paraId="742D3A5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1GB</w:t>
            </w:r>
          </w:p>
        </w:tc>
        <w:tc>
          <w:tcPr>
            <w:tcW w:w="851" w:type="dxa"/>
            <w:shd w:val="clear" w:color="auto" w:fill="auto"/>
            <w:vAlign w:val="center"/>
          </w:tcPr>
          <w:p w14:paraId="1498115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1BD0C2B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7810</w:t>
            </w:r>
          </w:p>
        </w:tc>
        <w:tc>
          <w:tcPr>
            <w:tcW w:w="1618" w:type="dxa"/>
            <w:shd w:val="clear" w:color="auto" w:fill="auto"/>
            <w:vAlign w:val="center"/>
          </w:tcPr>
          <w:p w14:paraId="42CA8030">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7DA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vMerge w:val="restart"/>
            <w:shd w:val="clear" w:color="auto" w:fill="auto"/>
            <w:vAlign w:val="center"/>
          </w:tcPr>
          <w:p w14:paraId="37B5388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物理服务器租用服务（包含X86、ARM、C86）</w:t>
            </w:r>
          </w:p>
        </w:tc>
        <w:tc>
          <w:tcPr>
            <w:tcW w:w="2500" w:type="dxa"/>
            <w:shd w:val="clear" w:color="auto" w:fill="auto"/>
            <w:vAlign w:val="center"/>
          </w:tcPr>
          <w:p w14:paraId="4F8A16B2">
            <w:pPr>
              <w:widowControl/>
              <w:rPr>
                <w:rFonts w:hint="eastAsia" w:ascii="宋体" w:hAnsi="宋体" w:eastAsia="宋体" w:cs="宋体"/>
                <w:sz w:val="24"/>
                <w:highlight w:val="none"/>
              </w:rPr>
            </w:pPr>
            <w:r>
              <w:rPr>
                <w:rFonts w:hint="eastAsia" w:ascii="宋体" w:hAnsi="宋体" w:eastAsia="宋体" w:cs="宋体"/>
                <w:sz w:val="24"/>
                <w:highlight w:val="none"/>
              </w:rPr>
              <w:t>x86 物理服务器配置1：2 路12 核（主频≥2.0Ghz），64G内存，2 块600G SAS 硬盘,2 个HBA 卡，2 个万兆端口</w:t>
            </w:r>
          </w:p>
        </w:tc>
        <w:tc>
          <w:tcPr>
            <w:tcW w:w="992" w:type="dxa"/>
            <w:shd w:val="clear" w:color="auto" w:fill="FFFFFF"/>
            <w:vAlign w:val="center"/>
          </w:tcPr>
          <w:p w14:paraId="77E320E8">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1台</w:t>
            </w:r>
          </w:p>
        </w:tc>
        <w:tc>
          <w:tcPr>
            <w:tcW w:w="851" w:type="dxa"/>
            <w:shd w:val="clear" w:color="auto" w:fill="auto"/>
            <w:vAlign w:val="center"/>
          </w:tcPr>
          <w:p w14:paraId="34F5BF64">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258A0273">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p>
        </w:tc>
        <w:tc>
          <w:tcPr>
            <w:tcW w:w="1618" w:type="dxa"/>
            <w:shd w:val="clear" w:color="auto" w:fill="auto"/>
            <w:vAlign w:val="center"/>
          </w:tcPr>
          <w:p w14:paraId="5273333D">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DA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vMerge w:val="continue"/>
            <w:shd w:val="clear" w:color="auto" w:fill="auto"/>
            <w:vAlign w:val="center"/>
          </w:tcPr>
          <w:p w14:paraId="7981C527">
            <w:pPr>
              <w:widowControl/>
              <w:jc w:val="center"/>
              <w:textAlignment w:val="center"/>
              <w:rPr>
                <w:rFonts w:hint="eastAsia" w:ascii="宋体" w:hAnsi="宋体" w:eastAsia="宋体" w:cs="宋体"/>
                <w:color w:val="000000"/>
                <w:sz w:val="24"/>
                <w:highlight w:val="none"/>
                <w:lang w:bidi="ar"/>
              </w:rPr>
            </w:pPr>
          </w:p>
        </w:tc>
        <w:tc>
          <w:tcPr>
            <w:tcW w:w="2500" w:type="dxa"/>
            <w:shd w:val="clear" w:color="auto" w:fill="auto"/>
            <w:vAlign w:val="center"/>
          </w:tcPr>
          <w:p w14:paraId="4451C61D">
            <w:pPr>
              <w:widowControl/>
              <w:rPr>
                <w:rFonts w:hint="eastAsia" w:ascii="宋体" w:hAnsi="宋体" w:eastAsia="宋体" w:cs="宋体"/>
                <w:sz w:val="24"/>
                <w:highlight w:val="none"/>
              </w:rPr>
            </w:pPr>
            <w:r>
              <w:rPr>
                <w:rFonts w:hint="eastAsia" w:ascii="宋体" w:hAnsi="宋体" w:eastAsia="宋体" w:cs="宋体"/>
                <w:sz w:val="24"/>
                <w:highlight w:val="none"/>
              </w:rPr>
              <w:t>x86 物理服务器配置2：4 路12 核（主频≥2.0Ghz），128G内存，2 块600G SAS 硬盘，2 个HBA 卡，2 个万兆端口</w:t>
            </w:r>
          </w:p>
        </w:tc>
        <w:tc>
          <w:tcPr>
            <w:tcW w:w="992" w:type="dxa"/>
            <w:shd w:val="clear" w:color="auto" w:fill="FFFFFF"/>
            <w:vAlign w:val="center"/>
          </w:tcPr>
          <w:p w14:paraId="1AC4E713">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1台</w:t>
            </w:r>
          </w:p>
        </w:tc>
        <w:tc>
          <w:tcPr>
            <w:tcW w:w="851" w:type="dxa"/>
            <w:shd w:val="clear" w:color="auto" w:fill="auto"/>
            <w:vAlign w:val="center"/>
          </w:tcPr>
          <w:p w14:paraId="4C114FA8">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4BB5D36E">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618" w:type="dxa"/>
            <w:shd w:val="clear" w:color="auto" w:fill="auto"/>
            <w:vAlign w:val="center"/>
          </w:tcPr>
          <w:p w14:paraId="4BB4BD12">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DB6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vMerge w:val="continue"/>
            <w:shd w:val="clear" w:color="auto" w:fill="auto"/>
            <w:vAlign w:val="center"/>
          </w:tcPr>
          <w:p w14:paraId="3755AB9F">
            <w:pPr>
              <w:widowControl/>
              <w:jc w:val="center"/>
              <w:textAlignment w:val="center"/>
              <w:rPr>
                <w:rFonts w:hint="eastAsia" w:ascii="宋体" w:hAnsi="宋体" w:eastAsia="宋体" w:cs="宋体"/>
                <w:color w:val="000000"/>
                <w:sz w:val="24"/>
                <w:highlight w:val="none"/>
                <w:lang w:bidi="ar"/>
              </w:rPr>
            </w:pPr>
          </w:p>
        </w:tc>
        <w:tc>
          <w:tcPr>
            <w:tcW w:w="2500" w:type="dxa"/>
            <w:shd w:val="clear" w:color="auto" w:fill="auto"/>
            <w:vAlign w:val="center"/>
          </w:tcPr>
          <w:p w14:paraId="32B16AEE">
            <w:pPr>
              <w:widowControl/>
              <w:rPr>
                <w:rFonts w:hint="eastAsia" w:ascii="宋体" w:hAnsi="宋体" w:eastAsia="宋体" w:cs="宋体"/>
                <w:sz w:val="24"/>
                <w:highlight w:val="none"/>
              </w:rPr>
            </w:pPr>
            <w:r>
              <w:rPr>
                <w:rFonts w:hint="eastAsia" w:ascii="宋体" w:hAnsi="宋体" w:eastAsia="宋体" w:cs="宋体"/>
                <w:color w:val="000000"/>
                <w:sz w:val="24"/>
                <w:highlight w:val="none"/>
                <w:lang w:bidi="ar"/>
              </w:rPr>
              <w:t>x86物理服务器配置3：8路16核（主频≥2.0Ghz），256G内存，2块600SAS硬盘,2个HBA卡，2个万兆端口</w:t>
            </w:r>
          </w:p>
        </w:tc>
        <w:tc>
          <w:tcPr>
            <w:tcW w:w="992" w:type="dxa"/>
            <w:shd w:val="clear" w:color="auto" w:fill="FFFFFF"/>
            <w:vAlign w:val="center"/>
          </w:tcPr>
          <w:p w14:paraId="377ACFB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1台</w:t>
            </w:r>
          </w:p>
        </w:tc>
        <w:tc>
          <w:tcPr>
            <w:tcW w:w="851" w:type="dxa"/>
            <w:shd w:val="clear" w:color="auto" w:fill="auto"/>
            <w:vAlign w:val="center"/>
          </w:tcPr>
          <w:p w14:paraId="03346D3F">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0935479E">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618" w:type="dxa"/>
            <w:shd w:val="clear" w:color="auto" w:fill="auto"/>
            <w:vAlign w:val="center"/>
          </w:tcPr>
          <w:p w14:paraId="0B041A49">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1A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shd w:val="clear" w:color="auto" w:fill="auto"/>
            <w:vAlign w:val="center"/>
          </w:tcPr>
          <w:p w14:paraId="735F0C45">
            <w:pPr>
              <w:widowControl/>
              <w:jc w:val="center"/>
              <w:textAlignment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图形图像计算服务</w:t>
            </w:r>
          </w:p>
        </w:tc>
        <w:tc>
          <w:tcPr>
            <w:tcW w:w="2500" w:type="dxa"/>
            <w:shd w:val="clear" w:color="auto" w:fill="auto"/>
            <w:vAlign w:val="center"/>
          </w:tcPr>
          <w:p w14:paraId="74A0C6EF">
            <w:pPr>
              <w:widowControl/>
              <w:rPr>
                <w:rFonts w:hint="eastAsia" w:ascii="宋体" w:hAnsi="宋体" w:eastAsia="宋体" w:cs="宋体"/>
                <w:sz w:val="24"/>
                <w:highlight w:val="none"/>
              </w:rPr>
            </w:pPr>
            <w:r>
              <w:rPr>
                <w:rFonts w:hint="eastAsia" w:ascii="宋体" w:hAnsi="宋体" w:eastAsia="宋体" w:cs="宋体"/>
                <w:sz w:val="24"/>
                <w:highlight w:val="none"/>
              </w:rPr>
              <w:t>GPU显存不低于16G，最大单精度浮点计算能力不低于7TFLOPS，最大双精度浮点计算能力0.2TFLOPS</w:t>
            </w:r>
          </w:p>
        </w:tc>
        <w:tc>
          <w:tcPr>
            <w:tcW w:w="992" w:type="dxa"/>
            <w:shd w:val="clear" w:color="auto" w:fill="FFFFFF"/>
            <w:vAlign w:val="center"/>
          </w:tcPr>
          <w:p w14:paraId="04E94AC9">
            <w:pPr>
              <w:widowControl/>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卡</w:t>
            </w:r>
          </w:p>
        </w:tc>
        <w:tc>
          <w:tcPr>
            <w:tcW w:w="851" w:type="dxa"/>
            <w:shd w:val="clear" w:color="auto" w:fill="auto"/>
            <w:vAlign w:val="center"/>
          </w:tcPr>
          <w:p w14:paraId="1DA02004">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992" w:type="dxa"/>
            <w:shd w:val="clear" w:color="auto" w:fill="auto"/>
            <w:vAlign w:val="center"/>
          </w:tcPr>
          <w:p w14:paraId="731D23A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w:t>
            </w:r>
          </w:p>
        </w:tc>
        <w:tc>
          <w:tcPr>
            <w:tcW w:w="1618" w:type="dxa"/>
            <w:shd w:val="clear" w:color="auto" w:fill="auto"/>
            <w:vAlign w:val="center"/>
          </w:tcPr>
          <w:p w14:paraId="0AC895EC">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BC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48" w:type="dxa"/>
            <w:shd w:val="clear" w:color="auto" w:fill="auto"/>
            <w:vAlign w:val="center"/>
          </w:tcPr>
          <w:p w14:paraId="4E43AF91">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普通性能存储</w:t>
            </w:r>
          </w:p>
        </w:tc>
        <w:tc>
          <w:tcPr>
            <w:tcW w:w="2500" w:type="dxa"/>
            <w:shd w:val="clear" w:color="auto" w:fill="auto"/>
            <w:vAlign w:val="center"/>
          </w:tcPr>
          <w:p w14:paraId="00512BAD">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普通存储（单盘技术指标:单盘IOPS2000-5000）</w:t>
            </w:r>
          </w:p>
        </w:tc>
        <w:tc>
          <w:tcPr>
            <w:tcW w:w="992" w:type="dxa"/>
            <w:shd w:val="clear" w:color="auto" w:fill="FFFFFF"/>
            <w:vAlign w:val="center"/>
          </w:tcPr>
          <w:p w14:paraId="5D27ADA2">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1GB</w:t>
            </w:r>
          </w:p>
        </w:tc>
        <w:tc>
          <w:tcPr>
            <w:tcW w:w="851" w:type="dxa"/>
            <w:shd w:val="clear" w:color="auto" w:fill="auto"/>
            <w:vAlign w:val="center"/>
          </w:tcPr>
          <w:p w14:paraId="32E2871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0AD7829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51610</w:t>
            </w:r>
          </w:p>
        </w:tc>
        <w:tc>
          <w:tcPr>
            <w:tcW w:w="1618" w:type="dxa"/>
            <w:shd w:val="clear" w:color="auto" w:fill="auto"/>
            <w:vAlign w:val="center"/>
          </w:tcPr>
          <w:p w14:paraId="7F9873D6">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0C9D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48" w:type="dxa"/>
            <w:shd w:val="clear" w:color="auto" w:fill="auto"/>
            <w:vAlign w:val="center"/>
          </w:tcPr>
          <w:p w14:paraId="28CCCCF4">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高性能存储</w:t>
            </w:r>
          </w:p>
        </w:tc>
        <w:tc>
          <w:tcPr>
            <w:tcW w:w="2500" w:type="dxa"/>
            <w:shd w:val="clear" w:color="auto" w:fill="auto"/>
            <w:vAlign w:val="center"/>
          </w:tcPr>
          <w:p w14:paraId="491B6C67">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高性能存储（单盘技术指标：单盘IOPS10000-25000）</w:t>
            </w:r>
          </w:p>
        </w:tc>
        <w:tc>
          <w:tcPr>
            <w:tcW w:w="992" w:type="dxa"/>
            <w:shd w:val="clear" w:color="auto" w:fill="FFFFFF"/>
            <w:vAlign w:val="center"/>
          </w:tcPr>
          <w:p w14:paraId="61C88BE8">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1GB</w:t>
            </w:r>
          </w:p>
        </w:tc>
        <w:tc>
          <w:tcPr>
            <w:tcW w:w="851" w:type="dxa"/>
            <w:shd w:val="clear" w:color="auto" w:fill="auto"/>
            <w:vAlign w:val="center"/>
          </w:tcPr>
          <w:p w14:paraId="23DE934F">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640B0C4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212108</w:t>
            </w:r>
          </w:p>
        </w:tc>
        <w:tc>
          <w:tcPr>
            <w:tcW w:w="1618" w:type="dxa"/>
            <w:shd w:val="clear" w:color="auto" w:fill="auto"/>
            <w:vAlign w:val="center"/>
          </w:tcPr>
          <w:p w14:paraId="27BBF940">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D93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48" w:type="dxa"/>
            <w:shd w:val="clear" w:color="auto" w:fill="auto"/>
            <w:vAlign w:val="center"/>
          </w:tcPr>
          <w:p w14:paraId="63E6080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本地备份服务</w:t>
            </w:r>
          </w:p>
        </w:tc>
        <w:tc>
          <w:tcPr>
            <w:tcW w:w="2500" w:type="dxa"/>
            <w:shd w:val="clear" w:color="auto" w:fill="auto"/>
            <w:vAlign w:val="center"/>
          </w:tcPr>
          <w:p w14:paraId="3E620795">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本地备份服务</w:t>
            </w:r>
          </w:p>
        </w:tc>
        <w:tc>
          <w:tcPr>
            <w:tcW w:w="992" w:type="dxa"/>
            <w:shd w:val="clear" w:color="auto" w:fill="auto"/>
            <w:vAlign w:val="center"/>
          </w:tcPr>
          <w:p w14:paraId="197A56C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1GB</w:t>
            </w:r>
          </w:p>
        </w:tc>
        <w:tc>
          <w:tcPr>
            <w:tcW w:w="851" w:type="dxa"/>
            <w:shd w:val="clear" w:color="auto" w:fill="auto"/>
            <w:vAlign w:val="center"/>
          </w:tcPr>
          <w:p w14:paraId="3FE92D8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113902C1">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80040</w:t>
            </w:r>
          </w:p>
        </w:tc>
        <w:tc>
          <w:tcPr>
            <w:tcW w:w="1618" w:type="dxa"/>
            <w:shd w:val="clear" w:color="auto" w:fill="auto"/>
            <w:vAlign w:val="center"/>
          </w:tcPr>
          <w:p w14:paraId="74AA3984">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CE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48" w:type="dxa"/>
            <w:shd w:val="clear" w:color="auto" w:fill="auto"/>
            <w:vAlign w:val="center"/>
          </w:tcPr>
          <w:p w14:paraId="4BBF31D6">
            <w:pPr>
              <w:widowControl/>
              <w:jc w:val="center"/>
              <w:rPr>
                <w:rFonts w:hint="eastAsia" w:ascii="宋体" w:hAnsi="宋体" w:eastAsia="宋体" w:cs="宋体"/>
                <w:sz w:val="24"/>
                <w:highlight w:val="none"/>
              </w:rPr>
            </w:pPr>
            <w:r>
              <w:rPr>
                <w:rFonts w:hint="eastAsia" w:ascii="宋体" w:hAnsi="宋体" w:eastAsia="宋体" w:cs="宋体"/>
                <w:sz w:val="24"/>
                <w:highlight w:val="none"/>
              </w:rPr>
              <w:t>异地备份服务</w:t>
            </w:r>
          </w:p>
        </w:tc>
        <w:tc>
          <w:tcPr>
            <w:tcW w:w="2500" w:type="dxa"/>
            <w:shd w:val="clear" w:color="auto" w:fill="auto"/>
            <w:vAlign w:val="center"/>
          </w:tcPr>
          <w:p w14:paraId="0C02D43F">
            <w:pPr>
              <w:widowControl/>
              <w:rPr>
                <w:rFonts w:hint="eastAsia" w:ascii="宋体" w:hAnsi="宋体" w:eastAsia="宋体" w:cs="宋体"/>
                <w:sz w:val="24"/>
                <w:highlight w:val="none"/>
              </w:rPr>
            </w:pPr>
            <w:r>
              <w:rPr>
                <w:rFonts w:hint="eastAsia" w:ascii="宋体" w:hAnsi="宋体" w:eastAsia="宋体" w:cs="宋体"/>
                <w:sz w:val="24"/>
                <w:highlight w:val="none"/>
              </w:rPr>
              <w:t>异地备份服务</w:t>
            </w:r>
          </w:p>
        </w:tc>
        <w:tc>
          <w:tcPr>
            <w:tcW w:w="992" w:type="dxa"/>
            <w:shd w:val="clear" w:color="auto" w:fill="auto"/>
            <w:vAlign w:val="center"/>
          </w:tcPr>
          <w:p w14:paraId="0E922B50">
            <w:pPr>
              <w:widowControl/>
              <w:jc w:val="center"/>
              <w:rPr>
                <w:rFonts w:hint="eastAsia" w:ascii="宋体" w:hAnsi="宋体" w:eastAsia="宋体" w:cs="宋体"/>
                <w:sz w:val="24"/>
                <w:highlight w:val="none"/>
              </w:rPr>
            </w:pPr>
            <w:r>
              <w:rPr>
                <w:rFonts w:hint="eastAsia" w:ascii="宋体" w:hAnsi="宋体" w:eastAsia="宋体" w:cs="宋体"/>
                <w:sz w:val="24"/>
                <w:highlight w:val="none"/>
              </w:rPr>
              <w:t>1GB</w:t>
            </w:r>
          </w:p>
        </w:tc>
        <w:tc>
          <w:tcPr>
            <w:tcW w:w="851" w:type="dxa"/>
            <w:shd w:val="clear" w:color="auto" w:fill="auto"/>
            <w:vAlign w:val="center"/>
          </w:tcPr>
          <w:p w14:paraId="3E58C6BC">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992" w:type="dxa"/>
            <w:shd w:val="clear" w:color="auto" w:fill="auto"/>
            <w:vAlign w:val="center"/>
          </w:tcPr>
          <w:p w14:paraId="1C07ECD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18400</w:t>
            </w:r>
          </w:p>
        </w:tc>
        <w:tc>
          <w:tcPr>
            <w:tcW w:w="1618" w:type="dxa"/>
            <w:shd w:val="clear" w:color="auto" w:fill="auto"/>
            <w:vAlign w:val="center"/>
          </w:tcPr>
          <w:p w14:paraId="6B13AC90">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933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48" w:type="dxa"/>
            <w:vMerge w:val="restart"/>
            <w:shd w:val="clear" w:color="auto" w:fill="auto"/>
            <w:vAlign w:val="center"/>
          </w:tcPr>
          <w:p w14:paraId="4CD3689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互联网链路服务</w:t>
            </w:r>
          </w:p>
        </w:tc>
        <w:tc>
          <w:tcPr>
            <w:tcW w:w="2500" w:type="dxa"/>
            <w:shd w:val="clear" w:color="auto" w:fill="auto"/>
            <w:vAlign w:val="center"/>
          </w:tcPr>
          <w:p w14:paraId="04D47DA9">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互联网链路带宽</w:t>
            </w:r>
          </w:p>
        </w:tc>
        <w:tc>
          <w:tcPr>
            <w:tcW w:w="992" w:type="dxa"/>
            <w:shd w:val="clear" w:color="auto" w:fill="auto"/>
            <w:vAlign w:val="center"/>
          </w:tcPr>
          <w:p w14:paraId="49B9E97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1Mb</w:t>
            </w:r>
          </w:p>
        </w:tc>
        <w:tc>
          <w:tcPr>
            <w:tcW w:w="851" w:type="dxa"/>
            <w:shd w:val="clear" w:color="auto" w:fill="auto"/>
            <w:vAlign w:val="center"/>
          </w:tcPr>
          <w:p w14:paraId="0AFE0B1E">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199FC03E">
            <w:pPr>
              <w:widowControl/>
              <w:jc w:val="center"/>
              <w:textAlignment w:val="center"/>
              <w:rPr>
                <w:rFonts w:hint="eastAsia" w:ascii="宋体" w:hAnsi="宋体" w:eastAsia="宋体" w:cs="宋体"/>
                <w:color w:val="000000"/>
                <w:sz w:val="24"/>
                <w:highlight w:val="none"/>
              </w:rPr>
            </w:pPr>
            <w:r>
              <w:rPr>
                <w:rFonts w:ascii="宋体" w:hAnsi="宋体" w:eastAsia="宋体" w:cs="宋体"/>
                <w:color w:val="000000"/>
                <w:sz w:val="24"/>
                <w:highlight w:val="none"/>
              </w:rPr>
              <w:t>1</w:t>
            </w:r>
            <w:r>
              <w:rPr>
                <w:rFonts w:hint="eastAsia" w:ascii="宋体" w:hAnsi="宋体" w:eastAsia="宋体" w:cs="宋体"/>
                <w:color w:val="000000"/>
                <w:sz w:val="24"/>
                <w:highlight w:val="none"/>
              </w:rPr>
              <w:t>00</w:t>
            </w:r>
          </w:p>
        </w:tc>
        <w:tc>
          <w:tcPr>
            <w:tcW w:w="1618" w:type="dxa"/>
            <w:shd w:val="clear" w:color="auto" w:fill="auto"/>
            <w:vAlign w:val="center"/>
          </w:tcPr>
          <w:p w14:paraId="16D457CC">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4EE0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48" w:type="dxa"/>
            <w:vMerge w:val="continue"/>
            <w:shd w:val="clear" w:color="auto" w:fill="auto"/>
            <w:vAlign w:val="center"/>
          </w:tcPr>
          <w:p w14:paraId="6D3816F6">
            <w:pPr>
              <w:jc w:val="center"/>
              <w:rPr>
                <w:rFonts w:hint="eastAsia" w:ascii="宋体" w:hAnsi="宋体" w:eastAsia="宋体" w:cs="宋体"/>
                <w:color w:val="000000"/>
                <w:sz w:val="24"/>
                <w:highlight w:val="none"/>
              </w:rPr>
            </w:pPr>
          </w:p>
        </w:tc>
        <w:tc>
          <w:tcPr>
            <w:tcW w:w="2500" w:type="dxa"/>
            <w:shd w:val="clear" w:color="auto" w:fill="auto"/>
            <w:vAlign w:val="center"/>
          </w:tcPr>
          <w:p w14:paraId="7903BE90">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互联网IP地址租用服务、并提供备案服务</w:t>
            </w:r>
          </w:p>
        </w:tc>
        <w:tc>
          <w:tcPr>
            <w:tcW w:w="992" w:type="dxa"/>
            <w:shd w:val="clear" w:color="auto" w:fill="auto"/>
            <w:vAlign w:val="center"/>
          </w:tcPr>
          <w:p w14:paraId="42EE4787">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1IP</w:t>
            </w:r>
          </w:p>
        </w:tc>
        <w:tc>
          <w:tcPr>
            <w:tcW w:w="851" w:type="dxa"/>
            <w:shd w:val="clear" w:color="auto" w:fill="auto"/>
            <w:vAlign w:val="center"/>
          </w:tcPr>
          <w:p w14:paraId="6721B002">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519A483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w:t>
            </w:r>
          </w:p>
        </w:tc>
        <w:tc>
          <w:tcPr>
            <w:tcW w:w="1618" w:type="dxa"/>
            <w:shd w:val="clear" w:color="auto" w:fill="auto"/>
            <w:vAlign w:val="center"/>
          </w:tcPr>
          <w:p w14:paraId="46D3FB19">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2CD8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48" w:type="dxa"/>
            <w:shd w:val="clear" w:color="auto" w:fill="auto"/>
            <w:vAlign w:val="center"/>
          </w:tcPr>
          <w:p w14:paraId="7A34F3A6">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主机负载均衡服务</w:t>
            </w:r>
          </w:p>
        </w:tc>
        <w:tc>
          <w:tcPr>
            <w:tcW w:w="2500" w:type="dxa"/>
            <w:shd w:val="clear" w:color="auto" w:fill="auto"/>
            <w:vAlign w:val="center"/>
          </w:tcPr>
          <w:p w14:paraId="646EAC05">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主机负载均衡服务</w:t>
            </w:r>
          </w:p>
        </w:tc>
        <w:tc>
          <w:tcPr>
            <w:tcW w:w="992" w:type="dxa"/>
            <w:shd w:val="clear" w:color="auto" w:fill="auto"/>
            <w:vAlign w:val="center"/>
          </w:tcPr>
          <w:p w14:paraId="3201A55E">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1IP（内网）</w:t>
            </w:r>
          </w:p>
        </w:tc>
        <w:tc>
          <w:tcPr>
            <w:tcW w:w="851" w:type="dxa"/>
            <w:shd w:val="clear" w:color="auto" w:fill="auto"/>
            <w:vAlign w:val="center"/>
          </w:tcPr>
          <w:p w14:paraId="24582884">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6CB42468">
            <w:pPr>
              <w:widowControl/>
              <w:jc w:val="center"/>
              <w:textAlignment w:val="center"/>
              <w:rPr>
                <w:rFonts w:hint="eastAsia" w:ascii="宋体" w:hAnsi="宋体" w:eastAsia="宋体" w:cs="宋体"/>
                <w:color w:val="000000"/>
                <w:sz w:val="24"/>
                <w:highlight w:val="none"/>
              </w:rPr>
            </w:pPr>
            <w:r>
              <w:rPr>
                <w:rFonts w:ascii="宋体" w:hAnsi="宋体" w:eastAsia="宋体" w:cs="宋体"/>
                <w:color w:val="000000"/>
                <w:sz w:val="24"/>
                <w:highlight w:val="none"/>
              </w:rPr>
              <w:t>98</w:t>
            </w:r>
          </w:p>
        </w:tc>
        <w:tc>
          <w:tcPr>
            <w:tcW w:w="1618" w:type="dxa"/>
            <w:shd w:val="clear" w:color="auto" w:fill="auto"/>
            <w:vAlign w:val="center"/>
          </w:tcPr>
          <w:p w14:paraId="26FF700B">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4E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48" w:type="dxa"/>
            <w:shd w:val="clear" w:color="auto" w:fill="auto"/>
            <w:vAlign w:val="center"/>
          </w:tcPr>
          <w:p w14:paraId="3530EE9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远程接入服务</w:t>
            </w:r>
          </w:p>
        </w:tc>
        <w:tc>
          <w:tcPr>
            <w:tcW w:w="2500" w:type="dxa"/>
            <w:shd w:val="clear" w:color="auto" w:fill="auto"/>
            <w:vAlign w:val="center"/>
          </w:tcPr>
          <w:p w14:paraId="73D53B69">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远程接入服务</w:t>
            </w:r>
          </w:p>
        </w:tc>
        <w:tc>
          <w:tcPr>
            <w:tcW w:w="992" w:type="dxa"/>
            <w:shd w:val="clear" w:color="auto" w:fill="auto"/>
            <w:vAlign w:val="center"/>
          </w:tcPr>
          <w:p w14:paraId="2B7DB44A">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1账号</w:t>
            </w:r>
          </w:p>
        </w:tc>
        <w:tc>
          <w:tcPr>
            <w:tcW w:w="851" w:type="dxa"/>
            <w:shd w:val="clear" w:color="auto" w:fill="auto"/>
            <w:vAlign w:val="center"/>
          </w:tcPr>
          <w:p w14:paraId="74531053">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43C06C25">
            <w:pPr>
              <w:widowControl/>
              <w:jc w:val="center"/>
              <w:textAlignment w:val="center"/>
              <w:rPr>
                <w:rFonts w:hint="eastAsia" w:ascii="宋体" w:hAnsi="宋体" w:eastAsia="宋体" w:cs="宋体"/>
                <w:color w:val="000000"/>
                <w:sz w:val="24"/>
                <w:highlight w:val="none"/>
              </w:rPr>
            </w:pPr>
            <w:r>
              <w:rPr>
                <w:rFonts w:ascii="宋体" w:hAnsi="宋体" w:eastAsia="宋体" w:cs="宋体"/>
                <w:color w:val="000000"/>
                <w:sz w:val="24"/>
                <w:highlight w:val="none"/>
              </w:rPr>
              <w:t>7</w:t>
            </w:r>
          </w:p>
        </w:tc>
        <w:tc>
          <w:tcPr>
            <w:tcW w:w="1618" w:type="dxa"/>
            <w:shd w:val="clear" w:color="auto" w:fill="auto"/>
            <w:vAlign w:val="center"/>
          </w:tcPr>
          <w:p w14:paraId="4BCFDCBC">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11D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shd w:val="clear" w:color="auto" w:fill="auto"/>
            <w:vAlign w:val="center"/>
          </w:tcPr>
          <w:p w14:paraId="1D3AC3D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WAF防护</w:t>
            </w:r>
          </w:p>
        </w:tc>
        <w:tc>
          <w:tcPr>
            <w:tcW w:w="2500" w:type="dxa"/>
            <w:shd w:val="clear" w:color="auto" w:fill="auto"/>
            <w:vAlign w:val="center"/>
          </w:tcPr>
          <w:p w14:paraId="036EC4D9">
            <w:pPr>
              <w:widowControl/>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web应用防火墙服务</w:t>
            </w:r>
          </w:p>
        </w:tc>
        <w:tc>
          <w:tcPr>
            <w:tcW w:w="992" w:type="dxa"/>
            <w:shd w:val="clear" w:color="auto" w:fill="auto"/>
            <w:vAlign w:val="center"/>
          </w:tcPr>
          <w:p w14:paraId="5E61A1F0">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1IP（互联网）</w:t>
            </w:r>
          </w:p>
        </w:tc>
        <w:tc>
          <w:tcPr>
            <w:tcW w:w="851" w:type="dxa"/>
            <w:shd w:val="clear" w:color="auto" w:fill="auto"/>
            <w:vAlign w:val="center"/>
          </w:tcPr>
          <w:p w14:paraId="18BCA36D">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992" w:type="dxa"/>
            <w:shd w:val="clear" w:color="auto" w:fill="auto"/>
            <w:vAlign w:val="center"/>
          </w:tcPr>
          <w:p w14:paraId="646733C1">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618" w:type="dxa"/>
            <w:shd w:val="clear" w:color="auto" w:fill="auto"/>
            <w:vAlign w:val="center"/>
          </w:tcPr>
          <w:p w14:paraId="761C881E">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040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48" w:type="dxa"/>
            <w:shd w:val="clear" w:color="auto" w:fill="auto"/>
            <w:vAlign w:val="center"/>
          </w:tcPr>
          <w:p w14:paraId="2B9BFC5E">
            <w:pPr>
              <w:widowControl/>
              <w:jc w:val="center"/>
              <w:textAlignment w:val="center"/>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VPN服务</w:t>
            </w:r>
          </w:p>
        </w:tc>
        <w:tc>
          <w:tcPr>
            <w:tcW w:w="2500" w:type="dxa"/>
            <w:shd w:val="clear" w:color="auto" w:fill="auto"/>
            <w:vAlign w:val="center"/>
          </w:tcPr>
          <w:p w14:paraId="37012F7C">
            <w:pPr>
              <w:widowControl/>
              <w:rPr>
                <w:rFonts w:hint="eastAsia" w:ascii="宋体" w:hAnsi="宋体" w:eastAsia="宋体" w:cs="宋体"/>
                <w:sz w:val="24"/>
                <w:highlight w:val="none"/>
              </w:rPr>
            </w:pPr>
            <w:r>
              <w:rPr>
                <w:rFonts w:hint="eastAsia" w:ascii="宋体" w:hAnsi="宋体" w:eastAsia="宋体" w:cs="宋体"/>
                <w:sz w:val="24"/>
                <w:highlight w:val="none"/>
              </w:rPr>
              <w:t>SSL VPN接入</w:t>
            </w:r>
          </w:p>
        </w:tc>
        <w:tc>
          <w:tcPr>
            <w:tcW w:w="992" w:type="dxa"/>
            <w:shd w:val="clear" w:color="auto" w:fill="auto"/>
            <w:vAlign w:val="center"/>
          </w:tcPr>
          <w:p w14:paraId="62050BA9">
            <w:pPr>
              <w:widowControl/>
              <w:jc w:val="center"/>
              <w:rPr>
                <w:rFonts w:hint="eastAsia" w:ascii="宋体" w:hAnsi="宋体" w:eastAsia="宋体" w:cs="宋体"/>
                <w:sz w:val="24"/>
                <w:highlight w:val="none"/>
              </w:rPr>
            </w:pPr>
            <w:r>
              <w:rPr>
                <w:rFonts w:hint="eastAsia" w:ascii="宋体" w:hAnsi="宋体" w:eastAsia="宋体" w:cs="宋体"/>
                <w:sz w:val="24"/>
                <w:highlight w:val="none"/>
              </w:rPr>
              <w:t>1套</w:t>
            </w:r>
          </w:p>
        </w:tc>
        <w:tc>
          <w:tcPr>
            <w:tcW w:w="851" w:type="dxa"/>
            <w:shd w:val="clear" w:color="auto" w:fill="auto"/>
            <w:vAlign w:val="center"/>
          </w:tcPr>
          <w:p w14:paraId="0A9C3FD4">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992" w:type="dxa"/>
            <w:shd w:val="clear" w:color="auto" w:fill="auto"/>
            <w:vAlign w:val="center"/>
          </w:tcPr>
          <w:p w14:paraId="1852C3B1">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16</w:t>
            </w:r>
          </w:p>
        </w:tc>
        <w:tc>
          <w:tcPr>
            <w:tcW w:w="1618" w:type="dxa"/>
            <w:shd w:val="clear" w:color="auto" w:fill="auto"/>
            <w:vAlign w:val="center"/>
          </w:tcPr>
          <w:p w14:paraId="22E79D14">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bl>
    <w:p w14:paraId="4CAB3E70">
      <w:pPr>
        <w:pStyle w:val="4"/>
        <w:ind w:left="0" w:leftChars="0" w:firstLineChars="100"/>
        <w:jc w:val="left"/>
        <w:rPr>
          <w:rFonts w:hint="eastAsia" w:ascii="楷体" w:hAnsi="楷体" w:eastAsia="楷体" w:cs="楷体"/>
          <w:sz w:val="24"/>
          <w:highlight w:val="none"/>
        </w:rPr>
      </w:pPr>
      <w:bookmarkStart w:id="19" w:name="_Toc8845"/>
      <w:r>
        <w:rPr>
          <w:rFonts w:hint="eastAsia" w:ascii="楷体" w:hAnsi="楷体" w:eastAsia="楷体" w:cs="楷体"/>
          <w:sz w:val="24"/>
          <w:highlight w:val="none"/>
        </w:rPr>
        <w:t>（</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）政务云扩展服务</w:t>
      </w:r>
      <w:bookmarkEnd w:id="19"/>
    </w:p>
    <w:tbl>
      <w:tblPr>
        <w:tblStyle w:val="4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11"/>
        <w:gridCol w:w="2604"/>
        <w:gridCol w:w="992"/>
        <w:gridCol w:w="850"/>
        <w:gridCol w:w="856"/>
        <w:gridCol w:w="1623"/>
      </w:tblGrid>
      <w:tr w14:paraId="07C4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75" w:type="dxa"/>
            <w:shd w:val="clear" w:color="000000" w:fill="D9D9D9"/>
            <w:vAlign w:val="center"/>
          </w:tcPr>
          <w:p w14:paraId="28F32F1F">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服务类别</w:t>
            </w:r>
          </w:p>
        </w:tc>
        <w:tc>
          <w:tcPr>
            <w:tcW w:w="1211" w:type="dxa"/>
            <w:shd w:val="clear" w:color="000000" w:fill="D9D9D9"/>
            <w:vAlign w:val="center"/>
          </w:tcPr>
          <w:p w14:paraId="6BCF149B">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服务子类</w:t>
            </w:r>
          </w:p>
        </w:tc>
        <w:tc>
          <w:tcPr>
            <w:tcW w:w="2604" w:type="dxa"/>
            <w:shd w:val="clear" w:color="000000" w:fill="D9D9D9"/>
            <w:vAlign w:val="center"/>
          </w:tcPr>
          <w:p w14:paraId="58BBA1D8">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服务项</w:t>
            </w:r>
          </w:p>
        </w:tc>
        <w:tc>
          <w:tcPr>
            <w:tcW w:w="992" w:type="dxa"/>
            <w:shd w:val="clear" w:color="000000" w:fill="D9D9D9"/>
            <w:vAlign w:val="center"/>
          </w:tcPr>
          <w:p w14:paraId="1725CF09">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计价单位</w:t>
            </w:r>
          </w:p>
        </w:tc>
        <w:tc>
          <w:tcPr>
            <w:tcW w:w="850" w:type="dxa"/>
            <w:shd w:val="clear" w:color="000000" w:fill="D9D9D9"/>
            <w:vAlign w:val="center"/>
          </w:tcPr>
          <w:p w14:paraId="1C9DF77B">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报价单位</w:t>
            </w:r>
          </w:p>
        </w:tc>
        <w:tc>
          <w:tcPr>
            <w:tcW w:w="856" w:type="dxa"/>
            <w:shd w:val="clear" w:color="000000" w:fill="D9D9D9"/>
            <w:vAlign w:val="center"/>
          </w:tcPr>
          <w:p w14:paraId="520AA3B6">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数量</w:t>
            </w:r>
          </w:p>
        </w:tc>
        <w:tc>
          <w:tcPr>
            <w:tcW w:w="1623" w:type="dxa"/>
            <w:shd w:val="clear" w:color="000000" w:fill="D9D9D9"/>
            <w:vAlign w:val="center"/>
          </w:tcPr>
          <w:p w14:paraId="3FE111C6">
            <w:pPr>
              <w:widowControl/>
              <w:jc w:val="center"/>
              <w:textAlignment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服务期</w:t>
            </w:r>
          </w:p>
        </w:tc>
      </w:tr>
      <w:tr w14:paraId="2A0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000000" w:fill="FFFFFF"/>
            <w:vAlign w:val="center"/>
          </w:tcPr>
          <w:p w14:paraId="549E3C69">
            <w:pPr>
              <w:widowControl/>
              <w:jc w:val="center"/>
              <w:rPr>
                <w:rFonts w:hint="eastAsia" w:ascii="宋体" w:hAnsi="宋体" w:eastAsia="宋体" w:cs="宋体"/>
                <w:sz w:val="24"/>
                <w:highlight w:val="none"/>
              </w:rPr>
            </w:pPr>
            <w:r>
              <w:rPr>
                <w:rFonts w:hint="eastAsia" w:ascii="宋体" w:hAnsi="宋体" w:eastAsia="宋体" w:cs="宋体"/>
                <w:sz w:val="24"/>
                <w:highlight w:val="none"/>
              </w:rPr>
              <w:t>基础软件支撑服务</w:t>
            </w:r>
          </w:p>
        </w:tc>
        <w:tc>
          <w:tcPr>
            <w:tcW w:w="1211" w:type="dxa"/>
            <w:shd w:val="clear" w:color="000000" w:fill="FFFFFF"/>
            <w:vAlign w:val="center"/>
          </w:tcPr>
          <w:p w14:paraId="27A2D6DE">
            <w:pPr>
              <w:widowControl/>
              <w:jc w:val="center"/>
              <w:rPr>
                <w:rFonts w:hint="eastAsia" w:ascii="宋体" w:hAnsi="宋体" w:eastAsia="宋体" w:cs="宋体"/>
                <w:sz w:val="24"/>
                <w:highlight w:val="none"/>
              </w:rPr>
            </w:pPr>
            <w:r>
              <w:rPr>
                <w:rFonts w:hint="eastAsia" w:ascii="宋体" w:hAnsi="宋体" w:eastAsia="宋体" w:cs="宋体"/>
                <w:sz w:val="24"/>
                <w:highlight w:val="none"/>
              </w:rPr>
              <w:t>商用操作系统套餐</w:t>
            </w:r>
          </w:p>
        </w:tc>
        <w:tc>
          <w:tcPr>
            <w:tcW w:w="2604" w:type="dxa"/>
            <w:shd w:val="clear" w:color="000000" w:fill="FFFFFF"/>
            <w:vAlign w:val="center"/>
          </w:tcPr>
          <w:p w14:paraId="3B9631B5">
            <w:pPr>
              <w:widowControl/>
              <w:rPr>
                <w:rFonts w:hint="eastAsia" w:ascii="宋体" w:hAnsi="宋体" w:eastAsia="宋体" w:cs="宋体"/>
                <w:sz w:val="24"/>
                <w:highlight w:val="none"/>
              </w:rPr>
            </w:pPr>
            <w:r>
              <w:rPr>
                <w:rFonts w:hint="eastAsia" w:ascii="宋体" w:hAnsi="宋体" w:eastAsia="宋体" w:cs="宋体"/>
                <w:sz w:val="24"/>
                <w:highlight w:val="none"/>
              </w:rPr>
              <w:t>国产Linux套餐：国产Linux操作系统服务租用、安装及维护。</w:t>
            </w:r>
          </w:p>
        </w:tc>
        <w:tc>
          <w:tcPr>
            <w:tcW w:w="992" w:type="dxa"/>
            <w:shd w:val="clear" w:color="000000" w:fill="FFFFFF"/>
            <w:vAlign w:val="center"/>
          </w:tcPr>
          <w:p w14:paraId="23D15A22">
            <w:pPr>
              <w:widowControl/>
              <w:jc w:val="center"/>
              <w:textAlignment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1套</w:t>
            </w:r>
          </w:p>
        </w:tc>
        <w:tc>
          <w:tcPr>
            <w:tcW w:w="850" w:type="dxa"/>
            <w:shd w:val="clear" w:color="000000" w:fill="FFFFFF"/>
            <w:vAlign w:val="center"/>
          </w:tcPr>
          <w:p w14:paraId="1EA7945C">
            <w:pPr>
              <w:widowControl/>
              <w:jc w:val="center"/>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元/月</w:t>
            </w:r>
          </w:p>
        </w:tc>
        <w:tc>
          <w:tcPr>
            <w:tcW w:w="856" w:type="dxa"/>
            <w:shd w:val="clear" w:color="000000" w:fill="FFFFFF"/>
            <w:vAlign w:val="center"/>
          </w:tcPr>
          <w:p w14:paraId="6A7938FA">
            <w:pPr>
              <w:widowControl/>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304</w:t>
            </w:r>
          </w:p>
        </w:tc>
        <w:tc>
          <w:tcPr>
            <w:tcW w:w="1623" w:type="dxa"/>
            <w:shd w:val="clear" w:color="000000" w:fill="FFFFFF"/>
            <w:vAlign w:val="center"/>
          </w:tcPr>
          <w:p w14:paraId="3F364AAC">
            <w:pPr>
              <w:widowControl/>
              <w:jc w:val="center"/>
              <w:textAlignment w:val="center"/>
              <w:rPr>
                <w:rFonts w:hint="eastAsia" w:ascii="宋体" w:hAnsi="宋体" w:eastAsia="宋体" w:cs="宋体"/>
                <w:color w:val="000000"/>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588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1B566539">
            <w:pPr>
              <w:widowControl/>
              <w:jc w:val="center"/>
              <w:rPr>
                <w:rFonts w:hint="eastAsia" w:ascii="宋体" w:hAnsi="宋体" w:eastAsia="宋体" w:cs="宋体"/>
                <w:sz w:val="24"/>
                <w:highlight w:val="none"/>
              </w:rPr>
            </w:pPr>
          </w:p>
        </w:tc>
        <w:tc>
          <w:tcPr>
            <w:tcW w:w="1211" w:type="dxa"/>
            <w:shd w:val="clear" w:color="000000" w:fill="FFFFFF"/>
            <w:vAlign w:val="center"/>
          </w:tcPr>
          <w:p w14:paraId="11AC362C">
            <w:pPr>
              <w:widowControl/>
              <w:jc w:val="center"/>
              <w:rPr>
                <w:rFonts w:hint="eastAsia" w:ascii="宋体" w:hAnsi="宋体" w:eastAsia="宋体" w:cs="宋体"/>
                <w:sz w:val="24"/>
                <w:highlight w:val="none"/>
              </w:rPr>
            </w:pPr>
            <w:r>
              <w:rPr>
                <w:rFonts w:hint="eastAsia" w:ascii="宋体" w:hAnsi="宋体" w:eastAsia="宋体" w:cs="宋体"/>
                <w:sz w:val="24"/>
                <w:highlight w:val="none"/>
              </w:rPr>
              <w:t>国产商用应用中间件套餐</w:t>
            </w:r>
          </w:p>
        </w:tc>
        <w:tc>
          <w:tcPr>
            <w:tcW w:w="2604" w:type="dxa"/>
            <w:shd w:val="clear" w:color="000000" w:fill="FFFFFF"/>
            <w:vAlign w:val="center"/>
          </w:tcPr>
          <w:p w14:paraId="761CC1E2">
            <w:pPr>
              <w:widowControl/>
              <w:rPr>
                <w:rFonts w:hint="eastAsia" w:ascii="宋体" w:hAnsi="宋体" w:eastAsia="宋体" w:cs="宋体"/>
                <w:sz w:val="24"/>
                <w:highlight w:val="none"/>
              </w:rPr>
            </w:pPr>
            <w:r>
              <w:rPr>
                <w:rFonts w:hint="eastAsia" w:ascii="宋体" w:hAnsi="宋体" w:eastAsia="宋体" w:cs="宋体"/>
                <w:sz w:val="24"/>
                <w:highlight w:val="none"/>
              </w:rPr>
              <w:t>国产商用应用中间件租用、安装及维护</w:t>
            </w:r>
          </w:p>
        </w:tc>
        <w:tc>
          <w:tcPr>
            <w:tcW w:w="992" w:type="dxa"/>
            <w:shd w:val="clear" w:color="000000" w:fill="FFFFFF"/>
            <w:vAlign w:val="center"/>
          </w:tcPr>
          <w:p w14:paraId="067050C3">
            <w:pPr>
              <w:widowControl/>
              <w:jc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1套</w:t>
            </w:r>
          </w:p>
        </w:tc>
        <w:tc>
          <w:tcPr>
            <w:tcW w:w="850" w:type="dxa"/>
            <w:shd w:val="clear" w:color="000000" w:fill="FFFFFF"/>
            <w:vAlign w:val="center"/>
          </w:tcPr>
          <w:p w14:paraId="306278D5">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shd w:val="clear" w:color="000000" w:fill="FFFFFF"/>
            <w:vAlign w:val="center"/>
          </w:tcPr>
          <w:p w14:paraId="79A4FEE2">
            <w:pPr>
              <w:widowControl/>
              <w:rPr>
                <w:rFonts w:hint="eastAsia" w:ascii="宋体" w:hAnsi="宋体" w:eastAsia="宋体" w:cs="宋体"/>
                <w:sz w:val="24"/>
                <w:highlight w:val="none"/>
              </w:rPr>
            </w:pPr>
            <w:r>
              <w:rPr>
                <w:rFonts w:hint="eastAsia" w:ascii="宋体" w:hAnsi="宋体" w:eastAsia="宋体" w:cs="宋体"/>
                <w:sz w:val="24"/>
                <w:highlight w:val="none"/>
              </w:rPr>
              <w:t>113</w:t>
            </w:r>
          </w:p>
        </w:tc>
        <w:tc>
          <w:tcPr>
            <w:tcW w:w="1623" w:type="dxa"/>
            <w:shd w:val="clear" w:color="000000" w:fill="FFFFFF"/>
            <w:vAlign w:val="center"/>
          </w:tcPr>
          <w:p w14:paraId="398E47A6">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3928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75C3812C">
            <w:pPr>
              <w:widowControl/>
              <w:jc w:val="center"/>
              <w:rPr>
                <w:rFonts w:hint="eastAsia" w:ascii="宋体" w:hAnsi="宋体" w:eastAsia="宋体" w:cs="宋体"/>
                <w:sz w:val="24"/>
                <w:highlight w:val="none"/>
              </w:rPr>
            </w:pPr>
          </w:p>
        </w:tc>
        <w:tc>
          <w:tcPr>
            <w:tcW w:w="1211" w:type="dxa"/>
            <w:shd w:val="clear" w:color="000000" w:fill="FFFFFF"/>
            <w:vAlign w:val="center"/>
          </w:tcPr>
          <w:p w14:paraId="633BDFAB">
            <w:pPr>
              <w:widowControl/>
              <w:jc w:val="center"/>
              <w:rPr>
                <w:rFonts w:hint="eastAsia" w:ascii="宋体" w:hAnsi="宋体" w:eastAsia="宋体" w:cs="宋体"/>
                <w:sz w:val="24"/>
                <w:highlight w:val="none"/>
              </w:rPr>
            </w:pPr>
            <w:r>
              <w:rPr>
                <w:rFonts w:hint="eastAsia" w:ascii="宋体" w:hAnsi="宋体" w:eastAsia="宋体" w:cs="宋体"/>
                <w:sz w:val="24"/>
                <w:highlight w:val="none"/>
              </w:rPr>
              <w:t>商用数据库套餐</w:t>
            </w:r>
          </w:p>
        </w:tc>
        <w:tc>
          <w:tcPr>
            <w:tcW w:w="2604" w:type="dxa"/>
            <w:shd w:val="clear" w:color="000000" w:fill="FFFFFF"/>
            <w:vAlign w:val="center"/>
          </w:tcPr>
          <w:p w14:paraId="72901E5D">
            <w:pPr>
              <w:widowControl/>
              <w:rPr>
                <w:rFonts w:hint="eastAsia" w:ascii="宋体" w:hAnsi="宋体" w:eastAsia="宋体" w:cs="宋体"/>
                <w:sz w:val="24"/>
                <w:highlight w:val="none"/>
              </w:rPr>
            </w:pPr>
            <w:r>
              <w:rPr>
                <w:rFonts w:hint="eastAsia" w:ascii="宋体" w:hAnsi="宋体" w:eastAsia="宋体" w:cs="宋体"/>
                <w:sz w:val="24"/>
                <w:highlight w:val="none"/>
              </w:rPr>
              <w:t>商用数据库租用、安装及维护（至少支持3种数据库）</w:t>
            </w:r>
          </w:p>
        </w:tc>
        <w:tc>
          <w:tcPr>
            <w:tcW w:w="992" w:type="dxa"/>
            <w:shd w:val="clear" w:color="000000" w:fill="FFFFFF"/>
            <w:vAlign w:val="center"/>
          </w:tcPr>
          <w:p w14:paraId="7A8F0E2F">
            <w:pPr>
              <w:widowControl/>
              <w:jc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1套</w:t>
            </w:r>
          </w:p>
        </w:tc>
        <w:tc>
          <w:tcPr>
            <w:tcW w:w="850" w:type="dxa"/>
            <w:shd w:val="clear" w:color="000000" w:fill="FFFFFF"/>
            <w:vAlign w:val="center"/>
          </w:tcPr>
          <w:p w14:paraId="79C4F085">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shd w:val="clear" w:color="000000" w:fill="FFFFFF"/>
            <w:vAlign w:val="center"/>
          </w:tcPr>
          <w:p w14:paraId="3048E716">
            <w:pPr>
              <w:widowControl/>
              <w:rPr>
                <w:rFonts w:hint="eastAsia" w:ascii="宋体" w:hAnsi="宋体" w:eastAsia="宋体" w:cs="宋体"/>
                <w:sz w:val="24"/>
                <w:highlight w:val="none"/>
              </w:rPr>
            </w:pPr>
            <w:r>
              <w:rPr>
                <w:rFonts w:hint="eastAsia" w:ascii="宋体" w:hAnsi="宋体" w:eastAsia="宋体" w:cs="宋体"/>
                <w:sz w:val="24"/>
                <w:highlight w:val="none"/>
              </w:rPr>
              <w:t>30</w:t>
            </w:r>
          </w:p>
        </w:tc>
        <w:tc>
          <w:tcPr>
            <w:tcW w:w="1623" w:type="dxa"/>
            <w:shd w:val="clear" w:color="000000" w:fill="FFFFFF"/>
            <w:vAlign w:val="center"/>
          </w:tcPr>
          <w:p w14:paraId="4C639908">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84E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restart"/>
            <w:shd w:val="clear" w:color="000000" w:fill="FFFFFF"/>
            <w:vAlign w:val="center"/>
          </w:tcPr>
          <w:p w14:paraId="243F4BAA">
            <w:pPr>
              <w:widowControl/>
              <w:jc w:val="center"/>
              <w:rPr>
                <w:rFonts w:hint="eastAsia" w:ascii="宋体" w:hAnsi="宋体" w:eastAsia="宋体" w:cs="宋体"/>
                <w:sz w:val="24"/>
                <w:highlight w:val="none"/>
              </w:rPr>
            </w:pPr>
            <w:r>
              <w:rPr>
                <w:rFonts w:hint="eastAsia" w:ascii="宋体" w:hAnsi="宋体" w:eastAsia="宋体" w:cs="宋体"/>
                <w:sz w:val="24"/>
                <w:highlight w:val="none"/>
              </w:rPr>
              <w:t>安全服务</w:t>
            </w:r>
          </w:p>
        </w:tc>
        <w:tc>
          <w:tcPr>
            <w:tcW w:w="1211" w:type="dxa"/>
            <w:vAlign w:val="center"/>
          </w:tcPr>
          <w:p w14:paraId="5FB8B23C">
            <w:pPr>
              <w:widowControl/>
              <w:jc w:val="center"/>
              <w:rPr>
                <w:rFonts w:hint="eastAsia" w:ascii="宋体" w:hAnsi="宋体" w:eastAsia="宋体" w:cs="宋体"/>
                <w:sz w:val="24"/>
                <w:highlight w:val="none"/>
              </w:rPr>
            </w:pPr>
            <w:r>
              <w:rPr>
                <w:rFonts w:hint="eastAsia" w:ascii="宋体" w:hAnsi="宋体" w:eastAsia="宋体" w:cs="宋体"/>
                <w:sz w:val="24"/>
                <w:highlight w:val="none"/>
              </w:rPr>
              <w:t>云端抗DDOS服务</w:t>
            </w:r>
          </w:p>
        </w:tc>
        <w:tc>
          <w:tcPr>
            <w:tcW w:w="2604" w:type="dxa"/>
            <w:vAlign w:val="center"/>
          </w:tcPr>
          <w:p w14:paraId="70333900">
            <w:pPr>
              <w:widowControl/>
              <w:rPr>
                <w:rFonts w:hint="eastAsia" w:ascii="宋体" w:hAnsi="宋体" w:eastAsia="宋体" w:cs="宋体"/>
                <w:sz w:val="24"/>
                <w:highlight w:val="none"/>
              </w:rPr>
            </w:pPr>
            <w:r>
              <w:rPr>
                <w:rFonts w:hint="eastAsia" w:ascii="宋体" w:hAnsi="宋体" w:eastAsia="宋体" w:cs="宋体"/>
                <w:sz w:val="24"/>
                <w:highlight w:val="none"/>
              </w:rPr>
              <w:t>云端抗DDOS服务</w:t>
            </w:r>
          </w:p>
        </w:tc>
        <w:tc>
          <w:tcPr>
            <w:tcW w:w="992" w:type="dxa"/>
            <w:vAlign w:val="center"/>
          </w:tcPr>
          <w:p w14:paraId="6F328237">
            <w:pPr>
              <w:widowControl/>
              <w:jc w:val="center"/>
              <w:rPr>
                <w:rFonts w:hint="eastAsia" w:ascii="宋体" w:hAnsi="宋体" w:eastAsia="宋体" w:cs="宋体"/>
                <w:sz w:val="24"/>
                <w:highlight w:val="none"/>
              </w:rPr>
            </w:pPr>
            <w:r>
              <w:rPr>
                <w:rFonts w:hint="eastAsia" w:ascii="宋体" w:hAnsi="宋体" w:eastAsia="宋体" w:cs="宋体"/>
                <w:sz w:val="24"/>
                <w:highlight w:val="none"/>
              </w:rPr>
              <w:t>1 站点</w:t>
            </w:r>
          </w:p>
        </w:tc>
        <w:tc>
          <w:tcPr>
            <w:tcW w:w="850" w:type="dxa"/>
            <w:vAlign w:val="center"/>
          </w:tcPr>
          <w:p w14:paraId="40300195">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vAlign w:val="center"/>
          </w:tcPr>
          <w:p w14:paraId="2877C1E0">
            <w:pPr>
              <w:widowControl/>
              <w:rPr>
                <w:rFonts w:hint="eastAsia" w:ascii="宋体" w:hAnsi="宋体" w:eastAsia="宋体" w:cs="宋体"/>
                <w:sz w:val="24"/>
                <w:highlight w:val="none"/>
              </w:rPr>
            </w:pPr>
            <w:r>
              <w:rPr>
                <w:rFonts w:hint="eastAsia" w:ascii="宋体" w:hAnsi="宋体" w:eastAsia="宋体" w:cs="宋体"/>
                <w:sz w:val="24"/>
                <w:highlight w:val="none"/>
              </w:rPr>
              <w:t>1</w:t>
            </w:r>
          </w:p>
        </w:tc>
        <w:tc>
          <w:tcPr>
            <w:tcW w:w="1623" w:type="dxa"/>
            <w:vAlign w:val="center"/>
          </w:tcPr>
          <w:p w14:paraId="2B5FAC14">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3774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05DD0BA9">
            <w:pPr>
              <w:widowControl/>
              <w:jc w:val="center"/>
              <w:rPr>
                <w:rFonts w:hint="eastAsia" w:ascii="宋体" w:hAnsi="宋体" w:eastAsia="宋体" w:cs="宋体"/>
                <w:sz w:val="24"/>
                <w:highlight w:val="none"/>
              </w:rPr>
            </w:pPr>
          </w:p>
        </w:tc>
        <w:tc>
          <w:tcPr>
            <w:tcW w:w="1211" w:type="dxa"/>
            <w:shd w:val="clear" w:color="000000" w:fill="FFFFFF"/>
            <w:vAlign w:val="center"/>
          </w:tcPr>
          <w:p w14:paraId="47FEBCC0">
            <w:pPr>
              <w:widowControl/>
              <w:jc w:val="center"/>
              <w:rPr>
                <w:rFonts w:hint="eastAsia" w:ascii="宋体" w:hAnsi="宋体" w:eastAsia="宋体" w:cs="宋体"/>
                <w:sz w:val="24"/>
                <w:highlight w:val="none"/>
              </w:rPr>
            </w:pPr>
            <w:r>
              <w:rPr>
                <w:rFonts w:hint="eastAsia" w:ascii="宋体" w:hAnsi="宋体" w:eastAsia="宋体" w:cs="宋体"/>
                <w:sz w:val="24"/>
                <w:highlight w:val="none"/>
              </w:rPr>
              <w:t>云端APT防护服务</w:t>
            </w:r>
          </w:p>
        </w:tc>
        <w:tc>
          <w:tcPr>
            <w:tcW w:w="2604" w:type="dxa"/>
            <w:shd w:val="clear" w:color="000000" w:fill="FFFFFF"/>
            <w:vAlign w:val="center"/>
          </w:tcPr>
          <w:p w14:paraId="18B1DFD0">
            <w:pPr>
              <w:widowControl/>
              <w:rPr>
                <w:rFonts w:hint="eastAsia" w:ascii="宋体" w:hAnsi="宋体" w:eastAsia="宋体" w:cs="宋体"/>
                <w:sz w:val="24"/>
                <w:highlight w:val="none"/>
              </w:rPr>
            </w:pPr>
            <w:r>
              <w:rPr>
                <w:rFonts w:hint="eastAsia" w:ascii="宋体" w:hAnsi="宋体" w:eastAsia="宋体" w:cs="宋体"/>
                <w:sz w:val="24"/>
                <w:highlight w:val="none"/>
              </w:rPr>
              <w:t>云端APT防护服务</w:t>
            </w:r>
          </w:p>
        </w:tc>
        <w:tc>
          <w:tcPr>
            <w:tcW w:w="992" w:type="dxa"/>
            <w:shd w:val="clear" w:color="000000" w:fill="FFFFFF"/>
            <w:vAlign w:val="center"/>
          </w:tcPr>
          <w:p w14:paraId="3A8DB225">
            <w:pPr>
              <w:widowControl/>
              <w:jc w:val="center"/>
              <w:rPr>
                <w:rFonts w:hint="eastAsia" w:ascii="宋体" w:hAnsi="宋体" w:eastAsia="宋体" w:cs="宋体"/>
                <w:sz w:val="24"/>
                <w:highlight w:val="none"/>
              </w:rPr>
            </w:pPr>
            <w:r>
              <w:rPr>
                <w:rFonts w:hint="eastAsia" w:ascii="宋体" w:hAnsi="宋体" w:eastAsia="宋体" w:cs="宋体"/>
                <w:sz w:val="24"/>
                <w:highlight w:val="none"/>
              </w:rPr>
              <w:t>1 套</w:t>
            </w:r>
          </w:p>
        </w:tc>
        <w:tc>
          <w:tcPr>
            <w:tcW w:w="850" w:type="dxa"/>
            <w:shd w:val="clear" w:color="000000" w:fill="FFFFFF"/>
            <w:vAlign w:val="center"/>
          </w:tcPr>
          <w:p w14:paraId="0576B4D7">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shd w:val="clear" w:color="000000" w:fill="FFFFFF"/>
            <w:vAlign w:val="center"/>
          </w:tcPr>
          <w:p w14:paraId="7EA7703C">
            <w:pPr>
              <w:widowControl/>
              <w:rPr>
                <w:rFonts w:hint="eastAsia" w:ascii="宋体" w:hAnsi="宋体" w:eastAsia="宋体" w:cs="宋体"/>
                <w:sz w:val="24"/>
                <w:highlight w:val="none"/>
              </w:rPr>
            </w:pPr>
            <w:r>
              <w:rPr>
                <w:rFonts w:hint="eastAsia" w:ascii="宋体" w:hAnsi="宋体" w:eastAsia="宋体" w:cs="宋体"/>
                <w:sz w:val="24"/>
                <w:highlight w:val="none"/>
              </w:rPr>
              <w:t>1</w:t>
            </w:r>
          </w:p>
        </w:tc>
        <w:tc>
          <w:tcPr>
            <w:tcW w:w="1623" w:type="dxa"/>
            <w:shd w:val="clear" w:color="000000" w:fill="FFFFFF"/>
            <w:vAlign w:val="center"/>
          </w:tcPr>
          <w:p w14:paraId="2AC646CE">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0917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600D5E70">
            <w:pPr>
              <w:widowControl/>
              <w:jc w:val="center"/>
              <w:rPr>
                <w:rFonts w:hint="eastAsia" w:ascii="宋体" w:hAnsi="宋体" w:eastAsia="宋体" w:cs="宋体"/>
                <w:sz w:val="24"/>
                <w:highlight w:val="none"/>
              </w:rPr>
            </w:pPr>
          </w:p>
        </w:tc>
        <w:tc>
          <w:tcPr>
            <w:tcW w:w="1211" w:type="dxa"/>
            <w:shd w:val="clear" w:color="000000" w:fill="FFFFFF"/>
            <w:vAlign w:val="center"/>
          </w:tcPr>
          <w:p w14:paraId="0D62DD7F">
            <w:pPr>
              <w:widowControl/>
              <w:jc w:val="center"/>
              <w:rPr>
                <w:rFonts w:hint="eastAsia" w:ascii="宋体" w:hAnsi="宋体" w:eastAsia="宋体" w:cs="宋体"/>
                <w:sz w:val="24"/>
                <w:highlight w:val="none"/>
              </w:rPr>
            </w:pPr>
            <w:r>
              <w:rPr>
                <w:rFonts w:hint="eastAsia" w:ascii="宋体" w:hAnsi="宋体" w:eastAsia="宋体" w:cs="宋体"/>
                <w:sz w:val="24"/>
                <w:highlight w:val="none"/>
              </w:rPr>
              <w:t>主机杀毒服务</w:t>
            </w:r>
          </w:p>
        </w:tc>
        <w:tc>
          <w:tcPr>
            <w:tcW w:w="2604" w:type="dxa"/>
            <w:shd w:val="clear" w:color="000000" w:fill="FFFFFF"/>
            <w:vAlign w:val="center"/>
          </w:tcPr>
          <w:p w14:paraId="764411EF">
            <w:pPr>
              <w:widowControl/>
              <w:rPr>
                <w:rFonts w:hint="eastAsia" w:ascii="宋体" w:hAnsi="宋体" w:eastAsia="宋体" w:cs="宋体"/>
                <w:sz w:val="24"/>
                <w:highlight w:val="none"/>
              </w:rPr>
            </w:pPr>
            <w:r>
              <w:rPr>
                <w:rFonts w:hint="eastAsia" w:ascii="宋体" w:hAnsi="宋体" w:eastAsia="宋体" w:cs="宋体"/>
                <w:sz w:val="24"/>
                <w:highlight w:val="none"/>
              </w:rPr>
              <w:t>主机杀毒服务</w:t>
            </w:r>
          </w:p>
        </w:tc>
        <w:tc>
          <w:tcPr>
            <w:tcW w:w="992" w:type="dxa"/>
            <w:shd w:val="clear" w:color="000000" w:fill="FFFFFF"/>
            <w:vAlign w:val="center"/>
          </w:tcPr>
          <w:p w14:paraId="4E0EACD7">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36FC2117">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shd w:val="clear" w:color="000000" w:fill="FFFFFF"/>
            <w:vAlign w:val="center"/>
          </w:tcPr>
          <w:p w14:paraId="78C1D742">
            <w:pPr>
              <w:widowControl/>
              <w:rPr>
                <w:rFonts w:hint="eastAsia" w:ascii="宋体" w:hAnsi="宋体" w:eastAsia="宋体" w:cs="宋体"/>
                <w:sz w:val="24"/>
                <w:highlight w:val="none"/>
              </w:rPr>
            </w:pPr>
            <w:r>
              <w:rPr>
                <w:rFonts w:hint="eastAsia" w:ascii="宋体" w:hAnsi="宋体" w:eastAsia="宋体" w:cs="宋体"/>
                <w:sz w:val="24"/>
                <w:highlight w:val="none"/>
              </w:rPr>
              <w:t>221</w:t>
            </w:r>
          </w:p>
        </w:tc>
        <w:tc>
          <w:tcPr>
            <w:tcW w:w="1623" w:type="dxa"/>
            <w:shd w:val="clear" w:color="000000" w:fill="FFFFFF"/>
            <w:vAlign w:val="center"/>
          </w:tcPr>
          <w:p w14:paraId="3617DA38">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49F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71692A20">
            <w:pPr>
              <w:widowControl/>
              <w:jc w:val="center"/>
              <w:rPr>
                <w:rFonts w:hint="eastAsia" w:ascii="宋体" w:hAnsi="宋体" w:eastAsia="宋体" w:cs="宋体"/>
                <w:sz w:val="24"/>
                <w:highlight w:val="none"/>
              </w:rPr>
            </w:pPr>
          </w:p>
        </w:tc>
        <w:tc>
          <w:tcPr>
            <w:tcW w:w="1211" w:type="dxa"/>
            <w:shd w:val="clear" w:color="000000" w:fill="FFFFFF"/>
            <w:vAlign w:val="center"/>
          </w:tcPr>
          <w:p w14:paraId="2A1A8C07">
            <w:pPr>
              <w:widowControl/>
              <w:jc w:val="center"/>
              <w:rPr>
                <w:rFonts w:hint="eastAsia" w:ascii="宋体" w:hAnsi="宋体" w:eastAsia="宋体" w:cs="宋体"/>
                <w:sz w:val="24"/>
                <w:highlight w:val="none"/>
              </w:rPr>
            </w:pPr>
            <w:r>
              <w:rPr>
                <w:rFonts w:hint="eastAsia" w:ascii="宋体" w:hAnsi="宋体" w:eastAsia="宋体" w:cs="宋体"/>
                <w:sz w:val="24"/>
                <w:highlight w:val="none"/>
              </w:rPr>
              <w:t>主机防护</w:t>
            </w:r>
          </w:p>
        </w:tc>
        <w:tc>
          <w:tcPr>
            <w:tcW w:w="2604" w:type="dxa"/>
            <w:shd w:val="clear" w:color="000000" w:fill="FFFFFF"/>
            <w:vAlign w:val="center"/>
          </w:tcPr>
          <w:p w14:paraId="32D83F54">
            <w:pPr>
              <w:widowControl/>
              <w:rPr>
                <w:rFonts w:hint="eastAsia" w:ascii="宋体" w:hAnsi="宋体" w:eastAsia="宋体" w:cs="宋体"/>
                <w:sz w:val="24"/>
                <w:highlight w:val="none"/>
              </w:rPr>
            </w:pPr>
            <w:r>
              <w:rPr>
                <w:rFonts w:hint="eastAsia" w:ascii="宋体" w:hAnsi="宋体" w:eastAsia="宋体" w:cs="宋体"/>
                <w:sz w:val="24"/>
                <w:highlight w:val="none"/>
              </w:rPr>
              <w:t>主机防护</w:t>
            </w:r>
          </w:p>
        </w:tc>
        <w:tc>
          <w:tcPr>
            <w:tcW w:w="992" w:type="dxa"/>
            <w:shd w:val="clear" w:color="000000" w:fill="FFFFFF"/>
            <w:vAlign w:val="center"/>
          </w:tcPr>
          <w:p w14:paraId="3F75EED9">
            <w:pPr>
              <w:widowControl/>
              <w:jc w:val="center"/>
              <w:rPr>
                <w:rFonts w:hint="eastAsia" w:ascii="宋体" w:hAnsi="宋体" w:eastAsia="宋体" w:cs="宋体"/>
                <w:sz w:val="24"/>
                <w:highlight w:val="none"/>
              </w:rPr>
            </w:pPr>
            <w:r>
              <w:rPr>
                <w:rFonts w:hint="eastAsia" w:ascii="宋体" w:hAnsi="宋体" w:eastAsia="宋体" w:cs="宋体"/>
                <w:sz w:val="24"/>
                <w:highlight w:val="none"/>
              </w:rPr>
              <w:t>1月</w:t>
            </w:r>
          </w:p>
        </w:tc>
        <w:tc>
          <w:tcPr>
            <w:tcW w:w="850" w:type="dxa"/>
            <w:shd w:val="clear" w:color="000000" w:fill="FFFFFF"/>
            <w:vAlign w:val="center"/>
          </w:tcPr>
          <w:p w14:paraId="25F26A37">
            <w:pPr>
              <w:widowControl/>
              <w:jc w:val="center"/>
              <w:rPr>
                <w:rFonts w:hint="eastAsia" w:ascii="宋体" w:hAnsi="宋体" w:eastAsia="宋体" w:cs="宋体"/>
                <w:sz w:val="24"/>
                <w:highlight w:val="none"/>
              </w:rPr>
            </w:pPr>
            <w:r>
              <w:rPr>
                <w:rFonts w:hint="eastAsia" w:ascii="宋体" w:hAnsi="宋体" w:eastAsia="宋体" w:cs="宋体"/>
                <w:sz w:val="24"/>
                <w:highlight w:val="none"/>
                <w:lang w:bidi="ar"/>
              </w:rPr>
              <w:t>元/</w:t>
            </w:r>
            <w:r>
              <w:rPr>
                <w:rFonts w:hint="eastAsia" w:ascii="宋体" w:hAnsi="宋体" w:eastAsia="宋体" w:cs="宋体"/>
                <w:color w:val="000000"/>
                <w:sz w:val="24"/>
                <w:highlight w:val="none"/>
                <w:lang w:bidi="ar"/>
              </w:rPr>
              <w:t>月</w:t>
            </w:r>
          </w:p>
        </w:tc>
        <w:tc>
          <w:tcPr>
            <w:tcW w:w="856" w:type="dxa"/>
            <w:shd w:val="clear" w:color="000000" w:fill="FFFFFF"/>
            <w:vAlign w:val="center"/>
          </w:tcPr>
          <w:p w14:paraId="16ABB629">
            <w:pPr>
              <w:widowControl/>
              <w:rPr>
                <w:rFonts w:hint="eastAsia" w:ascii="宋体" w:hAnsi="宋体" w:eastAsia="宋体" w:cs="宋体"/>
                <w:sz w:val="24"/>
                <w:highlight w:val="none"/>
              </w:rPr>
            </w:pPr>
            <w:r>
              <w:rPr>
                <w:rFonts w:hint="eastAsia" w:ascii="宋体" w:hAnsi="宋体" w:eastAsia="宋体" w:cs="宋体"/>
                <w:sz w:val="24"/>
                <w:highlight w:val="none"/>
              </w:rPr>
              <w:t>221</w:t>
            </w:r>
          </w:p>
        </w:tc>
        <w:tc>
          <w:tcPr>
            <w:tcW w:w="1623" w:type="dxa"/>
            <w:shd w:val="clear" w:color="000000" w:fill="FFFFFF"/>
            <w:vAlign w:val="center"/>
          </w:tcPr>
          <w:p w14:paraId="62EA7812">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37C2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3487FA3D">
            <w:pPr>
              <w:widowControl/>
              <w:jc w:val="center"/>
              <w:rPr>
                <w:rFonts w:hint="eastAsia" w:ascii="宋体" w:hAnsi="宋体" w:eastAsia="宋体" w:cs="宋体"/>
                <w:sz w:val="24"/>
                <w:highlight w:val="none"/>
              </w:rPr>
            </w:pPr>
          </w:p>
        </w:tc>
        <w:tc>
          <w:tcPr>
            <w:tcW w:w="1211" w:type="dxa"/>
            <w:shd w:val="clear" w:color="000000" w:fill="FFFFFF"/>
            <w:vAlign w:val="center"/>
          </w:tcPr>
          <w:p w14:paraId="6F602360">
            <w:pPr>
              <w:widowControl/>
              <w:jc w:val="center"/>
              <w:rPr>
                <w:rFonts w:hint="eastAsia" w:ascii="宋体" w:hAnsi="宋体" w:eastAsia="宋体" w:cs="宋体"/>
                <w:sz w:val="24"/>
                <w:highlight w:val="none"/>
              </w:rPr>
            </w:pPr>
            <w:r>
              <w:rPr>
                <w:rFonts w:hint="eastAsia" w:ascii="宋体" w:hAnsi="宋体" w:eastAsia="宋体" w:cs="宋体"/>
                <w:sz w:val="24"/>
                <w:highlight w:val="none"/>
              </w:rPr>
              <w:t>主机安全加固</w:t>
            </w:r>
          </w:p>
        </w:tc>
        <w:tc>
          <w:tcPr>
            <w:tcW w:w="2604" w:type="dxa"/>
            <w:shd w:val="clear" w:color="000000" w:fill="FFFFFF"/>
            <w:vAlign w:val="center"/>
          </w:tcPr>
          <w:p w14:paraId="46DF75D0">
            <w:pPr>
              <w:widowControl/>
              <w:rPr>
                <w:rFonts w:hint="eastAsia" w:ascii="宋体" w:hAnsi="宋体" w:eastAsia="宋体" w:cs="宋体"/>
                <w:sz w:val="24"/>
                <w:highlight w:val="none"/>
              </w:rPr>
            </w:pPr>
            <w:r>
              <w:rPr>
                <w:rFonts w:hint="eastAsia" w:ascii="宋体" w:hAnsi="宋体" w:eastAsia="宋体" w:cs="宋体"/>
                <w:sz w:val="24"/>
                <w:highlight w:val="none"/>
              </w:rPr>
              <w:t>主机安全加固</w:t>
            </w:r>
          </w:p>
        </w:tc>
        <w:tc>
          <w:tcPr>
            <w:tcW w:w="992" w:type="dxa"/>
            <w:shd w:val="clear" w:color="000000" w:fill="FFFFFF"/>
            <w:vAlign w:val="center"/>
          </w:tcPr>
          <w:p w14:paraId="610C1AE5">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011F5266">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5EA37F6D">
            <w:pPr>
              <w:widowControl/>
              <w:rPr>
                <w:rFonts w:hint="eastAsia" w:ascii="宋体" w:hAnsi="宋体" w:eastAsia="宋体" w:cs="宋体"/>
                <w:sz w:val="24"/>
                <w:highlight w:val="none"/>
              </w:rPr>
            </w:pPr>
            <w:r>
              <w:rPr>
                <w:rFonts w:hint="eastAsia" w:ascii="宋体" w:hAnsi="宋体" w:eastAsia="宋体" w:cs="宋体"/>
                <w:sz w:val="24"/>
                <w:highlight w:val="none"/>
              </w:rPr>
              <w:t>221</w:t>
            </w:r>
          </w:p>
        </w:tc>
        <w:tc>
          <w:tcPr>
            <w:tcW w:w="1623" w:type="dxa"/>
            <w:shd w:val="clear" w:color="000000" w:fill="FFFFFF"/>
            <w:vAlign w:val="center"/>
          </w:tcPr>
          <w:p w14:paraId="472A53B0">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2582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restart"/>
            <w:shd w:val="clear" w:color="000000" w:fill="FFFFFF"/>
            <w:vAlign w:val="center"/>
          </w:tcPr>
          <w:p w14:paraId="4829E0FA">
            <w:pPr>
              <w:widowControl/>
              <w:jc w:val="center"/>
              <w:rPr>
                <w:rFonts w:hint="eastAsia" w:ascii="宋体" w:hAnsi="宋体" w:eastAsia="宋体" w:cs="宋体"/>
                <w:sz w:val="24"/>
                <w:highlight w:val="none"/>
              </w:rPr>
            </w:pPr>
            <w:r>
              <w:rPr>
                <w:rFonts w:hint="eastAsia" w:ascii="宋体" w:hAnsi="宋体" w:eastAsia="宋体" w:cs="宋体"/>
                <w:sz w:val="24"/>
                <w:highlight w:val="none"/>
              </w:rPr>
              <w:t>安全检测监测</w:t>
            </w:r>
          </w:p>
          <w:p w14:paraId="256E0FCA">
            <w:pPr>
              <w:widowControl/>
              <w:jc w:val="center"/>
              <w:rPr>
                <w:rFonts w:hint="eastAsia" w:ascii="宋体" w:hAnsi="宋体" w:eastAsia="宋体" w:cs="宋体"/>
                <w:sz w:val="24"/>
                <w:highlight w:val="none"/>
              </w:rPr>
            </w:pPr>
            <w:r>
              <w:rPr>
                <w:rFonts w:hint="eastAsia" w:ascii="宋体" w:hAnsi="宋体" w:eastAsia="宋体" w:cs="宋体"/>
                <w:sz w:val="24"/>
                <w:highlight w:val="none"/>
              </w:rPr>
              <w:t>、</w:t>
            </w:r>
          </w:p>
          <w:p w14:paraId="5B364A9F">
            <w:pPr>
              <w:widowControl/>
              <w:jc w:val="center"/>
              <w:rPr>
                <w:rFonts w:hint="eastAsia" w:ascii="宋体" w:hAnsi="宋体" w:eastAsia="宋体" w:cs="宋体"/>
                <w:sz w:val="24"/>
                <w:highlight w:val="none"/>
              </w:rPr>
            </w:pPr>
            <w:r>
              <w:rPr>
                <w:rFonts w:hint="eastAsia" w:ascii="宋体" w:hAnsi="宋体" w:eastAsia="宋体" w:cs="宋体"/>
                <w:sz w:val="24"/>
                <w:highlight w:val="none"/>
              </w:rPr>
              <w:t>审计服务</w:t>
            </w:r>
          </w:p>
        </w:tc>
        <w:tc>
          <w:tcPr>
            <w:tcW w:w="1211" w:type="dxa"/>
            <w:shd w:val="clear" w:color="000000" w:fill="FFFFFF"/>
            <w:vAlign w:val="center"/>
          </w:tcPr>
          <w:p w14:paraId="70BE9B10">
            <w:pPr>
              <w:widowControl/>
              <w:jc w:val="center"/>
              <w:rPr>
                <w:rFonts w:hint="eastAsia" w:ascii="宋体" w:hAnsi="宋体" w:eastAsia="宋体" w:cs="宋体"/>
                <w:sz w:val="24"/>
                <w:highlight w:val="none"/>
              </w:rPr>
            </w:pPr>
            <w:r>
              <w:rPr>
                <w:rFonts w:hint="eastAsia" w:ascii="宋体" w:hAnsi="宋体" w:eastAsia="宋体" w:cs="宋体"/>
                <w:sz w:val="24"/>
                <w:highlight w:val="none"/>
              </w:rPr>
              <w:t>主机漏洞扫描</w:t>
            </w:r>
          </w:p>
        </w:tc>
        <w:tc>
          <w:tcPr>
            <w:tcW w:w="2604" w:type="dxa"/>
            <w:shd w:val="clear" w:color="000000" w:fill="FFFFFF"/>
            <w:vAlign w:val="center"/>
          </w:tcPr>
          <w:p w14:paraId="46E75100">
            <w:pPr>
              <w:widowControl/>
              <w:rPr>
                <w:rFonts w:hint="eastAsia" w:ascii="宋体" w:hAnsi="宋体" w:eastAsia="宋体" w:cs="宋体"/>
                <w:sz w:val="24"/>
                <w:highlight w:val="none"/>
              </w:rPr>
            </w:pPr>
            <w:r>
              <w:rPr>
                <w:rFonts w:hint="eastAsia" w:ascii="宋体" w:hAnsi="宋体" w:eastAsia="宋体" w:cs="宋体"/>
                <w:sz w:val="24"/>
                <w:highlight w:val="none"/>
              </w:rPr>
              <w:t>主机漏洞扫描</w:t>
            </w:r>
          </w:p>
        </w:tc>
        <w:tc>
          <w:tcPr>
            <w:tcW w:w="992" w:type="dxa"/>
            <w:shd w:val="clear" w:color="000000" w:fill="FFFFFF"/>
            <w:vAlign w:val="center"/>
          </w:tcPr>
          <w:p w14:paraId="75B88FC7">
            <w:pPr>
              <w:widowControl/>
              <w:jc w:val="center"/>
              <w:rPr>
                <w:rFonts w:hint="eastAsia" w:ascii="宋体" w:hAnsi="宋体" w:eastAsia="宋体" w:cs="宋体"/>
                <w:sz w:val="24"/>
                <w:highlight w:val="none"/>
              </w:rPr>
            </w:pPr>
            <w:r>
              <w:rPr>
                <w:rFonts w:hint="eastAsia" w:ascii="宋体" w:hAnsi="宋体" w:eastAsia="宋体" w:cs="宋体"/>
                <w:sz w:val="24"/>
                <w:highlight w:val="none"/>
              </w:rPr>
              <w:t>1次</w:t>
            </w:r>
          </w:p>
        </w:tc>
        <w:tc>
          <w:tcPr>
            <w:tcW w:w="850" w:type="dxa"/>
            <w:shd w:val="clear" w:color="000000" w:fill="FFFFFF"/>
            <w:vAlign w:val="center"/>
          </w:tcPr>
          <w:p w14:paraId="0057E212">
            <w:pPr>
              <w:widowControl/>
              <w:jc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元/次</w:t>
            </w:r>
          </w:p>
        </w:tc>
        <w:tc>
          <w:tcPr>
            <w:tcW w:w="856" w:type="dxa"/>
            <w:shd w:val="clear" w:color="000000" w:fill="FFFFFF"/>
            <w:vAlign w:val="center"/>
          </w:tcPr>
          <w:p w14:paraId="66A18254">
            <w:pPr>
              <w:widowControl/>
              <w:rPr>
                <w:rFonts w:hint="eastAsia" w:ascii="宋体" w:hAnsi="宋体" w:eastAsia="宋体" w:cs="宋体"/>
                <w:sz w:val="24"/>
                <w:highlight w:val="none"/>
              </w:rPr>
            </w:pPr>
            <w:r>
              <w:rPr>
                <w:rFonts w:hint="eastAsia" w:ascii="宋体" w:hAnsi="宋体" w:eastAsia="宋体" w:cs="宋体"/>
                <w:sz w:val="24"/>
                <w:highlight w:val="none"/>
              </w:rPr>
              <w:t>221</w:t>
            </w:r>
          </w:p>
        </w:tc>
        <w:tc>
          <w:tcPr>
            <w:tcW w:w="1623" w:type="dxa"/>
            <w:shd w:val="clear" w:color="000000" w:fill="FFFFFF"/>
            <w:vAlign w:val="center"/>
          </w:tcPr>
          <w:p w14:paraId="40C92ABF">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E04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6F46CDC3">
            <w:pPr>
              <w:widowControl/>
              <w:jc w:val="center"/>
              <w:rPr>
                <w:rFonts w:hint="eastAsia" w:ascii="宋体" w:hAnsi="宋体" w:eastAsia="宋体" w:cs="宋体"/>
                <w:sz w:val="24"/>
                <w:highlight w:val="none"/>
              </w:rPr>
            </w:pPr>
          </w:p>
        </w:tc>
        <w:tc>
          <w:tcPr>
            <w:tcW w:w="1211" w:type="dxa"/>
            <w:shd w:val="clear" w:color="000000" w:fill="FFFFFF"/>
            <w:vAlign w:val="center"/>
          </w:tcPr>
          <w:p w14:paraId="67A0719D">
            <w:pPr>
              <w:widowControl/>
              <w:jc w:val="center"/>
              <w:rPr>
                <w:rFonts w:hint="eastAsia" w:ascii="宋体" w:hAnsi="宋体" w:eastAsia="宋体" w:cs="宋体"/>
                <w:sz w:val="24"/>
                <w:highlight w:val="none"/>
              </w:rPr>
            </w:pPr>
            <w:r>
              <w:rPr>
                <w:rFonts w:hint="eastAsia" w:ascii="宋体" w:hAnsi="宋体" w:eastAsia="宋体" w:cs="宋体"/>
                <w:sz w:val="24"/>
                <w:highlight w:val="none"/>
              </w:rPr>
              <w:t>主机日志审计服务</w:t>
            </w:r>
          </w:p>
        </w:tc>
        <w:tc>
          <w:tcPr>
            <w:tcW w:w="2604" w:type="dxa"/>
            <w:shd w:val="clear" w:color="000000" w:fill="FFFFFF"/>
            <w:vAlign w:val="center"/>
          </w:tcPr>
          <w:p w14:paraId="5D096A2D">
            <w:pPr>
              <w:widowControl/>
              <w:rPr>
                <w:rFonts w:hint="eastAsia" w:ascii="宋体" w:hAnsi="宋体" w:eastAsia="宋体" w:cs="宋体"/>
                <w:sz w:val="24"/>
                <w:highlight w:val="none"/>
              </w:rPr>
            </w:pPr>
            <w:r>
              <w:rPr>
                <w:rFonts w:hint="eastAsia" w:ascii="宋体" w:hAnsi="宋体" w:eastAsia="宋体" w:cs="宋体"/>
                <w:sz w:val="24"/>
                <w:highlight w:val="none"/>
              </w:rPr>
              <w:t>主机日志审计服务</w:t>
            </w:r>
          </w:p>
        </w:tc>
        <w:tc>
          <w:tcPr>
            <w:tcW w:w="992" w:type="dxa"/>
            <w:shd w:val="clear" w:color="000000" w:fill="FFFFFF"/>
            <w:vAlign w:val="center"/>
          </w:tcPr>
          <w:p w14:paraId="290ABAF6">
            <w:pPr>
              <w:widowControl/>
              <w:jc w:val="center"/>
              <w:rPr>
                <w:rFonts w:hint="eastAsia" w:ascii="宋体" w:hAnsi="宋体" w:eastAsia="宋体" w:cs="宋体"/>
                <w:sz w:val="24"/>
                <w:highlight w:val="none"/>
              </w:rPr>
            </w:pPr>
            <w:r>
              <w:rPr>
                <w:rFonts w:hint="eastAsia" w:ascii="宋体" w:hAnsi="宋体" w:eastAsia="宋体" w:cs="宋体"/>
                <w:sz w:val="24"/>
                <w:highlight w:val="none"/>
              </w:rPr>
              <w:t>1次</w:t>
            </w:r>
          </w:p>
        </w:tc>
        <w:tc>
          <w:tcPr>
            <w:tcW w:w="850" w:type="dxa"/>
            <w:shd w:val="clear" w:color="000000" w:fill="FFFFFF"/>
            <w:vAlign w:val="center"/>
          </w:tcPr>
          <w:p w14:paraId="241A6552">
            <w:pPr>
              <w:widowControl/>
              <w:jc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元/月</w:t>
            </w:r>
          </w:p>
        </w:tc>
        <w:tc>
          <w:tcPr>
            <w:tcW w:w="856" w:type="dxa"/>
            <w:shd w:val="clear" w:color="000000" w:fill="FFFFFF"/>
            <w:vAlign w:val="center"/>
          </w:tcPr>
          <w:p w14:paraId="0E4E1B30">
            <w:pPr>
              <w:widowControl/>
              <w:rPr>
                <w:rFonts w:hint="eastAsia" w:ascii="宋体" w:hAnsi="宋体" w:eastAsia="宋体" w:cs="宋体"/>
                <w:sz w:val="24"/>
                <w:highlight w:val="none"/>
              </w:rPr>
            </w:pPr>
            <w:r>
              <w:rPr>
                <w:rFonts w:hint="eastAsia" w:ascii="宋体" w:hAnsi="宋体" w:eastAsia="宋体" w:cs="宋体"/>
                <w:sz w:val="24"/>
                <w:highlight w:val="none"/>
              </w:rPr>
              <w:t>221</w:t>
            </w:r>
          </w:p>
        </w:tc>
        <w:tc>
          <w:tcPr>
            <w:tcW w:w="1623" w:type="dxa"/>
            <w:shd w:val="clear" w:color="000000" w:fill="FFFFFF"/>
            <w:vAlign w:val="center"/>
          </w:tcPr>
          <w:p w14:paraId="11A6D9DF">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C48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continue"/>
            <w:shd w:val="clear" w:color="auto" w:fill="auto"/>
            <w:vAlign w:val="center"/>
          </w:tcPr>
          <w:p w14:paraId="1CB683AA">
            <w:pPr>
              <w:widowControl/>
              <w:jc w:val="center"/>
              <w:rPr>
                <w:rFonts w:hint="eastAsia" w:ascii="宋体" w:hAnsi="宋体" w:eastAsia="宋体" w:cs="宋体"/>
                <w:sz w:val="24"/>
                <w:highlight w:val="none"/>
              </w:rPr>
            </w:pPr>
          </w:p>
        </w:tc>
        <w:tc>
          <w:tcPr>
            <w:tcW w:w="1211" w:type="dxa"/>
            <w:shd w:val="clear" w:color="000000" w:fill="FFFFFF"/>
            <w:vAlign w:val="center"/>
          </w:tcPr>
          <w:p w14:paraId="5820D959">
            <w:pPr>
              <w:widowControl/>
              <w:jc w:val="center"/>
              <w:rPr>
                <w:rFonts w:hint="eastAsia" w:ascii="宋体" w:hAnsi="宋体" w:eastAsia="宋体" w:cs="宋体"/>
                <w:sz w:val="24"/>
                <w:highlight w:val="none"/>
              </w:rPr>
            </w:pPr>
            <w:r>
              <w:rPr>
                <w:rFonts w:hint="eastAsia" w:ascii="宋体" w:hAnsi="宋体" w:eastAsia="宋体" w:cs="宋体"/>
                <w:sz w:val="24"/>
                <w:highlight w:val="none"/>
              </w:rPr>
              <w:t>数据库审计服务</w:t>
            </w:r>
          </w:p>
        </w:tc>
        <w:tc>
          <w:tcPr>
            <w:tcW w:w="2604" w:type="dxa"/>
            <w:shd w:val="clear" w:color="000000" w:fill="FFFFFF"/>
            <w:vAlign w:val="center"/>
          </w:tcPr>
          <w:p w14:paraId="77927000">
            <w:pPr>
              <w:widowControl/>
              <w:rPr>
                <w:rFonts w:hint="eastAsia" w:ascii="宋体" w:hAnsi="宋体" w:eastAsia="宋体" w:cs="宋体"/>
                <w:sz w:val="24"/>
                <w:highlight w:val="none"/>
              </w:rPr>
            </w:pPr>
            <w:r>
              <w:rPr>
                <w:rFonts w:hint="eastAsia" w:ascii="宋体" w:hAnsi="宋体" w:eastAsia="宋体" w:cs="宋体"/>
                <w:sz w:val="24"/>
                <w:highlight w:val="none"/>
              </w:rPr>
              <w:t>数据库审计服务</w:t>
            </w:r>
          </w:p>
        </w:tc>
        <w:tc>
          <w:tcPr>
            <w:tcW w:w="992" w:type="dxa"/>
            <w:shd w:val="clear" w:color="000000" w:fill="FFFFFF"/>
            <w:vAlign w:val="center"/>
          </w:tcPr>
          <w:p w14:paraId="375CD240">
            <w:pPr>
              <w:widowControl/>
              <w:jc w:val="center"/>
              <w:rPr>
                <w:rFonts w:hint="eastAsia" w:ascii="宋体" w:hAnsi="宋体" w:eastAsia="宋体" w:cs="宋体"/>
                <w:sz w:val="24"/>
                <w:highlight w:val="none"/>
              </w:rPr>
            </w:pPr>
            <w:r>
              <w:rPr>
                <w:rFonts w:hint="eastAsia" w:ascii="宋体" w:hAnsi="宋体" w:eastAsia="宋体" w:cs="宋体"/>
                <w:sz w:val="24"/>
                <w:highlight w:val="none"/>
              </w:rPr>
              <w:t>1次</w:t>
            </w:r>
          </w:p>
        </w:tc>
        <w:tc>
          <w:tcPr>
            <w:tcW w:w="850" w:type="dxa"/>
            <w:shd w:val="clear" w:color="000000" w:fill="FFFFFF"/>
            <w:vAlign w:val="center"/>
          </w:tcPr>
          <w:p w14:paraId="17009F15">
            <w:pPr>
              <w:widowControl/>
              <w:jc w:val="center"/>
              <w:rPr>
                <w:rFonts w:hint="eastAsia" w:ascii="宋体" w:hAnsi="宋体" w:eastAsia="宋体" w:cs="宋体"/>
                <w:sz w:val="24"/>
                <w:highlight w:val="none"/>
              </w:rPr>
            </w:pPr>
            <w:r>
              <w:rPr>
                <w:rFonts w:hint="eastAsia" w:ascii="宋体" w:hAnsi="宋体" w:eastAsia="宋体" w:cs="宋体"/>
                <w:color w:val="000000"/>
                <w:sz w:val="24"/>
                <w:highlight w:val="none"/>
                <w:lang w:bidi="ar"/>
              </w:rPr>
              <w:t>元/月</w:t>
            </w:r>
          </w:p>
        </w:tc>
        <w:tc>
          <w:tcPr>
            <w:tcW w:w="856" w:type="dxa"/>
            <w:shd w:val="clear" w:color="000000" w:fill="FFFFFF"/>
            <w:vAlign w:val="center"/>
          </w:tcPr>
          <w:p w14:paraId="063613D7">
            <w:pPr>
              <w:widowControl/>
              <w:rPr>
                <w:rFonts w:hint="eastAsia" w:ascii="宋体" w:hAnsi="宋体" w:eastAsia="宋体" w:cs="宋体"/>
                <w:sz w:val="24"/>
                <w:highlight w:val="none"/>
              </w:rPr>
            </w:pPr>
            <w:r>
              <w:rPr>
                <w:rFonts w:hint="eastAsia" w:ascii="宋体" w:hAnsi="宋体" w:eastAsia="宋体" w:cs="宋体"/>
                <w:sz w:val="24"/>
                <w:highlight w:val="none"/>
              </w:rPr>
              <w:t>21</w:t>
            </w:r>
          </w:p>
        </w:tc>
        <w:tc>
          <w:tcPr>
            <w:tcW w:w="1623" w:type="dxa"/>
            <w:shd w:val="clear" w:color="000000" w:fill="FFFFFF"/>
            <w:vAlign w:val="center"/>
          </w:tcPr>
          <w:p w14:paraId="4004C4B3">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48C2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restart"/>
            <w:shd w:val="clear" w:color="auto" w:fill="auto"/>
            <w:vAlign w:val="center"/>
          </w:tcPr>
          <w:p w14:paraId="131C96BC">
            <w:pPr>
              <w:widowControl/>
              <w:jc w:val="center"/>
              <w:rPr>
                <w:rFonts w:hint="eastAsia" w:ascii="宋体" w:hAnsi="宋体" w:eastAsia="宋体" w:cs="宋体"/>
                <w:sz w:val="24"/>
                <w:highlight w:val="none"/>
              </w:rPr>
            </w:pPr>
            <w:r>
              <w:rPr>
                <w:rFonts w:hint="eastAsia" w:ascii="宋体" w:hAnsi="宋体" w:eastAsia="宋体" w:cs="宋体"/>
                <w:sz w:val="24"/>
                <w:highlight w:val="none"/>
              </w:rPr>
              <w:t>其他服务</w:t>
            </w:r>
          </w:p>
        </w:tc>
        <w:tc>
          <w:tcPr>
            <w:tcW w:w="1211" w:type="dxa"/>
            <w:shd w:val="clear" w:color="000000" w:fill="FFFFFF"/>
            <w:vAlign w:val="center"/>
          </w:tcPr>
          <w:p w14:paraId="5D551FCB">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CDN加速</w:t>
            </w:r>
          </w:p>
        </w:tc>
        <w:tc>
          <w:tcPr>
            <w:tcW w:w="2604" w:type="dxa"/>
            <w:shd w:val="clear" w:color="000000" w:fill="FFFFFF"/>
            <w:vAlign w:val="center"/>
          </w:tcPr>
          <w:p w14:paraId="0E78CB32">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提供IPv6地址转换、内容加速及视频加速服务</w:t>
            </w:r>
          </w:p>
        </w:tc>
        <w:tc>
          <w:tcPr>
            <w:tcW w:w="992" w:type="dxa"/>
            <w:shd w:val="clear" w:color="000000" w:fill="FFFFFF"/>
            <w:vAlign w:val="center"/>
          </w:tcPr>
          <w:p w14:paraId="01097BA4">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域名</w:t>
            </w:r>
          </w:p>
        </w:tc>
        <w:tc>
          <w:tcPr>
            <w:tcW w:w="850" w:type="dxa"/>
            <w:shd w:val="clear" w:color="000000" w:fill="FFFFFF"/>
            <w:vAlign w:val="center"/>
          </w:tcPr>
          <w:p w14:paraId="4D0CA6BC">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元/月</w:t>
            </w:r>
          </w:p>
        </w:tc>
        <w:tc>
          <w:tcPr>
            <w:tcW w:w="856" w:type="dxa"/>
            <w:shd w:val="clear" w:color="000000" w:fill="FFFFFF"/>
            <w:vAlign w:val="center"/>
          </w:tcPr>
          <w:p w14:paraId="730C37AD">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w:t>
            </w:r>
          </w:p>
        </w:tc>
        <w:tc>
          <w:tcPr>
            <w:tcW w:w="1623" w:type="dxa"/>
            <w:shd w:val="clear" w:color="000000" w:fill="FFFFFF"/>
            <w:vAlign w:val="center"/>
          </w:tcPr>
          <w:p w14:paraId="30D26656">
            <w:pPr>
              <w:widowControl/>
              <w:jc w:val="center"/>
              <w:textAlignment w:val="center"/>
              <w:rPr>
                <w:rFonts w:hint="eastAsia" w:ascii="宋体" w:hAnsi="宋体" w:eastAsia="宋体" w:cs="宋体"/>
                <w:kern w:val="2"/>
                <w:sz w:val="24"/>
                <w:szCs w:val="24"/>
                <w:highlight w:val="yellow"/>
                <w:lang w:val="en-US" w:eastAsia="zh-CN" w:bidi="ar-SA"/>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20E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continue"/>
            <w:shd w:val="clear" w:color="auto" w:fill="auto"/>
            <w:vAlign w:val="center"/>
          </w:tcPr>
          <w:p w14:paraId="30E3100E">
            <w:pPr>
              <w:widowControl/>
              <w:jc w:val="center"/>
              <w:rPr>
                <w:rFonts w:hint="eastAsia" w:ascii="宋体" w:hAnsi="宋体" w:eastAsia="宋体" w:cs="宋体"/>
                <w:sz w:val="24"/>
                <w:highlight w:val="none"/>
              </w:rPr>
            </w:pPr>
          </w:p>
        </w:tc>
        <w:tc>
          <w:tcPr>
            <w:tcW w:w="1211" w:type="dxa"/>
            <w:shd w:val="clear" w:color="000000" w:fill="FFFFFF"/>
            <w:vAlign w:val="center"/>
          </w:tcPr>
          <w:p w14:paraId="5305F981">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无线服务</w:t>
            </w:r>
          </w:p>
        </w:tc>
        <w:tc>
          <w:tcPr>
            <w:tcW w:w="2604" w:type="dxa"/>
            <w:shd w:val="clear" w:color="000000" w:fill="FFFFFF"/>
            <w:vAlign w:val="center"/>
          </w:tcPr>
          <w:p w14:paraId="200E07EE">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管理部自助终端</w:t>
            </w:r>
            <w:r>
              <w:rPr>
                <w:rFonts w:ascii="宋体" w:hAnsi="宋体" w:eastAsia="宋体" w:cs="宋体"/>
                <w:sz w:val="24"/>
                <w:highlight w:val="none"/>
              </w:rPr>
              <w:t>无线接入系统</w:t>
            </w:r>
          </w:p>
        </w:tc>
        <w:tc>
          <w:tcPr>
            <w:tcW w:w="992" w:type="dxa"/>
            <w:shd w:val="clear" w:color="000000" w:fill="FFFFFF"/>
            <w:vAlign w:val="center"/>
          </w:tcPr>
          <w:p w14:paraId="7DC09DF0">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1套</w:t>
            </w:r>
          </w:p>
        </w:tc>
        <w:tc>
          <w:tcPr>
            <w:tcW w:w="850" w:type="dxa"/>
            <w:shd w:val="clear" w:color="000000" w:fill="FFFFFF"/>
            <w:vAlign w:val="center"/>
          </w:tcPr>
          <w:p w14:paraId="78E0ECFE">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元/月</w:t>
            </w:r>
          </w:p>
        </w:tc>
        <w:tc>
          <w:tcPr>
            <w:tcW w:w="856" w:type="dxa"/>
            <w:shd w:val="clear" w:color="000000" w:fill="FFFFFF"/>
            <w:vAlign w:val="center"/>
          </w:tcPr>
          <w:p w14:paraId="14AAF8C9">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w:t>
            </w:r>
          </w:p>
        </w:tc>
        <w:tc>
          <w:tcPr>
            <w:tcW w:w="1623" w:type="dxa"/>
            <w:shd w:val="clear" w:color="000000" w:fill="FFFFFF"/>
            <w:vAlign w:val="center"/>
          </w:tcPr>
          <w:p w14:paraId="7E397A93">
            <w:pPr>
              <w:widowControl/>
              <w:jc w:val="center"/>
              <w:textAlignment w:val="center"/>
              <w:rPr>
                <w:rFonts w:hint="eastAsia" w:ascii="宋体" w:hAnsi="宋体" w:eastAsia="宋体" w:cs="宋体"/>
                <w:kern w:val="2"/>
                <w:sz w:val="24"/>
                <w:szCs w:val="24"/>
                <w:highlight w:val="yellow"/>
                <w:lang w:val="en-US" w:eastAsia="zh-CN" w:bidi="ar-SA"/>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17C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continue"/>
            <w:shd w:val="clear" w:color="auto" w:fill="auto"/>
            <w:vAlign w:val="center"/>
          </w:tcPr>
          <w:p w14:paraId="6F5DBA3A">
            <w:pPr>
              <w:widowControl/>
              <w:jc w:val="center"/>
              <w:rPr>
                <w:rFonts w:hint="eastAsia" w:ascii="宋体" w:hAnsi="宋体" w:eastAsia="宋体" w:cs="宋体"/>
                <w:sz w:val="24"/>
                <w:highlight w:val="none"/>
              </w:rPr>
            </w:pPr>
          </w:p>
        </w:tc>
        <w:tc>
          <w:tcPr>
            <w:tcW w:w="1211" w:type="dxa"/>
            <w:shd w:val="clear" w:color="000000" w:fill="FFFFFF"/>
            <w:vAlign w:val="center"/>
          </w:tcPr>
          <w:p w14:paraId="4DA04252">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呼叫中心（定制服务）</w:t>
            </w:r>
          </w:p>
        </w:tc>
        <w:tc>
          <w:tcPr>
            <w:tcW w:w="2604" w:type="dxa"/>
            <w:shd w:val="clear" w:color="000000" w:fill="FFFFFF"/>
            <w:vAlign w:val="center"/>
          </w:tcPr>
          <w:p w14:paraId="77DCEE6F">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呼叫中心</w:t>
            </w:r>
          </w:p>
        </w:tc>
        <w:tc>
          <w:tcPr>
            <w:tcW w:w="992" w:type="dxa"/>
            <w:shd w:val="clear" w:color="000000" w:fill="FFFFFF"/>
            <w:vAlign w:val="center"/>
          </w:tcPr>
          <w:p w14:paraId="6E104496">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rPr>
              <w:t>1许可</w:t>
            </w:r>
          </w:p>
        </w:tc>
        <w:tc>
          <w:tcPr>
            <w:tcW w:w="850" w:type="dxa"/>
            <w:shd w:val="clear" w:color="000000" w:fill="FFFFFF"/>
            <w:vAlign w:val="center"/>
          </w:tcPr>
          <w:p w14:paraId="3956C03A">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元/月</w:t>
            </w:r>
          </w:p>
        </w:tc>
        <w:tc>
          <w:tcPr>
            <w:tcW w:w="856" w:type="dxa"/>
            <w:shd w:val="clear" w:color="000000" w:fill="FFFFFF"/>
            <w:vAlign w:val="center"/>
          </w:tcPr>
          <w:p w14:paraId="008DF3B8">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500</w:t>
            </w:r>
          </w:p>
        </w:tc>
        <w:tc>
          <w:tcPr>
            <w:tcW w:w="1623" w:type="dxa"/>
            <w:shd w:val="clear" w:color="000000" w:fill="FFFFFF"/>
            <w:vAlign w:val="center"/>
          </w:tcPr>
          <w:p w14:paraId="24CB7841">
            <w:pPr>
              <w:widowControl/>
              <w:jc w:val="center"/>
              <w:textAlignment w:val="center"/>
              <w:rPr>
                <w:rFonts w:hint="eastAsia" w:ascii="宋体" w:hAnsi="宋体" w:eastAsia="宋体" w:cs="宋体"/>
                <w:color w:val="000000"/>
                <w:kern w:val="2"/>
                <w:sz w:val="24"/>
                <w:szCs w:val="24"/>
                <w:highlight w:val="yellow"/>
                <w:lang w:val="en-US" w:eastAsia="zh-CN" w:bidi="ar-SA"/>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018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000000" w:fill="FFFFFF"/>
            <w:vAlign w:val="center"/>
          </w:tcPr>
          <w:p w14:paraId="641210E6">
            <w:pPr>
              <w:widowControl/>
              <w:jc w:val="center"/>
              <w:rPr>
                <w:rFonts w:hint="eastAsia" w:ascii="宋体" w:hAnsi="宋体" w:eastAsia="宋体" w:cs="宋体"/>
                <w:sz w:val="24"/>
                <w:highlight w:val="none"/>
              </w:rPr>
            </w:pPr>
          </w:p>
        </w:tc>
        <w:tc>
          <w:tcPr>
            <w:tcW w:w="1211" w:type="dxa"/>
            <w:vMerge w:val="restart"/>
            <w:shd w:val="clear" w:color="000000" w:fill="FFFFFF"/>
            <w:vAlign w:val="center"/>
          </w:tcPr>
          <w:p w14:paraId="7D9CC330">
            <w:pPr>
              <w:widowControl/>
              <w:jc w:val="center"/>
              <w:rPr>
                <w:rFonts w:hint="eastAsia" w:ascii="宋体" w:hAnsi="宋体" w:eastAsia="宋体" w:cs="宋体"/>
                <w:sz w:val="24"/>
                <w:highlight w:val="none"/>
              </w:rPr>
            </w:pPr>
            <w:r>
              <w:rPr>
                <w:rFonts w:hint="eastAsia" w:ascii="宋体" w:hAnsi="宋体" w:eastAsia="宋体" w:cs="宋体"/>
                <w:sz w:val="24"/>
                <w:highlight w:val="none"/>
              </w:rPr>
              <w:t>网络设备（定制服务）</w:t>
            </w:r>
          </w:p>
        </w:tc>
        <w:tc>
          <w:tcPr>
            <w:tcW w:w="2604" w:type="dxa"/>
            <w:shd w:val="clear" w:color="000000" w:fill="FFFFFF"/>
            <w:vAlign w:val="center"/>
          </w:tcPr>
          <w:p w14:paraId="1E053992">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对接区交换机</w:t>
            </w:r>
          </w:p>
        </w:tc>
        <w:tc>
          <w:tcPr>
            <w:tcW w:w="992" w:type="dxa"/>
            <w:shd w:val="clear" w:color="000000" w:fill="FFFFFF"/>
            <w:vAlign w:val="center"/>
          </w:tcPr>
          <w:p w14:paraId="784DBFF4">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1台</w:t>
            </w:r>
          </w:p>
        </w:tc>
        <w:tc>
          <w:tcPr>
            <w:tcW w:w="850" w:type="dxa"/>
            <w:shd w:val="clear" w:color="000000" w:fill="FFFFFF"/>
            <w:vAlign w:val="center"/>
          </w:tcPr>
          <w:p w14:paraId="77275693">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元/月</w:t>
            </w:r>
          </w:p>
        </w:tc>
        <w:tc>
          <w:tcPr>
            <w:tcW w:w="856" w:type="dxa"/>
            <w:shd w:val="clear" w:color="000000" w:fill="FFFFFF"/>
            <w:vAlign w:val="center"/>
          </w:tcPr>
          <w:p w14:paraId="273B9635">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rPr>
              <w:t>15</w:t>
            </w:r>
          </w:p>
        </w:tc>
        <w:tc>
          <w:tcPr>
            <w:tcW w:w="1623" w:type="dxa"/>
            <w:shd w:val="clear" w:color="000000" w:fill="FFFFFF"/>
            <w:vAlign w:val="center"/>
          </w:tcPr>
          <w:p w14:paraId="1419C50B">
            <w:pPr>
              <w:widowControl/>
              <w:jc w:val="center"/>
              <w:textAlignment w:val="center"/>
              <w:rPr>
                <w:rFonts w:hint="eastAsia" w:ascii="宋体" w:hAnsi="宋体" w:eastAsia="宋体" w:cs="宋体"/>
                <w:kern w:val="2"/>
                <w:sz w:val="24"/>
                <w:szCs w:val="24"/>
                <w:highlight w:val="yellow"/>
                <w:lang w:val="en-US" w:eastAsia="zh-CN" w:bidi="ar-SA"/>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171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2969E5F4">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5F2A96CB">
            <w:pPr>
              <w:widowControl/>
              <w:jc w:val="center"/>
              <w:rPr>
                <w:rFonts w:hint="eastAsia" w:ascii="宋体" w:hAnsi="宋体" w:eastAsia="宋体" w:cs="宋体"/>
                <w:sz w:val="24"/>
                <w:highlight w:val="none"/>
              </w:rPr>
            </w:pPr>
          </w:p>
        </w:tc>
        <w:tc>
          <w:tcPr>
            <w:tcW w:w="2604" w:type="dxa"/>
            <w:shd w:val="clear" w:color="000000" w:fill="FFFFFF"/>
            <w:vAlign w:val="center"/>
          </w:tcPr>
          <w:p w14:paraId="28088FE0">
            <w:pPr>
              <w:widowControl/>
              <w:rPr>
                <w:rFonts w:hint="eastAsia" w:ascii="宋体" w:hAnsi="宋体" w:eastAsia="宋体" w:cs="宋体"/>
                <w:sz w:val="24"/>
                <w:highlight w:val="none"/>
              </w:rPr>
            </w:pPr>
            <w:r>
              <w:rPr>
                <w:rFonts w:hint="eastAsia" w:ascii="宋体" w:hAnsi="宋体" w:eastAsia="宋体" w:cs="宋体"/>
                <w:sz w:val="24"/>
                <w:highlight w:val="none"/>
              </w:rPr>
              <w:t>对接区路由器</w:t>
            </w:r>
          </w:p>
        </w:tc>
        <w:tc>
          <w:tcPr>
            <w:tcW w:w="992" w:type="dxa"/>
            <w:shd w:val="clear" w:color="000000" w:fill="FFFFFF"/>
            <w:vAlign w:val="center"/>
          </w:tcPr>
          <w:p w14:paraId="58B14E8B">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4EE65CD2">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06098615">
            <w:pPr>
              <w:widowControl/>
              <w:rPr>
                <w:rFonts w:hint="eastAsia" w:ascii="宋体" w:hAnsi="宋体" w:eastAsia="宋体" w:cs="宋体"/>
                <w:sz w:val="24"/>
                <w:highlight w:val="none"/>
              </w:rPr>
            </w:pPr>
            <w:r>
              <w:rPr>
                <w:rFonts w:hint="eastAsia" w:ascii="宋体" w:hAnsi="宋体" w:eastAsia="宋体" w:cs="宋体"/>
                <w:kern w:val="0"/>
                <w:sz w:val="24"/>
                <w:highlight w:val="none"/>
              </w:rPr>
              <w:t>4</w:t>
            </w:r>
          </w:p>
        </w:tc>
        <w:tc>
          <w:tcPr>
            <w:tcW w:w="1623" w:type="dxa"/>
            <w:shd w:val="clear" w:color="000000" w:fill="FFFFFF"/>
            <w:vAlign w:val="center"/>
          </w:tcPr>
          <w:p w14:paraId="457932AB">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0EC8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77FC29E5">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74032EDD">
            <w:pPr>
              <w:widowControl/>
              <w:jc w:val="center"/>
              <w:rPr>
                <w:rFonts w:hint="eastAsia" w:ascii="宋体" w:hAnsi="宋体" w:eastAsia="宋体" w:cs="宋体"/>
                <w:sz w:val="24"/>
                <w:highlight w:val="none"/>
              </w:rPr>
            </w:pPr>
          </w:p>
        </w:tc>
        <w:tc>
          <w:tcPr>
            <w:tcW w:w="2604" w:type="dxa"/>
            <w:shd w:val="clear" w:color="000000" w:fill="FFFFFF"/>
            <w:vAlign w:val="center"/>
          </w:tcPr>
          <w:p w14:paraId="3AD91873">
            <w:pPr>
              <w:widowControl/>
              <w:rPr>
                <w:rFonts w:hint="eastAsia" w:ascii="宋体" w:hAnsi="宋体" w:eastAsia="宋体" w:cs="宋体"/>
                <w:sz w:val="24"/>
                <w:highlight w:val="none"/>
              </w:rPr>
            </w:pPr>
            <w:r>
              <w:rPr>
                <w:rFonts w:hint="eastAsia" w:ascii="宋体" w:hAnsi="宋体" w:eastAsia="宋体" w:cs="宋体"/>
                <w:sz w:val="24"/>
                <w:highlight w:val="none"/>
              </w:rPr>
              <w:t>对接区防火墙</w:t>
            </w:r>
          </w:p>
        </w:tc>
        <w:tc>
          <w:tcPr>
            <w:tcW w:w="992" w:type="dxa"/>
            <w:shd w:val="clear" w:color="000000" w:fill="FFFFFF"/>
            <w:vAlign w:val="center"/>
          </w:tcPr>
          <w:p w14:paraId="6CE9A3B2">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3D2BACB6">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73FA8CA7">
            <w:pPr>
              <w:widowControl/>
              <w:rPr>
                <w:rFonts w:hint="eastAsia" w:ascii="宋体" w:hAnsi="宋体" w:eastAsia="宋体" w:cs="宋体"/>
                <w:sz w:val="24"/>
                <w:highlight w:val="none"/>
              </w:rPr>
            </w:pPr>
            <w:r>
              <w:rPr>
                <w:rFonts w:hint="eastAsia" w:ascii="宋体" w:hAnsi="宋体" w:eastAsia="宋体" w:cs="宋体"/>
                <w:kern w:val="0"/>
                <w:sz w:val="24"/>
                <w:highlight w:val="none"/>
              </w:rPr>
              <w:t>7</w:t>
            </w:r>
          </w:p>
        </w:tc>
        <w:tc>
          <w:tcPr>
            <w:tcW w:w="1623" w:type="dxa"/>
            <w:shd w:val="clear" w:color="000000" w:fill="FFFFFF"/>
            <w:vAlign w:val="center"/>
          </w:tcPr>
          <w:p w14:paraId="73783F9C">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1D5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42C0179A">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28F706FD">
            <w:pPr>
              <w:widowControl/>
              <w:jc w:val="center"/>
              <w:rPr>
                <w:rFonts w:hint="eastAsia" w:ascii="宋体" w:hAnsi="宋体" w:eastAsia="宋体" w:cs="宋体"/>
                <w:sz w:val="24"/>
                <w:highlight w:val="none"/>
              </w:rPr>
            </w:pPr>
          </w:p>
        </w:tc>
        <w:tc>
          <w:tcPr>
            <w:tcW w:w="2604" w:type="dxa"/>
            <w:shd w:val="clear" w:color="000000" w:fill="FFFFFF"/>
            <w:vAlign w:val="center"/>
          </w:tcPr>
          <w:p w14:paraId="669798D4">
            <w:pPr>
              <w:widowControl/>
              <w:rPr>
                <w:rFonts w:hint="eastAsia" w:ascii="宋体" w:hAnsi="宋体" w:eastAsia="宋体" w:cs="宋体"/>
                <w:sz w:val="24"/>
                <w:highlight w:val="none"/>
              </w:rPr>
            </w:pPr>
            <w:r>
              <w:rPr>
                <w:rFonts w:hint="eastAsia" w:ascii="宋体" w:hAnsi="宋体" w:eastAsia="宋体" w:cs="宋体"/>
                <w:sz w:val="24"/>
                <w:highlight w:val="none"/>
              </w:rPr>
              <w:t>对接区VPN网关</w:t>
            </w:r>
          </w:p>
        </w:tc>
        <w:tc>
          <w:tcPr>
            <w:tcW w:w="992" w:type="dxa"/>
            <w:shd w:val="clear" w:color="000000" w:fill="FFFFFF"/>
            <w:vAlign w:val="center"/>
          </w:tcPr>
          <w:p w14:paraId="5DF008E7">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38FB7200">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724F807D">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74F2EA31">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195F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437C96BB">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4A38DB65">
            <w:pPr>
              <w:widowControl/>
              <w:jc w:val="center"/>
              <w:rPr>
                <w:rFonts w:hint="eastAsia" w:ascii="宋体" w:hAnsi="宋体" w:eastAsia="宋体" w:cs="宋体"/>
                <w:sz w:val="24"/>
                <w:highlight w:val="none"/>
              </w:rPr>
            </w:pPr>
          </w:p>
        </w:tc>
        <w:tc>
          <w:tcPr>
            <w:tcW w:w="2604" w:type="dxa"/>
            <w:shd w:val="clear" w:color="000000" w:fill="FFFFFF"/>
            <w:vAlign w:val="center"/>
          </w:tcPr>
          <w:p w14:paraId="7FFA6B31">
            <w:pPr>
              <w:widowControl/>
              <w:rPr>
                <w:rFonts w:hint="eastAsia" w:ascii="宋体" w:hAnsi="宋体" w:eastAsia="宋体" w:cs="宋体"/>
                <w:sz w:val="24"/>
                <w:highlight w:val="none"/>
              </w:rPr>
            </w:pPr>
            <w:r>
              <w:rPr>
                <w:rFonts w:hint="eastAsia" w:ascii="宋体" w:hAnsi="宋体" w:eastAsia="宋体" w:cs="宋体"/>
                <w:sz w:val="24"/>
                <w:highlight w:val="none"/>
              </w:rPr>
              <w:t>对接区流控</w:t>
            </w:r>
          </w:p>
        </w:tc>
        <w:tc>
          <w:tcPr>
            <w:tcW w:w="992" w:type="dxa"/>
            <w:shd w:val="clear" w:color="000000" w:fill="FFFFFF"/>
            <w:vAlign w:val="center"/>
          </w:tcPr>
          <w:p w14:paraId="4F54BE2F">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39D978AF">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05B505A5">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35665781">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2DB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0DBA3A94">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3610EA15">
            <w:pPr>
              <w:widowControl/>
              <w:jc w:val="center"/>
              <w:rPr>
                <w:rFonts w:hint="eastAsia" w:ascii="宋体" w:hAnsi="宋体" w:eastAsia="宋体" w:cs="宋体"/>
                <w:sz w:val="24"/>
                <w:highlight w:val="none"/>
              </w:rPr>
            </w:pPr>
          </w:p>
        </w:tc>
        <w:tc>
          <w:tcPr>
            <w:tcW w:w="2604" w:type="dxa"/>
            <w:shd w:val="clear" w:color="000000" w:fill="FFFFFF"/>
            <w:vAlign w:val="center"/>
          </w:tcPr>
          <w:p w14:paraId="349EDE1B">
            <w:pPr>
              <w:widowControl/>
              <w:rPr>
                <w:rFonts w:hint="eastAsia" w:ascii="宋体" w:hAnsi="宋体" w:eastAsia="宋体" w:cs="宋体"/>
                <w:sz w:val="24"/>
                <w:highlight w:val="none"/>
              </w:rPr>
            </w:pPr>
            <w:r>
              <w:rPr>
                <w:rFonts w:hint="eastAsia" w:ascii="宋体" w:hAnsi="宋体" w:eastAsia="宋体" w:cs="宋体"/>
                <w:sz w:val="24"/>
                <w:highlight w:val="none"/>
              </w:rPr>
              <w:t>机柜</w:t>
            </w:r>
          </w:p>
        </w:tc>
        <w:tc>
          <w:tcPr>
            <w:tcW w:w="992" w:type="dxa"/>
            <w:shd w:val="clear" w:color="000000" w:fill="FFFFFF"/>
            <w:vAlign w:val="center"/>
          </w:tcPr>
          <w:p w14:paraId="0E6B105C">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72FE56F8">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4FB878D2">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5455B867">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38E3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38741250">
            <w:pPr>
              <w:widowControl/>
              <w:jc w:val="center"/>
              <w:rPr>
                <w:rFonts w:hint="eastAsia" w:ascii="宋体" w:hAnsi="宋体" w:eastAsia="宋体" w:cs="宋体"/>
                <w:sz w:val="24"/>
                <w:highlight w:val="none"/>
              </w:rPr>
            </w:pPr>
          </w:p>
        </w:tc>
        <w:tc>
          <w:tcPr>
            <w:tcW w:w="1211" w:type="dxa"/>
            <w:vMerge w:val="restart"/>
            <w:shd w:val="clear" w:color="000000" w:fill="FFFFFF"/>
            <w:vAlign w:val="center"/>
          </w:tcPr>
          <w:p w14:paraId="325B7929">
            <w:pPr>
              <w:widowControl/>
              <w:jc w:val="center"/>
              <w:rPr>
                <w:rFonts w:hint="eastAsia" w:ascii="宋体" w:hAnsi="宋体" w:eastAsia="宋体" w:cs="宋体"/>
                <w:sz w:val="24"/>
                <w:highlight w:val="none"/>
              </w:rPr>
            </w:pPr>
            <w:r>
              <w:rPr>
                <w:rFonts w:hint="eastAsia" w:ascii="宋体" w:hAnsi="宋体" w:eastAsia="宋体" w:cs="宋体"/>
                <w:sz w:val="24"/>
                <w:highlight w:val="none"/>
              </w:rPr>
              <w:t>安全设备（定制服务）</w:t>
            </w:r>
          </w:p>
        </w:tc>
        <w:tc>
          <w:tcPr>
            <w:tcW w:w="2604" w:type="dxa"/>
            <w:shd w:val="clear" w:color="000000" w:fill="FFFFFF"/>
            <w:vAlign w:val="center"/>
          </w:tcPr>
          <w:p w14:paraId="684DB1AB">
            <w:pPr>
              <w:widowControl/>
              <w:rPr>
                <w:rFonts w:hint="eastAsia" w:ascii="宋体" w:hAnsi="宋体" w:eastAsia="宋体" w:cs="宋体"/>
                <w:sz w:val="24"/>
                <w:highlight w:val="none"/>
              </w:rPr>
            </w:pPr>
            <w:r>
              <w:rPr>
                <w:rFonts w:hint="eastAsia" w:ascii="宋体" w:hAnsi="宋体" w:eastAsia="宋体" w:cs="宋体"/>
                <w:sz w:val="24"/>
                <w:highlight w:val="none"/>
              </w:rPr>
              <w:t>签名验签服务器租用服务</w:t>
            </w:r>
          </w:p>
        </w:tc>
        <w:tc>
          <w:tcPr>
            <w:tcW w:w="992" w:type="dxa"/>
            <w:shd w:val="clear" w:color="000000" w:fill="FFFFFF"/>
            <w:vAlign w:val="center"/>
          </w:tcPr>
          <w:p w14:paraId="59BAD208">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0A8140B1">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11F37985">
            <w:pPr>
              <w:widowControl/>
              <w:rPr>
                <w:rFonts w:hint="eastAsia" w:ascii="宋体" w:hAnsi="宋体" w:eastAsia="宋体" w:cs="宋体"/>
                <w:sz w:val="24"/>
                <w:highlight w:val="none"/>
              </w:rPr>
            </w:pPr>
            <w:r>
              <w:rPr>
                <w:rFonts w:hint="eastAsia" w:ascii="宋体" w:hAnsi="宋体" w:eastAsia="宋体" w:cs="宋体"/>
                <w:kern w:val="0"/>
                <w:sz w:val="24"/>
                <w:highlight w:val="none"/>
              </w:rPr>
              <w:t>4</w:t>
            </w:r>
          </w:p>
        </w:tc>
        <w:tc>
          <w:tcPr>
            <w:tcW w:w="1623" w:type="dxa"/>
            <w:shd w:val="clear" w:color="000000" w:fill="FFFFFF"/>
            <w:vAlign w:val="center"/>
          </w:tcPr>
          <w:p w14:paraId="09CA25E7">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466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2D909ED5">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5BCE528D">
            <w:pPr>
              <w:widowControl/>
              <w:jc w:val="center"/>
              <w:rPr>
                <w:rFonts w:hint="eastAsia" w:ascii="宋体" w:hAnsi="宋体" w:eastAsia="宋体" w:cs="宋体"/>
                <w:sz w:val="24"/>
                <w:highlight w:val="none"/>
              </w:rPr>
            </w:pPr>
          </w:p>
        </w:tc>
        <w:tc>
          <w:tcPr>
            <w:tcW w:w="2604" w:type="dxa"/>
            <w:shd w:val="clear" w:color="000000" w:fill="FFFFFF"/>
            <w:vAlign w:val="center"/>
          </w:tcPr>
          <w:p w14:paraId="3F3F8745">
            <w:pPr>
              <w:widowControl/>
              <w:rPr>
                <w:rFonts w:hint="eastAsia" w:ascii="宋体" w:hAnsi="宋体" w:eastAsia="宋体" w:cs="宋体"/>
                <w:sz w:val="24"/>
                <w:highlight w:val="none"/>
              </w:rPr>
            </w:pPr>
            <w:r>
              <w:rPr>
                <w:rFonts w:hint="eastAsia" w:ascii="宋体" w:hAnsi="宋体" w:eastAsia="宋体" w:cs="宋体"/>
                <w:sz w:val="24"/>
                <w:highlight w:val="none"/>
              </w:rPr>
              <w:t>时间戳服务器租用服务</w:t>
            </w:r>
          </w:p>
        </w:tc>
        <w:tc>
          <w:tcPr>
            <w:tcW w:w="992" w:type="dxa"/>
            <w:shd w:val="clear" w:color="000000" w:fill="FFFFFF"/>
            <w:vAlign w:val="center"/>
          </w:tcPr>
          <w:p w14:paraId="4C1C6442">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61B03EC4">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76513794">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1D75101E">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228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5794E4D9">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64FABB75">
            <w:pPr>
              <w:widowControl/>
              <w:jc w:val="center"/>
              <w:rPr>
                <w:rFonts w:hint="eastAsia" w:ascii="宋体" w:hAnsi="宋体" w:eastAsia="宋体" w:cs="宋体"/>
                <w:sz w:val="24"/>
                <w:highlight w:val="none"/>
              </w:rPr>
            </w:pPr>
          </w:p>
        </w:tc>
        <w:tc>
          <w:tcPr>
            <w:tcW w:w="2604" w:type="dxa"/>
            <w:shd w:val="clear" w:color="000000" w:fill="FFFFFF"/>
            <w:vAlign w:val="center"/>
          </w:tcPr>
          <w:p w14:paraId="75274947">
            <w:pPr>
              <w:widowControl/>
              <w:rPr>
                <w:rFonts w:hint="eastAsia" w:ascii="宋体" w:hAnsi="宋体" w:eastAsia="宋体" w:cs="宋体"/>
                <w:sz w:val="24"/>
                <w:highlight w:val="none"/>
              </w:rPr>
            </w:pPr>
            <w:r>
              <w:rPr>
                <w:rFonts w:hint="eastAsia" w:ascii="宋体" w:hAnsi="宋体" w:eastAsia="宋体" w:cs="宋体"/>
                <w:sz w:val="24"/>
                <w:highlight w:val="none"/>
              </w:rPr>
              <w:t>二维码和签章服务器租用服务</w:t>
            </w:r>
          </w:p>
        </w:tc>
        <w:tc>
          <w:tcPr>
            <w:tcW w:w="992" w:type="dxa"/>
            <w:shd w:val="clear" w:color="000000" w:fill="FFFFFF"/>
            <w:vAlign w:val="center"/>
          </w:tcPr>
          <w:p w14:paraId="65FE035A">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706115DF">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7881AE4D">
            <w:pPr>
              <w:widowControl/>
              <w:rPr>
                <w:rFonts w:hint="eastAsia" w:ascii="宋体" w:hAnsi="宋体" w:eastAsia="宋体" w:cs="宋体"/>
                <w:sz w:val="24"/>
                <w:highlight w:val="none"/>
              </w:rPr>
            </w:pPr>
            <w:r>
              <w:rPr>
                <w:rFonts w:ascii="宋体" w:hAnsi="宋体" w:eastAsia="宋体" w:cs="宋体"/>
                <w:kern w:val="0"/>
                <w:sz w:val="24"/>
                <w:highlight w:val="none"/>
              </w:rPr>
              <w:t>2</w:t>
            </w:r>
          </w:p>
        </w:tc>
        <w:tc>
          <w:tcPr>
            <w:tcW w:w="1623" w:type="dxa"/>
            <w:shd w:val="clear" w:color="000000" w:fill="FFFFFF"/>
            <w:vAlign w:val="center"/>
          </w:tcPr>
          <w:p w14:paraId="1286AA87">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42CA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6F6BA94F">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537C3DEC">
            <w:pPr>
              <w:widowControl/>
              <w:jc w:val="center"/>
              <w:rPr>
                <w:rFonts w:hint="eastAsia" w:ascii="宋体" w:hAnsi="宋体" w:eastAsia="宋体" w:cs="宋体"/>
                <w:sz w:val="24"/>
                <w:highlight w:val="none"/>
              </w:rPr>
            </w:pPr>
          </w:p>
        </w:tc>
        <w:tc>
          <w:tcPr>
            <w:tcW w:w="2604" w:type="dxa"/>
            <w:shd w:val="clear" w:color="000000" w:fill="FFFFFF"/>
            <w:vAlign w:val="center"/>
          </w:tcPr>
          <w:p w14:paraId="7D23284A">
            <w:pPr>
              <w:widowControl/>
              <w:rPr>
                <w:rFonts w:hint="eastAsia" w:ascii="宋体" w:hAnsi="宋体" w:eastAsia="宋体" w:cs="宋体"/>
                <w:sz w:val="24"/>
                <w:highlight w:val="none"/>
              </w:rPr>
            </w:pPr>
            <w:r>
              <w:rPr>
                <w:rFonts w:hint="eastAsia" w:ascii="宋体" w:hAnsi="宋体" w:eastAsia="宋体" w:cs="宋体"/>
                <w:sz w:val="24"/>
                <w:highlight w:val="none"/>
              </w:rPr>
              <w:t>电子签章服务器租用服务</w:t>
            </w:r>
          </w:p>
        </w:tc>
        <w:tc>
          <w:tcPr>
            <w:tcW w:w="992" w:type="dxa"/>
            <w:shd w:val="clear" w:color="000000" w:fill="FFFFFF"/>
            <w:vAlign w:val="center"/>
          </w:tcPr>
          <w:p w14:paraId="30FDAC76">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08F57AFC">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5BFC17FF">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4155C638">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3526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40A2976E">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0624249C">
            <w:pPr>
              <w:widowControl/>
              <w:jc w:val="center"/>
              <w:rPr>
                <w:rFonts w:hint="eastAsia" w:ascii="宋体" w:hAnsi="宋体" w:eastAsia="宋体" w:cs="宋体"/>
                <w:sz w:val="24"/>
                <w:highlight w:val="none"/>
              </w:rPr>
            </w:pPr>
          </w:p>
        </w:tc>
        <w:tc>
          <w:tcPr>
            <w:tcW w:w="2604" w:type="dxa"/>
            <w:shd w:val="clear" w:color="000000" w:fill="FFFFFF"/>
            <w:vAlign w:val="center"/>
          </w:tcPr>
          <w:p w14:paraId="11DBA9D0">
            <w:pPr>
              <w:widowControl/>
              <w:rPr>
                <w:rFonts w:hint="eastAsia" w:ascii="宋体" w:hAnsi="宋体" w:eastAsia="宋体" w:cs="宋体"/>
                <w:sz w:val="24"/>
                <w:highlight w:val="none"/>
              </w:rPr>
            </w:pPr>
            <w:r>
              <w:rPr>
                <w:rFonts w:hint="eastAsia" w:ascii="宋体" w:hAnsi="宋体" w:eastAsia="宋体" w:cs="宋体"/>
                <w:sz w:val="24"/>
                <w:highlight w:val="none"/>
              </w:rPr>
              <w:t>数据库加密服务器租用服务</w:t>
            </w:r>
          </w:p>
        </w:tc>
        <w:tc>
          <w:tcPr>
            <w:tcW w:w="992" w:type="dxa"/>
            <w:shd w:val="clear" w:color="000000" w:fill="FFFFFF"/>
            <w:vAlign w:val="center"/>
          </w:tcPr>
          <w:p w14:paraId="287C98C3">
            <w:pPr>
              <w:widowControl/>
              <w:jc w:val="center"/>
              <w:rPr>
                <w:rFonts w:hint="eastAsia" w:ascii="宋体" w:hAnsi="宋体" w:eastAsia="宋体" w:cs="宋体"/>
                <w:sz w:val="24"/>
                <w:highlight w:val="none"/>
              </w:rPr>
            </w:pPr>
            <w:r>
              <w:rPr>
                <w:rFonts w:hint="eastAsia" w:ascii="宋体" w:hAnsi="宋体" w:eastAsia="宋体" w:cs="宋体"/>
                <w:sz w:val="24"/>
                <w:highlight w:val="none"/>
              </w:rPr>
              <w:t>1台</w:t>
            </w:r>
          </w:p>
        </w:tc>
        <w:tc>
          <w:tcPr>
            <w:tcW w:w="850" w:type="dxa"/>
            <w:shd w:val="clear" w:color="000000" w:fill="FFFFFF"/>
            <w:vAlign w:val="center"/>
          </w:tcPr>
          <w:p w14:paraId="25F6F482">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3A2A8A31">
            <w:pPr>
              <w:widowControl/>
              <w:rPr>
                <w:rFonts w:hint="eastAsia" w:ascii="宋体" w:hAnsi="宋体" w:eastAsia="宋体" w:cs="宋体"/>
                <w:sz w:val="24"/>
                <w:highlight w:val="none"/>
              </w:rPr>
            </w:pPr>
            <w:r>
              <w:rPr>
                <w:rFonts w:hint="eastAsia" w:ascii="宋体" w:hAnsi="宋体" w:eastAsia="宋体" w:cs="宋体"/>
                <w:kern w:val="0"/>
                <w:sz w:val="24"/>
                <w:highlight w:val="none"/>
              </w:rPr>
              <w:t>2</w:t>
            </w:r>
          </w:p>
        </w:tc>
        <w:tc>
          <w:tcPr>
            <w:tcW w:w="1623" w:type="dxa"/>
            <w:shd w:val="clear" w:color="000000" w:fill="FFFFFF"/>
            <w:vAlign w:val="center"/>
          </w:tcPr>
          <w:p w14:paraId="28AD99FB">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F2F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0D63101B">
            <w:pPr>
              <w:widowControl/>
              <w:jc w:val="center"/>
              <w:rPr>
                <w:rFonts w:hint="eastAsia" w:ascii="宋体" w:hAnsi="宋体" w:eastAsia="宋体" w:cs="宋体"/>
                <w:sz w:val="24"/>
                <w:highlight w:val="none"/>
              </w:rPr>
            </w:pPr>
          </w:p>
        </w:tc>
        <w:tc>
          <w:tcPr>
            <w:tcW w:w="1211" w:type="dxa"/>
            <w:vMerge w:val="restart"/>
            <w:shd w:val="clear" w:color="000000" w:fill="FFFFFF"/>
            <w:vAlign w:val="center"/>
          </w:tcPr>
          <w:p w14:paraId="44A6B25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专线链路租用（定制服务）</w:t>
            </w:r>
          </w:p>
        </w:tc>
        <w:tc>
          <w:tcPr>
            <w:tcW w:w="2604" w:type="dxa"/>
            <w:shd w:val="clear" w:color="000000" w:fill="FFFFFF"/>
            <w:vAlign w:val="center"/>
          </w:tcPr>
          <w:p w14:paraId="6B91E855">
            <w:pPr>
              <w:widowControl/>
              <w:rPr>
                <w:rFonts w:hint="eastAsia" w:ascii="宋体" w:hAnsi="宋体" w:eastAsia="宋体" w:cs="宋体"/>
                <w:sz w:val="24"/>
                <w:highlight w:val="none"/>
              </w:rPr>
            </w:pPr>
            <w:r>
              <w:rPr>
                <w:rFonts w:hint="eastAsia" w:ascii="宋体" w:hAnsi="宋体" w:eastAsia="宋体" w:cs="宋体"/>
                <w:kern w:val="0"/>
                <w:sz w:val="24"/>
                <w:highlight w:val="none"/>
              </w:rPr>
              <w:t>专线链路-2M</w:t>
            </w:r>
          </w:p>
        </w:tc>
        <w:tc>
          <w:tcPr>
            <w:tcW w:w="992" w:type="dxa"/>
            <w:shd w:val="clear" w:color="000000" w:fill="FFFFFF"/>
            <w:vAlign w:val="center"/>
          </w:tcPr>
          <w:p w14:paraId="132F88B8">
            <w:pPr>
              <w:widowControl/>
              <w:jc w:val="center"/>
              <w:rPr>
                <w:rFonts w:hint="eastAsia" w:ascii="宋体" w:hAnsi="宋体" w:eastAsia="宋体" w:cs="宋体"/>
                <w:sz w:val="24"/>
                <w:highlight w:val="none"/>
              </w:rPr>
            </w:pPr>
            <w:r>
              <w:rPr>
                <w:rFonts w:hint="eastAsia" w:ascii="宋体" w:hAnsi="宋体" w:eastAsia="宋体" w:cs="宋体"/>
                <w:kern w:val="0"/>
                <w:sz w:val="24"/>
                <w:highlight w:val="none"/>
              </w:rPr>
              <w:t>1条</w:t>
            </w:r>
          </w:p>
        </w:tc>
        <w:tc>
          <w:tcPr>
            <w:tcW w:w="850" w:type="dxa"/>
            <w:shd w:val="clear" w:color="000000" w:fill="FFFFFF"/>
            <w:vAlign w:val="center"/>
          </w:tcPr>
          <w:p w14:paraId="53868A28">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16117653">
            <w:pPr>
              <w:widowControl/>
              <w:rPr>
                <w:rFonts w:hint="eastAsia" w:ascii="宋体" w:hAnsi="宋体" w:eastAsia="宋体" w:cs="宋体"/>
                <w:sz w:val="24"/>
                <w:highlight w:val="none"/>
              </w:rPr>
            </w:pPr>
            <w:r>
              <w:rPr>
                <w:rFonts w:hint="eastAsia" w:ascii="宋体" w:hAnsi="宋体" w:eastAsia="宋体" w:cs="宋体"/>
                <w:kern w:val="0"/>
                <w:sz w:val="24"/>
                <w:highlight w:val="none"/>
              </w:rPr>
              <w:t>7</w:t>
            </w:r>
          </w:p>
        </w:tc>
        <w:tc>
          <w:tcPr>
            <w:tcW w:w="1623" w:type="dxa"/>
            <w:shd w:val="clear" w:color="000000" w:fill="FFFFFF"/>
            <w:vAlign w:val="center"/>
          </w:tcPr>
          <w:p w14:paraId="2DEB7B65">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3B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401A7AF6">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6A1BE99B">
            <w:pPr>
              <w:widowControl/>
              <w:jc w:val="center"/>
              <w:rPr>
                <w:rFonts w:hint="eastAsia" w:ascii="宋体" w:hAnsi="宋体" w:eastAsia="宋体" w:cs="宋体"/>
                <w:kern w:val="0"/>
                <w:sz w:val="24"/>
                <w:highlight w:val="none"/>
              </w:rPr>
            </w:pPr>
          </w:p>
        </w:tc>
        <w:tc>
          <w:tcPr>
            <w:tcW w:w="2604" w:type="dxa"/>
            <w:shd w:val="clear" w:color="000000" w:fill="FFFFFF"/>
            <w:vAlign w:val="center"/>
          </w:tcPr>
          <w:p w14:paraId="12ECECFF">
            <w:pPr>
              <w:widowControl/>
              <w:rPr>
                <w:rFonts w:hint="eastAsia" w:ascii="宋体" w:hAnsi="宋体" w:eastAsia="宋体" w:cs="宋体"/>
                <w:sz w:val="24"/>
                <w:highlight w:val="none"/>
              </w:rPr>
            </w:pPr>
            <w:r>
              <w:rPr>
                <w:rFonts w:hint="eastAsia" w:ascii="宋体" w:hAnsi="宋体" w:eastAsia="宋体" w:cs="宋体"/>
                <w:kern w:val="0"/>
                <w:sz w:val="24"/>
                <w:highlight w:val="none"/>
              </w:rPr>
              <w:t>专线链路-10M</w:t>
            </w:r>
          </w:p>
        </w:tc>
        <w:tc>
          <w:tcPr>
            <w:tcW w:w="992" w:type="dxa"/>
            <w:shd w:val="clear" w:color="000000" w:fill="FFFFFF"/>
            <w:vAlign w:val="center"/>
          </w:tcPr>
          <w:p w14:paraId="1C67013D">
            <w:pPr>
              <w:widowControl/>
              <w:jc w:val="center"/>
              <w:rPr>
                <w:rFonts w:hint="eastAsia" w:ascii="宋体" w:hAnsi="宋体" w:eastAsia="宋体" w:cs="宋体"/>
                <w:sz w:val="24"/>
                <w:highlight w:val="none"/>
              </w:rPr>
            </w:pPr>
            <w:r>
              <w:rPr>
                <w:rFonts w:hint="eastAsia" w:ascii="宋体" w:hAnsi="宋体" w:eastAsia="宋体" w:cs="宋体"/>
                <w:kern w:val="0"/>
                <w:sz w:val="24"/>
                <w:highlight w:val="none"/>
              </w:rPr>
              <w:t>1条</w:t>
            </w:r>
          </w:p>
        </w:tc>
        <w:tc>
          <w:tcPr>
            <w:tcW w:w="850" w:type="dxa"/>
            <w:shd w:val="clear" w:color="000000" w:fill="FFFFFF"/>
            <w:vAlign w:val="center"/>
          </w:tcPr>
          <w:p w14:paraId="0C3A4524">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6D9AD104">
            <w:pPr>
              <w:widowControl/>
              <w:rPr>
                <w:rFonts w:hint="eastAsia" w:ascii="宋体" w:hAnsi="宋体" w:eastAsia="宋体" w:cs="宋体"/>
                <w:sz w:val="24"/>
                <w:highlight w:val="none"/>
              </w:rPr>
            </w:pPr>
            <w:r>
              <w:rPr>
                <w:rFonts w:hint="eastAsia" w:ascii="宋体" w:hAnsi="宋体" w:eastAsia="宋体" w:cs="宋体"/>
                <w:kern w:val="0"/>
                <w:sz w:val="24"/>
                <w:highlight w:val="none"/>
              </w:rPr>
              <w:t>68</w:t>
            </w:r>
          </w:p>
        </w:tc>
        <w:tc>
          <w:tcPr>
            <w:tcW w:w="1623" w:type="dxa"/>
            <w:shd w:val="clear" w:color="000000" w:fill="FFFFFF"/>
            <w:vAlign w:val="center"/>
          </w:tcPr>
          <w:p w14:paraId="5DB1172A">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76A8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47B1327F">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0EFA2FBB">
            <w:pPr>
              <w:widowControl/>
              <w:jc w:val="center"/>
              <w:rPr>
                <w:rFonts w:hint="eastAsia" w:ascii="宋体" w:hAnsi="宋体" w:eastAsia="宋体" w:cs="宋体"/>
                <w:kern w:val="0"/>
                <w:sz w:val="24"/>
                <w:highlight w:val="none"/>
              </w:rPr>
            </w:pPr>
          </w:p>
        </w:tc>
        <w:tc>
          <w:tcPr>
            <w:tcW w:w="2604" w:type="dxa"/>
            <w:shd w:val="clear" w:color="000000" w:fill="FFFFFF"/>
            <w:vAlign w:val="center"/>
          </w:tcPr>
          <w:p w14:paraId="55A470B2">
            <w:pPr>
              <w:widowControl/>
              <w:rPr>
                <w:rFonts w:hint="eastAsia" w:ascii="宋体" w:hAnsi="宋体" w:eastAsia="宋体" w:cs="宋体"/>
                <w:sz w:val="24"/>
                <w:highlight w:val="none"/>
              </w:rPr>
            </w:pPr>
            <w:r>
              <w:rPr>
                <w:rFonts w:hint="eastAsia" w:ascii="宋体" w:hAnsi="宋体" w:eastAsia="宋体" w:cs="宋体"/>
                <w:kern w:val="0"/>
                <w:sz w:val="24"/>
                <w:highlight w:val="none"/>
              </w:rPr>
              <w:t>专线链路-20M</w:t>
            </w:r>
          </w:p>
        </w:tc>
        <w:tc>
          <w:tcPr>
            <w:tcW w:w="992" w:type="dxa"/>
            <w:shd w:val="clear" w:color="000000" w:fill="FFFFFF"/>
            <w:vAlign w:val="center"/>
          </w:tcPr>
          <w:p w14:paraId="400F94B3">
            <w:pPr>
              <w:widowControl/>
              <w:jc w:val="center"/>
              <w:rPr>
                <w:rFonts w:hint="eastAsia" w:ascii="宋体" w:hAnsi="宋体" w:eastAsia="宋体" w:cs="宋体"/>
                <w:sz w:val="24"/>
                <w:highlight w:val="none"/>
              </w:rPr>
            </w:pPr>
            <w:r>
              <w:rPr>
                <w:rFonts w:hint="eastAsia" w:ascii="宋体" w:hAnsi="宋体" w:eastAsia="宋体" w:cs="宋体"/>
                <w:kern w:val="0"/>
                <w:sz w:val="24"/>
                <w:highlight w:val="none"/>
              </w:rPr>
              <w:t>1条</w:t>
            </w:r>
          </w:p>
        </w:tc>
        <w:tc>
          <w:tcPr>
            <w:tcW w:w="850" w:type="dxa"/>
            <w:shd w:val="clear" w:color="000000" w:fill="FFFFFF"/>
            <w:vAlign w:val="center"/>
          </w:tcPr>
          <w:p w14:paraId="080FAC3E">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118E6D23">
            <w:pPr>
              <w:widowControl/>
              <w:rPr>
                <w:rFonts w:hint="eastAsia" w:ascii="宋体" w:hAnsi="宋体" w:eastAsia="宋体" w:cs="宋体"/>
                <w:sz w:val="24"/>
                <w:highlight w:val="none"/>
              </w:rPr>
            </w:pPr>
            <w:r>
              <w:rPr>
                <w:rFonts w:hint="eastAsia" w:ascii="宋体" w:hAnsi="宋体" w:eastAsia="宋体" w:cs="宋体"/>
                <w:kern w:val="0"/>
                <w:sz w:val="24"/>
                <w:highlight w:val="none"/>
              </w:rPr>
              <w:t>4</w:t>
            </w:r>
          </w:p>
        </w:tc>
        <w:tc>
          <w:tcPr>
            <w:tcW w:w="1623" w:type="dxa"/>
            <w:shd w:val="clear" w:color="000000" w:fill="FFFFFF"/>
            <w:vAlign w:val="center"/>
          </w:tcPr>
          <w:p w14:paraId="48D2A294">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6E97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74E2D18F">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7368E152">
            <w:pPr>
              <w:widowControl/>
              <w:jc w:val="center"/>
              <w:rPr>
                <w:rFonts w:hint="eastAsia" w:ascii="宋体" w:hAnsi="宋体" w:eastAsia="宋体" w:cs="宋体"/>
                <w:kern w:val="0"/>
                <w:sz w:val="24"/>
                <w:highlight w:val="none"/>
              </w:rPr>
            </w:pPr>
          </w:p>
        </w:tc>
        <w:tc>
          <w:tcPr>
            <w:tcW w:w="2604" w:type="dxa"/>
            <w:shd w:val="clear" w:color="000000" w:fill="FFFFFF"/>
            <w:vAlign w:val="center"/>
          </w:tcPr>
          <w:p w14:paraId="7377092D">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rPr>
              <w:t>专线链路-</w:t>
            </w:r>
            <w:r>
              <w:rPr>
                <w:rFonts w:ascii="宋体" w:hAnsi="宋体" w:eastAsia="宋体" w:cs="宋体"/>
                <w:kern w:val="0"/>
                <w:sz w:val="24"/>
                <w:highlight w:val="none"/>
              </w:rPr>
              <w:t>10</w:t>
            </w:r>
            <w:r>
              <w:rPr>
                <w:rFonts w:hint="eastAsia" w:ascii="宋体" w:hAnsi="宋体" w:eastAsia="宋体" w:cs="宋体"/>
                <w:kern w:val="0"/>
                <w:sz w:val="24"/>
                <w:highlight w:val="none"/>
              </w:rPr>
              <w:t>0M</w:t>
            </w:r>
          </w:p>
        </w:tc>
        <w:tc>
          <w:tcPr>
            <w:tcW w:w="992" w:type="dxa"/>
            <w:shd w:val="clear" w:color="000000" w:fill="FFFFFF"/>
            <w:vAlign w:val="center"/>
          </w:tcPr>
          <w:p w14:paraId="3669692D">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rPr>
              <w:t>1条</w:t>
            </w:r>
          </w:p>
        </w:tc>
        <w:tc>
          <w:tcPr>
            <w:tcW w:w="850" w:type="dxa"/>
            <w:shd w:val="clear" w:color="000000" w:fill="FFFFFF"/>
            <w:vAlign w:val="center"/>
          </w:tcPr>
          <w:p w14:paraId="13A94328">
            <w:pPr>
              <w:widowControl/>
              <w:jc w:val="center"/>
              <w:rPr>
                <w:rFonts w:hint="eastAsia" w:ascii="宋体" w:hAnsi="宋体" w:eastAsia="宋体" w:cs="宋体"/>
                <w:color w:val="000000"/>
                <w:kern w:val="2"/>
                <w:sz w:val="24"/>
                <w:szCs w:val="24"/>
                <w:highlight w:val="none"/>
                <w:lang w:val="en-US" w:eastAsia="zh-CN" w:bidi="ar"/>
              </w:rPr>
            </w:pPr>
            <w:r>
              <w:rPr>
                <w:rFonts w:hint="eastAsia" w:ascii="宋体" w:hAnsi="宋体" w:eastAsia="宋体" w:cs="宋体"/>
                <w:sz w:val="24"/>
                <w:highlight w:val="none"/>
              </w:rPr>
              <w:t>元/月</w:t>
            </w:r>
          </w:p>
        </w:tc>
        <w:tc>
          <w:tcPr>
            <w:tcW w:w="856" w:type="dxa"/>
            <w:shd w:val="clear" w:color="000000" w:fill="FFFFFF"/>
            <w:vAlign w:val="center"/>
          </w:tcPr>
          <w:p w14:paraId="154920BF">
            <w:pPr>
              <w:widowControl/>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highlight w:val="none"/>
              </w:rPr>
              <w:t>2</w:t>
            </w:r>
          </w:p>
        </w:tc>
        <w:tc>
          <w:tcPr>
            <w:tcW w:w="1623" w:type="dxa"/>
            <w:shd w:val="clear" w:color="000000" w:fill="FFFFFF"/>
            <w:vAlign w:val="center"/>
          </w:tcPr>
          <w:p w14:paraId="0BB21DEF">
            <w:pPr>
              <w:widowControl/>
              <w:jc w:val="center"/>
              <w:textAlignment w:val="center"/>
              <w:rPr>
                <w:rFonts w:hint="eastAsia" w:ascii="宋体" w:hAnsi="宋体" w:eastAsia="宋体" w:cs="宋体"/>
                <w:kern w:val="2"/>
                <w:sz w:val="24"/>
                <w:szCs w:val="24"/>
                <w:highlight w:val="yellow"/>
                <w:lang w:val="en-US" w:eastAsia="zh-CN" w:bidi="ar-SA"/>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04D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66DAC22D">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4AF9A5FD">
            <w:pPr>
              <w:widowControl/>
              <w:jc w:val="center"/>
              <w:rPr>
                <w:rFonts w:hint="eastAsia" w:ascii="宋体" w:hAnsi="宋体" w:eastAsia="宋体" w:cs="宋体"/>
                <w:sz w:val="24"/>
                <w:highlight w:val="none"/>
              </w:rPr>
            </w:pPr>
          </w:p>
        </w:tc>
        <w:tc>
          <w:tcPr>
            <w:tcW w:w="2604" w:type="dxa"/>
            <w:shd w:val="clear" w:color="000000" w:fill="FFFFFF"/>
            <w:vAlign w:val="center"/>
          </w:tcPr>
          <w:p w14:paraId="3E10B235">
            <w:pPr>
              <w:widowControl/>
              <w:rPr>
                <w:rFonts w:hint="eastAsia" w:ascii="宋体" w:hAnsi="宋体" w:eastAsia="宋体" w:cs="宋体"/>
                <w:sz w:val="24"/>
                <w:highlight w:val="none"/>
              </w:rPr>
            </w:pPr>
            <w:r>
              <w:rPr>
                <w:rFonts w:hint="eastAsia" w:ascii="宋体" w:hAnsi="宋体" w:eastAsia="宋体" w:cs="宋体"/>
                <w:kern w:val="0"/>
                <w:sz w:val="24"/>
                <w:highlight w:val="none"/>
              </w:rPr>
              <w:t>专线链路-呼叫系统SIP专线</w:t>
            </w:r>
          </w:p>
        </w:tc>
        <w:tc>
          <w:tcPr>
            <w:tcW w:w="992" w:type="dxa"/>
            <w:shd w:val="clear" w:color="000000" w:fill="FFFFFF"/>
            <w:vAlign w:val="center"/>
          </w:tcPr>
          <w:p w14:paraId="7A401A11">
            <w:pPr>
              <w:widowControl/>
              <w:jc w:val="center"/>
              <w:rPr>
                <w:rFonts w:hint="eastAsia" w:ascii="宋体" w:hAnsi="宋体" w:eastAsia="宋体" w:cs="宋体"/>
                <w:sz w:val="24"/>
                <w:highlight w:val="none"/>
              </w:rPr>
            </w:pPr>
            <w:r>
              <w:rPr>
                <w:rFonts w:hint="eastAsia" w:ascii="宋体" w:hAnsi="宋体" w:eastAsia="宋体" w:cs="宋体"/>
                <w:kern w:val="0"/>
                <w:sz w:val="24"/>
                <w:highlight w:val="none"/>
              </w:rPr>
              <w:t>1条</w:t>
            </w:r>
          </w:p>
        </w:tc>
        <w:tc>
          <w:tcPr>
            <w:tcW w:w="850" w:type="dxa"/>
            <w:shd w:val="clear" w:color="000000" w:fill="FFFFFF"/>
            <w:vAlign w:val="center"/>
          </w:tcPr>
          <w:p w14:paraId="682E0DA9">
            <w:pPr>
              <w:widowControl/>
              <w:jc w:val="center"/>
              <w:rPr>
                <w:rFonts w:hint="eastAsia" w:ascii="宋体" w:hAnsi="宋体" w:eastAsia="宋体" w:cs="宋体"/>
                <w:color w:val="000000"/>
                <w:sz w:val="24"/>
                <w:highlight w:val="none"/>
                <w:lang w:bidi="ar"/>
              </w:rPr>
            </w:pPr>
            <w:r>
              <w:rPr>
                <w:rFonts w:hint="eastAsia" w:ascii="宋体" w:hAnsi="宋体" w:eastAsia="宋体" w:cs="宋体"/>
                <w:sz w:val="24"/>
                <w:highlight w:val="none"/>
              </w:rPr>
              <w:t>元/月</w:t>
            </w:r>
          </w:p>
        </w:tc>
        <w:tc>
          <w:tcPr>
            <w:tcW w:w="856" w:type="dxa"/>
            <w:shd w:val="clear" w:color="000000" w:fill="FFFFFF"/>
            <w:vAlign w:val="center"/>
          </w:tcPr>
          <w:p w14:paraId="52E81F3F">
            <w:pPr>
              <w:widowControl/>
              <w:rPr>
                <w:rFonts w:hint="eastAsia" w:ascii="宋体" w:hAnsi="宋体" w:eastAsia="宋体" w:cs="宋体"/>
                <w:sz w:val="24"/>
                <w:highlight w:val="none"/>
              </w:rPr>
            </w:pPr>
            <w:r>
              <w:rPr>
                <w:rFonts w:hint="eastAsia" w:ascii="宋体" w:hAnsi="宋体" w:eastAsia="宋体" w:cs="宋体"/>
                <w:kern w:val="0"/>
                <w:sz w:val="24"/>
                <w:highlight w:val="none"/>
              </w:rPr>
              <w:t>3</w:t>
            </w:r>
          </w:p>
        </w:tc>
        <w:tc>
          <w:tcPr>
            <w:tcW w:w="1623" w:type="dxa"/>
            <w:shd w:val="clear" w:color="000000" w:fill="FFFFFF"/>
            <w:vAlign w:val="center"/>
          </w:tcPr>
          <w:p w14:paraId="6B59E3C2">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r w14:paraId="5678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412F2746">
            <w:pPr>
              <w:widowControl/>
              <w:jc w:val="center"/>
              <w:rPr>
                <w:rFonts w:hint="eastAsia" w:ascii="宋体" w:hAnsi="宋体" w:eastAsia="宋体" w:cs="宋体"/>
                <w:sz w:val="24"/>
                <w:highlight w:val="none"/>
              </w:rPr>
            </w:pPr>
          </w:p>
        </w:tc>
        <w:tc>
          <w:tcPr>
            <w:tcW w:w="1211" w:type="dxa"/>
            <w:vMerge w:val="continue"/>
            <w:shd w:val="clear" w:color="000000" w:fill="FFFFFF"/>
            <w:vAlign w:val="center"/>
          </w:tcPr>
          <w:p w14:paraId="1269E4BE">
            <w:pPr>
              <w:widowControl/>
              <w:jc w:val="center"/>
              <w:rPr>
                <w:rFonts w:hint="eastAsia" w:ascii="宋体" w:hAnsi="宋体" w:eastAsia="宋体" w:cs="宋体"/>
                <w:sz w:val="24"/>
                <w:highlight w:val="none"/>
              </w:rPr>
            </w:pPr>
          </w:p>
        </w:tc>
        <w:tc>
          <w:tcPr>
            <w:tcW w:w="2604" w:type="dxa"/>
            <w:shd w:val="clear" w:color="000000" w:fill="FFFFFF"/>
            <w:vAlign w:val="center"/>
          </w:tcPr>
          <w:p w14:paraId="7259D3C1">
            <w:pPr>
              <w:widowControl/>
              <w:rPr>
                <w:rFonts w:hint="eastAsia" w:ascii="宋体" w:hAnsi="宋体" w:eastAsia="宋体" w:cs="宋体"/>
                <w:sz w:val="24"/>
                <w:highlight w:val="none"/>
              </w:rPr>
            </w:pPr>
            <w:r>
              <w:rPr>
                <w:rFonts w:hint="eastAsia" w:ascii="宋体" w:hAnsi="宋体" w:eastAsia="宋体" w:cs="宋体"/>
                <w:kern w:val="0"/>
                <w:sz w:val="24"/>
                <w:highlight w:val="none"/>
              </w:rPr>
              <w:t>网络监控-系统</w:t>
            </w:r>
          </w:p>
        </w:tc>
        <w:tc>
          <w:tcPr>
            <w:tcW w:w="992" w:type="dxa"/>
            <w:shd w:val="clear" w:color="000000" w:fill="FFFFFF"/>
            <w:vAlign w:val="center"/>
          </w:tcPr>
          <w:p w14:paraId="59B372C9">
            <w:pPr>
              <w:widowControl/>
              <w:jc w:val="center"/>
              <w:rPr>
                <w:rFonts w:hint="eastAsia" w:ascii="宋体" w:hAnsi="宋体" w:eastAsia="宋体" w:cs="宋体"/>
                <w:sz w:val="24"/>
                <w:highlight w:val="none"/>
              </w:rPr>
            </w:pPr>
            <w:r>
              <w:rPr>
                <w:rFonts w:hint="eastAsia" w:ascii="宋体" w:hAnsi="宋体" w:eastAsia="宋体" w:cs="宋体"/>
                <w:kern w:val="0"/>
                <w:sz w:val="24"/>
                <w:highlight w:val="none"/>
              </w:rPr>
              <w:t>1许可</w:t>
            </w:r>
          </w:p>
        </w:tc>
        <w:tc>
          <w:tcPr>
            <w:tcW w:w="850" w:type="dxa"/>
            <w:shd w:val="clear" w:color="000000" w:fill="FFFFFF"/>
            <w:vAlign w:val="center"/>
          </w:tcPr>
          <w:p w14:paraId="467304D8">
            <w:pPr>
              <w:widowControl/>
              <w:jc w:val="center"/>
              <w:rPr>
                <w:rFonts w:hint="eastAsia" w:ascii="宋体" w:hAnsi="宋体" w:eastAsia="宋体" w:cs="宋体"/>
                <w:sz w:val="24"/>
                <w:highlight w:val="none"/>
              </w:rPr>
            </w:pPr>
            <w:r>
              <w:rPr>
                <w:rFonts w:hint="eastAsia" w:ascii="宋体" w:hAnsi="宋体" w:eastAsia="宋体" w:cs="宋体"/>
                <w:sz w:val="24"/>
                <w:highlight w:val="none"/>
              </w:rPr>
              <w:t>元/月</w:t>
            </w:r>
          </w:p>
        </w:tc>
        <w:tc>
          <w:tcPr>
            <w:tcW w:w="856" w:type="dxa"/>
            <w:shd w:val="clear" w:color="000000" w:fill="FFFFFF"/>
            <w:vAlign w:val="center"/>
          </w:tcPr>
          <w:p w14:paraId="3181AFF8">
            <w:pPr>
              <w:widowControl/>
              <w:rPr>
                <w:rFonts w:hint="eastAsia" w:ascii="宋体" w:hAnsi="宋体" w:eastAsia="宋体" w:cs="宋体"/>
                <w:sz w:val="24"/>
                <w:highlight w:val="none"/>
              </w:rPr>
            </w:pPr>
            <w:r>
              <w:rPr>
                <w:rFonts w:ascii="宋体" w:hAnsi="宋体" w:eastAsia="宋体" w:cs="宋体"/>
                <w:kern w:val="0"/>
                <w:sz w:val="24"/>
                <w:highlight w:val="none"/>
              </w:rPr>
              <w:t>117</w:t>
            </w:r>
          </w:p>
        </w:tc>
        <w:tc>
          <w:tcPr>
            <w:tcW w:w="1623" w:type="dxa"/>
            <w:shd w:val="clear" w:color="000000" w:fill="FFFFFF"/>
            <w:vAlign w:val="center"/>
          </w:tcPr>
          <w:p w14:paraId="26B2A977">
            <w:pPr>
              <w:widowControl/>
              <w:jc w:val="center"/>
              <w:textAlignment w:val="center"/>
              <w:rPr>
                <w:rFonts w:hint="eastAsia" w:ascii="宋体" w:hAnsi="宋体" w:eastAsia="宋体" w:cs="宋体"/>
                <w:sz w:val="24"/>
                <w:highlight w:val="yellow"/>
              </w:rPr>
            </w:pPr>
            <w:r>
              <w:rPr>
                <w:rFonts w:ascii="宋体" w:hAnsi="宋体" w:cs="宋体"/>
                <w:sz w:val="24"/>
              </w:rPr>
              <w:t>自合同签订生效</w:t>
            </w:r>
            <w:r>
              <w:rPr>
                <w:rFonts w:hint="eastAsia" w:ascii="宋体" w:hAnsi="宋体" w:cs="宋体"/>
                <w:sz w:val="24"/>
              </w:rPr>
              <w:t>之日</w:t>
            </w:r>
            <w:r>
              <w:rPr>
                <w:rFonts w:hint="eastAsia" w:ascii="宋体" w:hAnsi="宋体" w:cs="宋体"/>
                <w:sz w:val="24"/>
                <w:lang w:val="en-US" w:eastAsia="zh-CN"/>
              </w:rPr>
              <w:t>16个月</w:t>
            </w:r>
          </w:p>
        </w:tc>
      </w:tr>
    </w:tbl>
    <w:p w14:paraId="4DDB0420">
      <w:pPr>
        <w:spacing w:line="360" w:lineRule="auto"/>
        <w:ind w:leftChars="0"/>
        <w:jc w:val="both"/>
        <w:outlineLvl w:val="2"/>
        <w:rPr>
          <w:rFonts w:hint="eastAsia" w:ascii="Times New Roman" w:hAnsi="Times New Roman" w:eastAsia="宋体" w:cs="Times New Roman"/>
          <w:color w:val="000000"/>
          <w:sz w:val="24"/>
          <w:szCs w:val="20"/>
          <w:highlight w:val="none"/>
          <w:lang w:val="en-US" w:eastAsia="zh-CN"/>
        </w:rPr>
      </w:pPr>
      <w:bookmarkStart w:id="20" w:name="_Toc24198"/>
      <w:r>
        <w:rPr>
          <w:rFonts w:hint="eastAsia" w:cs="Times New Roman"/>
          <w:color w:val="000000"/>
          <w:sz w:val="24"/>
          <w:szCs w:val="20"/>
          <w:lang w:eastAsia="zh-CN"/>
        </w:rPr>
        <w:t>2</w:t>
      </w:r>
      <w:r>
        <w:rPr>
          <w:rFonts w:hint="eastAsia" w:cs="Times New Roman"/>
          <w:color w:val="000000"/>
          <w:sz w:val="24"/>
          <w:szCs w:val="20"/>
          <w:lang w:val="en-US" w:eastAsia="zh-CN"/>
        </w:rPr>
        <w:t xml:space="preserve">.2 </w:t>
      </w:r>
      <w:r>
        <w:rPr>
          <w:rFonts w:hint="eastAsia" w:ascii="Times New Roman" w:hAnsi="Times New Roman" w:eastAsia="宋体" w:cs="Times New Roman"/>
          <w:color w:val="000000"/>
          <w:sz w:val="24"/>
          <w:szCs w:val="20"/>
          <w:highlight w:val="none"/>
        </w:rPr>
        <w:t>服务标准</w:t>
      </w:r>
      <w:bookmarkEnd w:id="20"/>
      <w:r>
        <w:rPr>
          <w:rFonts w:hint="eastAsia" w:ascii="Times New Roman" w:hAnsi="Times New Roman" w:eastAsia="宋体" w:cs="Times New Roman"/>
          <w:color w:val="000000"/>
          <w:sz w:val="24"/>
          <w:szCs w:val="20"/>
          <w:highlight w:val="none"/>
          <w:lang w:val="en-US" w:eastAsia="zh-CN"/>
        </w:rPr>
        <w:t>要求</w:t>
      </w:r>
    </w:p>
    <w:p w14:paraId="1246C467">
      <w:pPr>
        <w:pStyle w:val="6"/>
        <w:jc w:val="left"/>
        <w:rPr>
          <w:rFonts w:hint="eastAsia" w:ascii="楷体" w:hAnsi="楷体" w:eastAsia="楷体" w:cs="楷体"/>
          <w:sz w:val="24"/>
          <w:highlight w:val="none"/>
        </w:rPr>
      </w:pPr>
      <w:bookmarkStart w:id="21" w:name="_Toc14505"/>
      <w:r>
        <w:rPr>
          <w:rFonts w:hint="eastAsia" w:ascii="楷体" w:hAnsi="楷体" w:eastAsia="楷体" w:cs="楷体"/>
          <w:sz w:val="24"/>
          <w:highlight w:val="none"/>
          <w:lang w:val="en-US" w:eastAsia="zh-CN"/>
        </w:rPr>
        <w:t xml:space="preserve">2.2.1 </w:t>
      </w:r>
      <w:r>
        <w:rPr>
          <w:rFonts w:hint="eastAsia" w:ascii="楷体" w:hAnsi="楷体" w:eastAsia="楷体" w:cs="楷体"/>
          <w:sz w:val="24"/>
          <w:highlight w:val="none"/>
        </w:rPr>
        <w:t>云主机服务</w:t>
      </w:r>
      <w:bookmarkEnd w:id="21"/>
    </w:p>
    <w:p w14:paraId="41B683DA">
      <w:pPr>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1.服务内容</w:t>
      </w:r>
    </w:p>
    <w:p w14:paraId="7EDCCE37">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按照采购人的具体需求，提供云主机服务，包括：云主机服务、x86物理服务器租用服务、图形图像计算服务（GPU）服务，按需求对CPU及内存进行动态调整，实现合理的计算资源配置。在提供政务云主机的服务过程中做好与采购人和对应项目应用开发厂商的协调沟通工作。</w:t>
      </w:r>
    </w:p>
    <w:p w14:paraId="3AC9904A">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2. </w:t>
      </w:r>
      <w:r>
        <w:rPr>
          <w:rFonts w:hint="eastAsia" w:ascii="宋体" w:hAnsi="宋体" w:eastAsia="宋体" w:cs="宋体"/>
          <w:b/>
          <w:bCs/>
          <w:sz w:val="24"/>
          <w:highlight w:val="none"/>
        </w:rPr>
        <w:t>服务标准</w:t>
      </w:r>
    </w:p>
    <w:p w14:paraId="169BDA6D">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w:t>
      </w:r>
      <w:r>
        <w:rPr>
          <w:rFonts w:hint="eastAsia" w:hAnsi="宋体" w:cs="宋体"/>
          <w:sz w:val="24"/>
          <w:highlight w:val="none"/>
          <w:lang w:eastAsia="zh-CN"/>
        </w:rPr>
        <w:t>）</w:t>
      </w:r>
      <w:r>
        <w:rPr>
          <w:rFonts w:hint="eastAsia" w:ascii="宋体" w:hAnsi="宋体" w:eastAsia="宋体" w:cs="宋体"/>
          <w:sz w:val="24"/>
          <w:highlight w:val="none"/>
        </w:rPr>
        <w:t>云主机应实现物理机的全部功能，如具有CPU、存储、内存、网卡等资源，可以指定单独的IP地址、MAC地址等；</w:t>
      </w:r>
    </w:p>
    <w:p w14:paraId="025F2EEB">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2</w:t>
      </w:r>
      <w:r>
        <w:rPr>
          <w:rFonts w:hint="eastAsia" w:hAnsi="宋体" w:cs="宋体"/>
          <w:sz w:val="24"/>
          <w:highlight w:val="none"/>
          <w:lang w:eastAsia="zh-CN"/>
        </w:rPr>
        <w:t>）</w:t>
      </w:r>
      <w:r>
        <w:rPr>
          <w:rFonts w:hint="eastAsia" w:ascii="宋体" w:hAnsi="宋体" w:eastAsia="宋体" w:cs="宋体"/>
          <w:sz w:val="24"/>
          <w:highlight w:val="none"/>
        </w:rPr>
        <w:t>支持存储裸设备映射（RDM），可以将存储设备上的LUN直接映射给虚拟机使用，并且支持SCSI指令使用透传模式或者非透传模式；</w:t>
      </w:r>
    </w:p>
    <w:p w14:paraId="2102C24E">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3</w:t>
      </w:r>
      <w:r>
        <w:rPr>
          <w:rFonts w:hint="eastAsia" w:hAnsi="宋体" w:cs="宋体"/>
          <w:sz w:val="24"/>
          <w:highlight w:val="none"/>
          <w:lang w:eastAsia="zh-CN"/>
        </w:rPr>
        <w:t>）</w:t>
      </w:r>
      <w:r>
        <w:rPr>
          <w:rFonts w:hint="eastAsia" w:ascii="宋体" w:hAnsi="宋体" w:eastAsia="宋体" w:cs="宋体"/>
          <w:sz w:val="24"/>
          <w:highlight w:val="none"/>
        </w:rPr>
        <w:t>云主机提供基于GPU图形图像计算服务；</w:t>
      </w:r>
    </w:p>
    <w:p w14:paraId="797AA34C">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4</w:t>
      </w:r>
      <w:r>
        <w:rPr>
          <w:rFonts w:hint="eastAsia" w:hAnsi="宋体" w:cs="宋体"/>
          <w:sz w:val="24"/>
          <w:highlight w:val="none"/>
          <w:lang w:eastAsia="zh-CN"/>
        </w:rPr>
        <w:t>）</w:t>
      </w:r>
      <w:r>
        <w:rPr>
          <w:rFonts w:hint="eastAsia" w:ascii="宋体" w:hAnsi="宋体" w:eastAsia="宋体" w:cs="宋体"/>
          <w:sz w:val="24"/>
          <w:highlight w:val="none"/>
        </w:rPr>
        <w:t>应满足云主机之间、CPU之间隔离保护要求；</w:t>
      </w:r>
    </w:p>
    <w:p w14:paraId="794478A9">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5</w:t>
      </w:r>
      <w:r>
        <w:rPr>
          <w:rFonts w:hint="eastAsia" w:hAnsi="宋体" w:cs="宋体"/>
          <w:sz w:val="24"/>
          <w:highlight w:val="none"/>
          <w:lang w:eastAsia="zh-CN"/>
        </w:rPr>
        <w:t>）</w:t>
      </w:r>
      <w:r>
        <w:rPr>
          <w:rFonts w:hint="eastAsia" w:ascii="宋体" w:hAnsi="宋体" w:eastAsia="宋体" w:cs="宋体"/>
          <w:sz w:val="24"/>
          <w:highlight w:val="none"/>
        </w:rPr>
        <w:t>支持资源的动态调整，根据业务的负载情况实现业务系统虚拟机的动态扩展和回收，支持手动和自动方式，自动方式可基于主机的CPU、内存、磁盘IO、网络流量等性能参数阈值进行动态调度；</w:t>
      </w:r>
    </w:p>
    <w:p w14:paraId="6F4CC148">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6</w:t>
      </w:r>
      <w:r>
        <w:rPr>
          <w:rFonts w:hint="eastAsia" w:hAnsi="宋体" w:cs="宋体"/>
          <w:sz w:val="24"/>
          <w:highlight w:val="none"/>
          <w:lang w:eastAsia="zh-CN"/>
        </w:rPr>
        <w:t>）</w:t>
      </w:r>
      <w:r>
        <w:rPr>
          <w:rFonts w:hint="eastAsia" w:ascii="宋体" w:hAnsi="宋体" w:eastAsia="宋体" w:cs="宋体"/>
          <w:sz w:val="24"/>
          <w:highlight w:val="none"/>
        </w:rPr>
        <w:t>支持在线进行虚拟化软件版本升级，不同版本之间可以相互兼容；</w:t>
      </w:r>
    </w:p>
    <w:p w14:paraId="5E190878">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7</w:t>
      </w:r>
      <w:r>
        <w:rPr>
          <w:rFonts w:hint="eastAsia" w:hAnsi="宋体" w:cs="宋体"/>
          <w:sz w:val="24"/>
          <w:highlight w:val="none"/>
          <w:lang w:eastAsia="zh-CN"/>
        </w:rPr>
        <w:t>）</w:t>
      </w:r>
      <w:r>
        <w:rPr>
          <w:rFonts w:hint="eastAsia" w:ascii="宋体" w:hAnsi="宋体" w:eastAsia="宋体" w:cs="宋体"/>
          <w:sz w:val="24"/>
          <w:highlight w:val="none"/>
        </w:rPr>
        <w:t>云主机出现故障时，支持自动重启或者迁移，保障业务连续性；</w:t>
      </w:r>
    </w:p>
    <w:p w14:paraId="79580B87">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8</w:t>
      </w:r>
      <w:r>
        <w:rPr>
          <w:rFonts w:hint="eastAsia" w:hAnsi="宋体" w:cs="宋体"/>
          <w:sz w:val="24"/>
          <w:highlight w:val="none"/>
          <w:lang w:eastAsia="zh-CN"/>
        </w:rPr>
        <w:t>）</w:t>
      </w:r>
      <w:r>
        <w:rPr>
          <w:rFonts w:hint="eastAsia" w:ascii="宋体" w:hAnsi="宋体" w:eastAsia="宋体" w:cs="宋体"/>
          <w:sz w:val="24"/>
          <w:highlight w:val="none"/>
        </w:rPr>
        <w:t xml:space="preserve"> 支持虚拟机热迁移，可在不同代CPU资源池中进行虚拟机热迁移；</w:t>
      </w:r>
    </w:p>
    <w:p w14:paraId="44C440D9">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9</w:t>
      </w:r>
      <w:r>
        <w:rPr>
          <w:rFonts w:hint="eastAsia" w:hAnsi="宋体" w:cs="宋体"/>
          <w:sz w:val="24"/>
          <w:highlight w:val="none"/>
          <w:lang w:eastAsia="zh-CN"/>
        </w:rPr>
        <w:t>）</w:t>
      </w:r>
      <w:r>
        <w:rPr>
          <w:rFonts w:hint="eastAsia" w:ascii="宋体" w:hAnsi="宋体" w:eastAsia="宋体" w:cs="宋体"/>
          <w:sz w:val="24"/>
          <w:highlight w:val="none"/>
        </w:rPr>
        <w:t>云计算资源性能要求包括但不限于如下：</w:t>
      </w:r>
    </w:p>
    <w:p w14:paraId="7008E12E">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物理服务器CPU主频应不低于2.0GHz；</w:t>
      </w:r>
    </w:p>
    <w:p w14:paraId="2AEA3965">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云主机</w:t>
      </w:r>
      <w:r>
        <w:rPr>
          <w:rFonts w:hint="eastAsia" w:ascii="宋体" w:hAnsi="宋体" w:eastAsia="宋体" w:cs="宋体"/>
          <w:color w:val="000000"/>
          <w:sz w:val="24"/>
          <w:highlight w:val="none"/>
          <w:lang w:bidi="ar"/>
        </w:rPr>
        <w:t>vCPU主频不低于2.2GHz</w:t>
      </w:r>
      <w:r>
        <w:rPr>
          <w:rFonts w:hint="eastAsia" w:ascii="宋体" w:hAnsi="宋体" w:eastAsia="宋体" w:cs="宋体"/>
          <w:sz w:val="24"/>
          <w:highlight w:val="none"/>
        </w:rPr>
        <w:t>；</w:t>
      </w:r>
    </w:p>
    <w:p w14:paraId="04D5B019">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可用性不低于99.99%。</w:t>
      </w:r>
    </w:p>
    <w:p w14:paraId="21E80D83">
      <w:pPr>
        <w:pStyle w:val="5"/>
        <w:snapToGrid w:val="0"/>
        <w:ind w:firstLine="482"/>
        <w:rPr>
          <w:rFonts w:hint="eastAsia" w:ascii="宋体" w:hAnsi="宋体" w:eastAsia="宋体" w:cs="宋体"/>
          <w:b/>
          <w:sz w:val="24"/>
          <w:highlight w:val="none"/>
        </w:rPr>
      </w:pPr>
    </w:p>
    <w:p w14:paraId="32293E67">
      <w:pPr>
        <w:pStyle w:val="6"/>
        <w:jc w:val="left"/>
        <w:rPr>
          <w:rFonts w:hint="eastAsia" w:ascii="楷体" w:hAnsi="楷体" w:eastAsia="楷体" w:cs="楷体"/>
          <w:sz w:val="24"/>
          <w:highlight w:val="none"/>
        </w:rPr>
      </w:pPr>
      <w:bookmarkStart w:id="22" w:name="_Toc31277"/>
      <w:r>
        <w:rPr>
          <w:rFonts w:hint="eastAsia" w:ascii="楷体" w:hAnsi="楷体" w:eastAsia="楷体" w:cs="楷体"/>
          <w:sz w:val="24"/>
          <w:highlight w:val="none"/>
          <w:lang w:val="en-US" w:eastAsia="zh-CN"/>
        </w:rPr>
        <w:t xml:space="preserve">2.2.2 </w:t>
      </w:r>
      <w:r>
        <w:rPr>
          <w:rFonts w:hint="eastAsia" w:ascii="楷体" w:hAnsi="楷体" w:eastAsia="楷体" w:cs="楷体"/>
          <w:sz w:val="24"/>
          <w:highlight w:val="none"/>
        </w:rPr>
        <w:t>存储服务</w:t>
      </w:r>
      <w:bookmarkEnd w:id="22"/>
    </w:p>
    <w:p w14:paraId="1320B739">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12E68983">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按照采购人的具体需求，提供存储服务，包括：普通性能存储、高性能存储、</w:t>
      </w:r>
      <w:r>
        <w:rPr>
          <w:rFonts w:hint="eastAsia" w:ascii="宋体" w:hAnsi="宋体" w:eastAsia="宋体" w:cs="宋体"/>
          <w:sz w:val="24"/>
          <w:highlight w:val="none"/>
          <w:lang w:val="en-US" w:eastAsia="zh-CN"/>
        </w:rPr>
        <w:t>本地备份</w:t>
      </w:r>
      <w:r>
        <w:rPr>
          <w:rFonts w:hint="eastAsia" w:ascii="宋体" w:hAnsi="宋体" w:eastAsia="宋体" w:cs="宋体"/>
          <w:sz w:val="24"/>
          <w:highlight w:val="none"/>
        </w:rPr>
        <w:t>和</w:t>
      </w:r>
      <w:r>
        <w:rPr>
          <w:rFonts w:hint="eastAsia" w:ascii="宋体" w:hAnsi="宋体" w:eastAsia="宋体" w:cs="宋体"/>
          <w:sz w:val="24"/>
          <w:highlight w:val="none"/>
          <w:lang w:val="en-US" w:eastAsia="zh-CN"/>
        </w:rPr>
        <w:t>异地</w:t>
      </w:r>
      <w:r>
        <w:rPr>
          <w:rFonts w:hint="eastAsia" w:ascii="宋体" w:hAnsi="宋体" w:eastAsia="宋体" w:cs="宋体"/>
          <w:sz w:val="24"/>
          <w:highlight w:val="none"/>
        </w:rPr>
        <w:t>备份服务，实现合理的存储资源配置。在提供政务云存储的服务过程中需做好采购人和对应项目应用开发厂商的协调沟通工作。</w:t>
      </w:r>
    </w:p>
    <w:p w14:paraId="725E287B">
      <w:pPr>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2.服务标准</w:t>
      </w:r>
    </w:p>
    <w:p w14:paraId="3169901A">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w:t>
      </w:r>
      <w:r>
        <w:rPr>
          <w:rFonts w:hint="eastAsia" w:hAnsi="宋体" w:cs="宋体"/>
          <w:sz w:val="24"/>
          <w:highlight w:val="none"/>
          <w:lang w:eastAsia="zh-CN"/>
        </w:rPr>
        <w:t>）</w:t>
      </w:r>
      <w:r>
        <w:rPr>
          <w:rFonts w:hint="eastAsia" w:ascii="宋体" w:hAnsi="宋体" w:eastAsia="宋体" w:cs="宋体"/>
          <w:sz w:val="24"/>
          <w:highlight w:val="none"/>
        </w:rPr>
        <w:t>支持结构化数据、半结构化数据和非结构化数据等多种数据类型存储；</w:t>
      </w:r>
    </w:p>
    <w:p w14:paraId="78245C6C">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2</w:t>
      </w:r>
      <w:r>
        <w:rPr>
          <w:rFonts w:hint="eastAsia" w:hAnsi="宋体" w:cs="宋体"/>
          <w:sz w:val="24"/>
          <w:highlight w:val="none"/>
          <w:lang w:eastAsia="zh-CN"/>
        </w:rPr>
        <w:t>）</w:t>
      </w:r>
      <w:r>
        <w:rPr>
          <w:rFonts w:hint="eastAsia" w:ascii="宋体" w:hAnsi="宋体" w:eastAsia="宋体" w:cs="宋体"/>
          <w:sz w:val="24"/>
          <w:highlight w:val="none"/>
        </w:rPr>
        <w:t>支持块存储、对象存储、文件存储等多种存储方法，满足数据备份、视频存储等不同应用场景使用要求；</w:t>
      </w:r>
    </w:p>
    <w:p w14:paraId="603EDB58">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3</w:t>
      </w:r>
      <w:r>
        <w:rPr>
          <w:rFonts w:hint="eastAsia" w:hAnsi="宋体" w:cs="宋体"/>
          <w:sz w:val="24"/>
          <w:highlight w:val="none"/>
          <w:lang w:eastAsia="zh-CN"/>
        </w:rPr>
        <w:t>）</w:t>
      </w:r>
      <w:r>
        <w:rPr>
          <w:rFonts w:hint="eastAsia" w:ascii="宋体" w:hAnsi="宋体" w:eastAsia="宋体" w:cs="宋体"/>
          <w:sz w:val="24"/>
          <w:highlight w:val="none"/>
        </w:rPr>
        <w:t>支持存储资源扩展能力，例如：PB级扩展；</w:t>
      </w:r>
    </w:p>
    <w:p w14:paraId="6B3851D2">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4</w:t>
      </w:r>
      <w:r>
        <w:rPr>
          <w:rFonts w:hint="eastAsia" w:hAnsi="宋体" w:cs="宋体"/>
          <w:sz w:val="24"/>
          <w:highlight w:val="none"/>
          <w:lang w:eastAsia="zh-CN"/>
        </w:rPr>
        <w:t>）</w:t>
      </w:r>
      <w:r>
        <w:rPr>
          <w:rFonts w:hint="eastAsia" w:ascii="宋体" w:hAnsi="宋体" w:eastAsia="宋体" w:cs="宋体"/>
          <w:sz w:val="24"/>
          <w:highlight w:val="none"/>
        </w:rPr>
        <w:t>支持磁盘容错技术，如磁盘故障后节点的自动平衡和重构、硬盘故障检测和处理、集群节点出现单盘故障时不影响业务运行等；</w:t>
      </w:r>
    </w:p>
    <w:p w14:paraId="219583B1">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5</w:t>
      </w:r>
      <w:r>
        <w:rPr>
          <w:rFonts w:hint="eastAsia" w:hAnsi="宋体" w:cs="宋体"/>
          <w:sz w:val="24"/>
          <w:highlight w:val="none"/>
          <w:lang w:eastAsia="zh-CN"/>
        </w:rPr>
        <w:t>）</w:t>
      </w:r>
      <w:r>
        <w:rPr>
          <w:rFonts w:hint="eastAsia" w:ascii="宋体" w:hAnsi="宋体" w:eastAsia="宋体" w:cs="宋体"/>
          <w:sz w:val="24"/>
          <w:highlight w:val="none"/>
        </w:rPr>
        <w:t>存储资源性能要求包括但不限于如下：</w:t>
      </w:r>
    </w:p>
    <w:p w14:paraId="289DA0FC">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支持高可靠性，可靠性不低于99.99%；</w:t>
      </w:r>
    </w:p>
    <w:p w14:paraId="482D9F33">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对于块存储服务，支持普通性能、高性能两类，普通存储单盘技术指标：IOPS大于等于2000，高性能存储单盘技术指标：IOPS大于等于10000。</w:t>
      </w:r>
    </w:p>
    <w:p w14:paraId="1FE10B4D">
      <w:pPr>
        <w:pStyle w:val="5"/>
        <w:snapToGrid w:val="0"/>
        <w:ind w:firstLine="482"/>
        <w:rPr>
          <w:rFonts w:hint="eastAsia" w:ascii="宋体" w:hAnsi="宋体" w:eastAsia="宋体" w:cs="宋体"/>
          <w:b/>
          <w:sz w:val="24"/>
          <w:highlight w:val="none"/>
        </w:rPr>
      </w:pPr>
    </w:p>
    <w:p w14:paraId="23620ABB">
      <w:pPr>
        <w:pStyle w:val="6"/>
        <w:jc w:val="left"/>
        <w:rPr>
          <w:rFonts w:hint="default" w:ascii="楷体" w:hAnsi="楷体" w:eastAsia="楷体" w:cs="楷体"/>
          <w:sz w:val="24"/>
          <w:highlight w:val="none"/>
        </w:rPr>
      </w:pPr>
      <w:bookmarkStart w:id="23" w:name="_Toc23192"/>
      <w:bookmarkStart w:id="24" w:name="_Toc26829"/>
      <w:r>
        <w:rPr>
          <w:rFonts w:hint="eastAsia" w:ascii="楷体" w:hAnsi="楷体" w:eastAsia="楷体" w:cs="楷体"/>
          <w:sz w:val="24"/>
          <w:highlight w:val="none"/>
          <w:lang w:eastAsia="zh-CN"/>
        </w:rPr>
        <w:t>2</w:t>
      </w:r>
      <w:r>
        <w:rPr>
          <w:rFonts w:hint="eastAsia" w:ascii="楷体" w:hAnsi="楷体" w:eastAsia="楷体" w:cs="楷体"/>
          <w:sz w:val="24"/>
          <w:highlight w:val="none"/>
          <w:lang w:val="en-US" w:eastAsia="zh-CN"/>
        </w:rPr>
        <w:t xml:space="preserve">.2.3 </w:t>
      </w:r>
      <w:r>
        <w:rPr>
          <w:rFonts w:hint="default" w:ascii="楷体" w:hAnsi="楷体" w:eastAsia="楷体" w:cs="楷体"/>
          <w:sz w:val="24"/>
          <w:highlight w:val="none"/>
        </w:rPr>
        <w:t>网络服务</w:t>
      </w:r>
      <w:bookmarkEnd w:id="23"/>
    </w:p>
    <w:p w14:paraId="325347E3">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6913754C">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w:t>
      </w:r>
      <w:r>
        <w:rPr>
          <w:rFonts w:hint="eastAsia" w:hAnsi="宋体" w:cs="宋体"/>
          <w:sz w:val="24"/>
          <w:highlight w:val="none"/>
          <w:lang w:eastAsia="zh-CN"/>
        </w:rPr>
        <w:t>）</w:t>
      </w:r>
      <w:r>
        <w:rPr>
          <w:rFonts w:hint="eastAsia" w:ascii="宋体" w:hAnsi="宋体" w:eastAsia="宋体" w:cs="宋体"/>
          <w:sz w:val="24"/>
          <w:highlight w:val="none"/>
        </w:rPr>
        <w:t>提供互联网链路带宽服务、互联网IP地址租用服务，并提供相应的网络域名备案服务，配合应用开发厂商提供网络策略配置服务。</w:t>
      </w:r>
    </w:p>
    <w:p w14:paraId="2057C33D">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2</w:t>
      </w:r>
      <w:r>
        <w:rPr>
          <w:rFonts w:hint="eastAsia" w:hAnsi="宋体" w:cs="宋体"/>
          <w:sz w:val="24"/>
          <w:highlight w:val="none"/>
          <w:lang w:eastAsia="zh-CN"/>
        </w:rPr>
        <w:t>）</w:t>
      </w:r>
      <w:r>
        <w:rPr>
          <w:rFonts w:hint="eastAsia" w:ascii="宋体" w:hAnsi="宋体" w:eastAsia="宋体" w:cs="宋体"/>
          <w:sz w:val="24"/>
          <w:highlight w:val="none"/>
        </w:rPr>
        <w:t>主机负载均衡服务，通过云管理平台实现针每租户按需自动分配负载均衡服务的能力。</w:t>
      </w:r>
    </w:p>
    <w:p w14:paraId="3E16F634">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3</w:t>
      </w:r>
      <w:r>
        <w:rPr>
          <w:rFonts w:hint="eastAsia" w:hAnsi="宋体" w:cs="宋体"/>
          <w:sz w:val="24"/>
          <w:highlight w:val="none"/>
          <w:lang w:eastAsia="zh-CN"/>
        </w:rPr>
        <w:t>）</w:t>
      </w:r>
      <w:r>
        <w:rPr>
          <w:rFonts w:hint="eastAsia" w:ascii="宋体" w:hAnsi="宋体" w:eastAsia="宋体" w:cs="宋体"/>
          <w:sz w:val="24"/>
          <w:highlight w:val="none"/>
        </w:rPr>
        <w:t>远程接入服务，提供互联网远程接入服务，每个账号结合身份验证接入堡垒机维护应用系统。</w:t>
      </w:r>
    </w:p>
    <w:p w14:paraId="57425BB7">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4</w:t>
      </w:r>
      <w:r>
        <w:rPr>
          <w:rFonts w:hint="eastAsia" w:hAnsi="宋体" w:cs="宋体"/>
          <w:sz w:val="24"/>
          <w:highlight w:val="none"/>
          <w:lang w:eastAsia="zh-CN"/>
        </w:rPr>
        <w:t>）</w:t>
      </w:r>
      <w:r>
        <w:rPr>
          <w:rFonts w:hint="eastAsia" w:ascii="宋体" w:hAnsi="宋体" w:eastAsia="宋体" w:cs="宋体"/>
          <w:sz w:val="24"/>
          <w:highlight w:val="none"/>
        </w:rPr>
        <w:t>VPN服务，含SSL VPN接入服务。</w:t>
      </w:r>
    </w:p>
    <w:p w14:paraId="2C83911C">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6D98922F">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网络系统提供稳定的数据传输能力，一般要求如下：</w:t>
      </w:r>
    </w:p>
    <w:p w14:paraId="0E89B9FA">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w:t>
      </w:r>
      <w:r>
        <w:rPr>
          <w:rFonts w:hint="eastAsia" w:hAnsi="宋体" w:cs="宋体"/>
          <w:sz w:val="24"/>
          <w:highlight w:val="none"/>
          <w:lang w:eastAsia="zh-CN"/>
        </w:rPr>
        <w:t>）</w:t>
      </w:r>
      <w:r>
        <w:rPr>
          <w:rFonts w:hint="eastAsia" w:ascii="宋体" w:hAnsi="宋体" w:eastAsia="宋体" w:cs="宋体"/>
          <w:sz w:val="24"/>
          <w:highlight w:val="none"/>
        </w:rPr>
        <w:t>具备多运营商网络接入服务的能力；</w:t>
      </w:r>
    </w:p>
    <w:p w14:paraId="684CC537">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2</w:t>
      </w:r>
      <w:r>
        <w:rPr>
          <w:rFonts w:hint="eastAsia" w:hAnsi="宋体" w:cs="宋体"/>
          <w:sz w:val="24"/>
          <w:highlight w:val="none"/>
          <w:lang w:eastAsia="zh-CN"/>
        </w:rPr>
        <w:t>）</w:t>
      </w:r>
      <w:r>
        <w:rPr>
          <w:rFonts w:hint="eastAsia" w:ascii="宋体" w:hAnsi="宋体" w:eastAsia="宋体" w:cs="宋体"/>
          <w:sz w:val="24"/>
          <w:highlight w:val="none"/>
        </w:rPr>
        <w:t>数据中心组网架构设计可采用大二层网络架构，支持云主机无障碍动态迁移；</w:t>
      </w:r>
    </w:p>
    <w:p w14:paraId="07F65C33">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3</w:t>
      </w:r>
      <w:r>
        <w:rPr>
          <w:rFonts w:hint="eastAsia" w:hAnsi="宋体" w:cs="宋体"/>
          <w:sz w:val="24"/>
          <w:highlight w:val="none"/>
          <w:lang w:eastAsia="zh-CN"/>
        </w:rPr>
        <w:t>）</w:t>
      </w:r>
      <w:r>
        <w:rPr>
          <w:rFonts w:hint="eastAsia" w:ascii="宋体" w:hAnsi="宋体" w:eastAsia="宋体" w:cs="宋体"/>
          <w:sz w:val="24"/>
          <w:highlight w:val="none"/>
        </w:rPr>
        <w:t>应采用集群部署网络控制，以保障升级时业务不中断；</w:t>
      </w:r>
    </w:p>
    <w:p w14:paraId="2EAC45E8">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4</w:t>
      </w:r>
      <w:r>
        <w:rPr>
          <w:rFonts w:hint="eastAsia" w:hAnsi="宋体" w:cs="宋体"/>
          <w:sz w:val="24"/>
          <w:highlight w:val="none"/>
          <w:lang w:eastAsia="zh-CN"/>
        </w:rPr>
        <w:t>）</w:t>
      </w:r>
      <w:r>
        <w:rPr>
          <w:rFonts w:hint="eastAsia" w:ascii="宋体" w:hAnsi="宋体" w:eastAsia="宋体" w:cs="宋体"/>
          <w:sz w:val="24"/>
          <w:highlight w:val="none"/>
        </w:rPr>
        <w:t>应实现自动化动态网络资源调配和隔离，支持与互联网、电子政务外网及行业部门专网的连接；</w:t>
      </w:r>
    </w:p>
    <w:p w14:paraId="537B0676">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5</w:t>
      </w:r>
      <w:r>
        <w:rPr>
          <w:rFonts w:hint="eastAsia" w:hAnsi="宋体" w:cs="宋体"/>
          <w:sz w:val="24"/>
          <w:highlight w:val="none"/>
          <w:lang w:eastAsia="zh-CN"/>
        </w:rPr>
        <w:t>）</w:t>
      </w:r>
      <w:r>
        <w:rPr>
          <w:rFonts w:hint="eastAsia" w:ascii="宋体" w:hAnsi="宋体" w:eastAsia="宋体" w:cs="宋体"/>
          <w:sz w:val="24"/>
          <w:highlight w:val="none"/>
        </w:rPr>
        <w:t>支持IPv6地址分配，满足业务系统IPv6要求；</w:t>
      </w:r>
    </w:p>
    <w:p w14:paraId="4902FAE0">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6</w:t>
      </w:r>
      <w:r>
        <w:rPr>
          <w:rFonts w:hint="eastAsia" w:hAnsi="宋体" w:cs="宋体"/>
          <w:sz w:val="24"/>
          <w:highlight w:val="none"/>
          <w:lang w:eastAsia="zh-CN"/>
        </w:rPr>
        <w:t>）</w:t>
      </w:r>
      <w:r>
        <w:rPr>
          <w:rFonts w:hint="eastAsia" w:ascii="宋体" w:hAnsi="宋体" w:eastAsia="宋体" w:cs="宋体"/>
          <w:sz w:val="24"/>
          <w:highlight w:val="none"/>
        </w:rPr>
        <w:t>具备边界防火墙和VPC防火墙隔离能力，分别针对不同的流量进行安全策略防护与配置；</w:t>
      </w:r>
    </w:p>
    <w:p w14:paraId="49BDFBCD">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7</w:t>
      </w:r>
      <w:r>
        <w:rPr>
          <w:rFonts w:hint="eastAsia" w:hAnsi="宋体" w:cs="宋体"/>
          <w:sz w:val="24"/>
          <w:highlight w:val="none"/>
          <w:lang w:eastAsia="zh-CN"/>
        </w:rPr>
        <w:t>）</w:t>
      </w:r>
      <w:r>
        <w:rPr>
          <w:rFonts w:hint="eastAsia" w:ascii="宋体" w:hAnsi="宋体" w:eastAsia="宋体" w:cs="宋体"/>
          <w:sz w:val="24"/>
          <w:highlight w:val="none"/>
        </w:rPr>
        <w:t>具备高可用虚拟IP能力，在集群或主备场景下，云主机可绑定高可用虚拟IP，达到高可用访问效果；</w:t>
      </w:r>
    </w:p>
    <w:p w14:paraId="53302755">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8</w:t>
      </w:r>
      <w:r>
        <w:rPr>
          <w:rFonts w:hint="eastAsia" w:hAnsi="宋体" w:cs="宋体"/>
          <w:sz w:val="24"/>
          <w:highlight w:val="none"/>
          <w:lang w:eastAsia="zh-CN"/>
        </w:rPr>
        <w:t>）</w:t>
      </w:r>
      <w:r>
        <w:rPr>
          <w:rFonts w:hint="eastAsia" w:ascii="宋体" w:hAnsi="宋体" w:eastAsia="宋体" w:cs="宋体"/>
          <w:sz w:val="24"/>
          <w:highlight w:val="none"/>
        </w:rPr>
        <w:t>采用双活网络架构，降低单点故障带来的稳定风险；为入云系统划分安全区域，合理制定访问规则。</w:t>
      </w:r>
    </w:p>
    <w:p w14:paraId="0E26E709">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9</w:t>
      </w:r>
      <w:r>
        <w:rPr>
          <w:rFonts w:hint="eastAsia" w:hAnsi="宋体" w:cs="宋体"/>
          <w:sz w:val="24"/>
          <w:highlight w:val="none"/>
          <w:lang w:eastAsia="zh-CN"/>
        </w:rPr>
        <w:t>）</w:t>
      </w:r>
      <w:r>
        <w:rPr>
          <w:rFonts w:hint="eastAsia" w:ascii="宋体" w:hAnsi="宋体" w:eastAsia="宋体" w:cs="宋体"/>
          <w:sz w:val="24"/>
          <w:highlight w:val="none"/>
        </w:rPr>
        <w:t>网络系统性能要求包括但不限于如下：</w:t>
      </w:r>
    </w:p>
    <w:p w14:paraId="1965D858">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服务器业务带宽不低于10Gb/s；</w:t>
      </w:r>
    </w:p>
    <w:p w14:paraId="5DD545D2">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平均可用性不低于99.99%。</w:t>
      </w:r>
    </w:p>
    <w:p w14:paraId="7F17790A">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10</w:t>
      </w:r>
      <w:r>
        <w:rPr>
          <w:rFonts w:hint="eastAsia" w:hAnsi="宋体" w:cs="宋体"/>
          <w:sz w:val="24"/>
          <w:highlight w:val="none"/>
          <w:lang w:eastAsia="zh-CN"/>
        </w:rPr>
        <w:t>）</w:t>
      </w:r>
      <w:r>
        <w:rPr>
          <w:rFonts w:hint="eastAsia" w:ascii="宋体" w:hAnsi="宋体" w:eastAsia="宋体" w:cs="宋体"/>
          <w:sz w:val="24"/>
          <w:highlight w:val="none"/>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3D36F013">
      <w:pPr>
        <w:pStyle w:val="5"/>
        <w:snapToGrid w:val="0"/>
        <w:ind w:firstLine="480"/>
        <w:rPr>
          <w:rFonts w:hint="eastAsia" w:ascii="宋体" w:hAnsi="宋体" w:eastAsia="宋体" w:cs="宋体"/>
          <w:sz w:val="24"/>
          <w:highlight w:val="none"/>
        </w:rPr>
      </w:pPr>
      <w:r>
        <w:rPr>
          <w:rFonts w:hint="eastAsia" w:hAnsi="宋体" w:cs="宋体"/>
          <w:sz w:val="24"/>
          <w:highlight w:val="none"/>
          <w:lang w:eastAsia="zh-CN"/>
        </w:rPr>
        <w:t>（</w:t>
      </w:r>
      <w:r>
        <w:rPr>
          <w:rFonts w:hint="eastAsia" w:hAnsi="宋体" w:cs="宋体"/>
          <w:sz w:val="24"/>
          <w:highlight w:val="none"/>
          <w:lang w:val="en-US" w:eastAsia="zh-CN"/>
        </w:rPr>
        <w:t>11</w:t>
      </w:r>
      <w:r>
        <w:rPr>
          <w:rFonts w:hint="eastAsia" w:hAnsi="宋体" w:cs="宋体"/>
          <w:sz w:val="24"/>
          <w:highlight w:val="none"/>
          <w:lang w:eastAsia="zh-CN"/>
        </w:rPr>
        <w:t>）</w:t>
      </w:r>
      <w:r>
        <w:rPr>
          <w:rFonts w:hint="eastAsia" w:ascii="宋体" w:hAnsi="宋体" w:eastAsia="宋体" w:cs="宋体"/>
          <w:sz w:val="24"/>
          <w:highlight w:val="none"/>
        </w:rPr>
        <w:t>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579353BF">
      <w:pPr>
        <w:pStyle w:val="5"/>
        <w:snapToGrid w:val="0"/>
        <w:ind w:firstLine="482"/>
        <w:rPr>
          <w:rFonts w:hint="eastAsia" w:ascii="宋体" w:hAnsi="宋体" w:eastAsia="宋体" w:cs="宋体"/>
          <w:b/>
          <w:sz w:val="24"/>
          <w:highlight w:val="none"/>
        </w:rPr>
      </w:pPr>
    </w:p>
    <w:bookmarkEnd w:id="24"/>
    <w:p w14:paraId="7875E243">
      <w:pPr>
        <w:pStyle w:val="6"/>
        <w:jc w:val="left"/>
        <w:rPr>
          <w:rFonts w:hint="eastAsia" w:ascii="楷体" w:hAnsi="楷体" w:eastAsia="楷体" w:cs="楷体"/>
          <w:sz w:val="24"/>
          <w:highlight w:val="none"/>
        </w:rPr>
      </w:pPr>
      <w:bookmarkStart w:id="25" w:name="_Toc1700"/>
      <w:r>
        <w:rPr>
          <w:rFonts w:hint="eastAsia" w:ascii="楷体" w:hAnsi="楷体" w:eastAsia="楷体" w:cs="楷体"/>
          <w:sz w:val="24"/>
          <w:highlight w:val="none"/>
          <w:lang w:val="en-US" w:eastAsia="zh-CN"/>
        </w:rPr>
        <w:t>2.2</w:t>
      </w:r>
      <w:r>
        <w:rPr>
          <w:rFonts w:hint="default" w:ascii="楷体" w:hAnsi="楷体" w:eastAsia="楷体" w:cs="楷体"/>
          <w:sz w:val="24"/>
          <w:highlight w:val="none"/>
          <w:lang w:val="en-US" w:eastAsia="zh-CN"/>
        </w:rPr>
        <w:t>.</w:t>
      </w:r>
      <w:r>
        <w:rPr>
          <w:rFonts w:hint="eastAsia" w:ascii="楷体" w:hAnsi="楷体" w:eastAsia="楷体" w:cs="楷体"/>
          <w:sz w:val="24"/>
          <w:highlight w:val="none"/>
          <w:lang w:val="en-US" w:eastAsia="zh-CN"/>
        </w:rPr>
        <w:t xml:space="preserve">4 </w:t>
      </w:r>
      <w:r>
        <w:rPr>
          <w:rFonts w:hint="eastAsia" w:ascii="楷体" w:hAnsi="楷体" w:eastAsia="楷体" w:cs="楷体"/>
          <w:sz w:val="24"/>
          <w:highlight w:val="none"/>
        </w:rPr>
        <w:t>基础软件支撑服务</w:t>
      </w:r>
      <w:bookmarkEnd w:id="25"/>
    </w:p>
    <w:p w14:paraId="3CBD9B27">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5FB44D4D">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按照采购人的有关管理规定及具体需求，提供商用操作系统</w:t>
      </w:r>
      <w:r>
        <w:rPr>
          <w:rFonts w:hint="eastAsia" w:ascii="宋体" w:hAnsi="宋体" w:eastAsia="宋体" w:cs="宋体"/>
          <w:sz w:val="24"/>
          <w:highlight w:val="none"/>
          <w:lang w:eastAsia="zh-CN"/>
        </w:rPr>
        <w:t>、</w:t>
      </w:r>
      <w:r>
        <w:rPr>
          <w:rFonts w:hint="eastAsia" w:ascii="宋体" w:hAnsi="宋体" w:eastAsia="宋体" w:cs="宋体"/>
          <w:sz w:val="24"/>
          <w:highlight w:val="none"/>
        </w:rPr>
        <w:t>国产商用应用中间件、商用数据库</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企业服务总线（ESB）等软件支撑服务。</w:t>
      </w:r>
    </w:p>
    <w:p w14:paraId="77507AA0">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0A60A038">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（1）</w:t>
      </w:r>
      <w:r>
        <w:rPr>
          <w:rFonts w:hint="eastAsia" w:ascii="宋体" w:hAnsi="宋体" w:eastAsia="宋体" w:cs="宋体"/>
          <w:sz w:val="24"/>
          <w:highlight w:val="none"/>
        </w:rPr>
        <w:t>商用操作系统套餐</w:t>
      </w:r>
    </w:p>
    <w:p w14:paraId="245093BB">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提供主流商业操作系统服务，支持Windows Server、国产Linux操作系统（银河麒麟/中标麒麟/统信等）的各种主流版本，并提供操作系统的安装部署和各种故障处理。</w:t>
      </w:r>
    </w:p>
    <w:p w14:paraId="1F761F5A">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（2）</w:t>
      </w:r>
      <w:r>
        <w:rPr>
          <w:rFonts w:hint="eastAsia" w:ascii="宋体" w:hAnsi="宋体" w:eastAsia="宋体" w:cs="宋体"/>
          <w:sz w:val="24"/>
          <w:highlight w:val="none"/>
        </w:rPr>
        <w:t>国产商用应用中间件套餐</w:t>
      </w:r>
    </w:p>
    <w:p w14:paraId="28E195DA">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提供主流国产商用中间件服务，支持包括宝兰德、东方通、普元等3种</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以上国产中间件的主流版本，提供中间件的安装部署以及各种故障处理和日常维护。</w:t>
      </w:r>
    </w:p>
    <w:p w14:paraId="70080DB8">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（3）</w:t>
      </w:r>
      <w:r>
        <w:rPr>
          <w:rFonts w:hint="eastAsia" w:ascii="宋体" w:hAnsi="宋体" w:eastAsia="宋体" w:cs="宋体"/>
          <w:sz w:val="24"/>
          <w:highlight w:val="none"/>
        </w:rPr>
        <w:t>商用数据库套餐</w:t>
      </w:r>
    </w:p>
    <w:p w14:paraId="041FD8A2">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提供ORACLE数据库及主流国产商用数据库</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数据仓库、商业智能套件</w:t>
      </w:r>
      <w:r>
        <w:rPr>
          <w:rFonts w:hint="eastAsia" w:ascii="宋体" w:hAnsi="宋体" w:eastAsia="宋体" w:cs="宋体"/>
          <w:sz w:val="24"/>
          <w:highlight w:val="none"/>
        </w:rPr>
        <w:t>服务，支持3种及以上国产数据库单机、集群的主流版本，提供数据库的安装部署和各种故障处理及日常维护。</w:t>
      </w:r>
    </w:p>
    <w:p w14:paraId="3FC69547">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（4）</w:t>
      </w:r>
      <w:r>
        <w:rPr>
          <w:rFonts w:hint="eastAsia" w:ascii="宋体" w:hAnsi="宋体" w:eastAsia="宋体" w:cs="宋体"/>
          <w:sz w:val="24"/>
          <w:highlight w:val="none"/>
        </w:rPr>
        <w:t>企业服务总线（ESB）套餐</w:t>
      </w:r>
    </w:p>
    <w:p w14:paraId="729508BB">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提供企业服务总线（ESB）服务，支持HTTP、SOAP、JMS等通讯协议，确保不同技术栈和应用系统的相互交互，提供ESB的安装部署、服务注册和各种故障处理及日常维护。</w:t>
      </w:r>
    </w:p>
    <w:p w14:paraId="578F575D">
      <w:pPr>
        <w:pStyle w:val="5"/>
        <w:snapToGrid w:val="0"/>
        <w:ind w:firstLine="480"/>
        <w:rPr>
          <w:rFonts w:hint="eastAsia" w:ascii="宋体" w:hAnsi="宋体" w:eastAsia="宋体" w:cs="宋体"/>
          <w:sz w:val="24"/>
          <w:highlight w:val="none"/>
        </w:rPr>
      </w:pPr>
    </w:p>
    <w:p w14:paraId="5BDA0290">
      <w:pPr>
        <w:pStyle w:val="6"/>
        <w:jc w:val="left"/>
        <w:rPr>
          <w:rFonts w:hint="default" w:ascii="楷体" w:hAnsi="楷体" w:eastAsia="楷体" w:cs="楷体"/>
          <w:sz w:val="24"/>
          <w:highlight w:val="none"/>
        </w:rPr>
      </w:pPr>
      <w:bookmarkStart w:id="26" w:name="_Toc24264"/>
      <w:r>
        <w:rPr>
          <w:rFonts w:hint="eastAsia" w:ascii="楷体" w:hAnsi="楷体" w:eastAsia="楷体" w:cs="楷体"/>
          <w:sz w:val="24"/>
          <w:highlight w:val="none"/>
          <w:lang w:eastAsia="zh-CN"/>
        </w:rPr>
        <w:t>2</w:t>
      </w:r>
      <w:r>
        <w:rPr>
          <w:rFonts w:hint="eastAsia" w:ascii="楷体" w:hAnsi="楷体" w:eastAsia="楷体" w:cs="楷体"/>
          <w:sz w:val="24"/>
          <w:highlight w:val="none"/>
          <w:lang w:val="en-US" w:eastAsia="zh-CN"/>
        </w:rPr>
        <w:t xml:space="preserve">.2.5 </w:t>
      </w:r>
      <w:r>
        <w:rPr>
          <w:rFonts w:hint="default" w:ascii="楷体" w:hAnsi="楷体" w:eastAsia="楷体" w:cs="楷体"/>
          <w:sz w:val="24"/>
          <w:highlight w:val="none"/>
        </w:rPr>
        <w:t>安全服务</w:t>
      </w:r>
      <w:bookmarkEnd w:id="26"/>
    </w:p>
    <w:p w14:paraId="407D723B">
      <w:pPr>
        <w:ind w:firstLine="482" w:firstLineChars="200"/>
        <w:rPr>
          <w:rFonts w:hint="eastAsia" w:ascii="宋体" w:hAnsi="宋体" w:eastAsia="宋体" w:cs="宋体"/>
          <w:b/>
          <w:bCs/>
          <w:sz w:val="24"/>
          <w:highlight w:val="none"/>
        </w:rPr>
      </w:pPr>
      <w:r>
        <w:rPr>
          <w:rFonts w:hint="default"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491C25C0">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1B8D569A">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(1)</w:t>
      </w:r>
      <w:r>
        <w:rPr>
          <w:rFonts w:hint="eastAsia" w:ascii="宋体" w:hAnsi="宋体" w:eastAsia="宋体" w:cs="宋体"/>
          <w:sz w:val="24"/>
          <w:highlight w:val="none"/>
        </w:rPr>
        <w:t>WAF防护服务</w:t>
      </w:r>
    </w:p>
    <w:p w14:paraId="4852D4DF">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按照采购人的具体需求，提供互联网WAF防护服务，保证用户对已知安全隐患进行防护，实时升级漏洞补丁，配置防护策略，起到前端防护作用。</w:t>
      </w:r>
    </w:p>
    <w:p w14:paraId="56B5D2DF">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(2)</w:t>
      </w:r>
      <w:r>
        <w:rPr>
          <w:rFonts w:hint="eastAsia" w:ascii="宋体" w:hAnsi="宋体" w:eastAsia="宋体" w:cs="宋体"/>
          <w:sz w:val="24"/>
          <w:highlight w:val="none"/>
        </w:rPr>
        <w:t>云端抗DDOS服务</w:t>
      </w:r>
    </w:p>
    <w:p w14:paraId="16FDC627">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按照采购人的具体需求，根据流量提供云端抗DDOS服务，为云内应用系统抵御大流量分布式拒绝服务攻击。在提供服务的过程中需做好与采购人和对应项目的应用开发厂商的协调沟通工作。</w:t>
      </w:r>
    </w:p>
    <w:p w14:paraId="5F09C091">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(3)</w:t>
      </w:r>
      <w:r>
        <w:rPr>
          <w:rFonts w:hint="eastAsia" w:ascii="宋体" w:hAnsi="宋体" w:eastAsia="宋体" w:cs="宋体"/>
          <w:sz w:val="24"/>
          <w:highlight w:val="none"/>
        </w:rPr>
        <w:t>云端APT防护服务</w:t>
      </w:r>
    </w:p>
    <w:p w14:paraId="55C75C47">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按照采购人的具体需求，提供云端APT防护服务，对未知攻击威胁进行检测和防护，发现隐蔽威胁、木马后门等异常威胁。通过APT防护服务，实现恶意代码检测、恶意软件检测及攻击溯源。</w:t>
      </w:r>
    </w:p>
    <w:p w14:paraId="0B61BEA2">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(4)</w:t>
      </w:r>
      <w:r>
        <w:rPr>
          <w:rFonts w:hint="eastAsia" w:ascii="宋体" w:hAnsi="宋体" w:eastAsia="宋体" w:cs="宋体"/>
          <w:sz w:val="24"/>
          <w:highlight w:val="none"/>
        </w:rPr>
        <w:t>主机杀毒服务</w:t>
      </w:r>
    </w:p>
    <w:p w14:paraId="038B1388">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提供主机杀毒服务，对云主机进行定期的病毒查杀，实施杀毒软件集中控制。</w:t>
      </w:r>
    </w:p>
    <w:p w14:paraId="0F551D5C">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(5)</w:t>
      </w:r>
      <w:r>
        <w:rPr>
          <w:rFonts w:hint="eastAsia" w:ascii="宋体" w:hAnsi="宋体" w:eastAsia="宋体" w:cs="宋体"/>
          <w:sz w:val="24"/>
          <w:highlight w:val="none"/>
        </w:rPr>
        <w:t>主机安全加固</w:t>
      </w:r>
    </w:p>
    <w:p w14:paraId="6955BE9E">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提供主机安全加固服务，针对预警自查、漏洞扫描或等级测评结果对操作系统进行安全加固，用以解决等级测评结果中所显示的漏洞。</w:t>
      </w:r>
    </w:p>
    <w:p w14:paraId="64C8DEAC">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(6)</w:t>
      </w:r>
      <w:r>
        <w:rPr>
          <w:rFonts w:hint="eastAsia" w:ascii="宋体" w:hAnsi="宋体" w:eastAsia="宋体" w:cs="宋体"/>
          <w:sz w:val="24"/>
          <w:highlight w:val="none"/>
        </w:rPr>
        <w:t>主机防护服务</w:t>
      </w:r>
    </w:p>
    <w:p w14:paraId="746163DC">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提供符合等保三级要求的主机权限管理及安全防护。可对主机系统安全涉及的控制点形成立体防护。</w:t>
      </w:r>
    </w:p>
    <w:p w14:paraId="536FF39B">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(7)</w:t>
      </w:r>
      <w:r>
        <w:rPr>
          <w:rFonts w:hint="eastAsia" w:ascii="宋体" w:hAnsi="宋体" w:eastAsia="宋体" w:cs="宋体"/>
          <w:sz w:val="24"/>
          <w:highlight w:val="none"/>
        </w:rPr>
        <w:t>主机漏洞扫描</w:t>
      </w:r>
    </w:p>
    <w:p w14:paraId="0E1B30B5">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基于漏洞数据库，通过扫描等手段对主机安全脆弱性进行检测。</w:t>
      </w:r>
    </w:p>
    <w:p w14:paraId="7723C6C2">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(8)</w:t>
      </w:r>
      <w:r>
        <w:rPr>
          <w:rFonts w:hint="eastAsia" w:ascii="宋体" w:hAnsi="宋体" w:eastAsia="宋体" w:cs="宋体"/>
          <w:sz w:val="24"/>
          <w:highlight w:val="none"/>
        </w:rPr>
        <w:t>主机日志分析服务</w:t>
      </w:r>
    </w:p>
    <w:p w14:paraId="3A8965A9">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提供主机层面的主机日志分析服务，对主机</w:t>
      </w:r>
      <w:r>
        <w:rPr>
          <w:rFonts w:ascii="宋体" w:hAnsi="宋体" w:eastAsia="宋体" w:cs="宋体"/>
          <w:sz w:val="24"/>
          <w:highlight w:val="none"/>
        </w:rPr>
        <w:t>系统日志进行采集</w:t>
      </w:r>
      <w:r>
        <w:rPr>
          <w:rFonts w:hint="eastAsia" w:ascii="宋体" w:hAnsi="宋体" w:eastAsia="宋体" w:cs="宋体"/>
          <w:sz w:val="24"/>
          <w:highlight w:val="none"/>
        </w:rPr>
        <w:t>分析</w:t>
      </w:r>
      <w:r>
        <w:rPr>
          <w:rFonts w:ascii="宋体" w:hAnsi="宋体" w:eastAsia="宋体" w:cs="宋体"/>
          <w:sz w:val="24"/>
          <w:highlight w:val="none"/>
        </w:rPr>
        <w:t>处理，</w:t>
      </w:r>
      <w:r>
        <w:rPr>
          <w:rFonts w:hint="eastAsia" w:ascii="宋体" w:hAnsi="宋体" w:eastAsia="宋体" w:cs="宋体"/>
          <w:sz w:val="24"/>
          <w:highlight w:val="none"/>
        </w:rPr>
        <w:t>用于</w:t>
      </w:r>
      <w:r>
        <w:rPr>
          <w:rFonts w:ascii="宋体" w:hAnsi="宋体" w:eastAsia="宋体" w:cs="宋体"/>
          <w:sz w:val="24"/>
          <w:highlight w:val="none"/>
        </w:rPr>
        <w:t>发现各种安全威胁</w:t>
      </w:r>
      <w:r>
        <w:rPr>
          <w:rFonts w:hint="eastAsia" w:ascii="宋体" w:hAnsi="宋体" w:eastAsia="宋体" w:cs="宋体"/>
          <w:sz w:val="24"/>
          <w:highlight w:val="none"/>
        </w:rPr>
        <w:t>、</w:t>
      </w:r>
      <w:r>
        <w:rPr>
          <w:rFonts w:ascii="宋体" w:hAnsi="宋体" w:eastAsia="宋体" w:cs="宋体"/>
          <w:sz w:val="24"/>
          <w:highlight w:val="none"/>
        </w:rPr>
        <w:t>异常行为事件。</w:t>
      </w:r>
    </w:p>
    <w:p w14:paraId="11AA9F72">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(9)</w:t>
      </w:r>
      <w:r>
        <w:rPr>
          <w:rFonts w:hint="eastAsia" w:ascii="宋体" w:hAnsi="宋体" w:eastAsia="宋体" w:cs="宋体"/>
          <w:sz w:val="24"/>
          <w:highlight w:val="none"/>
        </w:rPr>
        <w:t>数据库审计服务</w:t>
      </w:r>
    </w:p>
    <w:p w14:paraId="226A143A">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对数据库操作行为进行细粒度审计的合规性管理，对数据库遭受到的风险行为进行告警，对攻击行为进行阻断。对用户访问数据库行为的记录、分析和汇报，生成合规报告以及事故追根溯源。</w:t>
      </w:r>
    </w:p>
    <w:p w14:paraId="7EFF84A4">
      <w:pPr>
        <w:ind w:firstLine="482" w:firstLineChars="200"/>
        <w:rPr>
          <w:rFonts w:hint="eastAsia" w:ascii="宋体" w:hAnsi="宋体" w:eastAsia="宋体" w:cs="宋体"/>
          <w:b/>
          <w:bCs/>
          <w:sz w:val="24"/>
          <w:highlight w:val="none"/>
        </w:rPr>
      </w:pPr>
      <w:r>
        <w:rPr>
          <w:rFonts w:hint="default"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2D10A557">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(1)</w:t>
      </w:r>
      <w:r>
        <w:rPr>
          <w:rFonts w:hint="eastAsia" w:ascii="宋体" w:hAnsi="宋体" w:eastAsia="宋体" w:cs="宋体"/>
          <w:sz w:val="24"/>
          <w:highlight w:val="none"/>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232022E2">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(2)</w:t>
      </w:r>
      <w:r>
        <w:rPr>
          <w:rFonts w:hint="eastAsia" w:ascii="宋体" w:hAnsi="宋体" w:eastAsia="宋体" w:cs="宋体"/>
          <w:sz w:val="24"/>
          <w:highlight w:val="none"/>
        </w:rPr>
        <w:t>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4B433EC9">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(3)</w:t>
      </w:r>
      <w:r>
        <w:rPr>
          <w:rFonts w:hint="eastAsia" w:ascii="宋体" w:hAnsi="宋体" w:eastAsia="宋体" w:cs="宋体"/>
          <w:sz w:val="24"/>
          <w:highlight w:val="none"/>
        </w:rPr>
        <w:t>投标人需纳入行业监管部门网络安全保障整体工作体系，在涉及重保、安全事件、威胁情报等方面，配合安全服务商开展研判、处置、分析等工作。</w:t>
      </w:r>
    </w:p>
    <w:p w14:paraId="39BDAB8E">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(4)</w:t>
      </w:r>
      <w:r>
        <w:rPr>
          <w:rFonts w:hint="eastAsia" w:ascii="宋体" w:hAnsi="宋体" w:eastAsia="宋体" w:cs="宋体"/>
          <w:sz w:val="24"/>
          <w:highlight w:val="none"/>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45C41839">
      <w:pPr>
        <w:pStyle w:val="5"/>
        <w:snapToGrid w:val="0"/>
        <w:ind w:firstLine="480"/>
        <w:rPr>
          <w:rFonts w:hint="eastAsia" w:ascii="宋体" w:hAnsi="宋体" w:eastAsia="宋体" w:cs="宋体"/>
          <w:sz w:val="24"/>
          <w:highlight w:val="none"/>
        </w:rPr>
      </w:pPr>
      <w:r>
        <w:rPr>
          <w:rFonts w:hint="default" w:hAnsi="宋体" w:cs="宋体"/>
          <w:sz w:val="24"/>
          <w:highlight w:val="none"/>
          <w:lang w:val="en-US"/>
        </w:rPr>
        <w:t>(5)</w:t>
      </w:r>
      <w:r>
        <w:rPr>
          <w:rFonts w:hint="eastAsia" w:ascii="宋体" w:hAnsi="宋体" w:eastAsia="宋体" w:cs="宋体"/>
          <w:sz w:val="24"/>
          <w:highlight w:val="none"/>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2ACC80E6">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(6)</w:t>
      </w:r>
      <w:r>
        <w:rPr>
          <w:rFonts w:hint="eastAsia" w:ascii="宋体" w:hAnsi="宋体" w:eastAsia="宋体" w:cs="宋体"/>
          <w:sz w:val="24"/>
          <w:highlight w:val="none"/>
        </w:rPr>
        <w:t>投标人应坚持制度和技术并重，建立健全网络和数据安全管理制度，落实网络和数据安全管理要求。采取相应技术措施，保障网络免受干扰、破坏或者未经授权的访问，防止数据泄露或者被窃取、篡改、破坏。</w:t>
      </w:r>
    </w:p>
    <w:p w14:paraId="3C8D475E">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(7)</w:t>
      </w:r>
      <w:r>
        <w:rPr>
          <w:rFonts w:hint="eastAsia" w:ascii="宋体" w:hAnsi="宋体" w:eastAsia="宋体" w:cs="宋体"/>
          <w:sz w:val="24"/>
          <w:highlight w:val="none"/>
        </w:rPr>
        <w:t>定期开展数据安全风险评估，发现数据安全隐患风险时，应当及时整改加固，采取必要的安全保护措施，防范数据安全风险。</w:t>
      </w:r>
    </w:p>
    <w:p w14:paraId="59D5CC99">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(8)</w:t>
      </w:r>
      <w:r>
        <w:rPr>
          <w:rFonts w:hint="eastAsia" w:ascii="宋体" w:hAnsi="宋体" w:eastAsia="宋体" w:cs="宋体"/>
          <w:sz w:val="24"/>
          <w:highlight w:val="none"/>
        </w:rPr>
        <w:t>投标人应明确接触网络和信息系统、数据时的申请及审批流程，做好实名登记、权限控制、保密协议签署等管理。</w:t>
      </w:r>
    </w:p>
    <w:p w14:paraId="1572B871">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(9)</w:t>
      </w:r>
      <w:r>
        <w:rPr>
          <w:rFonts w:hint="eastAsia" w:ascii="宋体" w:hAnsi="宋体" w:eastAsia="宋体" w:cs="宋体"/>
          <w:sz w:val="24"/>
          <w:highlight w:val="none"/>
        </w:rPr>
        <w:t>在服务期内，承载政务云平台的软硬件应在原厂维保期限内。</w:t>
      </w:r>
    </w:p>
    <w:p w14:paraId="3084E093">
      <w:pPr>
        <w:pStyle w:val="5"/>
        <w:snapToGrid w:val="0"/>
        <w:ind w:firstLine="482"/>
        <w:rPr>
          <w:rFonts w:hint="eastAsia" w:ascii="宋体" w:hAnsi="宋体" w:eastAsia="宋体" w:cs="宋体"/>
          <w:b/>
          <w:sz w:val="24"/>
          <w:highlight w:val="none"/>
        </w:rPr>
      </w:pPr>
    </w:p>
    <w:p w14:paraId="2180F01C">
      <w:pPr>
        <w:pStyle w:val="6"/>
        <w:jc w:val="left"/>
        <w:rPr>
          <w:rFonts w:hint="eastAsia" w:ascii="楷体" w:hAnsi="楷体" w:eastAsia="楷体" w:cs="楷体"/>
          <w:sz w:val="24"/>
          <w:highlight w:val="none"/>
        </w:rPr>
      </w:pPr>
      <w:bookmarkStart w:id="27" w:name="_Toc19279"/>
      <w:r>
        <w:rPr>
          <w:rFonts w:hint="default" w:ascii="楷体" w:hAnsi="楷体" w:eastAsia="楷体" w:cs="楷体"/>
          <w:sz w:val="24"/>
          <w:highlight w:val="none"/>
          <w:lang w:val="en-US"/>
        </w:rPr>
        <w:t xml:space="preserve">2.2.6 </w:t>
      </w:r>
      <w:r>
        <w:rPr>
          <w:rFonts w:hint="eastAsia" w:ascii="楷体" w:hAnsi="楷体" w:eastAsia="楷体" w:cs="楷体"/>
          <w:sz w:val="24"/>
          <w:highlight w:val="none"/>
        </w:rPr>
        <w:t>运维服务</w:t>
      </w:r>
      <w:bookmarkEnd w:id="27"/>
    </w:p>
    <w:p w14:paraId="75C73360">
      <w:pPr>
        <w:ind w:firstLine="482" w:firstLineChars="200"/>
        <w:rPr>
          <w:rFonts w:hint="eastAsia" w:ascii="宋体" w:hAnsi="宋体" w:eastAsia="宋体" w:cs="宋体"/>
          <w:b/>
          <w:bCs/>
          <w:sz w:val="24"/>
          <w:highlight w:val="none"/>
        </w:rPr>
      </w:pPr>
      <w:r>
        <w:rPr>
          <w:rFonts w:hint="default" w:ascii="宋体" w:hAnsi="宋体" w:cs="宋体"/>
          <w:b/>
          <w:bCs/>
          <w:sz w:val="24"/>
          <w:highlight w:val="none"/>
          <w:lang w:val="en-US"/>
        </w:rPr>
        <w:t>1.</w:t>
      </w:r>
      <w:r>
        <w:rPr>
          <w:rFonts w:hint="eastAsia" w:ascii="宋体" w:hAnsi="宋体" w:eastAsia="宋体" w:cs="宋体"/>
          <w:b/>
          <w:bCs/>
          <w:sz w:val="24"/>
          <w:highlight w:val="none"/>
        </w:rPr>
        <w:t>服务内容</w:t>
      </w:r>
    </w:p>
    <w:p w14:paraId="5A07B4BD">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(1)</w:t>
      </w:r>
      <w:r>
        <w:rPr>
          <w:rFonts w:hint="eastAsia" w:ascii="宋体" w:hAnsi="宋体" w:eastAsia="宋体" w:cs="宋体"/>
          <w:sz w:val="24"/>
          <w:highlight w:val="none"/>
        </w:rPr>
        <w:t>负责机房环境资源、云平台硬件资产、虚拟化资产的管理工作；</w:t>
      </w:r>
    </w:p>
    <w:p w14:paraId="4D9B6A05">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(2)</w:t>
      </w:r>
      <w:r>
        <w:rPr>
          <w:rFonts w:hint="eastAsia" w:ascii="宋体" w:hAnsi="宋体" w:eastAsia="宋体" w:cs="宋体"/>
          <w:sz w:val="24"/>
          <w:highlight w:val="none"/>
        </w:rPr>
        <w:t>信息系统入云、上线、变更、退出等各阶段的备案与信息变更等工作；</w:t>
      </w:r>
    </w:p>
    <w:p w14:paraId="6BDD5306">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(3)</w:t>
      </w:r>
      <w:r>
        <w:rPr>
          <w:rFonts w:hint="eastAsia" w:ascii="宋体" w:hAnsi="宋体" w:eastAsia="宋体" w:cs="宋体"/>
          <w:sz w:val="24"/>
          <w:highlight w:val="none"/>
        </w:rPr>
        <w:t>执行云平台变更申请、审批流程；</w:t>
      </w:r>
    </w:p>
    <w:p w14:paraId="6F6C7585">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(4)</w:t>
      </w:r>
      <w:r>
        <w:rPr>
          <w:rFonts w:hint="eastAsia" w:ascii="宋体" w:hAnsi="宋体" w:eastAsia="宋体" w:cs="宋体"/>
          <w:sz w:val="24"/>
          <w:highlight w:val="none"/>
        </w:rPr>
        <w:t>云平台网络资源管理，针对内部地址使用情况、云平台专线接入情况、政务外网资源使用情况等做好统计工作；</w:t>
      </w:r>
    </w:p>
    <w:p w14:paraId="1BECB76C">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(5)</w:t>
      </w:r>
      <w:r>
        <w:rPr>
          <w:rFonts w:hint="eastAsia" w:ascii="宋体" w:hAnsi="宋体" w:eastAsia="宋体" w:cs="宋体"/>
          <w:sz w:val="24"/>
          <w:highlight w:val="none"/>
        </w:rPr>
        <w:t>服务期内，投标人须配备运维团队，提供可靠的售后服务保障。投标人针对采购人要求的云平台运维服务相关内容，需指定专业技术能力较强的工程师，根据采购人要求配合开展相关维护服务。</w:t>
      </w:r>
    </w:p>
    <w:p w14:paraId="36D0B695">
      <w:pPr>
        <w:ind w:firstLine="482" w:firstLineChars="200"/>
        <w:rPr>
          <w:rFonts w:hint="eastAsia" w:ascii="宋体" w:hAnsi="宋体" w:eastAsia="宋体" w:cs="宋体"/>
          <w:b/>
          <w:bCs/>
          <w:sz w:val="24"/>
          <w:highlight w:val="none"/>
        </w:rPr>
      </w:pPr>
      <w:r>
        <w:rPr>
          <w:rFonts w:hint="default"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22EF90B5">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(1)</w:t>
      </w:r>
      <w:r>
        <w:rPr>
          <w:rFonts w:hint="eastAsia" w:ascii="宋体" w:hAnsi="宋体" w:eastAsia="宋体" w:cs="宋体"/>
          <w:sz w:val="24"/>
          <w:highlight w:val="none"/>
        </w:rPr>
        <w:t>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小时内到达运维现场定位、排除故障，在4个小时之内使系统恢复正常，故障处理完毕后提供相关系统宕机报告。</w:t>
      </w:r>
    </w:p>
    <w:p w14:paraId="6775493F">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(2)</w:t>
      </w:r>
      <w:r>
        <w:rPr>
          <w:rFonts w:hint="eastAsia" w:ascii="宋体" w:hAnsi="宋体" w:eastAsia="宋体" w:cs="宋体"/>
          <w:sz w:val="24"/>
          <w:highlight w:val="none"/>
        </w:rPr>
        <w:t>为保障业务高峰期内系统平稳运行，缓解系统高峰期内因业务发生量增大而带来系统压力风险，要求投标人根据业务周期性特点，加大运维保障力度，保证在业务高峰期内系统平稳运行。</w:t>
      </w:r>
    </w:p>
    <w:p w14:paraId="50437059">
      <w:pPr>
        <w:pStyle w:val="5"/>
        <w:snapToGrid w:val="0"/>
        <w:ind w:firstLine="480"/>
        <w:rPr>
          <w:rFonts w:hint="eastAsia" w:ascii="宋体" w:hAnsi="宋体" w:eastAsia="宋体" w:cs="宋体"/>
          <w:sz w:val="24"/>
          <w:highlight w:val="none"/>
        </w:rPr>
      </w:pPr>
      <w:r>
        <w:rPr>
          <w:rFonts w:hint="default" w:hAnsi="宋体" w:cs="宋体"/>
          <w:sz w:val="24"/>
          <w:highlight w:val="none"/>
          <w:lang w:val="en-US" w:eastAsia="zh-CN"/>
        </w:rPr>
        <w:t>(3)</w:t>
      </w:r>
      <w:r>
        <w:rPr>
          <w:rFonts w:hint="eastAsia" w:ascii="宋体" w:hAnsi="宋体" w:eastAsia="宋体" w:cs="宋体"/>
          <w:sz w:val="24"/>
          <w:highlight w:val="none"/>
        </w:rPr>
        <w:t>投标人应当提供</w:t>
      </w:r>
      <w:r>
        <w:rPr>
          <w:rFonts w:hint="default" w:hAnsi="宋体" w:cs="宋体"/>
          <w:sz w:val="24"/>
          <w:highlight w:val="none"/>
          <w:lang w:val="en-US" w:eastAsia="zh-CN"/>
        </w:rPr>
        <w:t>重点时期保障</w:t>
      </w:r>
      <w:r>
        <w:rPr>
          <w:rFonts w:hint="eastAsia" w:hAnsi="宋体" w:cs="宋体"/>
          <w:sz w:val="24"/>
          <w:highlight w:val="none"/>
          <w:lang w:val="en-US" w:eastAsia="zh-CN"/>
        </w:rPr>
        <w:t>服务，在</w:t>
      </w:r>
      <w:r>
        <w:rPr>
          <w:rFonts w:hint="eastAsia" w:ascii="宋体" w:hAnsi="宋体" w:eastAsia="宋体" w:cs="宋体"/>
          <w:sz w:val="24"/>
          <w:highlight w:val="none"/>
        </w:rPr>
        <w:t>春节、两会、五一、国庆、党代会、重大体育赛事等重要重大节日及重要活动期间提供7*24小时安全重点保障服务</w:t>
      </w:r>
      <w:r>
        <w:rPr>
          <w:rFonts w:hint="eastAsia" w:hAnsi="宋体" w:cs="宋体"/>
          <w:sz w:val="24"/>
          <w:highlight w:val="none"/>
          <w:lang w:eastAsia="zh-CN"/>
        </w:rPr>
        <w:t>，</w:t>
      </w:r>
      <w:r>
        <w:rPr>
          <w:rFonts w:hint="eastAsia" w:hAnsi="宋体" w:cs="宋体"/>
          <w:sz w:val="24"/>
          <w:highlight w:val="none"/>
          <w:lang w:val="en-US" w:eastAsia="zh-CN"/>
        </w:rPr>
        <w:t>需</w:t>
      </w:r>
      <w:r>
        <w:rPr>
          <w:rFonts w:hint="eastAsia" w:ascii="宋体" w:hAnsi="宋体" w:eastAsia="宋体" w:cs="宋体"/>
          <w:sz w:val="24"/>
          <w:highlight w:val="none"/>
        </w:rPr>
        <w:t>7*24小时</w:t>
      </w:r>
      <w:r>
        <w:rPr>
          <w:rFonts w:hint="eastAsia" w:ascii="宋体" w:hAnsi="宋体" w:cstheme="minorBidi"/>
          <w:spacing w:val="0"/>
          <w:kern w:val="2"/>
          <w:szCs w:val="24"/>
        </w:rPr>
        <w:t>监测重要业务系统安全状态，</w:t>
      </w:r>
      <w:r>
        <w:rPr>
          <w:rFonts w:hint="eastAsia" w:ascii="宋体" w:hAnsi="宋体" w:eastAsia="宋体" w:cs="宋体"/>
          <w:szCs w:val="21"/>
        </w:rPr>
        <w:t>开展资产梳理和隐患排查</w:t>
      </w:r>
      <w:r>
        <w:rPr>
          <w:rFonts w:hint="eastAsia" w:ascii="宋体" w:hAnsi="宋体" w:eastAsia="宋体" w:cs="宋体"/>
          <w:szCs w:val="21"/>
          <w:lang w:eastAsia="zh-CN"/>
        </w:rPr>
        <w:t>，</w:t>
      </w:r>
      <w:r>
        <w:rPr>
          <w:rFonts w:hint="eastAsia" w:ascii="宋体" w:hAnsi="宋体" w:cstheme="minorBidi"/>
          <w:spacing w:val="0"/>
          <w:kern w:val="2"/>
          <w:szCs w:val="24"/>
        </w:rPr>
        <w:t>分析日志情况及时应对突发情况</w:t>
      </w:r>
      <w:r>
        <w:rPr>
          <w:rFonts w:hint="eastAsia" w:ascii="宋体" w:hAnsi="宋体" w:eastAsia="宋体" w:cs="宋体"/>
          <w:sz w:val="24"/>
          <w:highlight w:val="none"/>
        </w:rPr>
        <w:t>。</w:t>
      </w:r>
      <w:r>
        <w:rPr>
          <w:rFonts w:hint="eastAsia" w:hAnsi="宋体" w:cs="宋体"/>
          <w:sz w:val="24"/>
          <w:highlight w:val="none"/>
          <w:lang w:val="en-US" w:eastAsia="zh-CN"/>
        </w:rPr>
        <w:t>重点保障时期的</w:t>
      </w:r>
      <w:r>
        <w:rPr>
          <w:rFonts w:hint="eastAsia" w:ascii="宋体" w:hAnsi="宋体" w:eastAsia="宋体" w:cs="宋体"/>
          <w:sz w:val="24"/>
          <w:highlight w:val="none"/>
        </w:rPr>
        <w:t>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14:paraId="4D079457">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（4）</w:t>
      </w:r>
      <w:r>
        <w:rPr>
          <w:rFonts w:hint="eastAsia" w:ascii="宋体" w:hAnsi="宋体" w:eastAsia="宋体" w:cs="宋体"/>
          <w:sz w:val="24"/>
          <w:highlight w:val="none"/>
        </w:rPr>
        <w:t>按照国家、北京市相关规定和信息安全技术标准及规范要求, 落实安全保障措施, 通过信息安全测评机构的测评和政务云安全审查 。</w:t>
      </w:r>
    </w:p>
    <w:p w14:paraId="360BC809">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（5）</w:t>
      </w:r>
      <w:r>
        <w:rPr>
          <w:rFonts w:hint="eastAsia" w:ascii="宋体" w:hAnsi="宋体" w:eastAsia="宋体" w:cs="宋体"/>
          <w:sz w:val="24"/>
          <w:highlight w:val="none"/>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4AC404DA">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（6）</w:t>
      </w:r>
      <w:r>
        <w:rPr>
          <w:rFonts w:hint="eastAsia" w:ascii="宋体" w:hAnsi="宋体" w:eastAsia="宋体" w:cs="宋体"/>
          <w:sz w:val="24"/>
          <w:highlight w:val="none"/>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4AF5CDB1">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（7）</w:t>
      </w:r>
      <w:r>
        <w:rPr>
          <w:rFonts w:hint="eastAsia" w:ascii="宋体" w:hAnsi="宋体" w:eastAsia="宋体" w:cs="宋体"/>
          <w:sz w:val="24"/>
          <w:highlight w:val="none"/>
        </w:rPr>
        <w:t>投标人应保障政务云规范运行。入云系统应开展网络安全测评及备案。应对数据进行分类分级管理，根据数据分级保护要求采取相应级别的安全防护措施；应按相关要求对重要数据进行异地备份。</w:t>
      </w:r>
    </w:p>
    <w:p w14:paraId="7FDFCE8F">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（8）</w:t>
      </w:r>
      <w:r>
        <w:rPr>
          <w:rFonts w:hint="eastAsia" w:ascii="宋体" w:hAnsi="宋体" w:eastAsia="宋体" w:cs="宋体"/>
          <w:sz w:val="24"/>
          <w:highlight w:val="none"/>
        </w:rPr>
        <w:t>除不可抗力或计划内维护作业造成的政务云服务中断外,政务云实行24小时不间断运行。</w:t>
      </w:r>
    </w:p>
    <w:p w14:paraId="4AC3CF5D">
      <w:pPr>
        <w:pStyle w:val="5"/>
        <w:snapToGrid w:val="0"/>
        <w:ind w:firstLine="482"/>
        <w:rPr>
          <w:rFonts w:hint="eastAsia" w:ascii="宋体" w:hAnsi="宋体" w:eastAsia="宋体" w:cs="宋体"/>
          <w:b/>
          <w:sz w:val="24"/>
          <w:highlight w:val="none"/>
        </w:rPr>
      </w:pPr>
    </w:p>
    <w:p w14:paraId="35501D38">
      <w:pPr>
        <w:pStyle w:val="6"/>
        <w:jc w:val="left"/>
        <w:rPr>
          <w:rFonts w:hint="default" w:ascii="楷体" w:hAnsi="楷体" w:eastAsia="楷体" w:cs="楷体"/>
          <w:sz w:val="24"/>
          <w:highlight w:val="none"/>
        </w:rPr>
      </w:pPr>
      <w:bookmarkStart w:id="28" w:name="_Toc28361"/>
      <w:r>
        <w:rPr>
          <w:rFonts w:hint="eastAsia" w:ascii="楷体" w:hAnsi="楷体" w:eastAsia="楷体" w:cs="楷体"/>
          <w:sz w:val="24"/>
          <w:highlight w:val="none"/>
          <w:lang w:eastAsia="zh-CN"/>
        </w:rPr>
        <w:t>2</w:t>
      </w:r>
      <w:r>
        <w:rPr>
          <w:rFonts w:hint="eastAsia" w:ascii="楷体" w:hAnsi="楷体" w:eastAsia="楷体" w:cs="楷体"/>
          <w:sz w:val="24"/>
          <w:highlight w:val="none"/>
          <w:lang w:val="en-US" w:eastAsia="zh-CN"/>
        </w:rPr>
        <w:t xml:space="preserve">.2.7 </w:t>
      </w:r>
      <w:r>
        <w:rPr>
          <w:rFonts w:hint="default" w:ascii="楷体" w:hAnsi="楷体" w:eastAsia="楷体" w:cs="楷体"/>
          <w:sz w:val="24"/>
          <w:highlight w:val="none"/>
        </w:rPr>
        <w:t>备份服务</w:t>
      </w:r>
      <w:bookmarkEnd w:id="28"/>
    </w:p>
    <w:p w14:paraId="54A01F05">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1C6CCBF9">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投标人需具有本地和同城异地数据级备份能力，并配合采购人完成数据级容灾演练及恢复等工作。</w:t>
      </w:r>
    </w:p>
    <w:p w14:paraId="718B83B7">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6D86E7DC">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按照采购人的各个应用系统对资源的备份需求通过备份策略实现对用户数据（文件、操作系统、数据库）的本地备份及异地备份，默认提供非结构化数据保护与文件备份保护。备份应满足如下要求:</w:t>
      </w:r>
    </w:p>
    <w:p w14:paraId="5D7F9B8B">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（1）</w:t>
      </w:r>
      <w:r>
        <w:rPr>
          <w:rFonts w:hint="eastAsia" w:ascii="宋体" w:hAnsi="宋体" w:eastAsia="宋体" w:cs="宋体"/>
          <w:sz w:val="24"/>
          <w:highlight w:val="none"/>
        </w:rPr>
        <w:t>备份介质本身具备高可用性和冗余性。</w:t>
      </w:r>
    </w:p>
    <w:p w14:paraId="79330715">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（2）</w:t>
      </w:r>
      <w:r>
        <w:rPr>
          <w:rFonts w:hint="eastAsia" w:ascii="宋体" w:hAnsi="宋体" w:eastAsia="宋体" w:cs="宋体"/>
          <w:sz w:val="24"/>
          <w:highlight w:val="none"/>
        </w:rPr>
        <w:t>备份方式包括完整备份、差异备份和增量备份。</w:t>
      </w:r>
    </w:p>
    <w:p w14:paraId="14EA328C">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（3）</w:t>
      </w:r>
      <w:r>
        <w:rPr>
          <w:rFonts w:hint="eastAsia" w:ascii="宋体" w:hAnsi="宋体" w:eastAsia="宋体" w:cs="宋体"/>
          <w:sz w:val="24"/>
          <w:highlight w:val="none"/>
        </w:rPr>
        <w:t>支持Windows系列操作系统、Linux主流系统操作系统、主流数据库软件、主流中间件软件、结构化数据以及非结构化数据等备份对象。</w:t>
      </w:r>
    </w:p>
    <w:p w14:paraId="60EBD60A">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（4）</w:t>
      </w:r>
      <w:r>
        <w:rPr>
          <w:rFonts w:hint="eastAsia" w:ascii="宋体" w:hAnsi="宋体" w:eastAsia="宋体" w:cs="宋体"/>
          <w:sz w:val="24"/>
          <w:highlight w:val="none"/>
        </w:rPr>
        <w:t>支持建立统一的备份管理系统，用来管理本地备份和异地备份。</w:t>
      </w:r>
    </w:p>
    <w:p w14:paraId="5FA079FD">
      <w:pPr>
        <w:pStyle w:val="5"/>
        <w:snapToGrid w:val="0"/>
        <w:ind w:firstLine="480"/>
        <w:rPr>
          <w:rFonts w:hint="eastAsia" w:ascii="宋体" w:hAnsi="宋体" w:eastAsia="宋体" w:cs="宋体"/>
          <w:sz w:val="24"/>
          <w:highlight w:val="none"/>
        </w:rPr>
      </w:pPr>
      <w:r>
        <w:rPr>
          <w:rFonts w:hint="eastAsia" w:hAnsi="宋体" w:cs="宋体"/>
          <w:sz w:val="24"/>
          <w:highlight w:val="none"/>
          <w:lang w:val="en-US" w:eastAsia="zh-CN"/>
        </w:rPr>
        <w:t>（5）</w:t>
      </w:r>
      <w:r>
        <w:rPr>
          <w:rFonts w:hint="eastAsia" w:ascii="宋体" w:hAnsi="宋体" w:eastAsia="宋体" w:cs="宋体"/>
          <w:sz w:val="24"/>
          <w:highlight w:val="none"/>
        </w:rPr>
        <w:t>投标人应提供对备份过程状态、备份结果提供运维监控保障服务，确保备份任务执行成功以及备份的数据完整性。</w:t>
      </w:r>
    </w:p>
    <w:p w14:paraId="092DF704">
      <w:pPr>
        <w:pStyle w:val="5"/>
        <w:snapToGrid w:val="0"/>
        <w:ind w:firstLine="482"/>
        <w:rPr>
          <w:rFonts w:hint="eastAsia" w:ascii="宋体" w:hAnsi="宋体" w:eastAsia="宋体" w:cs="宋体"/>
          <w:b/>
          <w:sz w:val="24"/>
          <w:highlight w:val="none"/>
        </w:rPr>
      </w:pPr>
    </w:p>
    <w:p w14:paraId="7739B145">
      <w:pPr>
        <w:pStyle w:val="6"/>
        <w:jc w:val="left"/>
        <w:rPr>
          <w:rFonts w:hint="eastAsia" w:ascii="楷体" w:hAnsi="楷体" w:eastAsia="楷体" w:cs="楷体"/>
          <w:sz w:val="24"/>
          <w:highlight w:val="none"/>
        </w:rPr>
      </w:pPr>
      <w:bookmarkStart w:id="29" w:name="_Toc28153"/>
      <w:r>
        <w:rPr>
          <w:rFonts w:hint="eastAsia" w:ascii="楷体" w:hAnsi="楷体" w:eastAsia="楷体" w:cs="楷体"/>
          <w:sz w:val="24"/>
          <w:highlight w:val="none"/>
          <w:lang w:val="en-US" w:eastAsia="zh-CN"/>
        </w:rPr>
        <w:t xml:space="preserve">2.2.8 </w:t>
      </w:r>
      <w:r>
        <w:rPr>
          <w:rFonts w:hint="eastAsia" w:ascii="楷体" w:hAnsi="楷体" w:eastAsia="楷体" w:cs="楷体"/>
          <w:sz w:val="24"/>
          <w:highlight w:val="none"/>
        </w:rPr>
        <w:t>迁移服务</w:t>
      </w:r>
      <w:bookmarkEnd w:id="29"/>
    </w:p>
    <w:p w14:paraId="78250801">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服务内容</w:t>
      </w:r>
    </w:p>
    <w:p w14:paraId="18F4FD22">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投标人需提供整体的业务上云迁移服务，应支持X86云主机迁移、X86物理主机迁移、单机数据库迁移、高可用数据库迁移等迁移场景。负责需求调研、架构规划设计、应用迁移部署等工作。</w:t>
      </w:r>
    </w:p>
    <w:p w14:paraId="057F2AAA">
      <w:pPr>
        <w:ind w:firstLine="482" w:firstLineChars="200"/>
        <w:rPr>
          <w:rFonts w:hint="eastAsia" w:ascii="宋体" w:hAnsi="宋体" w:eastAsia="宋体" w:cs="宋体"/>
          <w:bCs/>
          <w:color w:val="000000"/>
          <w:sz w:val="24"/>
          <w:highlight w:val="none"/>
          <w:lang w:bidi="ar"/>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服务标准</w:t>
      </w:r>
    </w:p>
    <w:p w14:paraId="4C89F19D">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本项目涉及的业务系统为采购人在用的生产系统，目前在政务云上平稳运行，因此保障业务正常运行是重要的保障需求。迁移服务具体要求如下：</w:t>
      </w:r>
    </w:p>
    <w:p w14:paraId="7A6DD091">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.2.1 投标人需编制业务正常运行</w:t>
      </w:r>
      <w:r>
        <w:rPr>
          <w:rFonts w:hint="eastAsia" w:hAnsi="宋体" w:cs="宋体"/>
          <w:sz w:val="24"/>
          <w:highlight w:val="none"/>
          <w:lang w:eastAsia="zh-CN"/>
        </w:rPr>
        <w:t>（</w:t>
      </w:r>
      <w:r>
        <w:rPr>
          <w:rFonts w:hint="eastAsia" w:hAnsi="宋体" w:cs="宋体"/>
          <w:sz w:val="24"/>
          <w:highlight w:val="none"/>
          <w:lang w:val="en-US" w:eastAsia="zh-CN"/>
        </w:rPr>
        <w:t>迁移</w:t>
      </w:r>
      <w:r>
        <w:rPr>
          <w:rFonts w:hint="eastAsia" w:hAnsi="宋体" w:cs="宋体"/>
          <w:sz w:val="24"/>
          <w:highlight w:val="none"/>
          <w:lang w:eastAsia="zh-CN"/>
        </w:rPr>
        <w:t>）</w:t>
      </w:r>
      <w:r>
        <w:rPr>
          <w:rFonts w:hint="eastAsia" w:ascii="宋体" w:hAnsi="宋体" w:eastAsia="宋体" w:cs="宋体"/>
          <w:sz w:val="24"/>
          <w:highlight w:val="none"/>
        </w:rPr>
        <w:t>服务方案。</w:t>
      </w:r>
    </w:p>
    <w:p w14:paraId="050BC6E4">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.2.2 本项目如涉及系统迁移，在</w:t>
      </w:r>
      <w:r>
        <w:rPr>
          <w:rFonts w:hint="eastAsia" w:hAnsi="宋体" w:cs="宋体"/>
          <w:sz w:val="24"/>
          <w:highlight w:val="none"/>
          <w:lang w:val="en-US" w:eastAsia="zh-CN"/>
        </w:rPr>
        <w:t>业务正常运行</w:t>
      </w:r>
      <w:r>
        <w:rPr>
          <w:rFonts w:hint="eastAsia" w:ascii="宋体" w:hAnsi="宋体" w:eastAsia="宋体" w:cs="宋体"/>
          <w:sz w:val="24"/>
          <w:highlight w:val="none"/>
        </w:rPr>
        <w:t>方案中需提供确实可行的迁移部署服务子方案，迁移部署服务子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03775D7A">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.2.3 本项目如涉及系统迁移，为保障业务系统的正常运行，投标人应承诺自中标之日起，积极与原服务商对接，在</w:t>
      </w:r>
      <w:r>
        <w:rPr>
          <w:rFonts w:hint="eastAsia" w:hAnsi="宋体" w:cs="宋体"/>
          <w:sz w:val="24"/>
          <w:highlight w:val="none"/>
          <w:lang w:eastAsia="zh-CN"/>
        </w:rPr>
        <w:t>5</w:t>
      </w:r>
      <w:r>
        <w:rPr>
          <w:rFonts w:hint="eastAsia" w:ascii="宋体" w:hAnsi="宋体" w:eastAsia="宋体" w:cs="宋体"/>
          <w:sz w:val="24"/>
          <w:highlight w:val="none"/>
        </w:rPr>
        <w:t>个工作日内</w:t>
      </w:r>
      <w:r>
        <w:rPr>
          <w:rFonts w:hint="eastAsia" w:hAnsi="宋体" w:cs="宋体"/>
          <w:sz w:val="24"/>
          <w:highlight w:val="none"/>
          <w:lang w:eastAsia="zh-CN"/>
        </w:rPr>
        <w:t>（含））</w:t>
      </w:r>
      <w:r>
        <w:rPr>
          <w:rFonts w:hint="eastAsia" w:ascii="宋体" w:hAnsi="宋体" w:eastAsia="宋体" w:cs="宋体"/>
          <w:sz w:val="24"/>
          <w:highlight w:val="none"/>
        </w:rPr>
        <w:t>，完成系统迁移平滑过渡，且因此产生的各项费用（包括但不限于测试阶段的云资源费用，系统开发商对业务系统的部署、调试费用等），应包含在投标人的报价中，提供“承诺函”并加盖投标人公章。</w:t>
      </w:r>
    </w:p>
    <w:p w14:paraId="29842506">
      <w:pPr>
        <w:pStyle w:val="5"/>
        <w:snapToGrid w:val="0"/>
        <w:ind w:firstLine="480"/>
        <w:rPr>
          <w:rFonts w:hint="eastAsia" w:ascii="宋体" w:hAnsi="宋体" w:eastAsia="宋体" w:cs="宋体"/>
          <w:sz w:val="24"/>
          <w:highlight w:val="none"/>
        </w:rPr>
      </w:pPr>
    </w:p>
    <w:p w14:paraId="2984A2B5">
      <w:pPr>
        <w:pStyle w:val="6"/>
        <w:jc w:val="left"/>
        <w:rPr>
          <w:rFonts w:hint="default" w:ascii="楷体" w:hAnsi="楷体" w:eastAsia="楷体" w:cs="楷体"/>
          <w:sz w:val="24"/>
          <w:highlight w:val="none"/>
        </w:rPr>
      </w:pPr>
      <w:bookmarkStart w:id="30" w:name="_Toc9644"/>
      <w:r>
        <w:rPr>
          <w:rFonts w:hint="eastAsia" w:ascii="楷体" w:hAnsi="楷体" w:eastAsia="楷体" w:cs="楷体"/>
          <w:sz w:val="24"/>
          <w:highlight w:val="none"/>
          <w:lang w:eastAsia="zh-CN"/>
        </w:rPr>
        <w:t>2</w:t>
      </w:r>
      <w:r>
        <w:rPr>
          <w:rFonts w:hint="eastAsia" w:ascii="楷体" w:hAnsi="楷体" w:eastAsia="楷体" w:cs="楷体"/>
          <w:sz w:val="24"/>
          <w:highlight w:val="none"/>
          <w:lang w:val="en-US" w:eastAsia="zh-CN"/>
        </w:rPr>
        <w:t xml:space="preserve">.2.9 </w:t>
      </w:r>
      <w:r>
        <w:rPr>
          <w:rFonts w:hint="default" w:ascii="楷体" w:hAnsi="楷体" w:eastAsia="楷体" w:cs="楷体"/>
          <w:sz w:val="24"/>
          <w:highlight w:val="none"/>
        </w:rPr>
        <w:t>其他服务</w:t>
      </w:r>
      <w:bookmarkEnd w:id="30"/>
    </w:p>
    <w:p w14:paraId="0317C07C">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1.</w:t>
      </w:r>
      <w:r>
        <w:rPr>
          <w:rFonts w:hint="eastAsia" w:ascii="宋体" w:hAnsi="宋体" w:eastAsia="宋体" w:cs="宋体"/>
          <w:b/>
          <w:bCs/>
          <w:sz w:val="24"/>
          <w:highlight w:val="none"/>
        </w:rPr>
        <w:t>CDN</w:t>
      </w:r>
      <w:r>
        <w:rPr>
          <w:rFonts w:hint="eastAsia" w:ascii="宋体" w:hAnsi="宋体" w:eastAsia="宋体" w:cs="宋体"/>
          <w:b/>
          <w:bCs/>
          <w:sz w:val="24"/>
          <w:highlight w:val="none"/>
          <w:lang w:val="en-US" w:eastAsia="zh-CN"/>
        </w:rPr>
        <w:t>加速</w:t>
      </w:r>
      <w:r>
        <w:rPr>
          <w:rFonts w:hint="eastAsia" w:ascii="宋体" w:hAnsi="宋体" w:eastAsia="宋体" w:cs="宋体"/>
          <w:b/>
          <w:bCs/>
          <w:sz w:val="24"/>
          <w:highlight w:val="none"/>
        </w:rPr>
        <w:t>服务</w:t>
      </w:r>
    </w:p>
    <w:p w14:paraId="2B4DBAE7">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提供IPv6转换服务，支持对静态页面、静态图片、流媒体点播直播、动态内容等内容资源，CDN核心节点从源站获取分发资源，分级分发到响应的边缘节点，保证用户能到最近及响应最好的节点中访问响应的资源。</w:t>
      </w:r>
    </w:p>
    <w:p w14:paraId="0BD08E15">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2.</w:t>
      </w:r>
      <w:r>
        <w:rPr>
          <w:rFonts w:hint="eastAsia" w:ascii="宋体" w:hAnsi="宋体" w:eastAsia="宋体" w:cs="宋体"/>
          <w:b/>
          <w:bCs/>
          <w:sz w:val="24"/>
          <w:highlight w:val="none"/>
        </w:rPr>
        <w:t>无线服务</w:t>
      </w:r>
    </w:p>
    <w:p w14:paraId="7DFC9577">
      <w:pPr>
        <w:pStyle w:val="5"/>
        <w:snapToGrid w:val="0"/>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满足</w:t>
      </w:r>
      <w:r>
        <w:rPr>
          <w:rFonts w:hint="eastAsia" w:ascii="宋体" w:hAnsi="宋体" w:eastAsia="宋体" w:cs="宋体"/>
          <w:sz w:val="24"/>
          <w:highlight w:val="none"/>
          <w:lang w:val="en-US" w:eastAsia="zh-CN"/>
        </w:rPr>
        <w:t>公积金管理部</w:t>
      </w:r>
      <w:r>
        <w:rPr>
          <w:rFonts w:hint="eastAsia" w:ascii="宋体" w:hAnsi="宋体" w:eastAsia="宋体" w:cs="宋体"/>
          <w:sz w:val="24"/>
          <w:highlight w:val="none"/>
        </w:rPr>
        <w:t>和贷款中心</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自助终端系统与公积金专用网络</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对接需求</w:t>
      </w:r>
      <w:r>
        <w:rPr>
          <w:rFonts w:hint="eastAsia" w:ascii="宋体" w:hAnsi="宋体" w:eastAsia="宋体" w:cs="宋体"/>
          <w:sz w:val="24"/>
          <w:highlight w:val="none"/>
          <w:lang w:eastAsia="zh-CN"/>
        </w:rPr>
        <w:t>。</w:t>
      </w:r>
    </w:p>
    <w:p w14:paraId="61A3EC57">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网络设备</w:t>
      </w:r>
    </w:p>
    <w:p w14:paraId="64CE57A0">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部署定制化网络设备，为公积金综合信息系统提供专用网络服务，主要功能包括汇聚各管理部业务网点链路、银行链路，以及第三方单位接入及互访。</w:t>
      </w:r>
    </w:p>
    <w:p w14:paraId="0A28A279">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4.</w:t>
      </w:r>
      <w:r>
        <w:rPr>
          <w:rFonts w:hint="eastAsia" w:ascii="宋体" w:hAnsi="宋体" w:eastAsia="宋体" w:cs="宋体"/>
          <w:b/>
          <w:bCs/>
          <w:sz w:val="24"/>
          <w:highlight w:val="none"/>
        </w:rPr>
        <w:t>安</w:t>
      </w:r>
      <w:r>
        <w:rPr>
          <w:rFonts w:hint="eastAsia" w:ascii="宋体" w:hAnsi="宋体" w:eastAsia="宋体" w:cs="宋体"/>
          <w:b/>
          <w:bCs/>
          <w:sz w:val="24"/>
          <w:highlight w:val="none"/>
          <w:lang w:val="en-US" w:eastAsia="zh-CN"/>
        </w:rPr>
        <w:t>全</w:t>
      </w:r>
      <w:r>
        <w:rPr>
          <w:rFonts w:hint="eastAsia" w:ascii="宋体" w:hAnsi="宋体" w:eastAsia="宋体" w:cs="宋体"/>
          <w:b/>
          <w:bCs/>
          <w:sz w:val="24"/>
          <w:highlight w:val="none"/>
        </w:rPr>
        <w:t>设备</w:t>
      </w:r>
    </w:p>
    <w:p w14:paraId="07740EC5">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在政务云部署数据签名验证服务器及时间戳服务器，以及二维码服务器、电子签章服务器等定制化安全设备，实现基于数字证书的身份认证、数据加解密、数字签名、电子验签、电子签章等功能，以保证网上业务中重要业务数据在产生、传输等环节的安全性、不可抵赖性及数据完整性。</w:t>
      </w:r>
    </w:p>
    <w:p w14:paraId="16AC4E6B">
      <w:pPr>
        <w:ind w:firstLine="482" w:firstLineChars="200"/>
        <w:rPr>
          <w:rFonts w:hint="eastAsia" w:ascii="宋体" w:hAnsi="宋体" w:eastAsia="宋体" w:cs="宋体"/>
          <w:b/>
          <w:bCs/>
          <w:sz w:val="24"/>
          <w:highlight w:val="none"/>
        </w:rPr>
      </w:pP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专线链路租用</w:t>
      </w:r>
    </w:p>
    <w:p w14:paraId="2D2CBCD3">
      <w:pPr>
        <w:pStyle w:val="5"/>
        <w:snapToGrid w:val="0"/>
        <w:ind w:firstLine="480"/>
        <w:rPr>
          <w:rFonts w:hint="eastAsia" w:ascii="宋体" w:hAnsi="宋体" w:eastAsia="宋体" w:cs="宋体"/>
          <w:sz w:val="24"/>
          <w:highlight w:val="none"/>
          <w:lang w:eastAsia="zh-CN"/>
        </w:rPr>
      </w:pPr>
      <w:r>
        <w:rPr>
          <w:rFonts w:hint="eastAsia" w:ascii="宋体" w:hAnsi="宋体" w:eastAsia="宋体" w:cs="宋体"/>
          <w:sz w:val="24"/>
          <w:highlight w:val="none"/>
        </w:rPr>
        <w:t>为保障</w:t>
      </w:r>
      <w:r>
        <w:rPr>
          <w:rFonts w:hint="eastAsia" w:ascii="宋体" w:hAnsi="宋体" w:eastAsia="宋体" w:cs="宋体"/>
          <w:sz w:val="24"/>
          <w:highlight w:val="none"/>
          <w:lang w:val="en-US" w:eastAsia="zh-CN"/>
        </w:rPr>
        <w:t>公积金管理中心以及各管理部</w:t>
      </w:r>
      <w:r>
        <w:rPr>
          <w:rFonts w:hint="eastAsia" w:ascii="宋体" w:hAnsi="宋体" w:eastAsia="宋体" w:cs="宋体"/>
          <w:sz w:val="24"/>
          <w:highlight w:val="none"/>
        </w:rPr>
        <w:t>访问政务云，并满足与公积金业务系统与住建部</w:t>
      </w:r>
      <w:r>
        <w:rPr>
          <w:rFonts w:hint="eastAsia" w:ascii="宋体" w:hAnsi="宋体" w:eastAsia="宋体" w:cs="宋体"/>
          <w:sz w:val="24"/>
          <w:highlight w:val="none"/>
          <w:lang w:val="en-US" w:eastAsia="zh-CN"/>
        </w:rPr>
        <w:t>以及其分中心和合作银行</w:t>
      </w:r>
      <w:r>
        <w:rPr>
          <w:rFonts w:hint="eastAsia" w:ascii="宋体" w:hAnsi="宋体" w:eastAsia="宋体" w:cs="宋体"/>
          <w:sz w:val="24"/>
          <w:highlight w:val="none"/>
        </w:rPr>
        <w:t>的数据共享，同时支撑分中心对住建部的访问，提供专线链路租用定制服务。</w:t>
      </w:r>
    </w:p>
    <w:p w14:paraId="568F9A3C">
      <w:pPr>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6.</w:t>
      </w:r>
      <w:r>
        <w:rPr>
          <w:rFonts w:hint="eastAsia" w:ascii="宋体" w:hAnsi="宋体" w:eastAsia="宋体" w:cs="宋体"/>
          <w:b/>
          <w:bCs/>
          <w:sz w:val="24"/>
          <w:highlight w:val="none"/>
          <w:lang w:val="en-US" w:eastAsia="zh-CN"/>
        </w:rPr>
        <w:t>呼叫中心</w:t>
      </w:r>
    </w:p>
    <w:p w14:paraId="5568916F">
      <w:pPr>
        <w:pStyle w:val="5"/>
        <w:snapToGrid w:val="0"/>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提供呼叫中心系统软件1套，支撑公积金12329服务热线运行。</w:t>
      </w:r>
    </w:p>
    <w:p w14:paraId="59B6EF7C">
      <w:pPr>
        <w:rPr>
          <w:highlight w:val="none"/>
        </w:rPr>
      </w:pPr>
    </w:p>
    <w:p w14:paraId="3C664573">
      <w:pPr>
        <w:spacing w:line="360" w:lineRule="auto"/>
        <w:ind w:leftChars="0"/>
        <w:jc w:val="both"/>
        <w:outlineLvl w:val="2"/>
        <w:rPr>
          <w:rFonts w:hint="eastAsia" w:ascii="Times New Roman" w:hAnsi="Times New Roman" w:eastAsia="宋体" w:cs="Times New Roman"/>
          <w:color w:val="000000"/>
          <w:sz w:val="24"/>
          <w:szCs w:val="20"/>
          <w:highlight w:val="none"/>
        </w:rPr>
      </w:pPr>
      <w:bookmarkStart w:id="31" w:name="_Toc6880"/>
      <w:r>
        <w:rPr>
          <w:rFonts w:hint="eastAsia" w:cs="Times New Roman"/>
          <w:color w:val="000000"/>
          <w:sz w:val="24"/>
          <w:szCs w:val="20"/>
          <w:lang w:val="en-US" w:eastAsia="zh-CN"/>
        </w:rPr>
        <w:t xml:space="preserve">2.3 </w:t>
      </w:r>
      <w:r>
        <w:rPr>
          <w:rFonts w:hint="eastAsia" w:ascii="Times New Roman" w:hAnsi="Times New Roman" w:eastAsia="宋体" w:cs="Times New Roman"/>
          <w:color w:val="000000"/>
          <w:sz w:val="24"/>
          <w:szCs w:val="20"/>
          <w:highlight w:val="none"/>
        </w:rPr>
        <w:t>运维团队要求</w:t>
      </w:r>
      <w:bookmarkEnd w:id="31"/>
    </w:p>
    <w:p w14:paraId="1C4A3EF8">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1.服务期内，投标人须设有7×24小时电话响应服务、具备运维团队，提供售后服务保障。团队成员应明确职责，架构清晰，岗位设置合理，且具备与本项目相关的项目经验。</w:t>
      </w:r>
    </w:p>
    <w:p w14:paraId="53C55B96">
      <w:pPr>
        <w:pStyle w:val="5"/>
        <w:snapToGrid w:val="0"/>
        <w:ind w:firstLine="480"/>
        <w:rPr>
          <w:rFonts w:hint="eastAsia" w:ascii="宋体" w:hAnsi="宋体" w:eastAsia="宋体" w:cs="宋体"/>
          <w:sz w:val="24"/>
          <w:highlight w:val="none"/>
        </w:rPr>
      </w:pPr>
      <w:r>
        <w:rPr>
          <w:rFonts w:hint="eastAsia" w:ascii="宋体" w:hAnsi="宋体" w:eastAsia="宋体" w:cs="宋体"/>
          <w:sz w:val="24"/>
          <w:highlight w:val="none"/>
        </w:rPr>
        <w:t>2.投标人须提供1名项目经理、1名安全技术负责人及</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名项目团队专职人员，为本项目提供服务。项目经理及安全负责人需按照采购人要求，承担云资源服务保障具体工作，技术支持人员要求如下：</w:t>
      </w:r>
    </w:p>
    <w:p w14:paraId="3E9BFD49">
      <w:pPr>
        <w:rPr>
          <w:rFonts w:hint="eastAsia" w:ascii="宋体" w:hAnsi="宋体" w:eastAsia="宋体" w:cs="宋体"/>
          <w:sz w:val="24"/>
          <w:highlight w:val="none"/>
        </w:rPr>
      </w:pPr>
    </w:p>
    <w:p w14:paraId="2380A86F">
      <w:pPr>
        <w:rPr>
          <w:rFonts w:hint="eastAsia" w:ascii="宋体" w:hAnsi="宋体" w:eastAsia="宋体" w:cs="宋体"/>
          <w:sz w:val="24"/>
          <w:highlight w:val="none"/>
        </w:rPr>
      </w:pPr>
      <w:r>
        <w:rPr>
          <w:rFonts w:hint="eastAsia" w:ascii="宋体" w:hAnsi="宋体" w:eastAsia="宋体" w:cs="宋体"/>
          <w:sz w:val="24"/>
          <w:highlight w:val="none"/>
        </w:rPr>
        <w:br w:type="page"/>
      </w:r>
    </w:p>
    <w:p w14:paraId="6790D331">
      <w:pPr>
        <w:rPr>
          <w:rFonts w:hint="eastAsia" w:ascii="宋体" w:hAnsi="宋体" w:eastAsia="宋体" w:cs="宋体"/>
          <w:sz w:val="24"/>
          <w:highlight w:val="none"/>
        </w:rPr>
        <w:sectPr>
          <w:footerReference r:id="rId3"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docGrid w:type="lines" w:linePitch="387" w:charSpace="0"/>
        </w:sectPr>
      </w:pPr>
    </w:p>
    <w:p w14:paraId="31D56531">
      <w:pPr>
        <w:spacing w:after="197" w:afterLines="50"/>
        <w:jc w:val="center"/>
        <w:rPr>
          <w:rFonts w:hint="eastAsia" w:ascii="宋体" w:hAnsi="宋体" w:eastAsia="宋体" w:cs="宋体"/>
          <w:b/>
          <w:sz w:val="24"/>
          <w:highlight w:val="none"/>
        </w:rPr>
      </w:pPr>
      <w:r>
        <w:rPr>
          <w:rFonts w:hint="eastAsia" w:ascii="宋体" w:hAnsi="宋体" w:eastAsia="宋体" w:cs="宋体"/>
          <w:b/>
          <w:sz w:val="24"/>
          <w:highlight w:val="none"/>
        </w:rPr>
        <w:t>服务团队人员要求</w:t>
      </w:r>
    </w:p>
    <w:tbl>
      <w:tblPr>
        <w:tblStyle w:val="43"/>
        <w:tblW w:w="9281" w:type="dxa"/>
        <w:tblInd w:w="0" w:type="dxa"/>
        <w:tblLayout w:type="fixed"/>
        <w:tblCellMar>
          <w:top w:w="0" w:type="dxa"/>
          <w:left w:w="108" w:type="dxa"/>
          <w:bottom w:w="0" w:type="dxa"/>
          <w:right w:w="108" w:type="dxa"/>
        </w:tblCellMar>
      </w:tblPr>
      <w:tblGrid>
        <w:gridCol w:w="1046"/>
        <w:gridCol w:w="552"/>
        <w:gridCol w:w="718"/>
        <w:gridCol w:w="2159"/>
        <w:gridCol w:w="4806"/>
      </w:tblGrid>
      <w:tr w14:paraId="3187CAD1">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2D18C2E1">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岗位</w:t>
            </w:r>
          </w:p>
        </w:tc>
        <w:tc>
          <w:tcPr>
            <w:tcW w:w="552" w:type="dxa"/>
            <w:tcBorders>
              <w:top w:val="single" w:color="auto" w:sz="4" w:space="0"/>
              <w:left w:val="single" w:color="auto" w:sz="4" w:space="0"/>
              <w:bottom w:val="single" w:color="auto" w:sz="4" w:space="0"/>
              <w:right w:val="single" w:color="auto" w:sz="4" w:space="0"/>
            </w:tcBorders>
            <w:vAlign w:val="center"/>
          </w:tcPr>
          <w:p w14:paraId="02433216">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数量</w:t>
            </w:r>
          </w:p>
        </w:tc>
        <w:tc>
          <w:tcPr>
            <w:tcW w:w="718" w:type="dxa"/>
            <w:tcBorders>
              <w:top w:val="single" w:color="auto" w:sz="4" w:space="0"/>
              <w:left w:val="single" w:color="auto" w:sz="4" w:space="0"/>
              <w:bottom w:val="single" w:color="auto" w:sz="4" w:space="0"/>
              <w:right w:val="single" w:color="auto" w:sz="4" w:space="0"/>
            </w:tcBorders>
            <w:vAlign w:val="center"/>
          </w:tcPr>
          <w:p w14:paraId="27026037">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学历</w:t>
            </w:r>
          </w:p>
        </w:tc>
        <w:tc>
          <w:tcPr>
            <w:tcW w:w="2159" w:type="dxa"/>
            <w:tcBorders>
              <w:top w:val="single" w:color="auto" w:sz="6" w:space="0"/>
              <w:left w:val="single" w:color="auto" w:sz="4" w:space="0"/>
              <w:bottom w:val="single" w:color="auto" w:sz="6" w:space="0"/>
              <w:right w:val="single" w:color="auto" w:sz="6" w:space="0"/>
            </w:tcBorders>
            <w:vAlign w:val="center"/>
          </w:tcPr>
          <w:p w14:paraId="6E814169">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588E4859">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等线 Light"/>
                <w:sz w:val="24"/>
                <w:highlight w:val="none"/>
              </w:rPr>
              <w:t>岗位需具备的上岗资格证等要求</w:t>
            </w:r>
          </w:p>
        </w:tc>
      </w:tr>
      <w:tr w14:paraId="21641972">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20F41525">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w:t>
            </w:r>
          </w:p>
          <w:p w14:paraId="4DE0BCE6">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经理</w:t>
            </w:r>
          </w:p>
        </w:tc>
        <w:tc>
          <w:tcPr>
            <w:tcW w:w="552" w:type="dxa"/>
            <w:tcBorders>
              <w:top w:val="single" w:color="auto" w:sz="4" w:space="0"/>
              <w:left w:val="single" w:color="auto" w:sz="4" w:space="0"/>
              <w:bottom w:val="single" w:color="auto" w:sz="4" w:space="0"/>
              <w:right w:val="single" w:color="auto" w:sz="4" w:space="0"/>
            </w:tcBorders>
            <w:vAlign w:val="center"/>
          </w:tcPr>
          <w:p w14:paraId="5AB524C8">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17BFFDE2">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438EA6B3">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sz w:val="24"/>
                <w:highlight w:val="none"/>
              </w:rPr>
              <w:t>有5年及以上类似工作经验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7172D5E3">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1、信息系统项目管理师</w:t>
            </w:r>
          </w:p>
          <w:p w14:paraId="5BD9D124">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2、信息安全保障人员认证证书（安全运维专业级或专业高级）</w:t>
            </w:r>
          </w:p>
          <w:p w14:paraId="2D344903">
            <w:pPr>
              <w:adjustRightInd/>
              <w:snapToGrid w:val="0"/>
              <w:spacing w:line="360" w:lineRule="auto"/>
              <w:textAlignment w:val="auto"/>
              <w:rPr>
                <w:rFonts w:hint="eastAsia" w:ascii="宋体" w:hAnsi="宋体" w:eastAsia="宋体" w:cs="宋体"/>
                <w:bCs/>
                <w:color w:val="000000"/>
                <w:sz w:val="24"/>
                <w:highlight w:val="none"/>
              </w:rPr>
            </w:pPr>
            <w:r>
              <w:rPr>
                <w:rFonts w:hint="eastAsia" w:ascii="宋体" w:hAnsi="宋体" w:eastAsia="宋体" w:cs="宋体"/>
                <w:bCs/>
                <w:sz w:val="24"/>
                <w:highlight w:val="none"/>
              </w:rPr>
              <w:t>3、信息安全保障人员认证证书（应急服务专业级或以上）</w:t>
            </w:r>
          </w:p>
        </w:tc>
      </w:tr>
      <w:tr w14:paraId="2BDA4987">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554899DA">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安全技术负责人</w:t>
            </w:r>
          </w:p>
        </w:tc>
        <w:tc>
          <w:tcPr>
            <w:tcW w:w="552" w:type="dxa"/>
            <w:tcBorders>
              <w:top w:val="single" w:color="auto" w:sz="4" w:space="0"/>
              <w:left w:val="single" w:color="auto" w:sz="4" w:space="0"/>
              <w:bottom w:val="single" w:color="auto" w:sz="4" w:space="0"/>
              <w:right w:val="single" w:color="auto" w:sz="4" w:space="0"/>
            </w:tcBorders>
            <w:vAlign w:val="center"/>
          </w:tcPr>
          <w:p w14:paraId="01FAF7D0">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4BAFE205">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431E476F">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sz w:val="24"/>
                <w:highlight w:val="none"/>
              </w:rPr>
              <w:t>有5年及以上类似工作经验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76A19DF8">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1、信息安全保障人员认证证书（安全集成专业级或以上）</w:t>
            </w:r>
          </w:p>
          <w:p w14:paraId="2EBB6CAA">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2、信息安全保障人员认证证书（应急服务专业级或以上）</w:t>
            </w:r>
          </w:p>
          <w:p w14:paraId="11D09265">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3、注册信息安全工程师证书（CISE）</w:t>
            </w:r>
          </w:p>
        </w:tc>
      </w:tr>
      <w:tr w14:paraId="19F045B3">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3852E6DD">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w:t>
            </w:r>
          </w:p>
          <w:p w14:paraId="4538EA4A">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人员</w:t>
            </w:r>
          </w:p>
        </w:tc>
        <w:tc>
          <w:tcPr>
            <w:tcW w:w="552" w:type="dxa"/>
            <w:tcBorders>
              <w:top w:val="single" w:color="auto" w:sz="4" w:space="0"/>
              <w:left w:val="single" w:color="auto" w:sz="4" w:space="0"/>
              <w:bottom w:val="single" w:color="auto" w:sz="4" w:space="0"/>
              <w:right w:val="single" w:color="auto" w:sz="4" w:space="0"/>
            </w:tcBorders>
            <w:vAlign w:val="center"/>
          </w:tcPr>
          <w:p w14:paraId="73A5A5B8">
            <w:pPr>
              <w:adjustRightInd w:val="0"/>
              <w:spacing w:line="440" w:lineRule="exact"/>
              <w:jc w:val="center"/>
              <w:textAlignment w:val="baseline"/>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15</w:t>
            </w:r>
          </w:p>
        </w:tc>
        <w:tc>
          <w:tcPr>
            <w:tcW w:w="718" w:type="dxa"/>
            <w:tcBorders>
              <w:top w:val="single" w:color="auto" w:sz="4" w:space="0"/>
              <w:left w:val="single" w:color="auto" w:sz="4" w:space="0"/>
              <w:bottom w:val="single" w:color="auto" w:sz="4" w:space="0"/>
              <w:right w:val="single" w:color="auto" w:sz="4" w:space="0"/>
            </w:tcBorders>
            <w:vAlign w:val="center"/>
          </w:tcPr>
          <w:p w14:paraId="31EDF83B">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23B53FFB">
            <w:pPr>
              <w:adjustRightInd w:val="0"/>
              <w:spacing w:line="440" w:lineRule="exact"/>
              <w:jc w:val="center"/>
              <w:textAlignment w:val="baseline"/>
              <w:rPr>
                <w:rFonts w:hint="eastAsia" w:ascii="宋体" w:hAnsi="宋体" w:eastAsia="宋体" w:cs="宋体"/>
                <w:bCs/>
                <w:color w:val="000000"/>
                <w:sz w:val="24"/>
                <w:highlight w:val="none"/>
              </w:rPr>
            </w:pPr>
            <w:r>
              <w:rPr>
                <w:rFonts w:hint="eastAsia" w:ascii="宋体" w:hAnsi="宋体" w:eastAsia="宋体" w:cs="宋体"/>
                <w:bCs/>
                <w:sz w:val="24"/>
                <w:highlight w:val="none"/>
              </w:rPr>
              <w:t>有5年及以上类似工作经验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6AB3B67D">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1、系统规划与管理师资质证书（高级）</w:t>
            </w:r>
          </w:p>
          <w:p w14:paraId="5A3B8B4A">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2、系统分析师资质证书（高级）</w:t>
            </w:r>
          </w:p>
          <w:p w14:paraId="79312E30">
            <w:pPr>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3、系统架构设计师认证证书（高级）</w:t>
            </w:r>
          </w:p>
          <w:p w14:paraId="676D07AA">
            <w:pPr>
              <w:adjustRightInd w:val="0"/>
              <w:spacing w:line="440" w:lineRule="exact"/>
              <w:textAlignment w:val="baseline"/>
              <w:rPr>
                <w:rFonts w:hint="eastAsia" w:ascii="宋体" w:hAnsi="宋体" w:eastAsia="宋体" w:cs="宋体"/>
                <w:bCs/>
                <w:color w:val="000000"/>
                <w:sz w:val="24"/>
                <w:highlight w:val="none"/>
              </w:rPr>
            </w:pPr>
            <w:r>
              <w:rPr>
                <w:rFonts w:hint="eastAsia" w:ascii="宋体" w:hAnsi="宋体" w:eastAsia="宋体" w:cs="宋体"/>
                <w:bCs/>
                <w:sz w:val="24"/>
                <w:highlight w:val="none"/>
              </w:rPr>
              <w:t>4、注册信息安全工程师证书（CIS</w:t>
            </w:r>
            <w:r>
              <w:rPr>
                <w:rFonts w:hint="eastAsia" w:ascii="宋体" w:hAnsi="宋体" w:eastAsia="宋体" w:cs="宋体"/>
                <w:bCs/>
                <w:sz w:val="24"/>
                <w:highlight w:val="none"/>
                <w:lang w:val="en-US" w:eastAsia="zh-CN"/>
              </w:rPr>
              <w:t>E</w:t>
            </w:r>
            <w:r>
              <w:rPr>
                <w:rFonts w:hint="eastAsia" w:ascii="宋体" w:hAnsi="宋体" w:eastAsia="宋体" w:cs="宋体"/>
                <w:bCs/>
                <w:sz w:val="24"/>
                <w:highlight w:val="none"/>
              </w:rPr>
              <w:t>）</w:t>
            </w:r>
          </w:p>
        </w:tc>
      </w:tr>
      <w:tr w14:paraId="6418BFF9">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21F182CD">
            <w:pPr>
              <w:adjustRightInd w:val="0"/>
              <w:spacing w:line="440" w:lineRule="exact"/>
              <w:jc w:val="center"/>
              <w:textAlignment w:val="baseline"/>
              <w:rPr>
                <w:rFonts w:hint="eastAsia" w:ascii="宋体" w:hAnsi="宋体" w:eastAsia="宋体" w:cs="宋体"/>
                <w:bCs/>
                <w:color w:val="000000"/>
                <w:sz w:val="24"/>
                <w:highlight w:val="none"/>
              </w:rPr>
            </w:pPr>
          </w:p>
        </w:tc>
        <w:tc>
          <w:tcPr>
            <w:tcW w:w="552" w:type="dxa"/>
            <w:tcBorders>
              <w:top w:val="single" w:color="auto" w:sz="4" w:space="0"/>
              <w:left w:val="single" w:color="auto" w:sz="4" w:space="0"/>
              <w:bottom w:val="single" w:color="auto" w:sz="4" w:space="0"/>
              <w:right w:val="single" w:color="auto" w:sz="4" w:space="0"/>
            </w:tcBorders>
            <w:vAlign w:val="center"/>
          </w:tcPr>
          <w:p w14:paraId="3F243879">
            <w:pPr>
              <w:adjustRightInd w:val="0"/>
              <w:spacing w:line="440" w:lineRule="exact"/>
              <w:jc w:val="center"/>
              <w:textAlignment w:val="baseline"/>
              <w:rPr>
                <w:rFonts w:hint="eastAsia" w:ascii="宋体" w:hAnsi="宋体" w:eastAsia="宋体" w:cs="宋体"/>
                <w:bCs/>
                <w:color w:val="000000"/>
                <w:sz w:val="24"/>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AA1A089">
            <w:pPr>
              <w:adjustRightInd w:val="0"/>
              <w:spacing w:line="440" w:lineRule="exact"/>
              <w:jc w:val="center"/>
              <w:textAlignment w:val="baseline"/>
              <w:rPr>
                <w:rFonts w:hint="eastAsia" w:ascii="宋体" w:hAnsi="宋体" w:eastAsia="宋体" w:cs="宋体"/>
                <w:bCs/>
                <w:color w:val="000000"/>
                <w:sz w:val="24"/>
                <w:highlight w:val="none"/>
              </w:rPr>
            </w:pPr>
          </w:p>
        </w:tc>
        <w:tc>
          <w:tcPr>
            <w:tcW w:w="2159" w:type="dxa"/>
            <w:tcBorders>
              <w:top w:val="single" w:color="auto" w:sz="6" w:space="0"/>
              <w:left w:val="single" w:color="auto" w:sz="4" w:space="0"/>
              <w:bottom w:val="single" w:color="auto" w:sz="6" w:space="0"/>
              <w:right w:val="single" w:color="auto" w:sz="6" w:space="0"/>
            </w:tcBorders>
            <w:vAlign w:val="center"/>
          </w:tcPr>
          <w:p w14:paraId="2D010232">
            <w:pPr>
              <w:adjustRightInd w:val="0"/>
              <w:spacing w:line="440" w:lineRule="exact"/>
              <w:jc w:val="center"/>
              <w:textAlignment w:val="baseline"/>
              <w:rPr>
                <w:rFonts w:hint="eastAsia" w:ascii="宋体" w:hAnsi="宋体" w:eastAsia="宋体" w:cs="宋体"/>
                <w:bCs/>
                <w:color w:val="000000"/>
                <w:sz w:val="24"/>
                <w:highlight w:val="none"/>
              </w:rPr>
            </w:pPr>
          </w:p>
        </w:tc>
        <w:tc>
          <w:tcPr>
            <w:tcW w:w="4806" w:type="dxa"/>
            <w:tcBorders>
              <w:top w:val="single" w:color="auto" w:sz="6" w:space="0"/>
              <w:left w:val="single" w:color="auto" w:sz="6" w:space="0"/>
              <w:bottom w:val="single" w:color="auto" w:sz="6" w:space="0"/>
              <w:right w:val="single" w:color="auto" w:sz="6" w:space="0"/>
            </w:tcBorders>
            <w:vAlign w:val="center"/>
          </w:tcPr>
          <w:p w14:paraId="25EAA893">
            <w:pPr>
              <w:adjustRightInd w:val="0"/>
              <w:spacing w:line="440" w:lineRule="exact"/>
              <w:jc w:val="center"/>
              <w:textAlignment w:val="baseline"/>
              <w:rPr>
                <w:rFonts w:hint="eastAsia" w:ascii="宋体" w:hAnsi="宋体" w:eastAsia="宋体" w:cs="宋体"/>
                <w:bCs/>
                <w:color w:val="000000"/>
                <w:sz w:val="24"/>
                <w:highlight w:val="none"/>
              </w:rPr>
            </w:pPr>
          </w:p>
        </w:tc>
      </w:tr>
    </w:tbl>
    <w:p w14:paraId="08AB53FA">
      <w:pPr>
        <w:rPr>
          <w:rFonts w:hint="eastAsia" w:ascii="宋体" w:hAnsi="宋体" w:eastAsia="宋体" w:cs="宋体"/>
          <w:b/>
          <w:bCs/>
          <w:sz w:val="24"/>
          <w:highlight w:val="none"/>
        </w:rPr>
        <w:sectPr>
          <w:pgSz w:w="11906" w:h="16838"/>
          <w:pgMar w:top="1701" w:right="1417" w:bottom="1701" w:left="1417" w:header="851" w:footer="992" w:gutter="0"/>
          <w:pgBorders>
            <w:top w:val="none" w:sz="0" w:space="0"/>
            <w:left w:val="none" w:sz="0" w:space="0"/>
            <w:bottom w:val="none" w:sz="0" w:space="0"/>
            <w:right w:val="none" w:sz="0" w:space="0"/>
          </w:pgBorders>
          <w:pgNumType w:fmt="decimal"/>
          <w:cols w:space="0" w:num="1"/>
          <w:docGrid w:type="lines" w:linePitch="395" w:charSpace="0"/>
        </w:sectPr>
      </w:pPr>
    </w:p>
    <w:p w14:paraId="38496241">
      <w:pPr>
        <w:keepNext/>
        <w:keepLines/>
        <w:spacing w:before="260" w:after="200" w:line="240" w:lineRule="auto"/>
        <w:contextualSpacing w:val="0"/>
        <w:outlineLvl w:val="1"/>
        <w:rPr>
          <w:rFonts w:hint="eastAsia" w:ascii="楷体" w:hAnsi="楷体" w:eastAsia="楷体" w:cs="楷体"/>
          <w:b/>
          <w:i w:val="0"/>
          <w:iCs w:val="0"/>
          <w:sz w:val="24"/>
        </w:rPr>
      </w:pPr>
      <w:bookmarkStart w:id="32" w:name="_Toc15656"/>
      <w:r>
        <w:rPr>
          <w:rFonts w:hint="eastAsia" w:ascii="楷体" w:hAnsi="楷体" w:eastAsia="楷体" w:cs="楷体"/>
          <w:b/>
          <w:sz w:val="24"/>
        </w:rPr>
        <w:t>3. 验收标准</w:t>
      </w:r>
    </w:p>
    <w:p w14:paraId="46E3105E">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3.1服务绩效指标</w:t>
      </w:r>
    </w:p>
    <w:p w14:paraId="4B848787">
      <w:pPr>
        <w:snapToGrid w:val="0"/>
        <w:spacing w:line="360" w:lineRule="auto"/>
        <w:ind w:firstLine="480" w:firstLineChars="200"/>
        <w:rPr>
          <w:rFonts w:hint="eastAsia" w:ascii="宋体" w:hAnsi="宋体" w:cs="宋体"/>
          <w:sz w:val="24"/>
        </w:rPr>
      </w:pPr>
      <w:r>
        <w:rPr>
          <w:rFonts w:hint="eastAsia" w:ascii="宋体" w:hAnsi="宋体" w:cs="宋体"/>
          <w:sz w:val="24"/>
        </w:rPr>
        <w:t>（1）云服务全年整体可用性≥99.9%；</w:t>
      </w:r>
    </w:p>
    <w:p w14:paraId="05DC47AF">
      <w:pPr>
        <w:snapToGrid w:val="0"/>
        <w:spacing w:line="360" w:lineRule="auto"/>
        <w:ind w:firstLine="480" w:firstLineChars="200"/>
        <w:rPr>
          <w:rFonts w:hint="eastAsia" w:ascii="宋体" w:hAnsi="宋体" w:cs="宋体"/>
          <w:sz w:val="24"/>
        </w:rPr>
      </w:pPr>
      <w:r>
        <w:rPr>
          <w:rFonts w:hint="eastAsia" w:ascii="宋体" w:hAnsi="宋体" w:cs="宋体"/>
          <w:sz w:val="24"/>
        </w:rPr>
        <w:t>（2）故障响应率100%；</w:t>
      </w:r>
    </w:p>
    <w:p w14:paraId="0636B89A">
      <w:pPr>
        <w:snapToGrid w:val="0"/>
        <w:spacing w:line="360" w:lineRule="auto"/>
        <w:ind w:firstLine="480" w:firstLineChars="200"/>
        <w:rPr>
          <w:rFonts w:hint="eastAsia" w:ascii="宋体" w:hAnsi="宋体" w:cs="宋体"/>
          <w:sz w:val="24"/>
        </w:rPr>
      </w:pPr>
      <w:r>
        <w:rPr>
          <w:rFonts w:hint="eastAsia" w:ascii="宋体" w:hAnsi="宋体" w:cs="宋体"/>
          <w:sz w:val="24"/>
        </w:rPr>
        <w:t>（3）应急响应时间≤5分钟（重大事件1分钟内响应）。</w:t>
      </w:r>
    </w:p>
    <w:p w14:paraId="05EB2B3F">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3.2项目验收要求</w:t>
      </w:r>
    </w:p>
    <w:p w14:paraId="048C011C">
      <w:pPr>
        <w:snapToGrid w:val="0"/>
        <w:spacing w:line="360" w:lineRule="auto"/>
        <w:ind w:firstLine="480" w:firstLineChars="200"/>
        <w:rPr>
          <w:rFonts w:hint="eastAsia" w:ascii="宋体" w:hAnsi="宋体" w:cs="宋体"/>
          <w:sz w:val="24"/>
        </w:rPr>
      </w:pPr>
      <w:r>
        <w:rPr>
          <w:rFonts w:hint="eastAsia" w:ascii="宋体" w:hAnsi="宋体" w:cs="宋体"/>
          <w:sz w:val="24"/>
        </w:rPr>
        <w:t>（1）投标人所提供的北京市市级政务云基础资源服务应遵循客观、科学、合理的原则。</w:t>
      </w:r>
    </w:p>
    <w:p w14:paraId="5B9B0F8E">
      <w:pPr>
        <w:snapToGrid w:val="0"/>
        <w:spacing w:line="360" w:lineRule="auto"/>
        <w:ind w:firstLine="480" w:firstLineChars="200"/>
        <w:rPr>
          <w:rFonts w:hint="eastAsia" w:ascii="宋体" w:hAnsi="宋体" w:cs="宋体"/>
          <w:sz w:val="24"/>
        </w:rPr>
      </w:pPr>
      <w:r>
        <w:rPr>
          <w:rFonts w:hint="eastAsia" w:ascii="宋体" w:hAnsi="宋体" w:cs="宋体"/>
          <w:sz w:val="24"/>
        </w:rPr>
        <w:t>（2）投标人所提供资源应满足采购文件规定的要求。保证合同期内系统安全稳定运行，不因硬件故障导致服务中断4小时及以上。</w:t>
      </w:r>
    </w:p>
    <w:p w14:paraId="38C10AEC">
      <w:pPr>
        <w:snapToGrid w:val="0"/>
        <w:spacing w:line="360" w:lineRule="auto"/>
        <w:ind w:firstLine="480" w:firstLineChars="200"/>
        <w:rPr>
          <w:rFonts w:hint="eastAsia" w:ascii="宋体" w:hAnsi="宋体" w:cs="宋体"/>
          <w:sz w:val="24"/>
        </w:rPr>
      </w:pPr>
      <w:r>
        <w:rPr>
          <w:rFonts w:hint="eastAsia" w:ascii="宋体" w:hAnsi="宋体" w:cs="宋体"/>
          <w:sz w:val="24"/>
        </w:rPr>
        <w:t>（3）服务期满后10个工作日开始对合同项目进行验收，投标人应当在采购人指定的验收日前向采购人提交验收报告。验收报告的内容包括但不限于，合同规定的各项服务清单，各系统设备运行情况。</w:t>
      </w:r>
    </w:p>
    <w:p w14:paraId="6C1CBA59">
      <w:pPr>
        <w:snapToGrid w:val="0"/>
        <w:spacing w:line="360" w:lineRule="auto"/>
        <w:ind w:leftChars="0" w:firstLine="480" w:firstLineChars="200"/>
        <w:jc w:val="both"/>
        <w:rPr>
          <w:rFonts w:hint="eastAsia" w:ascii="宋体" w:hAnsi="宋体" w:cs="宋体"/>
          <w:sz w:val="24"/>
        </w:rPr>
      </w:pPr>
      <w:r>
        <w:rPr>
          <w:rFonts w:hint="eastAsia" w:ascii="宋体" w:hAnsi="宋体" w:cs="宋体"/>
          <w:sz w:val="24"/>
        </w:rPr>
        <w:t>（4）服务期届满，投标人按照采购人要求完成所有项目，各项记录、报告等文档齐全，无任何系统遗留问题，并通过由采购人组织的专家验收评审，方可通过验收。</w:t>
      </w:r>
    </w:p>
    <w:p w14:paraId="672FEF77">
      <w:pPr>
        <w:spacing w:line="360" w:lineRule="auto"/>
        <w:contextualSpacing/>
        <w:outlineLvl w:val="1"/>
        <w:rPr>
          <w:rFonts w:hint="eastAsia"/>
          <w:sz w:val="24"/>
        </w:rPr>
      </w:pPr>
      <w:r>
        <w:rPr>
          <w:sz w:val="24"/>
        </w:rPr>
        <w:t>4. 其他要求</w:t>
      </w:r>
    </w:p>
    <w:p w14:paraId="26852303">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4.1合同要求</w:t>
      </w:r>
    </w:p>
    <w:p w14:paraId="0139C6E0">
      <w:pPr>
        <w:snapToGrid w:val="0"/>
        <w:spacing w:line="360" w:lineRule="auto"/>
        <w:ind w:firstLine="480" w:firstLineChars="200"/>
        <w:rPr>
          <w:rFonts w:hint="eastAsia" w:ascii="宋体" w:hAnsi="宋体" w:cs="宋体"/>
          <w:sz w:val="24"/>
        </w:rPr>
      </w:pPr>
      <w:r>
        <w:rPr>
          <w:rFonts w:hint="eastAsia" w:ascii="宋体" w:hAnsi="宋体" w:cs="宋体"/>
          <w:sz w:val="24"/>
        </w:rPr>
        <w:t>（1）采购人与中标人如需变更政府采购合同的相关条款应遵守《中华人民共和国政府采购法》第五章关于政府采购合同的规定。</w:t>
      </w:r>
    </w:p>
    <w:p w14:paraId="31604AA8">
      <w:pPr>
        <w:snapToGrid w:val="0"/>
        <w:spacing w:line="360" w:lineRule="auto"/>
        <w:ind w:firstLine="480" w:firstLineChars="200"/>
        <w:rPr>
          <w:rFonts w:hint="eastAsia" w:ascii="宋体" w:hAnsi="宋体" w:cs="宋体"/>
          <w:sz w:val="24"/>
        </w:rPr>
      </w:pPr>
      <w:r>
        <w:rPr>
          <w:rFonts w:hint="eastAsia" w:ascii="宋体" w:hAnsi="宋体" w:cs="宋体"/>
          <w:sz w:val="24"/>
        </w:rPr>
        <w:t>（2）对于分包事项（如等保测评、密码应用安全性评估等），采购人应当对分包承接主体的网络安全能力进行评估，与网络服务提供者签订合同及保密协议，明确约定各方保障网络和数据安全的权利及义务。投标人应当具备网络安全管理能力及相关资质，对提供产品和服务的安全性、合规性负责。发生网络安全事件时，在依法按程序报告的同时，投标人应当及时向采购人报告，并有义务配合调查。</w:t>
      </w:r>
    </w:p>
    <w:p w14:paraId="19E54522">
      <w:pPr>
        <w:snapToGrid w:val="0"/>
        <w:spacing w:line="360" w:lineRule="auto"/>
        <w:ind w:firstLine="480" w:firstLineChars="200"/>
        <w:rPr>
          <w:rFonts w:hint="eastAsia" w:ascii="宋体" w:hAnsi="宋体" w:cs="宋体"/>
          <w:sz w:val="24"/>
        </w:rPr>
      </w:pPr>
      <w:r>
        <w:rPr>
          <w:rFonts w:hint="eastAsia" w:ascii="宋体" w:hAnsi="宋体" w:cs="宋体"/>
          <w:sz w:val="24"/>
        </w:rPr>
        <w:t>（3）采购人应当加强政务网络和信息系统权限管理，最高管理权限务必由采购人专人负责，按照最小必要原则对投标人进行精细化授权，防范越权访问风险。</w:t>
      </w:r>
    </w:p>
    <w:p w14:paraId="41E379C7">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4.2保密要求</w:t>
      </w:r>
    </w:p>
    <w:p w14:paraId="572DA1EE">
      <w:pPr>
        <w:snapToGrid w:val="0"/>
        <w:spacing w:line="360" w:lineRule="auto"/>
        <w:ind w:firstLine="480" w:firstLineChars="200"/>
        <w:rPr>
          <w:rFonts w:hint="eastAsia" w:ascii="宋体" w:hAnsi="宋体" w:cs="宋体"/>
          <w:sz w:val="24"/>
        </w:rPr>
      </w:pPr>
      <w:r>
        <w:rPr>
          <w:rFonts w:hint="eastAsia" w:ascii="宋体" w:hAnsi="宋体" w:cs="宋体"/>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76EE055E">
      <w:pPr>
        <w:snapToGrid w:val="0"/>
        <w:spacing w:line="360" w:lineRule="auto"/>
        <w:ind w:firstLine="480" w:firstLineChars="200"/>
        <w:rPr>
          <w:rFonts w:hint="eastAsia" w:ascii="宋体" w:hAnsi="宋体" w:cs="宋体"/>
          <w:sz w:val="24"/>
        </w:rPr>
      </w:pPr>
      <w:r>
        <w:rPr>
          <w:rFonts w:hint="eastAsia" w:ascii="宋体" w:hAnsi="宋体" w:cs="宋体"/>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16F0EDB5">
      <w:pPr>
        <w:snapToGrid w:val="0"/>
        <w:spacing w:line="360" w:lineRule="auto"/>
        <w:ind w:firstLine="480" w:firstLineChars="200"/>
        <w:rPr>
          <w:rFonts w:hint="eastAsia" w:ascii="宋体" w:hAnsi="宋体" w:cs="宋体"/>
          <w:sz w:val="24"/>
        </w:rPr>
      </w:pPr>
      <w:r>
        <w:rPr>
          <w:rFonts w:hint="eastAsia" w:ascii="宋体" w:hAnsi="宋体" w:cs="宋体"/>
          <w:sz w:val="24"/>
        </w:rPr>
        <w:t>（3）投标人保证将保密信息的披露范围严格控制在直接从事该项目工作且因工作需要有必要知悉保密信息的工作人员范围内,对投标人非从事该项目的人员一律严格保密。</w:t>
      </w:r>
    </w:p>
    <w:p w14:paraId="734EE287">
      <w:pPr>
        <w:snapToGrid w:val="0"/>
        <w:spacing w:line="360" w:lineRule="auto"/>
        <w:ind w:firstLine="480" w:firstLineChars="200"/>
        <w:rPr>
          <w:rFonts w:hint="eastAsia" w:ascii="宋体" w:hAnsi="宋体" w:cs="宋体"/>
          <w:sz w:val="24"/>
        </w:rPr>
      </w:pPr>
      <w:r>
        <w:rPr>
          <w:rFonts w:hint="eastAsia" w:ascii="宋体" w:hAnsi="宋体" w:cs="宋体"/>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A95CFCB">
      <w:pPr>
        <w:snapToGrid w:val="0"/>
        <w:spacing w:line="360" w:lineRule="auto"/>
        <w:ind w:firstLine="480" w:firstLineChars="200"/>
        <w:rPr>
          <w:rFonts w:hint="eastAsia" w:ascii="宋体" w:hAnsi="宋体" w:cs="宋体"/>
          <w:sz w:val="24"/>
        </w:rPr>
      </w:pPr>
      <w:r>
        <w:rPr>
          <w:rFonts w:hint="eastAsia" w:ascii="宋体" w:hAnsi="宋体" w:cs="宋体"/>
          <w:sz w:val="24"/>
        </w:rPr>
        <w:t>（5）任何时间内，一经采购人提出要求，投标人应按照采购人指示在收到采购人书面通知后 5 日内将含有保密信息的所有文件或其他资料归还采购人，且不得擅自复制留存。</w:t>
      </w:r>
    </w:p>
    <w:p w14:paraId="10454773">
      <w:pPr>
        <w:snapToGrid w:val="0"/>
        <w:spacing w:line="360" w:lineRule="auto"/>
        <w:ind w:firstLine="480" w:firstLineChars="200"/>
        <w:rPr>
          <w:rFonts w:hint="eastAsia" w:ascii="宋体" w:hAnsi="宋体" w:cs="宋体"/>
          <w:sz w:val="24"/>
        </w:rPr>
      </w:pPr>
      <w:r>
        <w:rPr>
          <w:rFonts w:hint="eastAsia" w:ascii="宋体" w:hAnsi="宋体" w:cs="宋体"/>
          <w:sz w:val="24"/>
        </w:rPr>
        <w:t>（6）非经采购人特别授权，采购人向投标人提供的任何保密信息并不包括授予投标人该保密信息包含的任何专利权、商标权、著作权、商业秘密或其它类型的知识产权。</w:t>
      </w:r>
    </w:p>
    <w:p w14:paraId="67DC8789">
      <w:pPr>
        <w:snapToGrid w:val="0"/>
        <w:spacing w:line="360" w:lineRule="auto"/>
        <w:ind w:firstLine="480" w:firstLineChars="200"/>
        <w:rPr>
          <w:rFonts w:hint="eastAsia" w:ascii="宋体" w:hAnsi="宋体" w:cs="宋体"/>
          <w:sz w:val="24"/>
        </w:rPr>
      </w:pPr>
      <w:r>
        <w:rPr>
          <w:rFonts w:hint="eastAsia" w:ascii="宋体" w:hAnsi="宋体" w:cs="宋体"/>
          <w:sz w:val="24"/>
        </w:rPr>
        <w:t>（7）投标人承担上述保密义务的期限为合同有效期间及合同终止后2年，承担上述保密义务的责任主体为投标人（含投标人服务人员）。</w:t>
      </w:r>
    </w:p>
    <w:p w14:paraId="6C795205">
      <w:pPr>
        <w:snapToGrid w:val="0"/>
        <w:spacing w:line="360" w:lineRule="auto"/>
        <w:ind w:firstLine="480" w:firstLineChars="200"/>
        <w:rPr>
          <w:rFonts w:hint="eastAsia" w:ascii="宋体" w:hAnsi="宋体" w:cs="宋体"/>
          <w:sz w:val="24"/>
        </w:rPr>
      </w:pPr>
      <w:r>
        <w:rPr>
          <w:rFonts w:hint="eastAsia" w:ascii="宋体" w:hAnsi="宋体" w:cs="宋体"/>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4C73BFC2">
      <w:pPr>
        <w:snapToGrid w:val="0"/>
        <w:spacing w:line="360" w:lineRule="auto"/>
        <w:ind w:firstLine="480" w:firstLineChars="200"/>
        <w:rPr>
          <w:rFonts w:hint="eastAsia" w:ascii="宋体" w:hAnsi="宋体" w:cs="宋体"/>
          <w:sz w:val="24"/>
        </w:rPr>
      </w:pPr>
      <w:r>
        <w:rPr>
          <w:rFonts w:hint="eastAsia" w:ascii="宋体" w:hAnsi="宋体" w:cs="宋体"/>
          <w:sz w:val="24"/>
        </w:rPr>
        <w:t>（9）投标人应当对获悉的政务数据、个人信息等予以保密，不得用于其他用途，不得泄露、出售或者非法向他人提供。</w:t>
      </w:r>
    </w:p>
    <w:p w14:paraId="65530F34">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4.3知识产权要求</w:t>
      </w:r>
    </w:p>
    <w:p w14:paraId="53297D07">
      <w:pPr>
        <w:snapToGrid w:val="0"/>
        <w:spacing w:line="360" w:lineRule="auto"/>
        <w:ind w:firstLine="480" w:firstLineChars="200"/>
        <w:rPr>
          <w:rFonts w:hint="eastAsia" w:ascii="宋体" w:hAnsi="宋体" w:cs="宋体"/>
          <w:sz w:val="24"/>
        </w:rPr>
      </w:pPr>
      <w:r>
        <w:rPr>
          <w:rFonts w:hint="eastAsia" w:ascii="宋体" w:hAnsi="宋体" w:cs="宋体"/>
          <w:sz w:val="24"/>
        </w:rPr>
        <w:t>（1）投标人应确保本项目所提交成果无知识产权纠纷，项目成果的知识产权属于项目委托方。须在响应文件中对此项作出专项承诺，格式自拟。</w:t>
      </w:r>
    </w:p>
    <w:p w14:paraId="7E81E453">
      <w:pPr>
        <w:snapToGrid w:val="0"/>
        <w:spacing w:line="360" w:lineRule="auto"/>
        <w:ind w:leftChars="0" w:firstLine="480" w:firstLineChars="200"/>
        <w:jc w:val="both"/>
        <w:rPr>
          <w:rFonts w:hint="eastAsia" w:ascii="宋体" w:hAnsi="宋体" w:eastAsia="宋体" w:cs="宋体"/>
          <w:sz w:val="24"/>
          <w:highlight w:val="none"/>
          <w:lang w:eastAsia="zh-CN"/>
        </w:rPr>
      </w:pPr>
      <w:r>
        <w:rPr>
          <w:rFonts w:hint="eastAsia" w:ascii="宋体" w:hAnsi="宋体" w:cs="宋体"/>
          <w:sz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32"/>
    <w:p w14:paraId="5D60F2D8">
      <w:bookmarkStart w:id="33" w:name="_GoBack"/>
      <w:bookmarkEnd w:id="33"/>
    </w:p>
    <w:sectPr>
      <w:headerReference r:id="rId4" w:type="default"/>
      <w:footerReference r:id="rId5"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华文中宋"/>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7313A">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9A73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E9A73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96F252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D1DC">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57D8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157D8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5909C2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F080">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5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10"/>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9"/>
      <w:lvlText w:val="%1"/>
      <w:lvlJc w:val="left"/>
      <w:pPr>
        <w:ind w:left="680" w:hanging="680"/>
      </w:pPr>
      <w:rPr>
        <w:rFonts w:hint="eastAsia" w:ascii="宋体" w:hAnsi="宋体" w:eastAsia="宋体"/>
      </w:rPr>
    </w:lvl>
    <w:lvl w:ilvl="1" w:tentative="0">
      <w:start w:val="1"/>
      <w:numFmt w:val="decimal"/>
      <w:pStyle w:val="170"/>
      <w:lvlText w:val="%1.%2"/>
      <w:lvlJc w:val="left"/>
      <w:pPr>
        <w:ind w:left="851" w:hanging="851"/>
      </w:pPr>
      <w:rPr>
        <w:rFonts w:hint="eastAsia" w:ascii="宋体" w:hAnsi="宋体" w:eastAsia="宋体"/>
        <w:color w:val="auto"/>
      </w:rPr>
    </w:lvl>
    <w:lvl w:ilvl="2" w:tentative="0">
      <w:start w:val="1"/>
      <w:numFmt w:val="decimal"/>
      <w:pStyle w:val="17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F12B03"/>
    <w:rsid w:val="07F36417"/>
    <w:rsid w:val="0AEE26D6"/>
    <w:rsid w:val="0B660C1A"/>
    <w:rsid w:val="0D9D24E2"/>
    <w:rsid w:val="10E21009"/>
    <w:rsid w:val="11A36B8E"/>
    <w:rsid w:val="12FE3A23"/>
    <w:rsid w:val="133C551F"/>
    <w:rsid w:val="14625AD7"/>
    <w:rsid w:val="16041350"/>
    <w:rsid w:val="17F93E0B"/>
    <w:rsid w:val="196B04A0"/>
    <w:rsid w:val="1C455CA5"/>
    <w:rsid w:val="1D2C69D2"/>
    <w:rsid w:val="1DB55626"/>
    <w:rsid w:val="211D2A9C"/>
    <w:rsid w:val="217C0935"/>
    <w:rsid w:val="21A37B4C"/>
    <w:rsid w:val="2205092A"/>
    <w:rsid w:val="239E00B4"/>
    <w:rsid w:val="24654E59"/>
    <w:rsid w:val="251E74A4"/>
    <w:rsid w:val="25F62284"/>
    <w:rsid w:val="26831BBC"/>
    <w:rsid w:val="27843CE5"/>
    <w:rsid w:val="27903F9F"/>
    <w:rsid w:val="28AB4CF1"/>
    <w:rsid w:val="2B9845BD"/>
    <w:rsid w:val="2ED7364E"/>
    <w:rsid w:val="2F006338"/>
    <w:rsid w:val="2FFFFEBD"/>
    <w:rsid w:val="30E87D95"/>
    <w:rsid w:val="31754DFF"/>
    <w:rsid w:val="321715DC"/>
    <w:rsid w:val="32BD6301"/>
    <w:rsid w:val="32D2621B"/>
    <w:rsid w:val="32EB653A"/>
    <w:rsid w:val="35810CA3"/>
    <w:rsid w:val="35F27B7F"/>
    <w:rsid w:val="37830B5B"/>
    <w:rsid w:val="398F586D"/>
    <w:rsid w:val="3BCB6780"/>
    <w:rsid w:val="3CC85B63"/>
    <w:rsid w:val="3D8E75CE"/>
    <w:rsid w:val="3E333D2C"/>
    <w:rsid w:val="3FC44B7C"/>
    <w:rsid w:val="3FF94200"/>
    <w:rsid w:val="402A14E2"/>
    <w:rsid w:val="40E57E4D"/>
    <w:rsid w:val="41A551EB"/>
    <w:rsid w:val="41D9326D"/>
    <w:rsid w:val="425A2175"/>
    <w:rsid w:val="42CD0A98"/>
    <w:rsid w:val="431A0C09"/>
    <w:rsid w:val="43A14F2E"/>
    <w:rsid w:val="4508160B"/>
    <w:rsid w:val="453958D9"/>
    <w:rsid w:val="47D63570"/>
    <w:rsid w:val="480E2158"/>
    <w:rsid w:val="4AAD12AB"/>
    <w:rsid w:val="4B65373A"/>
    <w:rsid w:val="4BB47FC0"/>
    <w:rsid w:val="4C327140"/>
    <w:rsid w:val="4C6360CA"/>
    <w:rsid w:val="4D00163A"/>
    <w:rsid w:val="4E61488B"/>
    <w:rsid w:val="4F0F5BE3"/>
    <w:rsid w:val="50055E16"/>
    <w:rsid w:val="52422029"/>
    <w:rsid w:val="532F37CD"/>
    <w:rsid w:val="535FE1E8"/>
    <w:rsid w:val="545455E7"/>
    <w:rsid w:val="55040901"/>
    <w:rsid w:val="56245862"/>
    <w:rsid w:val="56DF05DE"/>
    <w:rsid w:val="57FC6189"/>
    <w:rsid w:val="58E00503"/>
    <w:rsid w:val="5A0D7420"/>
    <w:rsid w:val="5B9205D4"/>
    <w:rsid w:val="5D370EBC"/>
    <w:rsid w:val="5F073306"/>
    <w:rsid w:val="5F434264"/>
    <w:rsid w:val="5F5F73B9"/>
    <w:rsid w:val="607E1AA0"/>
    <w:rsid w:val="619210D6"/>
    <w:rsid w:val="636E4238"/>
    <w:rsid w:val="6465428E"/>
    <w:rsid w:val="667E7030"/>
    <w:rsid w:val="67817BD3"/>
    <w:rsid w:val="6838144E"/>
    <w:rsid w:val="68AA7398"/>
    <w:rsid w:val="6B7FBDA6"/>
    <w:rsid w:val="6E3F0506"/>
    <w:rsid w:val="6EAB6FA9"/>
    <w:rsid w:val="7121287C"/>
    <w:rsid w:val="73037F0B"/>
    <w:rsid w:val="73A53748"/>
    <w:rsid w:val="741834B3"/>
    <w:rsid w:val="742C597A"/>
    <w:rsid w:val="77521CC0"/>
    <w:rsid w:val="7760238F"/>
    <w:rsid w:val="7BDF9F35"/>
    <w:rsid w:val="7FFF9DE0"/>
    <w:rsid w:val="BE389BA2"/>
    <w:rsid w:val="DCBEC906"/>
    <w:rsid w:val="DDEEDC8D"/>
    <w:rsid w:val="DFD7D9D4"/>
    <w:rsid w:val="DFEF9DDE"/>
    <w:rsid w:val="F6E98602"/>
    <w:rsid w:val="FDDF27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9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9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link w:val="18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6"/>
    <w:qFormat/>
    <w:uiPriority w:val="0"/>
    <w:pPr>
      <w:shd w:val="clear" w:color="auto" w:fill="000080"/>
    </w:pPr>
  </w:style>
  <w:style w:type="paragraph" w:styleId="15">
    <w:name w:val="annotation text"/>
    <w:basedOn w:val="1"/>
    <w:link w:val="197"/>
    <w:qFormat/>
    <w:uiPriority w:val="99"/>
    <w:pPr>
      <w:jc w:val="left"/>
    </w:pPr>
  </w:style>
  <w:style w:type="paragraph" w:styleId="16">
    <w:name w:val="Body Text 3"/>
    <w:basedOn w:val="1"/>
    <w:link w:val="198"/>
    <w:qFormat/>
    <w:uiPriority w:val="0"/>
    <w:pPr>
      <w:spacing w:after="120"/>
    </w:pPr>
    <w:rPr>
      <w:sz w:val="16"/>
      <w:szCs w:val="16"/>
    </w:rPr>
  </w:style>
  <w:style w:type="paragraph" w:styleId="17">
    <w:name w:val="Body Text"/>
    <w:basedOn w:val="1"/>
    <w:next w:val="18"/>
    <w:link w:val="199"/>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Calibri" w:hAnsi="Calibri" w:eastAsia="宋体" w:cs="Calibri"/>
      <w:sz w:val="21"/>
      <w:szCs w:val="22"/>
      <w:lang w:val="en-US" w:eastAsia="zh-CN" w:bidi="ar-SA"/>
    </w:rPr>
  </w:style>
  <w:style w:type="paragraph" w:styleId="19">
    <w:name w:val="Body Text Indent"/>
    <w:basedOn w:val="1"/>
    <w:link w:val="20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2"/>
    <w:qFormat/>
    <w:uiPriority w:val="0"/>
    <w:pPr>
      <w:ind w:left="100" w:leftChars="2500"/>
    </w:pPr>
    <w:rPr>
      <w:rFonts w:ascii="仿宋_GB2312" w:hAnsi="宋体" w:eastAsia="仿宋_GB2312"/>
      <w:color w:val="000000"/>
      <w:sz w:val="24"/>
    </w:rPr>
  </w:style>
  <w:style w:type="paragraph" w:styleId="27">
    <w:name w:val="Body Text Indent 2"/>
    <w:basedOn w:val="1"/>
    <w:link w:val="203"/>
    <w:qFormat/>
    <w:uiPriority w:val="0"/>
    <w:pPr>
      <w:ind w:firstLine="480" w:firstLineChars="200"/>
    </w:pPr>
    <w:rPr>
      <w:rFonts w:ascii="仿宋_GB2312" w:eastAsia="仿宋_GB2312"/>
      <w:sz w:val="24"/>
    </w:rPr>
  </w:style>
  <w:style w:type="paragraph" w:styleId="28">
    <w:name w:val="Balloon Text"/>
    <w:basedOn w:val="1"/>
    <w:link w:val="204"/>
    <w:qFormat/>
    <w:uiPriority w:val="0"/>
    <w:rPr>
      <w:sz w:val="18"/>
      <w:szCs w:val="18"/>
    </w:rPr>
  </w:style>
  <w:style w:type="paragraph" w:styleId="29">
    <w:name w:val="footer"/>
    <w:basedOn w:val="1"/>
    <w:link w:val="20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9"/>
    <w:qFormat/>
    <w:uiPriority w:val="0"/>
    <w:pPr>
      <w:jc w:val="center"/>
      <w:outlineLvl w:val="0"/>
    </w:pPr>
    <w:rPr>
      <w:b/>
      <w:sz w:val="32"/>
      <w:szCs w:val="20"/>
    </w:rPr>
  </w:style>
  <w:style w:type="paragraph" w:styleId="41">
    <w:name w:val="annotation subject"/>
    <w:basedOn w:val="15"/>
    <w:next w:val="15"/>
    <w:link w:val="210"/>
    <w:qFormat/>
    <w:uiPriority w:val="0"/>
    <w:rPr>
      <w:b/>
      <w:bCs/>
    </w:rPr>
  </w:style>
  <w:style w:type="paragraph" w:styleId="42">
    <w:name w:val="Body Text First Indent 2"/>
    <w:basedOn w:val="19"/>
    <w:link w:val="21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
    <w:qFormat/>
    <w:uiPriority w:val="0"/>
    <w:rPr>
      <w:rFonts w:ascii="Arial" w:hAnsi="Arial" w:eastAsia="黑体"/>
      <w:b/>
      <w:sz w:val="30"/>
      <w:lang w:val="en-US" w:eastAsia="zh-CN" w:bidi="ar-SA"/>
    </w:rPr>
  </w:style>
  <w:style w:type="character" w:customStyle="1" w:styleId="55">
    <w:name w:val="标题 3 Char"/>
    <w:qFormat/>
    <w:uiPriority w:val="0"/>
    <w:rPr>
      <w:rFonts w:ascii="宋体" w:eastAsia="宋体"/>
      <w:b/>
      <w:sz w:val="24"/>
      <w:u w:val="single"/>
      <w:lang w:val="en-US" w:eastAsia="zh-CN" w:bidi="ar-SA"/>
    </w:rPr>
  </w:style>
  <w:style w:type="paragraph" w:customStyle="1" w:styleId="56">
    <w:name w:val="注释"/>
    <w:basedOn w:val="1"/>
    <w:link w:val="215"/>
    <w:qFormat/>
    <w:uiPriority w:val="0"/>
    <w:pPr>
      <w:adjustRightInd w:val="0"/>
      <w:snapToGrid w:val="0"/>
      <w:ind w:left="420" w:hanging="420" w:hangingChars="200"/>
      <w:jc w:val="left"/>
    </w:pPr>
    <w:rPr>
      <w:rFonts w:ascii="宋体" w:hAnsi="宋体"/>
      <w:szCs w:val="21"/>
    </w:rPr>
  </w:style>
  <w:style w:type="paragraph" w:customStyle="1" w:styleId="57">
    <w:name w:val="正文文本缩进1"/>
    <w:basedOn w:val="1"/>
    <w:link w:val="221"/>
    <w:qFormat/>
    <w:uiPriority w:val="0"/>
    <w:pPr>
      <w:spacing w:line="480" w:lineRule="exact"/>
      <w:ind w:firstLine="480" w:firstLineChars="200"/>
    </w:pPr>
    <w:rPr>
      <w:rFonts w:ascii="宋体" w:hAnsi="宋体"/>
      <w:kern w:val="0"/>
      <w:sz w:val="24"/>
    </w:rPr>
  </w:style>
  <w:style w:type="paragraph" w:customStyle="1" w:styleId="58">
    <w:name w:val="正文大标题"/>
    <w:basedOn w:val="59"/>
    <w:next w:val="5"/>
    <w:link w:val="224"/>
    <w:qFormat/>
    <w:uiPriority w:val="0"/>
    <w:pPr>
      <w:jc w:val="center"/>
    </w:pPr>
    <w:rPr>
      <w:i w:val="0"/>
      <w:color w:val="000000"/>
      <w:sz w:val="28"/>
      <w:szCs w:val="21"/>
    </w:rPr>
  </w:style>
  <w:style w:type="paragraph" w:customStyle="1" w:styleId="59">
    <w:name w:val="正文小标题"/>
    <w:basedOn w:val="1"/>
    <w:next w:val="5"/>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60">
    <w:name w:val="List Paragraph"/>
    <w:basedOn w:val="1"/>
    <w:link w:val="227"/>
    <w:qFormat/>
    <w:uiPriority w:val="34"/>
    <w:pPr>
      <w:ind w:firstLine="420" w:firstLineChars="200"/>
    </w:pPr>
    <w:rPr>
      <w:rFonts w:ascii="Calibri" w:hAnsi="Calibri"/>
      <w:szCs w:val="22"/>
    </w:rPr>
  </w:style>
  <w:style w:type="paragraph" w:customStyle="1" w:styleId="61">
    <w:name w:val="正文格式"/>
    <w:basedOn w:val="1"/>
    <w:link w:val="228"/>
    <w:qFormat/>
    <w:uiPriority w:val="0"/>
    <w:pPr>
      <w:spacing w:beforeLines="50" w:line="360" w:lineRule="auto"/>
      <w:ind w:firstLine="480" w:firstLineChars="200"/>
    </w:pPr>
    <w:rPr>
      <w:rFonts w:ascii="宋体" w:hAnsi="宋体"/>
      <w:kern w:val="0"/>
      <w:sz w:val="24"/>
      <w:lang w:val="en-GB"/>
    </w:rPr>
  </w:style>
  <w:style w:type="paragraph" w:customStyle="1" w:styleId="62">
    <w:name w:val="正文缩进1"/>
    <w:basedOn w:val="1"/>
    <w:link w:val="2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3">
    <w:name w:val="正文表格"/>
    <w:basedOn w:val="1"/>
    <w:link w:val="239"/>
    <w:qFormat/>
    <w:uiPriority w:val="0"/>
    <w:pPr>
      <w:adjustRightInd w:val="0"/>
      <w:snapToGrid w:val="0"/>
      <w:jc w:val="left"/>
    </w:pPr>
    <w:rPr>
      <w:rFonts w:ascii="宋体" w:hAnsi="宋体"/>
      <w:color w:val="000000"/>
      <w:szCs w:val="21"/>
    </w:rPr>
  </w:style>
  <w:style w:type="paragraph" w:customStyle="1" w:styleId="64">
    <w:name w:val="正文重点"/>
    <w:basedOn w:val="1"/>
    <w:link w:val="240"/>
    <w:qFormat/>
    <w:uiPriority w:val="0"/>
    <w:pPr>
      <w:adjustRightInd w:val="0"/>
      <w:spacing w:line="360" w:lineRule="auto"/>
      <w:ind w:firstLine="482" w:firstLineChars="200"/>
      <w:jc w:val="left"/>
      <w:textAlignment w:val="baseline"/>
    </w:pPr>
    <w:rPr>
      <w:b/>
      <w:kern w:val="0"/>
      <w:sz w:val="24"/>
      <w:szCs w:val="20"/>
    </w:rPr>
  </w:style>
  <w:style w:type="paragraph" w:customStyle="1" w:styleId="65">
    <w:name w:val="1"/>
    <w:link w:val="250"/>
    <w:qFormat/>
    <w:uiPriority w:val="0"/>
    <w:rPr>
      <w:rFonts w:ascii="Times New Roman" w:hAnsi="Times New Roman" w:eastAsia="宋体" w:cs="Times New Roman"/>
      <w:kern w:val="2"/>
      <w:sz w:val="21"/>
      <w:szCs w:val="24"/>
      <w:lang w:val="zh-CN" w:eastAsia="zh-CN" w:bidi="ar-SA"/>
    </w:rPr>
  </w:style>
  <w:style w:type="paragraph" w:customStyle="1" w:styleId="66">
    <w:name w:val="Char Char Char1"/>
    <w:basedOn w:val="1"/>
    <w:qFormat/>
    <w:uiPriority w:val="0"/>
    <w:rPr>
      <w:rFonts w:ascii="Tahoma" w:hAnsi="Tahoma"/>
      <w:sz w:val="24"/>
      <w:szCs w:val="20"/>
    </w:rPr>
  </w:style>
  <w:style w:type="paragraph" w:customStyle="1" w:styleId="67">
    <w:name w:val="Char3 Char Char Char"/>
    <w:basedOn w:val="1"/>
    <w:qFormat/>
    <w:uiPriority w:val="0"/>
    <w:rPr>
      <w:rFonts w:ascii="Tahoma" w:hAnsi="Tahoma"/>
      <w:sz w:val="24"/>
      <w:szCs w:val="20"/>
    </w:rPr>
  </w:style>
  <w:style w:type="paragraph" w:customStyle="1" w:styleId="68">
    <w:name w:val="一级条标题"/>
    <w:basedOn w:val="69"/>
    <w:next w:val="1"/>
    <w:qFormat/>
    <w:uiPriority w:val="0"/>
    <w:pPr>
      <w:numPr>
        <w:ilvl w:val="1"/>
      </w:numPr>
      <w:tabs>
        <w:tab w:val="left" w:pos="360"/>
        <w:tab w:val="left" w:pos="840"/>
      </w:tabs>
      <w:ind w:left="0" w:hanging="840"/>
      <w:outlineLvl w:val="1"/>
    </w:pPr>
  </w:style>
  <w:style w:type="paragraph" w:customStyle="1" w:styleId="6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2">
    <w:name w:val="默认段落字体 Para Char Char Char Char"/>
    <w:basedOn w:val="1"/>
    <w:qFormat/>
    <w:uiPriority w:val="0"/>
    <w:rPr>
      <w:rFonts w:ascii="Arial" w:hAnsi="Arial" w:cs="Arial"/>
      <w:szCs w:val="21"/>
    </w:rPr>
  </w:style>
  <w:style w:type="paragraph" w:customStyle="1" w:styleId="73">
    <w:name w:val="二级条标题"/>
    <w:basedOn w:val="68"/>
    <w:next w:val="1"/>
    <w:qFormat/>
    <w:uiPriority w:val="0"/>
    <w:pPr>
      <w:numPr>
        <w:ilvl w:val="0"/>
        <w:numId w:val="0"/>
      </w:numPr>
      <w:ind w:hanging="840"/>
      <w:outlineLvl w:val="2"/>
    </w:pPr>
    <w:rPr>
      <w:rFonts w:ascii="宋体" w:eastAsia="宋体"/>
      <w:b w:val="0"/>
    </w:rPr>
  </w:style>
  <w:style w:type="paragraph" w:customStyle="1" w:styleId="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5">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8">
    <w:name w:val="缺省文本"/>
    <w:basedOn w:val="1"/>
    <w:qFormat/>
    <w:uiPriority w:val="0"/>
    <w:pPr>
      <w:autoSpaceDE w:val="0"/>
      <w:autoSpaceDN w:val="0"/>
      <w:adjustRightInd w:val="0"/>
      <w:jc w:val="left"/>
    </w:pPr>
    <w:rPr>
      <w:kern w:val="0"/>
      <w:sz w:val="24"/>
    </w:rPr>
  </w:style>
  <w:style w:type="paragraph" w:customStyle="1" w:styleId="79">
    <w:name w:val="项目编号2"/>
    <w:basedOn w:val="75"/>
    <w:qFormat/>
    <w:uiPriority w:val="0"/>
    <w:pPr>
      <w:numPr>
        <w:numId w:val="3"/>
      </w:numPr>
    </w:pPr>
  </w:style>
  <w:style w:type="paragraph" w:customStyle="1" w:styleId="8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1">
    <w:name w:val="字元 字元"/>
    <w:basedOn w:val="1"/>
    <w:qFormat/>
    <w:uiPriority w:val="0"/>
    <w:rPr>
      <w:rFonts w:ascii="Tahoma" w:hAnsi="Tahoma"/>
      <w:sz w:val="24"/>
      <w:szCs w:val="20"/>
    </w:rPr>
  </w:style>
  <w:style w:type="paragraph" w:customStyle="1" w:styleId="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3">
    <w:name w:val="图中文字"/>
    <w:basedOn w:val="1"/>
    <w:qFormat/>
    <w:uiPriority w:val="0"/>
    <w:pPr>
      <w:adjustRightInd w:val="0"/>
      <w:snapToGrid w:val="0"/>
      <w:spacing w:line="0" w:lineRule="atLeast"/>
      <w:jc w:val="center"/>
    </w:pPr>
    <w:rPr>
      <w:sz w:val="24"/>
      <w:szCs w:val="20"/>
    </w:rPr>
  </w:style>
  <w:style w:type="paragraph" w:customStyle="1" w:styleId="84">
    <w:name w:val="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四级条标题"/>
    <w:basedOn w:val="87"/>
    <w:next w:val="1"/>
    <w:qFormat/>
    <w:uiPriority w:val="0"/>
    <w:pPr>
      <w:numPr>
        <w:ilvl w:val="4"/>
      </w:numPr>
      <w:tabs>
        <w:tab w:val="left" w:pos="360"/>
        <w:tab w:val="left" w:pos="840"/>
      </w:tabs>
      <w:ind w:left="0" w:hanging="840"/>
      <w:outlineLvl w:val="4"/>
    </w:pPr>
  </w:style>
  <w:style w:type="paragraph" w:customStyle="1" w:styleId="87">
    <w:name w:val="三级条标题"/>
    <w:basedOn w:val="73"/>
    <w:next w:val="1"/>
    <w:qFormat/>
    <w:uiPriority w:val="0"/>
    <w:pPr>
      <w:numPr>
        <w:ilvl w:val="3"/>
        <w:numId w:val="1"/>
      </w:numPr>
      <w:ind w:left="0" w:hanging="840"/>
      <w:outlineLvl w:val="3"/>
    </w:pPr>
  </w:style>
  <w:style w:type="paragraph" w:customStyle="1" w:styleId="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样式2"/>
    <w:basedOn w:val="39"/>
    <w:qFormat/>
    <w:uiPriority w:val="0"/>
    <w:pPr>
      <w:spacing w:line="360" w:lineRule="auto"/>
      <w:jc w:val="center"/>
    </w:pPr>
    <w:rPr>
      <w:sz w:val="24"/>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五级条标题"/>
    <w:basedOn w:val="86"/>
    <w:next w:val="1"/>
    <w:qFormat/>
    <w:uiPriority w:val="0"/>
    <w:pPr>
      <w:numPr>
        <w:ilvl w:val="5"/>
      </w:numPr>
      <w:ind w:left="0" w:hanging="840"/>
      <w:outlineLvl w:val="5"/>
    </w:p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项目符号1"/>
    <w:basedOn w:val="100"/>
    <w:qFormat/>
    <w:uiPriority w:val="0"/>
    <w:pPr>
      <w:ind w:left="-25" w:firstLine="0"/>
    </w:pPr>
  </w:style>
  <w:style w:type="paragraph" w:customStyle="1" w:styleId="100">
    <w:name w:val="正文文本样式"/>
    <w:basedOn w:val="1"/>
    <w:qFormat/>
    <w:uiPriority w:val="0"/>
    <w:pPr>
      <w:spacing w:line="360" w:lineRule="auto"/>
      <w:ind w:firstLine="482"/>
    </w:pPr>
    <w:rPr>
      <w:rFonts w:cs="宋体"/>
      <w:sz w:val="24"/>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1名"/>
    <w:basedOn w:val="1"/>
    <w:qFormat/>
    <w:uiPriority w:val="0"/>
    <w:pPr>
      <w:numPr>
        <w:ilvl w:val="0"/>
        <w:numId w:val="4"/>
      </w:numPr>
      <w:spacing w:before="120"/>
    </w:pPr>
    <w:rPr>
      <w:rFonts w:ascii="宋体"/>
      <w:sz w:val="28"/>
      <w:szCs w:val="20"/>
    </w:rPr>
  </w:style>
  <w:style w:type="paragraph" w:customStyle="1" w:styleId="1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3">
    <w:name w:val="font8"/>
    <w:basedOn w:val="1"/>
    <w:qFormat/>
    <w:uiPriority w:val="0"/>
    <w:pPr>
      <w:widowControl/>
      <w:spacing w:before="100" w:beforeAutospacing="1" w:after="100" w:afterAutospacing="1"/>
      <w:jc w:val="left"/>
    </w:pPr>
    <w:rPr>
      <w:kern w:val="0"/>
      <w:sz w:val="36"/>
      <w:szCs w:val="36"/>
    </w:rPr>
  </w:style>
  <w:style w:type="paragraph" w:customStyle="1" w:styleId="114">
    <w:name w:val="Char Char Char Char Char Char Char Char Char Char"/>
    <w:basedOn w:val="1"/>
    <w:qFormat/>
    <w:uiPriority w:val="0"/>
  </w:style>
  <w:style w:type="paragraph" w:customStyle="1" w:styleId="115">
    <w:name w:val="Char"/>
    <w:basedOn w:val="1"/>
    <w:qFormat/>
    <w:uiPriority w:val="0"/>
    <w:pPr>
      <w:tabs>
        <w:tab w:val="left" w:pos="360"/>
      </w:tabs>
    </w:pPr>
    <w:rPr>
      <w:sz w:val="24"/>
    </w:rPr>
  </w:style>
  <w:style w:type="paragraph" w:customStyle="1" w:styleId="11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Char Char1"/>
    <w:basedOn w:val="14"/>
    <w:qFormat/>
    <w:uiPriority w:val="0"/>
    <w:rPr>
      <w:rFonts w:ascii="Tahoma" w:hAnsi="Tahoma"/>
      <w:sz w:val="24"/>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Char Char Char1 Char1"/>
    <w:basedOn w:val="1"/>
    <w:qFormat/>
    <w:uiPriority w:val="0"/>
    <w:rPr>
      <w:rFonts w:ascii="Tahoma" w:hAnsi="Tahoma"/>
      <w:sz w:val="24"/>
      <w:szCs w:val="20"/>
    </w:rPr>
  </w:style>
  <w:style w:type="paragraph" w:customStyle="1" w:styleId="132">
    <w:name w:val="Char1"/>
    <w:basedOn w:val="1"/>
    <w:qFormat/>
    <w:uiPriority w:val="0"/>
    <w:pPr>
      <w:tabs>
        <w:tab w:val="left" w:pos="360"/>
      </w:tabs>
    </w:pPr>
    <w:rPr>
      <w:sz w:val="24"/>
    </w:rPr>
  </w:style>
  <w:style w:type="paragraph" w:customStyle="1" w:styleId="13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正文 + 楷体_GB2312"/>
    <w:basedOn w:val="1"/>
    <w:qFormat/>
    <w:uiPriority w:val="0"/>
    <w:pPr>
      <w:widowControl/>
      <w:jc w:val="left"/>
    </w:pPr>
    <w:rPr>
      <w:rFonts w:ascii="楷体_GB2312" w:eastAsia="楷体_GB2312" w:cs="Arial"/>
      <w:kern w:val="0"/>
      <w:sz w:val="24"/>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3">
    <w:name w:val="1 Char Char Char Char"/>
    <w:basedOn w:val="1"/>
    <w:qFormat/>
    <w:uiPriority w:val="0"/>
    <w:rPr>
      <w:rFonts w:ascii="Tahoma" w:hAnsi="Tahoma"/>
      <w:sz w:val="24"/>
      <w:szCs w:val="20"/>
    </w:rPr>
  </w:style>
  <w:style w:type="paragraph" w:customStyle="1" w:styleId="14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字元 字元1"/>
    <w:basedOn w:val="1"/>
    <w:qFormat/>
    <w:uiPriority w:val="0"/>
    <w:rPr>
      <w:rFonts w:ascii="Tahoma" w:hAnsi="Tahoma"/>
      <w:sz w:val="24"/>
      <w:szCs w:val="20"/>
    </w:rPr>
  </w:style>
  <w:style w:type="paragraph" w:customStyle="1" w:styleId="149">
    <w:name w:val="_Style 160"/>
    <w:qFormat/>
    <w:uiPriority w:val="0"/>
    <w:rPr>
      <w:rFonts w:ascii="Times New Roman" w:hAnsi="Times New Roman" w:eastAsia="宋体" w:cs="Times New Roman"/>
      <w:kern w:val="2"/>
      <w:sz w:val="21"/>
      <w:szCs w:val="24"/>
      <w:lang w:val="en-US" w:eastAsia="zh-CN" w:bidi="ar-SA"/>
    </w:rPr>
  </w:style>
  <w:style w:type="paragraph" w:customStyle="1" w:styleId="150">
    <w:name w:val="项目编号3"/>
    <w:basedOn w:val="100"/>
    <w:qFormat/>
    <w:uiPriority w:val="0"/>
    <w:pPr>
      <w:numPr>
        <w:ilvl w:val="0"/>
        <w:numId w:val="6"/>
      </w:numPr>
    </w:pPr>
  </w:style>
  <w:style w:type="paragraph" w:customStyle="1" w:styleId="151">
    <w:name w:val="Char21"/>
    <w:basedOn w:val="1"/>
    <w:qFormat/>
    <w:uiPriority w:val="0"/>
    <w:rPr>
      <w:rFonts w:ascii="Tahoma" w:hAnsi="Tahoma"/>
      <w:sz w:val="24"/>
      <w:szCs w:val="20"/>
    </w:rPr>
  </w:style>
  <w:style w:type="paragraph" w:customStyle="1" w:styleId="15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4">
    <w:name w:val="Char Char Char Char Char Char Char Char Char Char1"/>
    <w:basedOn w:val="1"/>
    <w:qFormat/>
    <w:uiPriority w:val="0"/>
    <w:rPr>
      <w:rFonts w:ascii="宋体" w:hAnsi="宋体" w:cs="Courier New"/>
      <w:sz w:val="32"/>
      <w:szCs w:val="32"/>
    </w:rPr>
  </w:style>
  <w:style w:type="paragraph" w:customStyle="1" w:styleId="155">
    <w:name w:val="正文文本样式 加粗"/>
    <w:basedOn w:val="100"/>
    <w:qFormat/>
    <w:uiPriority w:val="0"/>
    <w:rPr>
      <w:b/>
    </w:rPr>
  </w:style>
  <w:style w:type="paragraph" w:customStyle="1" w:styleId="15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
    <w:name w:val="Char2 Char Char Char Char Char Char"/>
    <w:basedOn w:val="1"/>
    <w:qFormat/>
    <w:uiPriority w:val="0"/>
    <w:pPr>
      <w:widowControl/>
      <w:spacing w:line="400" w:lineRule="exact"/>
      <w:jc w:val="center"/>
    </w:pPr>
  </w:style>
  <w:style w:type="paragraph" w:customStyle="1" w:styleId="158">
    <w:name w:val="Char Char4"/>
    <w:basedOn w:val="1"/>
    <w:qFormat/>
    <w:uiPriority w:val="0"/>
    <w:pPr>
      <w:widowControl/>
      <w:spacing w:line="400" w:lineRule="exact"/>
      <w:jc w:val="center"/>
    </w:pPr>
  </w:style>
  <w:style w:type="paragraph" w:customStyle="1" w:styleId="159">
    <w:name w:val="Char3 Char Char Char1"/>
    <w:basedOn w:val="1"/>
    <w:qFormat/>
    <w:uiPriority w:val="0"/>
    <w:rPr>
      <w:rFonts w:ascii="Tahoma" w:hAnsi="Tahoma"/>
      <w:sz w:val="24"/>
      <w:szCs w:val="20"/>
    </w:rPr>
  </w:style>
  <w:style w:type="paragraph" w:styleId="1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2">
    <w:name w:val="图例"/>
    <w:basedOn w:val="1"/>
    <w:qFormat/>
    <w:uiPriority w:val="0"/>
    <w:pPr>
      <w:spacing w:before="120" w:after="120" w:line="360" w:lineRule="auto"/>
      <w:jc w:val="center"/>
    </w:pPr>
    <w:rPr>
      <w:rFonts w:eastAsia="仿宋_GB2312"/>
      <w:b/>
      <w:sz w:val="24"/>
      <w:szCs w:val="20"/>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Char22"/>
    <w:basedOn w:val="1"/>
    <w:qFormat/>
    <w:uiPriority w:val="0"/>
    <w:rPr>
      <w:rFonts w:ascii="Tahoma" w:hAnsi="Tahoma"/>
      <w:sz w:val="24"/>
      <w:szCs w:val="20"/>
    </w:rPr>
  </w:style>
  <w:style w:type="paragraph" w:customStyle="1" w:styleId="16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标题1-附件"/>
    <w:basedOn w:val="2"/>
    <w:qFormat/>
    <w:uiPriority w:val="0"/>
    <w:pPr>
      <w:jc w:val="left"/>
    </w:pPr>
    <w:rPr>
      <w:sz w:val="24"/>
      <w:szCs w:val="24"/>
    </w:rPr>
  </w:style>
  <w:style w:type="paragraph" w:customStyle="1" w:styleId="168">
    <w:name w:val="Char3"/>
    <w:basedOn w:val="1"/>
    <w:qFormat/>
    <w:uiPriority w:val="0"/>
    <w:pPr>
      <w:tabs>
        <w:tab w:val="left" w:pos="360"/>
      </w:tabs>
    </w:pPr>
    <w:rPr>
      <w:sz w:val="24"/>
    </w:rPr>
  </w:style>
  <w:style w:type="paragraph" w:customStyle="1" w:styleId="16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2">
    <w:name w:val="表格1"/>
    <w:basedOn w:val="1"/>
    <w:qFormat/>
    <w:uiPriority w:val="0"/>
    <w:pPr>
      <w:ind w:firstLine="480" w:firstLineChars="200"/>
      <w:jc w:val="center"/>
    </w:pPr>
    <w:rPr>
      <w:sz w:val="24"/>
      <w:szCs w:val="20"/>
    </w:rPr>
  </w:style>
  <w:style w:type="paragraph" w:customStyle="1" w:styleId="173">
    <w:name w:val="字元 字元2"/>
    <w:basedOn w:val="1"/>
    <w:qFormat/>
    <w:uiPriority w:val="0"/>
    <w:rPr>
      <w:rFonts w:ascii="Tahoma" w:hAnsi="Tahoma"/>
      <w:sz w:val="24"/>
      <w:szCs w:val="20"/>
    </w:rPr>
  </w:style>
  <w:style w:type="paragraph" w:customStyle="1" w:styleId="174">
    <w:name w:val="Char3 Char Char Char2"/>
    <w:basedOn w:val="1"/>
    <w:qFormat/>
    <w:uiPriority w:val="0"/>
    <w:rPr>
      <w:rFonts w:ascii="Tahoma" w:hAnsi="Tahoma"/>
      <w:sz w:val="24"/>
      <w:szCs w:val="20"/>
    </w:rPr>
  </w:style>
  <w:style w:type="paragraph" w:customStyle="1" w:styleId="17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6">
    <w:name w:val="列出段落2"/>
    <w:basedOn w:val="1"/>
    <w:qFormat/>
    <w:uiPriority w:val="0"/>
    <w:pPr>
      <w:ind w:firstLine="420" w:firstLineChars="200"/>
    </w:pPr>
    <w:rPr>
      <w:rFonts w:ascii="Calibri" w:hAnsi="Calibri"/>
      <w:szCs w:val="22"/>
    </w:rPr>
  </w:style>
  <w:style w:type="paragraph" w:customStyle="1" w:styleId="177">
    <w:name w:val="Char Char Char1 Char2"/>
    <w:basedOn w:val="1"/>
    <w:qFormat/>
    <w:uiPriority w:val="0"/>
    <w:rPr>
      <w:rFonts w:ascii="Tahoma" w:hAnsi="Tahoma"/>
      <w:sz w:val="24"/>
      <w:szCs w:val="20"/>
    </w:rPr>
  </w:style>
  <w:style w:type="paragraph" w:customStyle="1" w:styleId="178">
    <w:name w:val="Char Char Char2"/>
    <w:basedOn w:val="1"/>
    <w:qFormat/>
    <w:uiPriority w:val="0"/>
    <w:rPr>
      <w:rFonts w:ascii="Tahoma" w:hAnsi="Tahoma"/>
      <w:sz w:val="24"/>
      <w:szCs w:val="20"/>
    </w:rPr>
  </w:style>
  <w:style w:type="paragraph" w:customStyle="1" w:styleId="17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1">
    <w:name w:val="Revision"/>
    <w:qFormat/>
    <w:uiPriority w:val="0"/>
    <w:rPr>
      <w:rFonts w:ascii="Times New Roman" w:hAnsi="Times New Roman" w:eastAsia="宋体" w:cs="Times New Roman"/>
      <w:kern w:val="2"/>
      <w:sz w:val="21"/>
      <w:szCs w:val="24"/>
      <w:lang w:val="en-US" w:eastAsia="zh-CN" w:bidi="ar-SA"/>
    </w:rPr>
  </w:style>
  <w:style w:type="paragraph" w:customStyle="1" w:styleId="182">
    <w:name w:val="Char Char Char Char Char Char Char Char Char Char2"/>
    <w:basedOn w:val="1"/>
    <w:qFormat/>
    <w:uiPriority w:val="0"/>
    <w:rPr>
      <w:rFonts w:ascii="宋体" w:hAnsi="宋体" w:cs="Courier New"/>
      <w:sz w:val="32"/>
      <w:szCs w:val="32"/>
    </w:rPr>
  </w:style>
  <w:style w:type="paragraph" w:customStyle="1" w:styleId="183">
    <w:name w:val="Char2 Char Char Char Char Char Char1"/>
    <w:basedOn w:val="1"/>
    <w:qFormat/>
    <w:uiPriority w:val="0"/>
    <w:pPr>
      <w:widowControl/>
      <w:spacing w:line="400" w:lineRule="exact"/>
      <w:jc w:val="center"/>
    </w:pPr>
  </w:style>
  <w:style w:type="paragraph" w:customStyle="1" w:styleId="184">
    <w:name w:val="Char Char41"/>
    <w:basedOn w:val="1"/>
    <w:qFormat/>
    <w:uiPriority w:val="0"/>
    <w:pPr>
      <w:widowControl/>
      <w:spacing w:line="400" w:lineRule="exact"/>
      <w:jc w:val="center"/>
    </w:pPr>
  </w:style>
  <w:style w:type="paragraph" w:customStyle="1" w:styleId="18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6">
    <w:name w:val="标题 1 Char"/>
    <w:link w:val="2"/>
    <w:qFormat/>
    <w:uiPriority w:val="0"/>
    <w:rPr>
      <w:rFonts w:ascii="宋体"/>
      <w:b/>
      <w:kern w:val="44"/>
      <w:sz w:val="32"/>
    </w:rPr>
  </w:style>
  <w:style w:type="character" w:customStyle="1" w:styleId="187">
    <w:name w:val="标题 2 Char1"/>
    <w:link w:val="3"/>
    <w:qFormat/>
    <w:uiPriority w:val="0"/>
    <w:rPr>
      <w:rFonts w:ascii="Arial" w:hAnsi="Arial" w:eastAsia="黑体"/>
      <w:b/>
      <w:sz w:val="30"/>
      <w:lang w:val="en-US" w:eastAsia="zh-CN" w:bidi="ar-SA"/>
    </w:rPr>
  </w:style>
  <w:style w:type="character" w:customStyle="1" w:styleId="188">
    <w:name w:val="标题 3 Char1"/>
    <w:link w:val="4"/>
    <w:qFormat/>
    <w:uiPriority w:val="0"/>
    <w:rPr>
      <w:rFonts w:ascii="宋体" w:eastAsia="宋体"/>
      <w:b/>
      <w:sz w:val="24"/>
      <w:u w:val="single"/>
      <w:lang w:val="en-US" w:eastAsia="zh-CN" w:bidi="ar-SA"/>
    </w:rPr>
  </w:style>
  <w:style w:type="character" w:customStyle="1" w:styleId="189">
    <w:name w:val="正文缩进 Char1"/>
    <w:link w:val="5"/>
    <w:qFormat/>
    <w:uiPriority w:val="0"/>
    <w:rPr>
      <w:rFonts w:ascii="宋体" w:eastAsia="宋体"/>
      <w:kern w:val="2"/>
      <w:sz w:val="24"/>
      <w:szCs w:val="24"/>
      <w:lang w:val="en-US" w:eastAsia="zh-CN" w:bidi="ar-SA"/>
    </w:rPr>
  </w:style>
  <w:style w:type="character" w:customStyle="1" w:styleId="190">
    <w:name w:val="标题 4 Char"/>
    <w:link w:val="6"/>
    <w:qFormat/>
    <w:uiPriority w:val="0"/>
    <w:rPr>
      <w:sz w:val="24"/>
    </w:rPr>
  </w:style>
  <w:style w:type="character" w:customStyle="1" w:styleId="191">
    <w:name w:val="标题 5 Char"/>
    <w:link w:val="7"/>
    <w:qFormat/>
    <w:uiPriority w:val="0"/>
    <w:rPr>
      <w:b/>
      <w:sz w:val="28"/>
    </w:rPr>
  </w:style>
  <w:style w:type="character" w:customStyle="1" w:styleId="192">
    <w:name w:val="标题 6 Char"/>
    <w:link w:val="8"/>
    <w:qFormat/>
    <w:uiPriority w:val="0"/>
    <w:rPr>
      <w:rFonts w:ascii="Arial" w:hAnsi="Arial" w:eastAsia="黑体"/>
      <w:b/>
      <w:sz w:val="24"/>
    </w:rPr>
  </w:style>
  <w:style w:type="character" w:customStyle="1" w:styleId="193">
    <w:name w:val="标题 7 Char"/>
    <w:link w:val="9"/>
    <w:qFormat/>
    <w:uiPriority w:val="0"/>
    <w:rPr>
      <w:b/>
      <w:sz w:val="24"/>
    </w:rPr>
  </w:style>
  <w:style w:type="character" w:customStyle="1" w:styleId="194">
    <w:name w:val="标题 8 Char"/>
    <w:link w:val="10"/>
    <w:qFormat/>
    <w:uiPriority w:val="0"/>
    <w:rPr>
      <w:rFonts w:ascii="Arial" w:hAnsi="Arial" w:eastAsia="黑体"/>
      <w:sz w:val="24"/>
    </w:rPr>
  </w:style>
  <w:style w:type="character" w:customStyle="1" w:styleId="195">
    <w:name w:val="标题 9 Char"/>
    <w:link w:val="11"/>
    <w:qFormat/>
    <w:uiPriority w:val="0"/>
    <w:rPr>
      <w:rFonts w:ascii="Arial" w:hAnsi="Arial" w:eastAsia="黑体"/>
      <w:sz w:val="21"/>
    </w:rPr>
  </w:style>
  <w:style w:type="character" w:customStyle="1" w:styleId="196">
    <w:name w:val="文档结构图 Char"/>
    <w:link w:val="14"/>
    <w:qFormat/>
    <w:uiPriority w:val="0"/>
    <w:rPr>
      <w:kern w:val="2"/>
      <w:sz w:val="21"/>
      <w:szCs w:val="24"/>
      <w:shd w:val="clear" w:color="auto" w:fill="000080"/>
    </w:rPr>
  </w:style>
  <w:style w:type="character" w:customStyle="1" w:styleId="197">
    <w:name w:val="批注文字 Char1"/>
    <w:link w:val="15"/>
    <w:qFormat/>
    <w:uiPriority w:val="99"/>
    <w:rPr>
      <w:kern w:val="2"/>
      <w:sz w:val="21"/>
      <w:szCs w:val="24"/>
    </w:rPr>
  </w:style>
  <w:style w:type="character" w:customStyle="1" w:styleId="198">
    <w:name w:val="正文文本 3 Char"/>
    <w:link w:val="16"/>
    <w:qFormat/>
    <w:uiPriority w:val="0"/>
    <w:rPr>
      <w:kern w:val="2"/>
      <w:sz w:val="16"/>
      <w:szCs w:val="16"/>
    </w:rPr>
  </w:style>
  <w:style w:type="character" w:customStyle="1" w:styleId="199">
    <w:name w:val="正文文本 Char"/>
    <w:link w:val="17"/>
    <w:qFormat/>
    <w:uiPriority w:val="0"/>
    <w:rPr>
      <w:rFonts w:ascii="宋体" w:hAnsi="宋体"/>
      <w:kern w:val="2"/>
      <w:sz w:val="24"/>
      <w:szCs w:val="24"/>
    </w:rPr>
  </w:style>
  <w:style w:type="character" w:customStyle="1" w:styleId="200">
    <w:name w:val="正文文本缩进 Char2"/>
    <w:link w:val="19"/>
    <w:qFormat/>
    <w:uiPriority w:val="0"/>
    <w:rPr>
      <w:rFonts w:eastAsia="宋体"/>
      <w:kern w:val="2"/>
      <w:sz w:val="24"/>
      <w:szCs w:val="24"/>
      <w:lang w:val="en-US" w:eastAsia="zh-CN" w:bidi="ar-SA"/>
    </w:rPr>
  </w:style>
  <w:style w:type="character" w:customStyle="1" w:styleId="201">
    <w:name w:val="纯文本 Char"/>
    <w:link w:val="24"/>
    <w:qFormat/>
    <w:uiPriority w:val="0"/>
    <w:rPr>
      <w:rFonts w:hint="eastAsia" w:ascii="宋体" w:hAnsi="Courier New" w:eastAsia="宋体" w:cs="宋体"/>
      <w:kern w:val="2"/>
      <w:sz w:val="21"/>
    </w:rPr>
  </w:style>
  <w:style w:type="character" w:customStyle="1" w:styleId="202">
    <w:name w:val="日期 Char"/>
    <w:link w:val="26"/>
    <w:qFormat/>
    <w:uiPriority w:val="0"/>
    <w:rPr>
      <w:rFonts w:ascii="仿宋_GB2312" w:hAnsi="宋体" w:eastAsia="仿宋_GB2312"/>
      <w:color w:val="000000"/>
      <w:kern w:val="2"/>
      <w:sz w:val="24"/>
      <w:szCs w:val="24"/>
    </w:rPr>
  </w:style>
  <w:style w:type="character" w:customStyle="1" w:styleId="203">
    <w:name w:val="正文文本缩进 2 Char"/>
    <w:link w:val="27"/>
    <w:qFormat/>
    <w:uiPriority w:val="0"/>
    <w:rPr>
      <w:rFonts w:ascii="仿宋_GB2312" w:eastAsia="仿宋_GB2312"/>
      <w:kern w:val="2"/>
      <w:sz w:val="24"/>
      <w:szCs w:val="24"/>
    </w:rPr>
  </w:style>
  <w:style w:type="character" w:customStyle="1" w:styleId="204">
    <w:name w:val="批注框文本 Char"/>
    <w:link w:val="28"/>
    <w:qFormat/>
    <w:uiPriority w:val="0"/>
    <w:rPr>
      <w:kern w:val="2"/>
      <w:sz w:val="18"/>
      <w:szCs w:val="18"/>
    </w:rPr>
  </w:style>
  <w:style w:type="character" w:customStyle="1" w:styleId="205">
    <w:name w:val="页脚 Char1"/>
    <w:link w:val="29"/>
    <w:qFormat/>
    <w:uiPriority w:val="99"/>
    <w:rPr>
      <w:rFonts w:ascii="宋体" w:eastAsia="宋体"/>
      <w:sz w:val="18"/>
      <w:lang w:val="en-US" w:eastAsia="zh-CN" w:bidi="ar-SA"/>
    </w:rPr>
  </w:style>
  <w:style w:type="character" w:customStyle="1" w:styleId="206">
    <w:name w:val="页眉 Char1"/>
    <w:link w:val="30"/>
    <w:qFormat/>
    <w:uiPriority w:val="0"/>
    <w:rPr>
      <w:rFonts w:eastAsia="宋体"/>
      <w:kern w:val="2"/>
      <w:sz w:val="18"/>
      <w:szCs w:val="18"/>
      <w:lang w:val="en-US" w:eastAsia="zh-CN" w:bidi="ar-SA"/>
    </w:rPr>
  </w:style>
  <w:style w:type="character" w:customStyle="1" w:styleId="207">
    <w:name w:val="正文文本缩进 3 Char"/>
    <w:link w:val="34"/>
    <w:qFormat/>
    <w:uiPriority w:val="0"/>
    <w:rPr>
      <w:rFonts w:ascii="宋体"/>
      <w:sz w:val="24"/>
    </w:rPr>
  </w:style>
  <w:style w:type="character" w:customStyle="1" w:styleId="208">
    <w:name w:val="HTML 预设格式 Char"/>
    <w:link w:val="37"/>
    <w:qFormat/>
    <w:uiPriority w:val="0"/>
    <w:rPr>
      <w:rFonts w:ascii="宋体" w:hAnsi="宋体" w:cs="宋体"/>
      <w:sz w:val="24"/>
      <w:szCs w:val="24"/>
    </w:rPr>
  </w:style>
  <w:style w:type="character" w:customStyle="1" w:styleId="209">
    <w:name w:val="标题 Char1"/>
    <w:link w:val="40"/>
    <w:qFormat/>
    <w:uiPriority w:val="0"/>
    <w:rPr>
      <w:b/>
      <w:kern w:val="2"/>
      <w:sz w:val="32"/>
    </w:rPr>
  </w:style>
  <w:style w:type="character" w:customStyle="1" w:styleId="210">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11">
    <w:name w:val="正文首行缩进 2 Char"/>
    <w:link w:val="42"/>
    <w:qFormat/>
    <w:uiPriority w:val="0"/>
    <w:rPr>
      <w:rFonts w:eastAsia="宋体"/>
      <w:kern w:val="2"/>
      <w:sz w:val="24"/>
      <w:szCs w:val="24"/>
      <w:lang w:val="en-US" w:eastAsia="zh-CN" w:bidi="ar-SA"/>
    </w:rPr>
  </w:style>
  <w:style w:type="character" w:customStyle="1" w:styleId="212">
    <w:name w:val="c21"/>
    <w:qFormat/>
    <w:uiPriority w:val="0"/>
    <w:rPr>
      <w:rFonts w:hint="default" w:ascii="ˎ̥" w:hAnsi="ˎ̥"/>
      <w:color w:val="000000"/>
      <w:sz w:val="20"/>
      <w:szCs w:val="20"/>
      <w:u w:val="none"/>
    </w:rPr>
  </w:style>
  <w:style w:type="character" w:customStyle="1" w:styleId="213">
    <w:name w:val="批注文字 Char"/>
    <w:qFormat/>
    <w:uiPriority w:val="99"/>
    <w:rPr>
      <w:kern w:val="2"/>
      <w:sz w:val="21"/>
      <w:szCs w:val="24"/>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注释 Char"/>
    <w:link w:val="56"/>
    <w:qFormat/>
    <w:uiPriority w:val="0"/>
    <w:rPr>
      <w:rFonts w:ascii="宋体" w:hAnsi="宋体"/>
      <w:kern w:val="2"/>
      <w:sz w:val="21"/>
      <w:szCs w:val="21"/>
    </w:rPr>
  </w:style>
  <w:style w:type="character" w:customStyle="1" w:styleId="216">
    <w:name w:val="cf01"/>
    <w:qFormat/>
    <w:uiPriority w:val="0"/>
    <w:rPr>
      <w:rFonts w:hint="eastAsia" w:ascii="Microsoft YaHei UI" w:hAnsi="Microsoft YaHei UI" w:eastAsia="Microsoft YaHei UI"/>
      <w:sz w:val="18"/>
      <w:szCs w:val="18"/>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标题 2 Char Char"/>
    <w:qFormat/>
    <w:uiPriority w:val="0"/>
    <w:rPr>
      <w:rFonts w:ascii="Arial" w:hAnsi="Arial" w:eastAsia="黑体"/>
      <w:b/>
      <w:bCs/>
      <w:kern w:val="2"/>
      <w:sz w:val="32"/>
      <w:szCs w:val="32"/>
      <w:lang w:val="en-US" w:eastAsia="zh-CN" w:bidi="ar-SA"/>
    </w:rPr>
  </w:style>
  <w:style w:type="character" w:customStyle="1" w:styleId="219">
    <w:name w:val="chanpin1"/>
    <w:qFormat/>
    <w:uiPriority w:val="0"/>
    <w:rPr>
      <w:rFonts w:hint="default" w:ascii="ˎ̥" w:hAnsi="ˎ̥"/>
      <w:color w:val="000000"/>
      <w:sz w:val="20"/>
      <w:szCs w:val="20"/>
      <w:u w:val="none"/>
    </w:rPr>
  </w:style>
  <w:style w:type="character" w:customStyle="1" w:styleId="220">
    <w:name w:val="txt"/>
    <w:qFormat/>
    <w:uiPriority w:val="0"/>
  </w:style>
  <w:style w:type="character" w:customStyle="1" w:styleId="221">
    <w:name w:val="正文文本缩进 Char1"/>
    <w:link w:val="57"/>
    <w:qFormat/>
    <w:uiPriority w:val="0"/>
    <w:rPr>
      <w:rFonts w:ascii="宋体" w:hAnsi="宋体" w:eastAsia="宋体"/>
      <w:sz w:val="24"/>
      <w:szCs w:val="24"/>
      <w:lang w:bidi="ar-SA"/>
    </w:rPr>
  </w:style>
  <w:style w:type="character" w:customStyle="1" w:styleId="222">
    <w:name w:val="普通文字1 Char1"/>
    <w:qFormat/>
    <w:uiPriority w:val="0"/>
    <w:rPr>
      <w:rFonts w:ascii="宋体" w:hAnsi="Courier New" w:eastAsia="宋体"/>
      <w:kern w:val="2"/>
      <w:sz w:val="21"/>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大标题 Char"/>
    <w:link w:val="58"/>
    <w:qFormat/>
    <w:uiPriority w:val="0"/>
    <w:rPr>
      <w:rFonts w:ascii="宋体" w:hAnsi="宋体"/>
      <w:b/>
      <w:color w:val="000000"/>
      <w:kern w:val="2"/>
      <w:sz w:val="28"/>
      <w:szCs w:val="21"/>
    </w:rPr>
  </w:style>
  <w:style w:type="character" w:customStyle="1" w:styleId="225">
    <w:name w:val="正文小标题 Char"/>
    <w:link w:val="59"/>
    <w:qFormat/>
    <w:uiPriority w:val="0"/>
    <w:rPr>
      <w:rFonts w:ascii="宋体" w:hAnsi="宋体"/>
      <w:b/>
      <w:i/>
      <w:color w:val="FF0000"/>
      <w:kern w:val="2"/>
      <w:sz w:val="24"/>
    </w:rPr>
  </w:style>
  <w:style w:type="character" w:customStyle="1" w:styleId="226">
    <w:name w:val="纯文本 Char1"/>
    <w:qFormat/>
    <w:uiPriority w:val="0"/>
    <w:rPr>
      <w:rFonts w:ascii="宋体" w:hAnsi="Courier New" w:eastAsia="宋体"/>
      <w:kern w:val="2"/>
      <w:sz w:val="21"/>
      <w:lang w:val="en-US" w:eastAsia="zh-CN" w:bidi="ar-SA"/>
    </w:rPr>
  </w:style>
  <w:style w:type="character" w:customStyle="1" w:styleId="227">
    <w:name w:val="列出段落 Char1"/>
    <w:link w:val="60"/>
    <w:qFormat/>
    <w:uiPriority w:val="34"/>
    <w:rPr>
      <w:rFonts w:ascii="Calibri" w:hAnsi="Calibri" w:eastAsia="宋体"/>
      <w:kern w:val="2"/>
      <w:sz w:val="21"/>
      <w:szCs w:val="22"/>
      <w:lang w:val="en-US" w:eastAsia="zh-CN" w:bidi="ar-SA"/>
    </w:rPr>
  </w:style>
  <w:style w:type="character" w:customStyle="1" w:styleId="228">
    <w:name w:val="正文格式 Char"/>
    <w:link w:val="61"/>
    <w:qFormat/>
    <w:locked/>
    <w:uiPriority w:val="0"/>
    <w:rPr>
      <w:rFonts w:ascii="宋体" w:hAnsi="宋体"/>
      <w:sz w:val="24"/>
      <w:szCs w:val="24"/>
      <w:lang w:val="en-GB"/>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正文文本缩进 Char"/>
    <w:qFormat/>
    <w:uiPriority w:val="0"/>
    <w:rPr>
      <w:rFonts w:eastAsia="宋体"/>
      <w:kern w:val="2"/>
      <w:sz w:val="24"/>
      <w:szCs w:val="24"/>
      <w:lang w:val="en-US" w:eastAsia="zh-CN" w:bidi="ar-SA"/>
    </w:rPr>
  </w:style>
  <w:style w:type="character" w:customStyle="1" w:styleId="233">
    <w:name w:val="页脚 Char"/>
    <w:qFormat/>
    <w:uiPriority w:val="0"/>
    <w:rPr>
      <w:rFonts w:ascii="宋体" w:eastAsia="宋体"/>
      <w:sz w:val="18"/>
      <w:lang w:val="en-US" w:eastAsia="zh-CN" w:bidi="ar-SA"/>
    </w:rPr>
  </w:style>
  <w:style w:type="character" w:customStyle="1" w:styleId="234">
    <w:name w:val="cf21"/>
    <w:qFormat/>
    <w:uiPriority w:val="0"/>
    <w:rPr>
      <w:rFonts w:hint="eastAsia" w:ascii="Microsoft YaHei UI" w:hAnsi="Microsoft YaHei UI" w:eastAsia="Microsoft YaHei UI"/>
      <w:sz w:val="18"/>
      <w:szCs w:val="18"/>
      <w:shd w:val="clear" w:color="auto" w:fill="FFFFFF"/>
    </w:rPr>
  </w:style>
  <w:style w:type="character" w:customStyle="1" w:styleId="235">
    <w:name w:val="street-address"/>
    <w:qFormat/>
    <w:uiPriority w:val="0"/>
  </w:style>
  <w:style w:type="character" w:customStyle="1" w:styleId="236">
    <w:name w:val="正文缩进 Char Char"/>
    <w:link w:val="62"/>
    <w:qFormat/>
    <w:uiPriority w:val="0"/>
    <w:rPr>
      <w:rFonts w:ascii="宋体" w:eastAsia="宋体"/>
      <w:snapToGrid w:val="0"/>
      <w:color w:val="000000"/>
      <w:kern w:val="28"/>
      <w:sz w:val="28"/>
      <w:lang w:bidi="ar-SA"/>
    </w:rPr>
  </w:style>
  <w:style w:type="character" w:customStyle="1" w:styleId="237">
    <w:name w:val="Char Char11"/>
    <w:qFormat/>
    <w:uiPriority w:val="0"/>
    <w:rPr>
      <w:rFonts w:ascii="宋体" w:eastAsia="宋体"/>
      <w:b/>
      <w:sz w:val="24"/>
      <w:u w:val="single"/>
      <w:lang w:val="en-US" w:eastAsia="zh-CN" w:bidi="ar-SA"/>
    </w:rPr>
  </w:style>
  <w:style w:type="character" w:customStyle="1" w:styleId="238">
    <w:name w:val="title4"/>
    <w:qFormat/>
    <w:uiPriority w:val="0"/>
    <w:rPr>
      <w:b/>
      <w:bCs/>
      <w:color w:val="1D87B3"/>
      <w:sz w:val="15"/>
      <w:szCs w:val="15"/>
    </w:rPr>
  </w:style>
  <w:style w:type="character" w:customStyle="1" w:styleId="239">
    <w:name w:val="正文表格 Char"/>
    <w:link w:val="63"/>
    <w:qFormat/>
    <w:uiPriority w:val="0"/>
    <w:rPr>
      <w:rFonts w:ascii="宋体" w:hAnsi="宋体"/>
      <w:color w:val="000000"/>
      <w:kern w:val="2"/>
      <w:sz w:val="21"/>
      <w:szCs w:val="21"/>
    </w:rPr>
  </w:style>
  <w:style w:type="character" w:customStyle="1" w:styleId="240">
    <w:name w:val="正文重点 Char"/>
    <w:link w:val="64"/>
    <w:qFormat/>
    <w:uiPriority w:val="0"/>
    <w:rPr>
      <w:b/>
      <w:sz w:val="24"/>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5"/>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9883</Words>
  <Characters>10606</Characters>
  <Lines>252</Lines>
  <Paragraphs>71</Paragraphs>
  <TotalTime>98</TotalTime>
  <ScaleCrop>false</ScaleCrop>
  <LinksUpToDate>false</LinksUpToDate>
  <CharactersWithSpaces>10720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2024-06-07T01:36:00Z</dcterms:created>
  <dc:creator>Yin Hao</dc:creator>
  <cp:lastModifiedBy>user</cp:lastModifiedBy>
  <cp:lastPrinted>2020-04-03T19:13:00Z</cp:lastPrinted>
  <dcterms:modified xsi:type="dcterms:W3CDTF">2026-01-16T01:41:59Z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27475EE0F52870D1DF4B5F69810FB0A0</vt:lpwstr>
  </property>
  <property fmtid="{D5CDD505-2E9C-101B-9397-08002B2CF9AE}" pid="4" name="KSOTemplateDocerSaveRecord">
    <vt:lpwstr>eyJoZGlkIjoiZDY2ZGE0NTNjMjczYjk4NjU0NDRhYjBhMjQwOTk3ZjUiLCJ1c2VySWQiOiI1ODk3MTQzNjQifQ==</vt:lpwstr>
  </property>
</Properties>
</file>