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outlineLvl w:val="0"/>
        <w:rPr>
          <w:b/>
          <w:sz w:val="36"/>
          <w:szCs w:val="36"/>
        </w:rPr>
      </w:pPr>
      <w:bookmarkStart w:id="3" w:name="_GoBack"/>
      <w:bookmarkEnd w:id="3"/>
      <w:bookmarkStart w:id="0" w:name="_Toc99301424"/>
      <w:r>
        <w:rPr>
          <w:b/>
          <w:sz w:val="36"/>
          <w:szCs w:val="36"/>
        </w:rPr>
        <w:t>采购需求</w:t>
      </w:r>
      <w:bookmarkEnd w:id="0"/>
    </w:p>
    <w:p>
      <w:pPr>
        <w:pStyle w:val="279"/>
        <w:spacing w:line="400" w:lineRule="exact"/>
        <w:ind w:left="0" w:firstLine="0"/>
        <w:rPr>
          <w:rFonts w:hint="eastAsia" w:hAnsi="宋体" w:eastAsia="宋体" w:cs="宋体"/>
          <w:b/>
          <w:sz w:val="24"/>
          <w:szCs w:val="24"/>
        </w:rPr>
      </w:pPr>
      <w:r>
        <w:rPr>
          <w:rFonts w:hint="eastAsia" w:hAnsi="宋体" w:eastAsia="宋体" w:cs="宋体"/>
          <w:b/>
          <w:sz w:val="24"/>
          <w:szCs w:val="24"/>
          <w:lang w:val="en-US" w:eastAsia="zh-CN"/>
        </w:rPr>
        <w:t>一、</w:t>
      </w:r>
      <w:r>
        <w:rPr>
          <w:rFonts w:hint="eastAsia" w:hAnsi="宋体" w:eastAsia="宋体" w:cs="宋体"/>
          <w:b/>
          <w:sz w:val="24"/>
          <w:szCs w:val="24"/>
        </w:rPr>
        <w:t>采购清单</w:t>
      </w:r>
    </w:p>
    <w:tbl>
      <w:tblPr>
        <w:tblStyle w:val="53"/>
        <w:tblW w:w="8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3300"/>
        <w:gridCol w:w="1222"/>
        <w:gridCol w:w="859"/>
        <w:gridCol w:w="181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noWrap w:val="0"/>
            <w:vAlign w:val="center"/>
          </w:tcPr>
          <w:p>
            <w:pPr>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3300" w:type="dxa"/>
            <w:noWrap w:val="0"/>
            <w:vAlign w:val="center"/>
          </w:tcPr>
          <w:p>
            <w:pPr>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采购标的名称</w:t>
            </w:r>
          </w:p>
        </w:tc>
        <w:tc>
          <w:tcPr>
            <w:tcW w:w="1222" w:type="dxa"/>
            <w:noWrap w:val="0"/>
            <w:vAlign w:val="center"/>
          </w:tcPr>
          <w:p>
            <w:pPr>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859" w:type="dxa"/>
            <w:noWrap w:val="0"/>
            <w:vAlign w:val="center"/>
          </w:tcPr>
          <w:p>
            <w:pPr>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单位</w:t>
            </w:r>
          </w:p>
        </w:tc>
        <w:tc>
          <w:tcPr>
            <w:tcW w:w="1816" w:type="dxa"/>
            <w:noWrap w:val="0"/>
            <w:vAlign w:val="center"/>
          </w:tcPr>
          <w:p>
            <w:pPr>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金额</w:t>
            </w:r>
          </w:p>
        </w:tc>
        <w:tc>
          <w:tcPr>
            <w:tcW w:w="806" w:type="dxa"/>
            <w:noWrap w:val="0"/>
            <w:vAlign w:val="center"/>
          </w:tcPr>
          <w:p>
            <w:pPr>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3300" w:type="dxa"/>
            <w:noWrap w:val="0"/>
            <w:vAlign w:val="top"/>
          </w:tcPr>
          <w:p>
            <w:pPr>
              <w:spacing w:line="400" w:lineRule="exact"/>
              <w:jc w:val="both"/>
              <w:rPr>
                <w:rFonts w:hint="eastAsia" w:ascii="宋体" w:hAnsi="宋体" w:eastAsia="宋体" w:cs="宋体"/>
                <w:sz w:val="24"/>
                <w:szCs w:val="24"/>
              </w:rPr>
            </w:pPr>
            <w:r>
              <w:rPr>
                <w:rFonts w:hint="eastAsia" w:ascii="宋体" w:hAnsi="宋体" w:eastAsia="宋体" w:cs="宋体"/>
                <w:sz w:val="24"/>
                <w:szCs w:val="24"/>
              </w:rPr>
              <w:t>中国共产党早期北京革命活动纪念馆</w:t>
            </w:r>
            <w:r>
              <w:rPr>
                <w:rFonts w:hint="eastAsia" w:ascii="宋体" w:hAnsi="宋体" w:eastAsia="宋体" w:cs="宋体"/>
                <w:sz w:val="24"/>
                <w:szCs w:val="24"/>
                <w:lang w:val="en-US" w:eastAsia="zh-CN"/>
              </w:rPr>
              <w:t>2026年</w:t>
            </w:r>
            <w:r>
              <w:rPr>
                <w:rFonts w:hint="eastAsia" w:ascii="宋体" w:hAnsi="宋体" w:eastAsia="宋体" w:cs="宋体"/>
                <w:color w:val="000000"/>
                <w:sz w:val="24"/>
                <w:szCs w:val="24"/>
                <w:lang w:val="en-US" w:eastAsia="zh-CN"/>
              </w:rPr>
              <w:t>综合物业服务采购</w:t>
            </w:r>
            <w:r>
              <w:rPr>
                <w:rFonts w:hint="eastAsia" w:ascii="宋体" w:hAnsi="宋体" w:eastAsia="宋体" w:cs="宋体"/>
                <w:color w:val="000000"/>
                <w:sz w:val="24"/>
                <w:szCs w:val="24"/>
              </w:rPr>
              <w:t>项目</w:t>
            </w:r>
          </w:p>
        </w:tc>
        <w:tc>
          <w:tcPr>
            <w:tcW w:w="1222"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859"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项</w:t>
            </w:r>
          </w:p>
        </w:tc>
        <w:tc>
          <w:tcPr>
            <w:tcW w:w="1816" w:type="dxa"/>
            <w:noWrap w:val="0"/>
            <w:vAlign w:val="center"/>
          </w:tcPr>
          <w:p>
            <w:pPr>
              <w:widowControl/>
              <w:spacing w:line="400" w:lineRule="exact"/>
              <w:jc w:val="center"/>
              <w:textAlignment w:val="center"/>
              <w:rPr>
                <w:rFonts w:hint="eastAsia" w:ascii="宋体" w:hAnsi="宋体" w:eastAsia="宋体" w:cs="宋体"/>
                <w:color w:val="FF0000"/>
                <w:sz w:val="24"/>
                <w:szCs w:val="24"/>
              </w:rPr>
            </w:pPr>
            <w:r>
              <w:rPr>
                <w:rFonts w:hint="eastAsia" w:ascii="宋体" w:hAnsi="宋体" w:eastAsia="宋体" w:cs="宋体"/>
                <w:color w:val="auto"/>
                <w:sz w:val="24"/>
                <w:szCs w:val="24"/>
                <w:lang w:val="en-US" w:eastAsia="zh-CN" w:bidi="ar"/>
              </w:rPr>
              <w:t>759.140221</w:t>
            </w:r>
            <w:r>
              <w:rPr>
                <w:rFonts w:hint="eastAsia" w:ascii="宋体" w:hAnsi="宋体" w:eastAsia="宋体" w:cs="宋体"/>
                <w:color w:val="auto"/>
                <w:sz w:val="24"/>
                <w:szCs w:val="24"/>
                <w:lang w:bidi="ar"/>
              </w:rPr>
              <w:t>万元</w:t>
            </w:r>
          </w:p>
        </w:tc>
        <w:tc>
          <w:tcPr>
            <w:tcW w:w="806" w:type="dxa"/>
            <w:noWrap w:val="0"/>
            <w:vAlign w:val="top"/>
          </w:tcPr>
          <w:p>
            <w:pPr>
              <w:spacing w:line="400" w:lineRule="exact"/>
              <w:jc w:val="both"/>
              <w:rPr>
                <w:rFonts w:hint="eastAsia" w:ascii="宋体" w:hAnsi="宋体" w:eastAsia="宋体" w:cs="宋体"/>
                <w:sz w:val="24"/>
                <w:szCs w:val="24"/>
              </w:rPr>
            </w:pPr>
          </w:p>
        </w:tc>
      </w:tr>
    </w:tbl>
    <w:p>
      <w:pPr>
        <w:pStyle w:val="279"/>
        <w:spacing w:line="400" w:lineRule="exact"/>
        <w:ind w:left="0" w:firstLine="0"/>
        <w:rPr>
          <w:rFonts w:hint="eastAsia" w:hAnsi="宋体" w:eastAsia="宋体" w:cs="宋体"/>
          <w:b/>
          <w:sz w:val="24"/>
          <w:szCs w:val="24"/>
        </w:rPr>
      </w:pPr>
      <w:r>
        <w:rPr>
          <w:rFonts w:hint="eastAsia" w:hAnsi="宋体" w:eastAsia="宋体" w:cs="宋体"/>
          <w:b/>
          <w:sz w:val="24"/>
          <w:szCs w:val="24"/>
        </w:rPr>
        <w:t>二、项目背景或简况</w:t>
      </w:r>
    </w:p>
    <w:p>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该项目为北大红楼馆区和蒙藏学校旧址馆区的安保、保洁业务，保障北大红楼馆区约11000平方米、蒙藏学校旧址馆区约11800平方米及两个馆区门前三包区域的安保</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保洁</w:t>
      </w:r>
      <w:r>
        <w:rPr>
          <w:rFonts w:hint="eastAsia" w:ascii="宋体" w:hAnsi="宋体" w:eastAsia="宋体" w:cs="宋体"/>
          <w:color w:val="000000"/>
          <w:sz w:val="24"/>
          <w:szCs w:val="24"/>
          <w:lang w:val="en-US" w:eastAsia="zh-CN"/>
        </w:rPr>
        <w:t>及部分绿化服务</w:t>
      </w:r>
      <w:r>
        <w:rPr>
          <w:rFonts w:hint="eastAsia" w:ascii="宋体" w:hAnsi="宋体" w:eastAsia="宋体" w:cs="宋体"/>
          <w:color w:val="000000"/>
          <w:sz w:val="24"/>
          <w:szCs w:val="24"/>
        </w:rPr>
        <w:t>。</w:t>
      </w:r>
    </w:p>
    <w:p>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（一）北大红楼馆区</w:t>
      </w:r>
    </w:p>
    <w:p>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北大红楼位于东城区五四大街29号，是国务院公布的第一批全国重点文物保护单位，建筑面积约11000平方米，是五四运动的策源地、新文化运动的发生地、马克思主义在中国早期传播的主阵地，也是中国共产党的主要孕育地，在党史上的地位十分重要。自2021年起，依托北大红楼，中国共产党早期北京革命活动纪念馆成立，并负责承担北大红楼遗址保护、文物管理、展览展陈等工作。</w:t>
      </w:r>
    </w:p>
    <w:p>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（二）蒙藏学校旧址馆区</w:t>
      </w:r>
    </w:p>
    <w:p>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蒙藏学校旧址位于西城区小石虎胡同33号，是国家级文保单位。现占地面积约11750㎡，文物古建面积约3227㎡，织补空间面积约1723㎡。蒙藏学校旧址属于文物古建，整体构造为砖木结构，造型为传统四合院形式。西院展出“中华一脉 同心筑梦——中国共产党民族工作光辉历程和伟大成就”主题展，并延时开放；东院为中华民族共同体体验馆。蒙藏学校旧址地处长安街核心地带和西单商业繁华区，地理位置特殊又有民族类展览，经常会有涉及民族、宗教单位或个人到此参观，所以不仅安全生产任务重，意识形态安全也十分重要，对安保和保洁提出了更高的要求。</w:t>
      </w:r>
    </w:p>
    <w:p>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为保障对外开放参观，进一步提升公众服务水平，我馆需配以专业保安、保洁服务人员，保障日常工作有序开展，实现以品牌服务纪念馆、服务社会的综合效益，满足观众的参观需求。</w:t>
      </w:r>
    </w:p>
    <w:p>
      <w:pPr>
        <w:numPr>
          <w:ilvl w:val="0"/>
          <w:numId w:val="8"/>
        </w:numPr>
        <w:spacing w:line="400" w:lineRule="exact"/>
        <w:outlineLvl w:val="0"/>
        <w:rPr>
          <w:rFonts w:hint="eastAsia" w:ascii="宋体" w:hAnsi="宋体" w:eastAsia="宋体" w:cs="宋体"/>
          <w:b/>
          <w:color w:val="000000"/>
          <w:sz w:val="24"/>
          <w:szCs w:val="24"/>
          <w:u w:val="none" w:color="000000"/>
        </w:rPr>
      </w:pPr>
      <w:r>
        <w:rPr>
          <w:rFonts w:hint="eastAsia" w:ascii="宋体" w:hAnsi="宋体" w:eastAsia="宋体" w:cs="宋体"/>
          <w:b/>
          <w:color w:val="000000"/>
          <w:sz w:val="24"/>
          <w:szCs w:val="24"/>
          <w:u w:val="none" w:color="000000"/>
        </w:rPr>
        <w:t>服务要求</w:t>
      </w:r>
    </w:p>
    <w:p>
      <w:pPr>
        <w:spacing w:line="400" w:lineRule="exact"/>
        <w:ind w:firstLine="480" w:firstLineChars="200"/>
        <w:outlineLvl w:val="9"/>
        <w:rPr>
          <w:rFonts w:hint="eastAsia" w:ascii="宋体" w:hAnsi="宋体" w:eastAsia="宋体" w:cs="宋体"/>
          <w:b w:val="0"/>
          <w:color w:val="000000"/>
          <w:sz w:val="24"/>
          <w:szCs w:val="24"/>
          <w:u w:val="none"/>
        </w:rPr>
      </w:pPr>
      <w:r>
        <w:rPr>
          <w:rFonts w:hint="eastAsia" w:ascii="宋体" w:hAnsi="宋体" w:eastAsia="宋体" w:cs="宋体"/>
          <w:color w:val="000000"/>
          <w:sz w:val="24"/>
          <w:szCs w:val="24"/>
        </w:rPr>
        <w:t>服务单位应保证项目服务岗位数量符合采购人需求，</w:t>
      </w:r>
      <w:r>
        <w:rPr>
          <w:rFonts w:hint="eastAsia" w:ascii="宋体" w:hAnsi="宋体" w:eastAsia="宋体" w:cs="宋体"/>
          <w:color w:val="000000"/>
          <w:sz w:val="24"/>
          <w:szCs w:val="24"/>
          <w:lang w:val="en-US" w:eastAsia="zh-CN"/>
        </w:rPr>
        <w:t>且每岗不少于1人。</w:t>
      </w:r>
      <w:r>
        <w:rPr>
          <w:rFonts w:hint="eastAsia" w:ascii="宋体" w:hAnsi="宋体" w:eastAsia="宋体" w:cs="宋体"/>
          <w:color w:val="000000"/>
          <w:sz w:val="24"/>
          <w:szCs w:val="24"/>
        </w:rPr>
        <w:t>要严格按照岗位安排人员，另外结合纪念馆常年开放</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含延时开放）和</w:t>
      </w:r>
      <w:r>
        <w:rPr>
          <w:rFonts w:hint="eastAsia" w:ascii="宋体" w:hAnsi="宋体" w:eastAsia="宋体" w:cs="宋体"/>
          <w:color w:val="000000"/>
          <w:sz w:val="24"/>
          <w:szCs w:val="24"/>
        </w:rPr>
        <w:t>无节假休息日等情况，需根据工时合理安排人员，不得缺岗、兼岗、空岗，且中标人应按国家相关规定与上述岗位安排的工作人员建立正式劳动或劳务关系并给职工缴纳社保，如为保障服务质量涉及岗位上工作人员增加或者人员加班、值班等，中标人应及时按国家有关规定支付相关费用。中标人不得出现因违法用工、不支付劳动报酬的情况影响采购人形象或正常运行。</w:t>
      </w:r>
    </w:p>
    <w:p>
      <w:pPr>
        <w:widowControl/>
        <w:spacing w:line="40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（一）人员要求</w:t>
      </w:r>
    </w:p>
    <w:tbl>
      <w:tblPr>
        <w:tblStyle w:val="53"/>
        <w:tblW w:w="894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6"/>
        <w:gridCol w:w="4353"/>
        <w:gridCol w:w="3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56" w:type="dxa"/>
            <w:noWrap w:val="0"/>
            <w:vAlign w:val="center"/>
          </w:tcPr>
          <w:p>
            <w:pPr>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需求岗位</w:t>
            </w:r>
          </w:p>
        </w:tc>
        <w:tc>
          <w:tcPr>
            <w:tcW w:w="4353" w:type="dxa"/>
            <w:noWrap w:val="0"/>
            <w:vAlign w:val="center"/>
          </w:tcPr>
          <w:p>
            <w:pPr>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人员要求</w:t>
            </w:r>
          </w:p>
        </w:tc>
        <w:tc>
          <w:tcPr>
            <w:tcW w:w="3236" w:type="dxa"/>
            <w:noWrap w:val="0"/>
            <w:vAlign w:val="center"/>
          </w:tcPr>
          <w:p>
            <w:pPr>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56" w:type="dxa"/>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消防中控室值守</w:t>
            </w:r>
          </w:p>
        </w:tc>
        <w:tc>
          <w:tcPr>
            <w:tcW w:w="4353" w:type="dxa"/>
            <w:noWrap w:val="0"/>
            <w:vAlign w:val="top"/>
          </w:tcPr>
          <w:p>
            <w:pPr>
              <w:spacing w:line="40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身体健康。</w:t>
            </w:r>
          </w:p>
          <w:p>
            <w:pPr>
              <w:spacing w:line="40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年龄要求：</w:t>
            </w:r>
            <w:r>
              <w:rPr>
                <w:rFonts w:hint="eastAsia" w:ascii="宋体" w:hAnsi="宋体" w:eastAsia="宋体" w:cs="宋体"/>
                <w:color w:val="auto"/>
                <w:sz w:val="24"/>
                <w:szCs w:val="24"/>
                <w:lang w:eastAsia="zh-CN"/>
              </w:rPr>
              <w:t>男士年龄满足18周岁—60周岁或女士年龄满足18周岁—50周岁。</w:t>
            </w:r>
            <w:r>
              <w:rPr>
                <w:rFonts w:hint="eastAsia" w:ascii="宋体" w:hAnsi="宋体" w:cs="等线"/>
                <w:sz w:val="24"/>
              </w:rPr>
              <w:t>消防中控室值守岗人员满足</w:t>
            </w:r>
            <w:r>
              <w:rPr>
                <w:rFonts w:hint="eastAsia" w:ascii="宋体" w:hAnsi="宋体"/>
                <w:sz w:val="24"/>
              </w:rPr>
              <w:t>持建（构）筑物消防员四级证</w:t>
            </w:r>
            <w:r>
              <w:rPr>
                <w:rFonts w:hint="eastAsia" w:ascii="宋体" w:hAnsi="宋体"/>
                <w:sz w:val="24"/>
                <w:lang w:val="en-US" w:eastAsia="zh-CN"/>
              </w:rPr>
              <w:t>或更高级别证书</w:t>
            </w:r>
            <w:r>
              <w:rPr>
                <w:rFonts w:hint="default" w:ascii="宋体" w:hAnsi="宋体"/>
                <w:sz w:val="24"/>
              </w:rPr>
              <w:t>（</w:t>
            </w:r>
            <w:r>
              <w:rPr>
                <w:rFonts w:hint="eastAsia" w:ascii="宋体" w:hAnsi="宋体"/>
                <w:sz w:val="24"/>
                <w:lang w:val="en-US" w:eastAsia="zh-CN"/>
              </w:rPr>
              <w:t>或</w:t>
            </w:r>
            <w:r>
              <w:rPr>
                <w:rFonts w:hint="default" w:ascii="宋体" w:hAnsi="宋体"/>
                <w:sz w:val="24"/>
              </w:rPr>
              <w:t>消防设施操作员证书</w:t>
            </w:r>
            <w:r>
              <w:rPr>
                <w:rFonts w:hint="eastAsia" w:ascii="宋体" w:hAnsi="宋体"/>
                <w:sz w:val="24"/>
                <w:lang w:val="en-US" w:eastAsia="zh-Hans"/>
              </w:rPr>
              <w:t>中级</w:t>
            </w:r>
            <w:r>
              <w:rPr>
                <w:rFonts w:hint="eastAsia" w:ascii="宋体" w:hAnsi="宋体"/>
                <w:sz w:val="24"/>
                <w:lang w:val="en-US" w:eastAsia="zh-CN"/>
              </w:rPr>
              <w:t>及以上</w:t>
            </w:r>
            <w:r>
              <w:rPr>
                <w:rFonts w:hint="eastAsia" w:ascii="宋体" w:hAnsi="宋体"/>
                <w:sz w:val="24"/>
                <w:lang w:val="en-US" w:eastAsia="zh-Hans"/>
              </w:rPr>
              <w:t>证</w:t>
            </w:r>
            <w:r>
              <w:rPr>
                <w:rFonts w:hint="eastAsia" w:ascii="宋体" w:hAnsi="宋体"/>
                <w:sz w:val="24"/>
                <w:lang w:val="en-US" w:eastAsia="zh-CN"/>
              </w:rPr>
              <w:t>书</w:t>
            </w:r>
            <w:r>
              <w:rPr>
                <w:rFonts w:hint="default" w:ascii="宋体" w:hAnsi="宋体"/>
                <w:sz w:val="24"/>
                <w:lang w:eastAsia="zh-Hans"/>
              </w:rPr>
              <w:t>）</w:t>
            </w:r>
          </w:p>
        </w:tc>
        <w:tc>
          <w:tcPr>
            <w:tcW w:w="3236"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kern w:val="2"/>
                <w:sz w:val="24"/>
                <w:szCs w:val="24"/>
              </w:rPr>
              <w:t>24</w:t>
            </w:r>
            <w:r>
              <w:rPr>
                <w:rFonts w:hint="eastAsia" w:ascii="宋体" w:hAnsi="宋体" w:eastAsia="宋体" w:cs="宋体"/>
                <w:sz w:val="24"/>
                <w:szCs w:val="24"/>
              </w:rPr>
              <w:t>小时值守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56" w:type="dxa"/>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保安</w:t>
            </w:r>
          </w:p>
        </w:tc>
        <w:tc>
          <w:tcPr>
            <w:tcW w:w="4353" w:type="dxa"/>
            <w:noWrap w:val="0"/>
            <w:vAlign w:val="top"/>
          </w:tcPr>
          <w:p>
            <w:pPr>
              <w:spacing w:line="40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年龄</w:t>
            </w:r>
            <w:r>
              <w:rPr>
                <w:rFonts w:hint="eastAsia" w:ascii="宋体" w:hAnsi="宋体" w:eastAsia="宋体" w:cs="宋体"/>
                <w:kern w:val="2"/>
                <w:sz w:val="24"/>
                <w:szCs w:val="24"/>
              </w:rPr>
              <w:t>18</w:t>
            </w:r>
            <w:r>
              <w:rPr>
                <w:rFonts w:hint="eastAsia" w:ascii="宋体" w:hAnsi="宋体" w:eastAsia="宋体" w:cs="宋体"/>
                <w:color w:val="000000"/>
                <w:sz w:val="24"/>
                <w:szCs w:val="24"/>
              </w:rPr>
              <w:t>周岁-</w:t>
            </w:r>
            <w:r>
              <w:rPr>
                <w:rFonts w:hint="eastAsia" w:ascii="宋体" w:hAnsi="宋体" w:eastAsia="宋体" w:cs="宋体"/>
                <w:kern w:val="2"/>
                <w:sz w:val="24"/>
                <w:szCs w:val="24"/>
              </w:rPr>
              <w:t>45</w:t>
            </w:r>
            <w:r>
              <w:rPr>
                <w:rFonts w:hint="eastAsia" w:ascii="宋体" w:hAnsi="宋体" w:eastAsia="宋体" w:cs="宋体"/>
                <w:color w:val="000000"/>
                <w:sz w:val="24"/>
                <w:szCs w:val="24"/>
              </w:rPr>
              <w:t>周岁，女性身高</w:t>
            </w:r>
            <w:r>
              <w:rPr>
                <w:rFonts w:hint="eastAsia" w:ascii="宋体" w:hAnsi="宋体" w:eastAsia="宋体" w:cs="宋体"/>
                <w:kern w:val="2"/>
                <w:sz w:val="24"/>
                <w:szCs w:val="24"/>
              </w:rPr>
              <w:t>160cm</w:t>
            </w:r>
            <w:r>
              <w:rPr>
                <w:rFonts w:hint="eastAsia" w:ascii="宋体" w:hAnsi="宋体" w:eastAsia="宋体" w:cs="宋体"/>
                <w:color w:val="000000"/>
                <w:sz w:val="24"/>
                <w:szCs w:val="24"/>
              </w:rPr>
              <w:t>以上，男性身高</w:t>
            </w:r>
            <w:r>
              <w:rPr>
                <w:rFonts w:hint="eastAsia" w:ascii="宋体" w:hAnsi="宋体" w:eastAsia="宋体" w:cs="宋体"/>
                <w:kern w:val="2"/>
                <w:sz w:val="24"/>
                <w:szCs w:val="24"/>
              </w:rPr>
              <w:t>170cm</w:t>
            </w:r>
            <w:r>
              <w:rPr>
                <w:rFonts w:hint="eastAsia" w:ascii="宋体" w:hAnsi="宋体" w:eastAsia="宋体" w:cs="宋体"/>
                <w:color w:val="000000"/>
                <w:sz w:val="24"/>
                <w:szCs w:val="24"/>
              </w:rPr>
              <w:t>以上，身体健康。其中男性比例不低于</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0%</w:t>
            </w:r>
            <w:r>
              <w:rPr>
                <w:rFonts w:hint="eastAsia" w:ascii="宋体" w:hAnsi="宋体" w:eastAsia="宋体" w:cs="宋体"/>
                <w:color w:val="000000"/>
                <w:sz w:val="24"/>
                <w:szCs w:val="24"/>
              </w:rPr>
              <w:t>。安检人员持安检证上岗。</w:t>
            </w:r>
          </w:p>
          <w:p>
            <w:pPr>
              <w:spacing w:line="40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安保人员持有效的保安</w:t>
            </w:r>
            <w:r>
              <w:rPr>
                <w:rFonts w:hint="eastAsia" w:ascii="宋体" w:hAnsi="宋体" w:cs="宋体"/>
                <w:color w:val="000000"/>
                <w:sz w:val="24"/>
                <w:szCs w:val="24"/>
                <w:lang w:val="en-US" w:eastAsia="zh-CN"/>
              </w:rPr>
              <w:t>员</w:t>
            </w:r>
            <w:r>
              <w:rPr>
                <w:rFonts w:hint="eastAsia" w:ascii="宋体" w:hAnsi="宋体" w:eastAsia="宋体" w:cs="宋体"/>
                <w:color w:val="000000"/>
                <w:sz w:val="24"/>
                <w:szCs w:val="24"/>
              </w:rPr>
              <w:t>证。</w:t>
            </w:r>
          </w:p>
        </w:tc>
        <w:tc>
          <w:tcPr>
            <w:tcW w:w="3236"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需保证开馆期间馆内实际需求；安保部分岗位为</w:t>
            </w:r>
            <w:r>
              <w:rPr>
                <w:rFonts w:hint="eastAsia" w:ascii="宋体" w:hAnsi="宋体" w:eastAsia="宋体" w:cs="宋体"/>
                <w:kern w:val="2"/>
                <w:sz w:val="24"/>
                <w:szCs w:val="24"/>
              </w:rPr>
              <w:t>24</w:t>
            </w:r>
            <w:r>
              <w:rPr>
                <w:rFonts w:hint="eastAsia" w:ascii="宋体" w:hAnsi="宋体" w:eastAsia="宋体" w:cs="宋体"/>
                <w:sz w:val="24"/>
                <w:szCs w:val="24"/>
              </w:rPr>
              <w:t>小时值守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56" w:type="dxa"/>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保洁</w:t>
            </w:r>
          </w:p>
        </w:tc>
        <w:tc>
          <w:tcPr>
            <w:tcW w:w="4353" w:type="dxa"/>
            <w:noWrap w:val="0"/>
            <w:vAlign w:val="top"/>
          </w:tcPr>
          <w:p>
            <w:pPr>
              <w:spacing w:line="40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身体健康。</w:t>
            </w:r>
          </w:p>
          <w:p>
            <w:pPr>
              <w:spacing w:line="40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年龄要求：男：</w:t>
            </w:r>
            <w:r>
              <w:rPr>
                <w:rFonts w:hint="eastAsia" w:ascii="宋体" w:hAnsi="宋体" w:eastAsia="宋体" w:cs="宋体"/>
                <w:kern w:val="2"/>
                <w:sz w:val="24"/>
                <w:szCs w:val="24"/>
              </w:rPr>
              <w:t>18</w:t>
            </w:r>
            <w:r>
              <w:rPr>
                <w:rFonts w:hint="eastAsia" w:ascii="宋体" w:hAnsi="宋体" w:eastAsia="宋体" w:cs="宋体"/>
                <w:color w:val="000000"/>
                <w:sz w:val="24"/>
                <w:szCs w:val="24"/>
              </w:rPr>
              <w:t>周岁—</w:t>
            </w:r>
            <w:r>
              <w:rPr>
                <w:rFonts w:hint="eastAsia" w:ascii="宋体" w:hAnsi="宋体" w:eastAsia="宋体" w:cs="宋体"/>
                <w:kern w:val="2"/>
                <w:sz w:val="24"/>
                <w:szCs w:val="24"/>
              </w:rPr>
              <w:t>60</w:t>
            </w:r>
            <w:r>
              <w:rPr>
                <w:rFonts w:hint="eastAsia" w:ascii="宋体" w:hAnsi="宋体" w:eastAsia="宋体" w:cs="宋体"/>
                <w:color w:val="000000"/>
                <w:sz w:val="24"/>
                <w:szCs w:val="24"/>
              </w:rPr>
              <w:t>周岁；女：</w:t>
            </w:r>
            <w:r>
              <w:rPr>
                <w:rFonts w:hint="eastAsia" w:ascii="宋体" w:hAnsi="宋体" w:eastAsia="宋体" w:cs="宋体"/>
                <w:kern w:val="2"/>
                <w:sz w:val="24"/>
                <w:szCs w:val="24"/>
              </w:rPr>
              <w:t>18</w:t>
            </w:r>
            <w:r>
              <w:rPr>
                <w:rFonts w:hint="eastAsia" w:ascii="宋体" w:hAnsi="宋体" w:eastAsia="宋体" w:cs="宋体"/>
                <w:color w:val="000000"/>
                <w:sz w:val="24"/>
                <w:szCs w:val="24"/>
              </w:rPr>
              <w:t>周岁—</w:t>
            </w:r>
            <w:r>
              <w:rPr>
                <w:rFonts w:hint="eastAsia" w:ascii="宋体" w:hAnsi="宋体" w:eastAsia="宋体" w:cs="宋体"/>
                <w:kern w:val="2"/>
                <w:sz w:val="24"/>
                <w:szCs w:val="24"/>
              </w:rPr>
              <w:t>50</w:t>
            </w:r>
            <w:r>
              <w:rPr>
                <w:rFonts w:hint="eastAsia" w:ascii="宋体" w:hAnsi="宋体" w:eastAsia="宋体" w:cs="宋体"/>
                <w:color w:val="000000"/>
                <w:sz w:val="24"/>
                <w:szCs w:val="24"/>
              </w:rPr>
              <w:t>周岁。</w:t>
            </w:r>
          </w:p>
        </w:tc>
        <w:tc>
          <w:tcPr>
            <w:tcW w:w="3236"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需保证</w:t>
            </w:r>
            <w:r>
              <w:rPr>
                <w:rFonts w:hint="eastAsia" w:ascii="宋体" w:hAnsi="宋体" w:eastAsia="宋体" w:cs="宋体"/>
                <w:sz w:val="24"/>
                <w:szCs w:val="24"/>
                <w:lang w:val="en-US" w:eastAsia="zh-CN"/>
              </w:rPr>
              <w:t>馆区</w:t>
            </w:r>
            <w:r>
              <w:rPr>
                <w:rFonts w:hint="eastAsia" w:ascii="宋体" w:hAnsi="宋体" w:eastAsia="宋体" w:cs="宋体"/>
                <w:sz w:val="24"/>
                <w:szCs w:val="24"/>
              </w:rPr>
              <w:t>室内外环境整洁</w:t>
            </w:r>
          </w:p>
        </w:tc>
      </w:tr>
    </w:tbl>
    <w:p>
      <w:pPr>
        <w:spacing w:line="40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（二）服务内容与标准</w:t>
      </w:r>
    </w:p>
    <w:p>
      <w:pPr>
        <w:pStyle w:val="226"/>
        <w:adjustRightInd w:val="0"/>
        <w:spacing w:line="400" w:lineRule="exact"/>
        <w:rPr>
          <w:rFonts w:hint="eastAsia" w:ascii="宋体" w:hAnsi="宋体" w:eastAsia="宋体" w:cs="宋体"/>
          <w:b/>
          <w:bCs/>
          <w:sz w:val="24"/>
        </w:rPr>
      </w:pPr>
      <w:r>
        <w:rPr>
          <w:rFonts w:hint="eastAsia" w:ascii="宋体" w:hAnsi="宋体" w:eastAsia="宋体" w:cs="宋体"/>
          <w:b/>
          <w:bCs/>
          <w:sz w:val="24"/>
        </w:rPr>
        <w:t>1.纪念馆卫生保洁</w:t>
      </w:r>
    </w:p>
    <w:p>
      <w:pPr>
        <w:pStyle w:val="226"/>
        <w:adjustRightInd w:val="0"/>
        <w:spacing w:line="400" w:lineRule="exact"/>
        <w:rPr>
          <w:rFonts w:hint="eastAsia" w:ascii="宋体" w:hAnsi="宋体" w:eastAsia="宋体" w:cs="宋体"/>
          <w:sz w:val="24"/>
        </w:rPr>
      </w:pPr>
      <w:r>
        <w:rPr>
          <w:rFonts w:hint="eastAsia" w:ascii="宋体" w:hAnsi="宋体" w:eastAsia="宋体" w:cs="宋体"/>
          <w:sz w:val="24"/>
        </w:rPr>
        <w:t>（1）纪念馆公共区域卫生</w:t>
      </w:r>
    </w:p>
    <w:p>
      <w:pPr>
        <w:pStyle w:val="226"/>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服务内容：</w:t>
      </w:r>
    </w:p>
    <w:p>
      <w:pPr>
        <w:pStyle w:val="226"/>
        <w:numPr>
          <w:ilvl w:val="0"/>
          <w:numId w:val="9"/>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收集及清理馆内所有垃圾箱，并按照属地要求，做好垃圾分类工作；</w:t>
      </w:r>
    </w:p>
    <w:p>
      <w:pPr>
        <w:pStyle w:val="226"/>
        <w:numPr>
          <w:ilvl w:val="0"/>
          <w:numId w:val="9"/>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清洁所有门窗、门牌、指示牌、花盆、植物、走廊、扶手、栏杆、灯饰、展柜玻璃表面及楼梯墙壁的手印、灰尘和污渍；</w:t>
      </w:r>
    </w:p>
    <w:p>
      <w:pPr>
        <w:pStyle w:val="226"/>
        <w:numPr>
          <w:ilvl w:val="0"/>
          <w:numId w:val="9"/>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清扫空调风口、百叶、通风窗口及照明灯片；</w:t>
      </w:r>
    </w:p>
    <w:p>
      <w:pPr>
        <w:pStyle w:val="226"/>
        <w:numPr>
          <w:ilvl w:val="0"/>
          <w:numId w:val="9"/>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扫净及洗刷入口地台及梯级；</w:t>
      </w:r>
    </w:p>
    <w:p>
      <w:pPr>
        <w:pStyle w:val="226"/>
        <w:numPr>
          <w:ilvl w:val="0"/>
          <w:numId w:val="9"/>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定期消杀处理，投放喷洒灭鼠、蟑螂、蚊虫药；</w:t>
      </w:r>
    </w:p>
    <w:p>
      <w:pPr>
        <w:pStyle w:val="226"/>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服务标准：</w:t>
      </w:r>
    </w:p>
    <w:p>
      <w:pPr>
        <w:pStyle w:val="226"/>
        <w:numPr>
          <w:ilvl w:val="0"/>
          <w:numId w:val="10"/>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地毯、台阶、地面光亮无水迹、污迹、无杂物、无浮尘。</w:t>
      </w:r>
    </w:p>
    <w:p>
      <w:pPr>
        <w:pStyle w:val="226"/>
        <w:numPr>
          <w:ilvl w:val="0"/>
          <w:numId w:val="10"/>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门窗、门牌、指示牌、走廊、扶手、栏杆、地脚线、门套上侧、展柜玻璃表面及楼梯墙壁无尘土、无污物。</w:t>
      </w:r>
    </w:p>
    <w:p>
      <w:pPr>
        <w:pStyle w:val="226"/>
        <w:numPr>
          <w:ilvl w:val="0"/>
          <w:numId w:val="10"/>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严格执行垃圾分类定，垃圾桶内垃圾不超过1/2，并摆放整齐，外观干净，每2周至少清洗1次垃圾收集容器。蝇、蚊</w:t>
      </w:r>
      <w:r>
        <w:rPr>
          <w:rFonts w:hint="eastAsia" w:ascii="宋体" w:hAnsi="宋体" w:eastAsia="宋体" w:cs="宋体"/>
          <w:sz w:val="24"/>
          <w:lang w:eastAsia="zh-CN"/>
        </w:rPr>
        <w:t>滋生</w:t>
      </w:r>
      <w:r>
        <w:rPr>
          <w:rFonts w:hint="eastAsia" w:ascii="宋体" w:hAnsi="宋体" w:eastAsia="宋体" w:cs="宋体"/>
          <w:sz w:val="24"/>
        </w:rPr>
        <w:t>季节每日喷洒1次杀虫药。</w:t>
      </w:r>
    </w:p>
    <w:p>
      <w:pPr>
        <w:pStyle w:val="226"/>
        <w:numPr>
          <w:ilvl w:val="0"/>
          <w:numId w:val="10"/>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花盆外观干净，花叶无尘土，花盆内无杂物。</w:t>
      </w:r>
    </w:p>
    <w:p>
      <w:pPr>
        <w:pStyle w:val="226"/>
        <w:numPr>
          <w:ilvl w:val="0"/>
          <w:numId w:val="10"/>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无鼠害、无蚊虫、无蟑螂。</w:t>
      </w:r>
    </w:p>
    <w:p>
      <w:pPr>
        <w:pStyle w:val="226"/>
        <w:adjustRightInd w:val="0"/>
        <w:spacing w:line="400" w:lineRule="exact"/>
        <w:rPr>
          <w:rFonts w:hint="eastAsia" w:ascii="宋体" w:hAnsi="宋体" w:eastAsia="宋体" w:cs="宋体"/>
          <w:sz w:val="24"/>
        </w:rPr>
      </w:pPr>
      <w:r>
        <w:rPr>
          <w:rFonts w:hint="eastAsia" w:ascii="宋体" w:hAnsi="宋体" w:eastAsia="宋体" w:cs="宋体"/>
          <w:sz w:val="24"/>
        </w:rPr>
        <w:t>（2）纪念馆卫生间保洁</w:t>
      </w:r>
    </w:p>
    <w:p>
      <w:pPr>
        <w:pStyle w:val="226"/>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服务内容：</w:t>
      </w:r>
    </w:p>
    <w:p>
      <w:pPr>
        <w:pStyle w:val="226"/>
        <w:numPr>
          <w:ilvl w:val="0"/>
          <w:numId w:val="11"/>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抹净所有门、窗、天花板、抽气扇、镜面等器具及照明设备表面除尘。</w:t>
      </w:r>
    </w:p>
    <w:p>
      <w:pPr>
        <w:pStyle w:val="226"/>
        <w:numPr>
          <w:ilvl w:val="0"/>
          <w:numId w:val="11"/>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抹、冲及洗净洗手间地台表面、卫生洁具。</w:t>
      </w:r>
    </w:p>
    <w:p>
      <w:pPr>
        <w:pStyle w:val="226"/>
        <w:numPr>
          <w:ilvl w:val="0"/>
          <w:numId w:val="11"/>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清理卫生桶，更换厕纸、清洁液。</w:t>
      </w:r>
    </w:p>
    <w:p>
      <w:pPr>
        <w:pStyle w:val="226"/>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服务标准：</w:t>
      </w:r>
    </w:p>
    <w:p>
      <w:pPr>
        <w:pStyle w:val="226"/>
        <w:numPr>
          <w:ilvl w:val="0"/>
          <w:numId w:val="12"/>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门、窗、天花板、墙壁、隔板、地面墙角无浮尘、污迹、杂物、蛛网和水迹。</w:t>
      </w:r>
    </w:p>
    <w:p>
      <w:pPr>
        <w:pStyle w:val="226"/>
        <w:numPr>
          <w:ilvl w:val="0"/>
          <w:numId w:val="12"/>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玻璃、镜面明亮无水迹、污渍。</w:t>
      </w:r>
    </w:p>
    <w:p>
      <w:pPr>
        <w:pStyle w:val="226"/>
        <w:numPr>
          <w:ilvl w:val="0"/>
          <w:numId w:val="12"/>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电镀件明亮，烘手器、面池、暖气、龙头、弯管、马桶座、盖、水箱、无污迹、无杂物。</w:t>
      </w:r>
    </w:p>
    <w:p>
      <w:pPr>
        <w:pStyle w:val="226"/>
        <w:numPr>
          <w:ilvl w:val="0"/>
          <w:numId w:val="12"/>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便池无尘、无污迹、无杂物，小便池内香球及时更换；桶内垃圾不超过1/2即清理。</w:t>
      </w:r>
    </w:p>
    <w:p>
      <w:pPr>
        <w:pStyle w:val="226"/>
        <w:numPr>
          <w:ilvl w:val="0"/>
          <w:numId w:val="12"/>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空气清新、无异味；墩布间干净、整洁、无杂物，物品码放整齐、不囤积。</w:t>
      </w:r>
    </w:p>
    <w:p>
      <w:pPr>
        <w:pStyle w:val="226"/>
        <w:adjustRightInd w:val="0"/>
        <w:spacing w:line="400" w:lineRule="exact"/>
        <w:rPr>
          <w:rFonts w:hint="eastAsia" w:ascii="宋体" w:hAnsi="宋体" w:eastAsia="宋体" w:cs="宋体"/>
          <w:sz w:val="24"/>
        </w:rPr>
      </w:pPr>
      <w:r>
        <w:rPr>
          <w:rFonts w:hint="eastAsia" w:ascii="宋体" w:hAnsi="宋体" w:eastAsia="宋体" w:cs="宋体"/>
          <w:sz w:val="24"/>
        </w:rPr>
        <w:t>（3）纪念馆外场保洁</w:t>
      </w:r>
    </w:p>
    <w:p>
      <w:pPr>
        <w:pStyle w:val="226"/>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服务内容：</w:t>
      </w:r>
    </w:p>
    <w:p>
      <w:pPr>
        <w:pStyle w:val="226"/>
        <w:numPr>
          <w:ilvl w:val="0"/>
          <w:numId w:val="13"/>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庭院地面、围栏的清洁；室外垃圾桶的清洁、集运；门前三包卫生清洁。</w:t>
      </w:r>
    </w:p>
    <w:p>
      <w:pPr>
        <w:pStyle w:val="226"/>
        <w:numPr>
          <w:ilvl w:val="0"/>
          <w:numId w:val="13"/>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负责积水、积雪和除冰工作，负责垃圾清运（含厨余垃圾）工作。</w:t>
      </w:r>
    </w:p>
    <w:p>
      <w:pPr>
        <w:pStyle w:val="226"/>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服务标准：</w:t>
      </w:r>
    </w:p>
    <w:p>
      <w:pPr>
        <w:pStyle w:val="226"/>
        <w:numPr>
          <w:ilvl w:val="0"/>
          <w:numId w:val="14"/>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庭院地面清洁无废弃物。</w:t>
      </w:r>
    </w:p>
    <w:p>
      <w:pPr>
        <w:pStyle w:val="226"/>
        <w:numPr>
          <w:ilvl w:val="0"/>
          <w:numId w:val="14"/>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保洁重点是烟头、废纸、杂物等，随时捡拾入桶。</w:t>
      </w:r>
    </w:p>
    <w:p>
      <w:pPr>
        <w:pStyle w:val="226"/>
        <w:numPr>
          <w:ilvl w:val="0"/>
          <w:numId w:val="14"/>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垃圾清运及时，垃圾站消毒，无蚊蝇滋生。</w:t>
      </w:r>
    </w:p>
    <w:p>
      <w:pPr>
        <w:pStyle w:val="226"/>
        <w:numPr>
          <w:ilvl w:val="0"/>
          <w:numId w:val="14"/>
        </w:numPr>
        <w:adjustRightInd w:val="0"/>
        <w:spacing w:line="400" w:lineRule="exact"/>
        <w:ind w:left="0" w:firstLine="480" w:firstLineChars="200"/>
        <w:rPr>
          <w:rFonts w:hint="eastAsia" w:ascii="宋体" w:hAnsi="宋体" w:eastAsia="宋体" w:cs="宋体"/>
          <w:sz w:val="24"/>
          <w:lang w:val="zh-TW"/>
        </w:rPr>
      </w:pPr>
      <w:r>
        <w:rPr>
          <w:rFonts w:hint="eastAsia" w:ascii="宋体" w:hAnsi="宋体" w:eastAsia="宋体" w:cs="宋体"/>
          <w:sz w:val="24"/>
        </w:rPr>
        <w:t>地面无积雪、积冰。</w:t>
      </w:r>
    </w:p>
    <w:p>
      <w:pPr>
        <w:pStyle w:val="226"/>
        <w:adjustRightInd w:val="0"/>
        <w:spacing w:line="400" w:lineRule="exact"/>
        <w:rPr>
          <w:rFonts w:hint="eastAsia" w:ascii="宋体" w:hAnsi="宋体" w:eastAsia="宋体" w:cs="宋体"/>
          <w:b/>
          <w:bCs/>
          <w:sz w:val="24"/>
        </w:rPr>
      </w:pPr>
      <w:r>
        <w:rPr>
          <w:rFonts w:hint="eastAsia" w:ascii="宋体" w:hAnsi="宋体" w:eastAsia="宋体" w:cs="宋体"/>
          <w:b/>
          <w:bCs/>
          <w:sz w:val="24"/>
        </w:rPr>
        <w:t>2.纪念馆安检服务</w:t>
      </w:r>
    </w:p>
    <w:p>
      <w:pPr>
        <w:pStyle w:val="226"/>
        <w:adjustRightInd w:val="0"/>
        <w:spacing w:line="400" w:lineRule="exact"/>
        <w:ind w:firstLine="480" w:firstLineChars="200"/>
        <w:rPr>
          <w:rFonts w:hint="eastAsia" w:ascii="宋体" w:hAnsi="宋体" w:eastAsia="宋体" w:cs="宋体"/>
          <w:sz w:val="24"/>
        </w:rPr>
      </w:pPr>
      <w:bookmarkStart w:id="1" w:name="_Hlk148168281"/>
      <w:r>
        <w:rPr>
          <w:rFonts w:hint="eastAsia" w:ascii="宋体" w:hAnsi="宋体" w:eastAsia="宋体" w:cs="宋体"/>
          <w:sz w:val="24"/>
        </w:rPr>
        <w:t>服务内容：</w:t>
      </w:r>
    </w:p>
    <w:p>
      <w:pPr>
        <w:pStyle w:val="226"/>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承担纪念馆安检相关工作，负责纪念馆开放期间参观人员及随身物品安全检查。包括但不限于杜绝携带打火机等火种和管制刀具等危险物品进入馆内、仪器检查、手工检查、着装不整齐劝回等。</w:t>
      </w:r>
    </w:p>
    <w:p>
      <w:pPr>
        <w:pStyle w:val="226"/>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服务标准：</w:t>
      </w:r>
    </w:p>
    <w:p>
      <w:pPr>
        <w:pStyle w:val="226"/>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检查观众携带物品按照安检有关规定和标准进行，维持安检良好秩序，信息及时报送。</w:t>
      </w:r>
    </w:p>
    <w:bookmarkEnd w:id="1"/>
    <w:p>
      <w:pPr>
        <w:pStyle w:val="226"/>
        <w:adjustRightInd w:val="0"/>
        <w:spacing w:line="400" w:lineRule="exact"/>
        <w:rPr>
          <w:rFonts w:hint="eastAsia" w:ascii="宋体" w:hAnsi="宋体" w:eastAsia="宋体" w:cs="宋体"/>
          <w:b/>
          <w:bCs/>
          <w:sz w:val="24"/>
        </w:rPr>
      </w:pPr>
      <w:r>
        <w:rPr>
          <w:rFonts w:hint="eastAsia" w:ascii="宋体" w:hAnsi="宋体" w:eastAsia="宋体" w:cs="宋体"/>
          <w:b/>
          <w:bCs/>
          <w:sz w:val="24"/>
        </w:rPr>
        <w:t>3.中控值守</w:t>
      </w:r>
    </w:p>
    <w:p>
      <w:pPr>
        <w:pStyle w:val="226"/>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服务内容：</w:t>
      </w:r>
    </w:p>
    <w:p>
      <w:pPr>
        <w:pStyle w:val="226"/>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承担</w:t>
      </w:r>
      <w:r>
        <w:rPr>
          <w:rFonts w:hint="eastAsia" w:ascii="宋体" w:hAnsi="宋体" w:eastAsia="宋体" w:cs="宋体"/>
          <w:sz w:val="24"/>
          <w:lang w:val="en-US" w:eastAsia="zh-CN"/>
        </w:rPr>
        <w:t>北大红楼、</w:t>
      </w:r>
      <w:r>
        <w:rPr>
          <w:rFonts w:hint="eastAsia" w:ascii="宋体" w:hAnsi="宋体" w:eastAsia="宋体" w:cs="宋体"/>
          <w:sz w:val="24"/>
        </w:rPr>
        <w:t>蒙藏学校旧址中控室消防系统、安防系统和中控室其他设备 24 小时值守工作。</w:t>
      </w:r>
    </w:p>
    <w:p>
      <w:pPr>
        <w:pStyle w:val="226"/>
        <w:numPr>
          <w:ilvl w:val="0"/>
          <w:numId w:val="15"/>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值机员通过消防自动报警系统及时发现火险火情并立即报警，启动应急方案，实施灭火扑救措施，避免发生火灾事故。</w:t>
      </w:r>
    </w:p>
    <w:p>
      <w:pPr>
        <w:pStyle w:val="226"/>
        <w:numPr>
          <w:ilvl w:val="0"/>
          <w:numId w:val="15"/>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通过视频监控系统发现可疑情况，并报告蒙藏学校旧址管理办公室，及时记录存储异常情况录像。</w:t>
      </w:r>
    </w:p>
    <w:p>
      <w:pPr>
        <w:pStyle w:val="226"/>
        <w:numPr>
          <w:ilvl w:val="0"/>
          <w:numId w:val="15"/>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通过值守其他设备，关注其运行情况和各项参数指标，及时通知有关部门开展维保维护。</w:t>
      </w:r>
    </w:p>
    <w:p>
      <w:pPr>
        <w:pStyle w:val="226"/>
        <w:numPr>
          <w:ilvl w:val="0"/>
          <w:numId w:val="15"/>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值机员通过周界防范、门禁管理、报警系统等有效安全手段，维护保障馆内正常展览秩序，防止发生</w:t>
      </w:r>
      <w:r>
        <w:rPr>
          <w:rFonts w:hint="eastAsia" w:ascii="宋体" w:hAnsi="宋体" w:eastAsia="宋体" w:cs="宋体"/>
          <w:sz w:val="24"/>
          <w:lang w:eastAsia="zh-CN"/>
        </w:rPr>
        <w:t>人身伤害</w:t>
      </w:r>
      <w:r>
        <w:rPr>
          <w:rFonts w:hint="eastAsia" w:ascii="宋体" w:hAnsi="宋体" w:eastAsia="宋体" w:cs="宋体"/>
          <w:sz w:val="24"/>
        </w:rPr>
        <w:t>和财产安全等刑事案件。</w:t>
      </w:r>
    </w:p>
    <w:p>
      <w:pPr>
        <w:pStyle w:val="226"/>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服务要求及标准：</w:t>
      </w:r>
    </w:p>
    <w:p>
      <w:pPr>
        <w:pStyle w:val="226"/>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（1）服务人员要求  </w:t>
      </w:r>
    </w:p>
    <w:p>
      <w:pPr>
        <w:pStyle w:val="226"/>
        <w:numPr>
          <w:ilvl w:val="0"/>
          <w:numId w:val="16"/>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实行 24 小时值守制度，每班工作时间不得大于 12 小时，</w:t>
      </w:r>
      <w:r>
        <w:rPr>
          <w:rFonts w:hint="eastAsia" w:ascii="宋体" w:hAnsi="宋体" w:eastAsia="宋体" w:cs="宋体"/>
          <w:sz w:val="24"/>
          <w:lang w:val="en-US" w:eastAsia="zh-CN"/>
        </w:rPr>
        <w:t>蒙藏学校旧址馆区</w:t>
      </w:r>
      <w:r>
        <w:rPr>
          <w:rFonts w:hint="eastAsia" w:ascii="宋体" w:hAnsi="宋体" w:eastAsia="宋体" w:cs="宋体"/>
          <w:sz w:val="24"/>
        </w:rPr>
        <w:t>每班不少于 3 人</w:t>
      </w:r>
      <w:r>
        <w:rPr>
          <w:rFonts w:hint="eastAsia" w:ascii="宋体" w:hAnsi="宋体" w:eastAsia="宋体" w:cs="宋体"/>
          <w:sz w:val="24"/>
          <w:lang w:eastAsia="zh-CN"/>
        </w:rPr>
        <w:t>，</w:t>
      </w:r>
      <w:r>
        <w:rPr>
          <w:rFonts w:hint="eastAsia" w:ascii="宋体" w:hAnsi="宋体" w:eastAsia="宋体" w:cs="宋体"/>
          <w:sz w:val="24"/>
          <w:lang w:val="en-US" w:eastAsia="zh-CN"/>
        </w:rPr>
        <w:t>北大红楼馆区每班不少于2人</w:t>
      </w:r>
      <w:r>
        <w:rPr>
          <w:rFonts w:hint="eastAsia" w:ascii="宋体" w:hAnsi="宋体" w:eastAsia="宋体" w:cs="宋体"/>
          <w:sz w:val="24"/>
        </w:rPr>
        <w:t xml:space="preserve">。 </w:t>
      </w:r>
    </w:p>
    <w:p>
      <w:pPr>
        <w:pStyle w:val="226"/>
        <w:numPr>
          <w:ilvl w:val="0"/>
          <w:numId w:val="16"/>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 xml:space="preserve">项目负责人应具有企事业单位或纪念馆、博物馆中控室管理经验，身体健康，有较强责任心。 </w:t>
      </w:r>
    </w:p>
    <w:p>
      <w:pPr>
        <w:pStyle w:val="226"/>
        <w:numPr>
          <w:ilvl w:val="0"/>
          <w:numId w:val="16"/>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值守人员年龄在 18—50 周岁，身体健康，无心脑血管病、传染病及精神疾病，无色盲、色弱；口齿清晰，言语和善；政治可靠，作风正派</w:t>
      </w:r>
      <w:r>
        <w:rPr>
          <w:rFonts w:hint="eastAsia" w:ascii="宋体" w:hAnsi="宋体" w:eastAsia="宋体" w:cs="宋体"/>
          <w:sz w:val="24"/>
          <w:lang w:eastAsia="zh-CN"/>
        </w:rPr>
        <w:t>，具</w:t>
      </w:r>
      <w:r>
        <w:rPr>
          <w:rFonts w:hint="eastAsia" w:ascii="宋体" w:hAnsi="宋体" w:eastAsia="宋体" w:cs="宋体"/>
          <w:sz w:val="24"/>
        </w:rPr>
        <w:t>有从事消防或安防中控室值守工作经验，熟悉中控室相关设备设施功能、操作规范；具有较高的政治觉悟和较强的责任心，无违法犯罪记录。</w:t>
      </w:r>
    </w:p>
    <w:p>
      <w:pPr>
        <w:pStyle w:val="226"/>
        <w:numPr>
          <w:ilvl w:val="0"/>
          <w:numId w:val="16"/>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消防值守人员需持有</w:t>
      </w:r>
      <w:r>
        <w:rPr>
          <w:rFonts w:hint="eastAsia" w:ascii="宋体" w:hAnsi="宋体" w:eastAsia="宋体" w:cs="宋体"/>
          <w:sz w:val="24"/>
          <w:lang w:val="en-US" w:eastAsia="zh-CN"/>
        </w:rPr>
        <w:t>中</w:t>
      </w:r>
      <w:r>
        <w:rPr>
          <w:rFonts w:hint="eastAsia" w:ascii="宋体" w:hAnsi="宋体" w:eastAsia="宋体" w:cs="宋体"/>
          <w:sz w:val="24"/>
        </w:rPr>
        <w:t>级（</w:t>
      </w:r>
      <w:r>
        <w:rPr>
          <w:rFonts w:hint="eastAsia" w:ascii="宋体" w:hAnsi="宋体" w:eastAsia="宋体" w:cs="宋体"/>
          <w:sz w:val="24"/>
          <w:lang w:val="en-US" w:eastAsia="zh-CN"/>
        </w:rPr>
        <w:t>四</w:t>
      </w:r>
      <w:r>
        <w:rPr>
          <w:rFonts w:hint="eastAsia" w:ascii="宋体" w:hAnsi="宋体" w:eastAsia="宋体" w:cs="宋体"/>
          <w:sz w:val="24"/>
        </w:rPr>
        <w:t>级）及以上且在有效期内的《建（构）筑物消防员》职业资格证书。</w:t>
      </w:r>
    </w:p>
    <w:p>
      <w:pPr>
        <w:pStyle w:val="226"/>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（2）服务人员的主要任务 </w:t>
      </w:r>
    </w:p>
    <w:p>
      <w:pPr>
        <w:pStyle w:val="226"/>
        <w:numPr>
          <w:ilvl w:val="0"/>
          <w:numId w:val="17"/>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24小时消防、监控值守，确保及时发现并准确处理突发问题。</w:t>
      </w:r>
    </w:p>
    <w:p>
      <w:pPr>
        <w:pStyle w:val="226"/>
        <w:numPr>
          <w:ilvl w:val="0"/>
          <w:numId w:val="17"/>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安防、消防系统和中控室内其他设备设施发生故障及时响应。</w:t>
      </w:r>
    </w:p>
    <w:p>
      <w:pPr>
        <w:pStyle w:val="226"/>
        <w:numPr>
          <w:ilvl w:val="0"/>
          <w:numId w:val="17"/>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巡视设备运行情况，及时记录并有效处置故障。</w:t>
      </w:r>
    </w:p>
    <w:p>
      <w:pPr>
        <w:pStyle w:val="226"/>
        <w:numPr>
          <w:ilvl w:val="0"/>
          <w:numId w:val="17"/>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制定操作规程，建立值守制度。</w:t>
      </w:r>
    </w:p>
    <w:p>
      <w:pPr>
        <w:pStyle w:val="226"/>
        <w:numPr>
          <w:ilvl w:val="0"/>
          <w:numId w:val="17"/>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做好值守人员的培训与考核。</w:t>
      </w:r>
    </w:p>
    <w:p>
      <w:pPr>
        <w:pStyle w:val="226"/>
        <w:numPr>
          <w:ilvl w:val="0"/>
          <w:numId w:val="17"/>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负责中控室内的清洁卫生工作，保持环境整洁。</w:t>
      </w:r>
    </w:p>
    <w:p>
      <w:pPr>
        <w:pStyle w:val="226"/>
        <w:numPr>
          <w:ilvl w:val="0"/>
          <w:numId w:val="17"/>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配合维保单位对馆区内的监控设备、消防设备进行检查，并</w:t>
      </w:r>
      <w:r>
        <w:rPr>
          <w:rFonts w:hint="eastAsia" w:ascii="宋体" w:hAnsi="宋体" w:eastAsia="宋体" w:cs="宋体"/>
          <w:sz w:val="24"/>
          <w:lang w:eastAsia="zh-CN"/>
        </w:rPr>
        <w:t>做</w:t>
      </w:r>
      <w:r>
        <w:rPr>
          <w:rFonts w:hint="eastAsia" w:ascii="宋体" w:hAnsi="宋体" w:eastAsia="宋体" w:cs="宋体"/>
          <w:sz w:val="24"/>
        </w:rPr>
        <w:t>详细记录。</w:t>
      </w:r>
    </w:p>
    <w:p>
      <w:pPr>
        <w:pStyle w:val="226"/>
        <w:numPr>
          <w:ilvl w:val="0"/>
          <w:numId w:val="17"/>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遇有节假日或重大活动，配合采购人对消防设施、监控系统、报警系统、灭火系统及其他设备设施等进行检查，确保馆内</w:t>
      </w:r>
      <w:r>
        <w:rPr>
          <w:rFonts w:hint="eastAsia" w:ascii="宋体" w:hAnsi="宋体" w:eastAsia="宋体" w:cs="宋体"/>
          <w:sz w:val="24"/>
          <w:lang w:eastAsia="zh-CN"/>
        </w:rPr>
        <w:t>消防</w:t>
      </w:r>
      <w:r>
        <w:rPr>
          <w:rFonts w:hint="eastAsia" w:ascii="宋体" w:hAnsi="宋体" w:eastAsia="宋体" w:cs="宋体"/>
          <w:sz w:val="24"/>
        </w:rPr>
        <w:t>、安防系统和设备设施正常运行。</w:t>
      </w:r>
    </w:p>
    <w:p>
      <w:pPr>
        <w:pStyle w:val="226"/>
        <w:numPr>
          <w:ilvl w:val="0"/>
          <w:numId w:val="17"/>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重要活动期间，根据采购人要求提供其他值班服务。</w:t>
      </w:r>
    </w:p>
    <w:p>
      <w:pPr>
        <w:pStyle w:val="226"/>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（3）中控室安全管理责任</w:t>
      </w:r>
    </w:p>
    <w:p>
      <w:pPr>
        <w:pStyle w:val="226"/>
        <w:numPr>
          <w:ilvl w:val="0"/>
          <w:numId w:val="18"/>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确保中控室各系统、设备设施运转正常。</w:t>
      </w:r>
    </w:p>
    <w:p>
      <w:pPr>
        <w:pStyle w:val="226"/>
        <w:numPr>
          <w:ilvl w:val="0"/>
          <w:numId w:val="18"/>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中控室每班次值守人员中：1人负责安防监控视频值守，发现可疑情况及时通知相关负责人；1人负责消防值机，记录班次内消防报警控制器发生的“故障、火警、动作”等各类信息；1人为传达人（流动岗位）负责值守时对火灾报警部位的核实和拨打火警电话、启动应急预案等进行紧急情况处置；全馆重点部位、消防泵房、喷淋报警阀室及室内外各消防设备、安防设备的检查。</w:t>
      </w:r>
    </w:p>
    <w:p>
      <w:pPr>
        <w:pStyle w:val="226"/>
        <w:numPr>
          <w:ilvl w:val="0"/>
          <w:numId w:val="18"/>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 xml:space="preserve">明确中控室值守人员工作安排，制定操作规程，建立值守制度。每班次值守人员应对自动报警控制器进行检查，每2小时记录一次中控室内设备的运行情况，及时记录并处置消防、安防警报或故障情况。严格遵守报告制度。 </w:t>
      </w:r>
    </w:p>
    <w:p>
      <w:pPr>
        <w:pStyle w:val="226"/>
        <w:numPr>
          <w:ilvl w:val="0"/>
          <w:numId w:val="18"/>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 xml:space="preserve">出现火警信号时，值守人员必须在2分钟内到达现场对现场火情进行查看。属于误报时，查找误报原因并填写相关记录。确认发生火情时，现场巡查人员应立即采取有效灭火措施或控制火势蔓延，灭火后及时通知采购人，并分析起火原因，填写相关记录上报采购人进行存档。如火灾现场已不具备扑灭条件，巡查人员应快速拨打119，立即启动应对火灾的应急预案。 </w:t>
      </w:r>
    </w:p>
    <w:p>
      <w:pPr>
        <w:pStyle w:val="226"/>
        <w:numPr>
          <w:ilvl w:val="0"/>
          <w:numId w:val="18"/>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 xml:space="preserve">中控室接收故障信号时，值守人员应在3分钟内到达现场对故障进行查看，并及时向采购人和维保公司进行汇报，填写记录后存档备查。 </w:t>
      </w:r>
    </w:p>
    <w:p>
      <w:pPr>
        <w:pStyle w:val="226"/>
        <w:numPr>
          <w:ilvl w:val="0"/>
          <w:numId w:val="18"/>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 xml:space="preserve">值守人员按国家及行业相关要求持证上岗，业务能力需要符合采购人考核要求，如不达标及时更换。上岗工作期间，值守人员需遵守采购人相关纪律，服从采购人的管理，值守人员只能从事值守相关或采购人委托的工作。 </w:t>
      </w:r>
    </w:p>
    <w:p>
      <w:pPr>
        <w:pStyle w:val="226"/>
        <w:numPr>
          <w:ilvl w:val="0"/>
          <w:numId w:val="18"/>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 xml:space="preserve">值守人员必须遵守采购人制定的相关制度，认真履行相关的责任与义务，不得睡岗、迟到早退、中途无故脱岗，所有人员上下岗均需签字，并保存记录。中标人需为值守人员提供制式服装和通讯设备，值守人员必须确保上岗期间各类通讯设备正常。 </w:t>
      </w:r>
    </w:p>
    <w:p>
      <w:pPr>
        <w:pStyle w:val="226"/>
        <w:numPr>
          <w:ilvl w:val="0"/>
          <w:numId w:val="18"/>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 xml:space="preserve">值守期内，中标人应加强对值守人员的法纪教育和业务培训，每季度集中理论学习和技能培训，将培训工作记录成册并备案。 </w:t>
      </w:r>
    </w:p>
    <w:p>
      <w:pPr>
        <w:pStyle w:val="226"/>
        <w:numPr>
          <w:ilvl w:val="0"/>
          <w:numId w:val="18"/>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 xml:space="preserve">保证交接班记录、值守记录等应完备、存档，自觉接受采购人的检查。 </w:t>
      </w:r>
    </w:p>
    <w:p>
      <w:pPr>
        <w:pStyle w:val="226"/>
        <w:numPr>
          <w:ilvl w:val="0"/>
          <w:numId w:val="18"/>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发现中控室内系统及设施的任何问题应立即通知有关维修人员进行维修，同时向采购人汇报。</w:t>
      </w:r>
    </w:p>
    <w:p>
      <w:pPr>
        <w:pStyle w:val="226"/>
        <w:numPr>
          <w:ilvl w:val="0"/>
          <w:numId w:val="18"/>
        </w:numPr>
        <w:adjustRightInd w:val="0"/>
        <w:spacing w:line="400" w:lineRule="exact"/>
        <w:ind w:left="0" w:firstLine="480" w:firstLineChars="200"/>
        <w:rPr>
          <w:rFonts w:hint="eastAsia" w:ascii="宋体" w:hAnsi="宋体" w:eastAsia="宋体" w:cs="宋体"/>
          <w:sz w:val="24"/>
        </w:rPr>
      </w:pPr>
      <w:r>
        <w:rPr>
          <w:rFonts w:hint="eastAsia" w:ascii="宋体" w:hAnsi="宋体" w:eastAsia="宋体" w:cs="宋体"/>
          <w:sz w:val="24"/>
        </w:rPr>
        <w:t xml:space="preserve">值守人员应主动做好中控室的清洁卫生工作，保持环境整洁。 </w:t>
      </w:r>
    </w:p>
    <w:p>
      <w:pPr>
        <w:spacing w:line="40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4.纪念馆保安服务 </w:t>
      </w:r>
    </w:p>
    <w:p>
      <w:pPr>
        <w:pStyle w:val="226"/>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服务内容：</w:t>
      </w:r>
    </w:p>
    <w:p>
      <w:pPr>
        <w:pStyle w:val="226"/>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负责纪念馆管理服务区域的7*24小时值守，提供安全保卫服务，全年无休。负责进馆人员筛查登记、秩序维护、人流疏导，处理各类突发事件，做好安全巡视、防火灭火、防汛、防盗、防恐、防破坏、冬季铲雪除冰、秩序维护、防疫等工作，以及其他临时性工作，保障服务区内人员的人身、财产安全，确保正常的工作和治安秩序。</w:t>
      </w:r>
    </w:p>
    <w:p>
      <w:pPr>
        <w:pStyle w:val="226"/>
        <w:spacing w:line="400" w:lineRule="exact"/>
        <w:ind w:firstLine="480" w:firstLineChars="200"/>
        <w:rPr>
          <w:rFonts w:hint="eastAsia" w:ascii="宋体" w:hAnsi="宋体" w:eastAsia="宋体" w:cs="宋体"/>
          <w:sz w:val="24"/>
        </w:rPr>
      </w:pPr>
      <w:r>
        <w:rPr>
          <w:rFonts w:hint="eastAsia" w:ascii="宋体" w:hAnsi="宋体" w:eastAsia="宋体" w:cs="宋体"/>
          <w:sz w:val="24"/>
        </w:rPr>
        <w:t>服务要求及标准：</w:t>
      </w:r>
    </w:p>
    <w:p>
      <w:pPr>
        <w:pStyle w:val="226"/>
        <w:spacing w:line="400" w:lineRule="exact"/>
        <w:ind w:firstLine="480" w:firstLineChars="200"/>
        <w:rPr>
          <w:rFonts w:hint="eastAsia" w:ascii="宋体" w:hAnsi="宋体" w:eastAsia="宋体" w:cs="宋体"/>
          <w:sz w:val="24"/>
        </w:rPr>
      </w:pPr>
      <w:r>
        <w:rPr>
          <w:rFonts w:hint="eastAsia" w:ascii="宋体" w:hAnsi="宋体" w:eastAsia="宋体" w:cs="宋体"/>
          <w:sz w:val="24"/>
        </w:rPr>
        <w:t>（1）人员要求</w:t>
      </w:r>
    </w:p>
    <w:p>
      <w:pPr>
        <w:pStyle w:val="226"/>
        <w:spacing w:line="400" w:lineRule="exact"/>
        <w:ind w:firstLine="480" w:firstLineChars="200"/>
        <w:rPr>
          <w:rFonts w:hint="eastAsia" w:ascii="宋体" w:hAnsi="宋体" w:eastAsia="宋体" w:cs="宋体"/>
          <w:sz w:val="24"/>
        </w:rPr>
      </w:pPr>
      <w:r>
        <w:rPr>
          <w:rFonts w:hint="eastAsia" w:ascii="宋体" w:hAnsi="宋体" w:eastAsia="宋体" w:cs="宋体"/>
          <w:sz w:val="24"/>
        </w:rPr>
        <w:t>1）应具备较高的政治思想素养和业务水平，受过专门的警卫或保卫业务培训，有较强的组织协调能力，有连续五年及以上保安服务项目工作经历。</w:t>
      </w:r>
    </w:p>
    <w:p>
      <w:pPr>
        <w:pStyle w:val="226"/>
        <w:spacing w:line="400" w:lineRule="exact"/>
        <w:ind w:firstLine="480" w:firstLineChars="200"/>
        <w:rPr>
          <w:rFonts w:hint="eastAsia" w:ascii="宋体" w:hAnsi="宋体" w:eastAsia="宋体" w:cs="宋体"/>
          <w:sz w:val="24"/>
        </w:rPr>
      </w:pPr>
      <w:r>
        <w:rPr>
          <w:rFonts w:hint="eastAsia" w:ascii="宋体" w:hAnsi="宋体" w:eastAsia="宋体" w:cs="宋体"/>
          <w:sz w:val="24"/>
        </w:rPr>
        <w:t>2）保安从业人员应知法、懂法、守法，依法办事，严格遵守保安从业规范，模范遵守单位内部及集体宿舍安全管理等各项规定。</w:t>
      </w:r>
    </w:p>
    <w:p>
      <w:pPr>
        <w:pStyle w:val="226"/>
        <w:spacing w:line="400" w:lineRule="exact"/>
        <w:ind w:firstLine="480" w:firstLineChars="200"/>
        <w:rPr>
          <w:rFonts w:hint="eastAsia" w:ascii="宋体" w:hAnsi="宋体" w:eastAsia="宋体" w:cs="宋体"/>
          <w:sz w:val="24"/>
        </w:rPr>
      </w:pPr>
      <w:r>
        <w:rPr>
          <w:rFonts w:hint="eastAsia" w:ascii="宋体" w:hAnsi="宋体" w:eastAsia="宋体" w:cs="宋体"/>
          <w:sz w:val="24"/>
        </w:rPr>
        <w:t>3）保安人员个人素质条件：男性保安员身高1.70米以上，18周岁至50周岁；女性保安员身高1.60米以上，18周岁至45周岁；保安员初中以上文化程度、五官端正、思想进步、身体健康、热爱保安工作，有较好的语言表达能力；能独立承担保安服务中的各项工作；经当地公安机关政审，无治安、刑事处罚</w:t>
      </w:r>
      <w:r>
        <w:rPr>
          <w:rFonts w:hint="eastAsia" w:ascii="宋体" w:hAnsi="宋体" w:eastAsia="宋体" w:cs="宋体"/>
          <w:sz w:val="24"/>
          <w:lang w:eastAsia="zh-CN"/>
        </w:rPr>
        <w:t>记录</w:t>
      </w:r>
      <w:r>
        <w:rPr>
          <w:rFonts w:hint="eastAsia" w:ascii="宋体" w:hAnsi="宋体" w:eastAsia="宋体" w:cs="宋体"/>
          <w:sz w:val="24"/>
        </w:rPr>
        <w:t>。</w:t>
      </w:r>
    </w:p>
    <w:p>
      <w:pPr>
        <w:pStyle w:val="226"/>
        <w:spacing w:line="400" w:lineRule="exact"/>
        <w:ind w:firstLine="480" w:firstLineChars="200"/>
        <w:rPr>
          <w:rFonts w:hint="eastAsia" w:ascii="宋体" w:hAnsi="宋体" w:eastAsia="宋体" w:cs="宋体"/>
          <w:sz w:val="24"/>
        </w:rPr>
      </w:pPr>
      <w:r>
        <w:rPr>
          <w:rFonts w:hint="eastAsia" w:ascii="宋体" w:hAnsi="宋体" w:eastAsia="宋体" w:cs="宋体"/>
          <w:sz w:val="24"/>
        </w:rPr>
        <w:t>4）所聘用的保安人员有吃苦耐劳精神和高度责任感，受过专门培训，熟知纪念馆内部管理及集体宿舍的管理规定，严格履行岗位职责，善于发现各类问题，具备一定的处理突发事件能力。</w:t>
      </w:r>
    </w:p>
    <w:p>
      <w:pPr>
        <w:pStyle w:val="226"/>
        <w:spacing w:line="400" w:lineRule="exact"/>
        <w:ind w:firstLine="480" w:firstLineChars="200"/>
        <w:rPr>
          <w:rFonts w:hint="eastAsia" w:ascii="宋体" w:hAnsi="宋体" w:eastAsia="宋体" w:cs="宋体"/>
          <w:sz w:val="24"/>
        </w:rPr>
      </w:pPr>
      <w:r>
        <w:rPr>
          <w:rFonts w:hint="eastAsia" w:ascii="宋体" w:hAnsi="宋体" w:eastAsia="宋体" w:cs="宋体"/>
          <w:sz w:val="24"/>
        </w:rPr>
        <w:t>5）所有保安员需持保安员证方可上岗，均应具备消防应急知识和人流疏散等基本技能。</w:t>
      </w:r>
    </w:p>
    <w:p>
      <w:pPr>
        <w:pStyle w:val="226"/>
        <w:spacing w:line="400" w:lineRule="exact"/>
        <w:ind w:firstLine="480" w:firstLineChars="200"/>
        <w:rPr>
          <w:rFonts w:hint="eastAsia" w:ascii="宋体" w:hAnsi="宋体" w:eastAsia="宋体" w:cs="宋体"/>
          <w:sz w:val="24"/>
        </w:rPr>
      </w:pPr>
      <w:r>
        <w:rPr>
          <w:rFonts w:hint="eastAsia" w:ascii="宋体" w:hAnsi="宋体" w:eastAsia="宋体" w:cs="宋体"/>
          <w:sz w:val="24"/>
        </w:rPr>
        <w:t>6）中标人需承诺：在本项目的执行过程中，项目团队人员保持稳定，确保提供充足的人员在岗工作，直至项目服务结束。</w:t>
      </w:r>
    </w:p>
    <w:p>
      <w:pPr>
        <w:pStyle w:val="226"/>
        <w:spacing w:line="400" w:lineRule="exact"/>
        <w:ind w:firstLine="480" w:firstLineChars="200"/>
        <w:rPr>
          <w:rFonts w:hint="eastAsia" w:ascii="宋体" w:hAnsi="宋体" w:eastAsia="宋体" w:cs="宋体"/>
          <w:sz w:val="24"/>
        </w:rPr>
      </w:pPr>
      <w:r>
        <w:rPr>
          <w:rFonts w:hint="eastAsia" w:ascii="宋体" w:hAnsi="宋体" w:eastAsia="宋体" w:cs="宋体"/>
          <w:sz w:val="24"/>
        </w:rPr>
        <w:t>（2）岗位设置</w:t>
      </w:r>
    </w:p>
    <w:p>
      <w:pPr>
        <w:pStyle w:val="226"/>
        <w:spacing w:line="400" w:lineRule="exact"/>
        <w:ind w:firstLine="480" w:firstLineChars="200"/>
        <w:rPr>
          <w:rFonts w:hint="eastAsia" w:ascii="宋体" w:hAnsi="宋体" w:eastAsia="宋体" w:cs="宋体"/>
          <w:sz w:val="24"/>
        </w:rPr>
      </w:pPr>
      <w:r>
        <w:rPr>
          <w:rFonts w:hint="eastAsia" w:ascii="宋体" w:hAnsi="宋体" w:eastAsia="宋体" w:cs="宋体"/>
          <w:sz w:val="24"/>
        </w:rPr>
        <w:t>按保安服务项目的安全管理需要设立岗位并配备相应的保安力量。中标人在组织、安排保安工作时，应符合国家相关法律法规，维护保安人员的正当权益。</w:t>
      </w:r>
    </w:p>
    <w:p>
      <w:pPr>
        <w:pStyle w:val="226"/>
        <w:spacing w:line="400" w:lineRule="exact"/>
        <w:ind w:firstLine="482" w:firstLineChars="200"/>
        <w:rPr>
          <w:rFonts w:hint="eastAsia" w:ascii="宋体" w:hAnsi="宋体" w:eastAsia="宋体" w:cs="宋体"/>
          <w:sz w:val="24"/>
          <w:lang w:val="en-US" w:eastAsia="zh-CN"/>
        </w:rPr>
      </w:pPr>
      <w:r>
        <w:rPr>
          <w:rFonts w:hint="eastAsia" w:ascii="宋体" w:hAnsi="宋体" w:eastAsia="宋体" w:cs="宋体"/>
          <w:b/>
          <w:bCs/>
          <w:sz w:val="24"/>
          <w:lang w:val="en-US" w:eastAsia="zh-CN"/>
        </w:rPr>
        <w:t>北大红馆区岗位配置：</w:t>
      </w:r>
    </w:p>
    <w:p>
      <w:pPr>
        <w:pStyle w:val="226"/>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队长：2人</w:t>
      </w:r>
    </w:p>
    <w:p>
      <w:pPr>
        <w:pStyle w:val="226"/>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白班：</w:t>
      </w:r>
    </w:p>
    <w:p>
      <w:pPr>
        <w:pStyle w:val="226"/>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安检：每日5岗</w:t>
      </w:r>
    </w:p>
    <w:p>
      <w:pPr>
        <w:pStyle w:val="226"/>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东门及南门岗：每日4岗</w:t>
      </w:r>
    </w:p>
    <w:p>
      <w:pPr>
        <w:pStyle w:val="226"/>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院内外巡视岗：开馆日7岗</w:t>
      </w:r>
    </w:p>
    <w:p>
      <w:pPr>
        <w:pStyle w:val="226"/>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停车巡视岗：每</w:t>
      </w:r>
      <w:r>
        <w:rPr>
          <w:rFonts w:hint="eastAsia" w:ascii="宋体" w:hAnsi="宋体" w:cs="宋体"/>
          <w:sz w:val="24"/>
          <w:lang w:val="en-US" w:eastAsia="zh-CN"/>
        </w:rPr>
        <w:t>周一</w:t>
      </w:r>
      <w:r>
        <w:rPr>
          <w:rFonts w:hint="eastAsia" w:ascii="宋体" w:hAnsi="宋体" w:eastAsia="宋体" w:cs="宋体"/>
          <w:sz w:val="24"/>
          <w:lang w:val="en-US" w:eastAsia="zh-CN"/>
        </w:rPr>
        <w:t>1岗</w:t>
      </w:r>
    </w:p>
    <w:p>
      <w:pPr>
        <w:pStyle w:val="226"/>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夜班：</w:t>
      </w:r>
    </w:p>
    <w:p>
      <w:pPr>
        <w:pStyle w:val="226"/>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门岗：2岗</w:t>
      </w:r>
    </w:p>
    <w:p>
      <w:pPr>
        <w:pStyle w:val="226"/>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巡视岗：2岗</w:t>
      </w:r>
    </w:p>
    <w:p>
      <w:pPr>
        <w:pStyle w:val="226"/>
        <w:spacing w:line="400" w:lineRule="exact"/>
        <w:ind w:firstLine="482" w:firstLineChars="200"/>
        <w:rPr>
          <w:rFonts w:hint="eastAsia" w:ascii="宋体" w:hAnsi="宋体" w:eastAsia="宋体" w:cs="宋体"/>
          <w:sz w:val="24"/>
          <w:lang w:val="en-US" w:eastAsia="zh-CN"/>
        </w:rPr>
      </w:pPr>
      <w:r>
        <w:rPr>
          <w:rFonts w:hint="eastAsia" w:ascii="宋体" w:hAnsi="宋体" w:eastAsia="宋体" w:cs="宋体"/>
          <w:b/>
          <w:bCs/>
          <w:sz w:val="24"/>
          <w:lang w:val="en-US" w:eastAsia="zh-CN"/>
        </w:rPr>
        <w:t>蒙藏学校旧址馆区岗位配置：</w:t>
      </w:r>
    </w:p>
    <w:p>
      <w:pPr>
        <w:pStyle w:val="226"/>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队长：2人</w:t>
      </w:r>
    </w:p>
    <w:p>
      <w:pPr>
        <w:pStyle w:val="226"/>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白班：</w:t>
      </w:r>
    </w:p>
    <w:p>
      <w:pPr>
        <w:pStyle w:val="226"/>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安检：4岗</w:t>
      </w:r>
    </w:p>
    <w:p>
      <w:pPr>
        <w:pStyle w:val="226"/>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南出口：1岗</w:t>
      </w:r>
    </w:p>
    <w:p>
      <w:pPr>
        <w:pStyle w:val="226"/>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西入口：1岗</w:t>
      </w:r>
    </w:p>
    <w:p>
      <w:pPr>
        <w:pStyle w:val="226"/>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夜班：</w:t>
      </w:r>
    </w:p>
    <w:p>
      <w:pPr>
        <w:pStyle w:val="226"/>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门岗：1岗</w:t>
      </w:r>
    </w:p>
    <w:p>
      <w:pPr>
        <w:pStyle w:val="226"/>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巡逻岗：4岗</w:t>
      </w:r>
    </w:p>
    <w:p>
      <w:pPr>
        <w:pStyle w:val="226"/>
        <w:spacing w:line="400" w:lineRule="exact"/>
        <w:ind w:firstLine="480" w:firstLineChars="200"/>
        <w:rPr>
          <w:rFonts w:hint="eastAsia" w:ascii="宋体" w:hAnsi="宋体" w:eastAsia="宋体" w:cs="宋体"/>
          <w:sz w:val="24"/>
          <w:lang w:val="en-US" w:eastAsia="zh-CN"/>
        </w:rPr>
      </w:pPr>
    </w:p>
    <w:p>
      <w:pPr>
        <w:pStyle w:val="226"/>
        <w:spacing w:line="400" w:lineRule="exact"/>
        <w:ind w:firstLine="480" w:firstLineChars="200"/>
        <w:rPr>
          <w:rFonts w:hint="eastAsia" w:ascii="宋体" w:hAnsi="宋体" w:eastAsia="宋体" w:cs="宋体"/>
          <w:sz w:val="24"/>
          <w:lang w:val="en-US" w:eastAsia="zh-CN"/>
        </w:rPr>
      </w:pPr>
    </w:p>
    <w:tbl>
      <w:tblPr>
        <w:tblStyle w:val="53"/>
        <w:tblW w:w="7562" w:type="dxa"/>
        <w:jc w:val="center"/>
        <w:tblInd w:w="0" w:type="dxa"/>
        <w:tblLayout w:type="fixed"/>
        <w:tblCellMar>
          <w:top w:w="0" w:type="dxa"/>
          <w:left w:w="108" w:type="dxa"/>
          <w:bottom w:w="0" w:type="dxa"/>
          <w:right w:w="108" w:type="dxa"/>
        </w:tblCellMar>
      </w:tblPr>
      <w:tblGrid>
        <w:gridCol w:w="2820"/>
        <w:gridCol w:w="4742"/>
      </w:tblGrid>
      <w:tr>
        <w:tblPrEx>
          <w:tblLayout w:type="fixed"/>
          <w:tblCellMar>
            <w:top w:w="0" w:type="dxa"/>
            <w:left w:w="108" w:type="dxa"/>
            <w:bottom w:w="0" w:type="dxa"/>
            <w:right w:w="108" w:type="dxa"/>
          </w:tblCellMar>
        </w:tblPrEx>
        <w:trPr>
          <w:trHeight w:val="435" w:hRule="atLeast"/>
          <w:jc w:val="center"/>
        </w:trPr>
        <w:tc>
          <w:tcPr>
            <w:tcW w:w="2820" w:type="dxa"/>
            <w:tcBorders>
              <w:top w:val="single" w:color="auto" w:sz="4" w:space="0"/>
              <w:left w:val="single" w:color="auto" w:sz="4" w:space="0"/>
              <w:bottom w:val="single" w:color="auto" w:sz="4" w:space="0"/>
              <w:right w:val="single" w:color="auto" w:sz="4" w:space="0"/>
            </w:tcBorders>
            <w:noWrap/>
            <w:vAlign w:val="center"/>
          </w:tcPr>
          <w:p>
            <w:pPr>
              <w:widowControl/>
              <w:adjustRightInd/>
              <w:spacing w:line="40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岗位</w:t>
            </w:r>
          </w:p>
        </w:tc>
        <w:tc>
          <w:tcPr>
            <w:tcW w:w="4742" w:type="dxa"/>
            <w:tcBorders>
              <w:top w:val="single" w:color="auto" w:sz="4" w:space="0"/>
              <w:left w:val="nil"/>
              <w:bottom w:val="single" w:color="auto" w:sz="4" w:space="0"/>
              <w:right w:val="single" w:color="auto" w:sz="4" w:space="0"/>
            </w:tcBorders>
            <w:noWrap/>
            <w:vAlign w:val="center"/>
          </w:tcPr>
          <w:p>
            <w:pPr>
              <w:widowControl/>
              <w:adjustRightInd/>
              <w:spacing w:line="40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工作内容</w:t>
            </w:r>
          </w:p>
        </w:tc>
      </w:tr>
      <w:tr>
        <w:tblPrEx>
          <w:tblLayout w:type="fixed"/>
          <w:tblCellMar>
            <w:top w:w="0" w:type="dxa"/>
            <w:left w:w="108" w:type="dxa"/>
            <w:bottom w:w="0" w:type="dxa"/>
            <w:right w:w="108" w:type="dxa"/>
          </w:tblCellMar>
        </w:tblPrEx>
        <w:trPr>
          <w:trHeight w:val="1425" w:hRule="atLeast"/>
          <w:jc w:val="center"/>
        </w:trPr>
        <w:tc>
          <w:tcPr>
            <w:tcW w:w="2820" w:type="dxa"/>
            <w:tcBorders>
              <w:top w:val="nil"/>
              <w:left w:val="single" w:color="auto" w:sz="4" w:space="0"/>
              <w:bottom w:val="single" w:color="auto" w:sz="4" w:space="0"/>
              <w:right w:val="single" w:color="auto" w:sz="4" w:space="0"/>
            </w:tcBorders>
            <w:noWrap/>
            <w:vAlign w:val="center"/>
          </w:tcPr>
          <w:p>
            <w:pPr>
              <w:widowControl/>
              <w:adjustRightIn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安保队长</w:t>
            </w:r>
          </w:p>
        </w:tc>
        <w:tc>
          <w:tcPr>
            <w:tcW w:w="4742" w:type="dxa"/>
            <w:tcBorders>
              <w:top w:val="nil"/>
              <w:left w:val="nil"/>
              <w:bottom w:val="single" w:color="auto" w:sz="4" w:space="0"/>
              <w:right w:val="single" w:color="auto" w:sz="4" w:space="0"/>
            </w:tcBorders>
            <w:noWrap w:val="0"/>
            <w:vAlign w:val="center"/>
          </w:tcPr>
          <w:p>
            <w:pPr>
              <w:widowControl/>
              <w:adjustRightIn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负责纪念馆两个馆区整体安保工作；开馆期间安保工作指挥及人员调配；闭馆后夜间场馆安全。</w:t>
            </w:r>
          </w:p>
        </w:tc>
      </w:tr>
      <w:tr>
        <w:tblPrEx>
          <w:tblLayout w:type="fixed"/>
          <w:tblCellMar>
            <w:top w:w="0" w:type="dxa"/>
            <w:left w:w="108" w:type="dxa"/>
            <w:bottom w:w="0" w:type="dxa"/>
            <w:right w:w="108" w:type="dxa"/>
          </w:tblCellMar>
        </w:tblPrEx>
        <w:trPr>
          <w:trHeight w:val="855" w:hRule="atLeast"/>
          <w:jc w:val="center"/>
        </w:trPr>
        <w:tc>
          <w:tcPr>
            <w:tcW w:w="2820" w:type="dxa"/>
            <w:tcBorders>
              <w:top w:val="nil"/>
              <w:left w:val="single" w:color="auto" w:sz="4" w:space="0"/>
              <w:bottom w:val="single" w:color="auto" w:sz="4" w:space="0"/>
              <w:right w:val="single" w:color="auto" w:sz="4" w:space="0"/>
            </w:tcBorders>
            <w:noWrap/>
            <w:vAlign w:val="center"/>
          </w:tcPr>
          <w:p>
            <w:pPr>
              <w:widowControl/>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门岗</w:t>
            </w:r>
          </w:p>
        </w:tc>
        <w:tc>
          <w:tcPr>
            <w:tcW w:w="4742" w:type="dxa"/>
            <w:tcBorders>
              <w:top w:val="nil"/>
              <w:left w:val="nil"/>
              <w:bottom w:val="single" w:color="auto" w:sz="4" w:space="0"/>
              <w:right w:val="single" w:color="auto" w:sz="4" w:space="0"/>
            </w:tcBorders>
            <w:noWrap w:val="0"/>
            <w:vAlign w:val="center"/>
          </w:tcPr>
          <w:p>
            <w:pPr>
              <w:widowControl/>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开馆时间轮岗执勤，门岗安全保卫工作，进出人员及物资管理与登记。</w:t>
            </w:r>
          </w:p>
        </w:tc>
      </w:tr>
      <w:tr>
        <w:tblPrEx>
          <w:tblLayout w:type="fixed"/>
          <w:tblCellMar>
            <w:top w:w="0" w:type="dxa"/>
            <w:left w:w="108" w:type="dxa"/>
            <w:bottom w:w="0" w:type="dxa"/>
            <w:right w:w="108" w:type="dxa"/>
          </w:tblCellMar>
        </w:tblPrEx>
        <w:trPr>
          <w:trHeight w:val="855" w:hRule="atLeast"/>
          <w:jc w:val="center"/>
        </w:trPr>
        <w:tc>
          <w:tcPr>
            <w:tcW w:w="2820" w:type="dxa"/>
            <w:tcBorders>
              <w:top w:val="nil"/>
              <w:left w:val="single" w:color="auto" w:sz="4" w:space="0"/>
              <w:bottom w:val="single" w:color="auto" w:sz="4" w:space="0"/>
              <w:right w:val="single" w:color="auto" w:sz="4" w:space="0"/>
            </w:tcBorders>
            <w:noWrap/>
            <w:vAlign w:val="center"/>
          </w:tcPr>
          <w:p>
            <w:pPr>
              <w:widowControl/>
              <w:adjustRightIn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门前引导、巡视</w:t>
            </w:r>
          </w:p>
        </w:tc>
        <w:tc>
          <w:tcPr>
            <w:tcW w:w="4742" w:type="dxa"/>
            <w:tcBorders>
              <w:top w:val="nil"/>
              <w:left w:val="nil"/>
              <w:bottom w:val="single" w:color="auto" w:sz="4" w:space="0"/>
              <w:right w:val="single" w:color="auto" w:sz="4" w:space="0"/>
            </w:tcBorders>
            <w:noWrap w:val="0"/>
            <w:vAlign w:val="center"/>
          </w:tcPr>
          <w:p>
            <w:pPr>
              <w:widowControl/>
              <w:adjustRightIn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开馆时间轮岗执勤，合理安排车辆停放，协助引导参观观众。</w:t>
            </w:r>
          </w:p>
        </w:tc>
      </w:tr>
      <w:tr>
        <w:tblPrEx>
          <w:tblLayout w:type="fixed"/>
          <w:tblCellMar>
            <w:top w:w="0" w:type="dxa"/>
            <w:left w:w="108" w:type="dxa"/>
            <w:bottom w:w="0" w:type="dxa"/>
            <w:right w:w="108" w:type="dxa"/>
          </w:tblCellMar>
        </w:tblPrEx>
        <w:trPr>
          <w:trHeight w:val="1425" w:hRule="atLeast"/>
          <w:jc w:val="center"/>
        </w:trPr>
        <w:tc>
          <w:tcPr>
            <w:tcW w:w="2820" w:type="dxa"/>
            <w:tcBorders>
              <w:top w:val="nil"/>
              <w:left w:val="single" w:color="auto" w:sz="4" w:space="0"/>
              <w:bottom w:val="single" w:color="auto" w:sz="4" w:space="0"/>
              <w:right w:val="single" w:color="auto" w:sz="4" w:space="0"/>
            </w:tcBorders>
            <w:noWrap/>
            <w:vAlign w:val="center"/>
          </w:tcPr>
          <w:p>
            <w:pPr>
              <w:widowControl/>
              <w:adjustRightIn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巡逻岗</w:t>
            </w:r>
          </w:p>
        </w:tc>
        <w:tc>
          <w:tcPr>
            <w:tcW w:w="4742" w:type="dxa"/>
            <w:tcBorders>
              <w:top w:val="nil"/>
              <w:left w:val="nil"/>
              <w:bottom w:val="single" w:color="auto" w:sz="4" w:space="0"/>
              <w:right w:val="single" w:color="auto" w:sz="4" w:space="0"/>
            </w:tcBorders>
            <w:noWrap w:val="0"/>
            <w:vAlign w:val="center"/>
          </w:tcPr>
          <w:p>
            <w:pPr>
              <w:widowControl/>
              <w:adjustRightInd/>
              <w:spacing w:line="400" w:lineRule="exact"/>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纪念馆</w:t>
            </w:r>
            <w:r>
              <w:rPr>
                <w:rFonts w:hint="eastAsia" w:ascii="宋体" w:hAnsi="宋体" w:eastAsia="宋体" w:cs="宋体"/>
                <w:color w:val="000000"/>
                <w:sz w:val="24"/>
                <w:szCs w:val="24"/>
              </w:rPr>
              <w:t>院内巡逻岗位开馆期间轮岗执勤，固定岗位</w:t>
            </w:r>
            <w:r>
              <w:rPr>
                <w:rFonts w:hint="eastAsia" w:ascii="宋体" w:hAnsi="宋体" w:eastAsia="宋体" w:cs="宋体"/>
                <w:kern w:val="2"/>
                <w:sz w:val="24"/>
                <w:szCs w:val="24"/>
              </w:rPr>
              <w:t>24</w:t>
            </w:r>
            <w:r>
              <w:rPr>
                <w:rFonts w:hint="eastAsia" w:ascii="宋体" w:hAnsi="宋体" w:eastAsia="宋体" w:cs="宋体"/>
                <w:color w:val="000000"/>
                <w:sz w:val="24"/>
                <w:szCs w:val="24"/>
              </w:rPr>
              <w:t>小时轮岗执勤，不间断巡视，遇突发状况能随时处理并上报。</w:t>
            </w:r>
          </w:p>
        </w:tc>
      </w:tr>
    </w:tbl>
    <w:p>
      <w:pPr>
        <w:pStyle w:val="226"/>
        <w:spacing w:line="400" w:lineRule="exact"/>
        <w:rPr>
          <w:rFonts w:hint="eastAsia" w:ascii="宋体" w:hAnsi="宋体" w:eastAsia="宋体" w:cs="宋体"/>
          <w:sz w:val="24"/>
          <w:szCs w:val="24"/>
        </w:rPr>
      </w:pPr>
    </w:p>
    <w:p>
      <w:pPr>
        <w:pStyle w:val="226"/>
        <w:spacing w:line="400" w:lineRule="exact"/>
        <w:ind w:firstLine="480" w:firstLineChars="200"/>
        <w:rPr>
          <w:rFonts w:hint="eastAsia" w:ascii="宋体" w:hAnsi="宋体" w:eastAsia="宋体" w:cs="宋体"/>
          <w:sz w:val="24"/>
        </w:rPr>
      </w:pPr>
      <w:r>
        <w:rPr>
          <w:rFonts w:hint="eastAsia" w:ascii="宋体" w:hAnsi="宋体" w:eastAsia="宋体" w:cs="宋体"/>
          <w:sz w:val="24"/>
        </w:rPr>
        <w:t>（3）服务人员的主要职责</w:t>
      </w:r>
    </w:p>
    <w:p>
      <w:pPr>
        <w:pStyle w:val="226"/>
        <w:numPr>
          <w:ilvl w:val="0"/>
          <w:numId w:val="19"/>
        </w:numPr>
        <w:spacing w:line="400" w:lineRule="exact"/>
        <w:ind w:left="0" w:firstLine="480" w:firstLineChars="200"/>
        <w:rPr>
          <w:rFonts w:hint="eastAsia" w:ascii="宋体" w:hAnsi="宋体" w:eastAsia="宋体" w:cs="宋体"/>
          <w:sz w:val="24"/>
        </w:rPr>
      </w:pPr>
      <w:r>
        <w:rPr>
          <w:rFonts w:hint="eastAsia" w:ascii="宋体" w:hAnsi="宋体" w:eastAsia="宋体" w:cs="宋体"/>
          <w:sz w:val="24"/>
        </w:rPr>
        <w:t>全面负责服务范围内的安全保卫、人员疏导、防火、防盗、防疫、防汛以及其他临时性工作。</w:t>
      </w:r>
    </w:p>
    <w:p>
      <w:pPr>
        <w:pStyle w:val="226"/>
        <w:numPr>
          <w:ilvl w:val="0"/>
          <w:numId w:val="19"/>
        </w:numPr>
        <w:spacing w:line="400" w:lineRule="exact"/>
        <w:ind w:left="0" w:firstLine="480" w:firstLineChars="200"/>
        <w:rPr>
          <w:rFonts w:hint="eastAsia" w:ascii="宋体" w:hAnsi="宋体" w:eastAsia="宋体" w:cs="宋体"/>
          <w:sz w:val="24"/>
        </w:rPr>
      </w:pPr>
      <w:r>
        <w:rPr>
          <w:rFonts w:hint="eastAsia" w:ascii="宋体" w:hAnsi="宋体" w:eastAsia="宋体" w:cs="宋体"/>
          <w:sz w:val="24"/>
        </w:rPr>
        <w:t>在纪念馆的统一组织和领导下，做好服务范围内的安全保卫工作；维护服务范围内的稳定，及时发现并消除安全隐患。</w:t>
      </w:r>
    </w:p>
    <w:p>
      <w:pPr>
        <w:pStyle w:val="226"/>
        <w:numPr>
          <w:ilvl w:val="0"/>
          <w:numId w:val="19"/>
        </w:numPr>
        <w:spacing w:line="400" w:lineRule="exact"/>
        <w:ind w:left="0" w:firstLine="480" w:firstLineChars="200"/>
        <w:rPr>
          <w:rFonts w:hint="eastAsia" w:ascii="宋体" w:hAnsi="宋体" w:eastAsia="宋体" w:cs="宋体"/>
          <w:sz w:val="24"/>
        </w:rPr>
      </w:pPr>
      <w:r>
        <w:rPr>
          <w:rFonts w:hint="eastAsia" w:ascii="宋体" w:hAnsi="宋体" w:eastAsia="宋体" w:cs="宋体"/>
          <w:sz w:val="24"/>
        </w:rPr>
        <w:t>根据岗位职责，执行安全防范任务，处置突发事件，确保</w:t>
      </w:r>
      <w:r>
        <w:rPr>
          <w:rFonts w:hint="eastAsia" w:ascii="宋体" w:hAnsi="宋体" w:cs="宋体"/>
          <w:sz w:val="24"/>
          <w:lang w:val="en-US" w:eastAsia="zh-CN"/>
        </w:rPr>
        <w:t>纪念馆</w:t>
      </w:r>
      <w:r>
        <w:rPr>
          <w:rFonts w:hint="eastAsia" w:ascii="宋体" w:hAnsi="宋体" w:eastAsia="宋体" w:cs="宋体"/>
          <w:sz w:val="24"/>
        </w:rPr>
        <w:t>参观环境安全有序。</w:t>
      </w:r>
    </w:p>
    <w:p>
      <w:pPr>
        <w:pStyle w:val="226"/>
        <w:numPr>
          <w:ilvl w:val="0"/>
          <w:numId w:val="19"/>
        </w:numPr>
        <w:spacing w:line="400" w:lineRule="exact"/>
        <w:ind w:left="0" w:firstLine="480" w:firstLineChars="200"/>
        <w:rPr>
          <w:rFonts w:hint="eastAsia" w:ascii="宋体" w:hAnsi="宋体" w:eastAsia="宋体" w:cs="宋体"/>
          <w:sz w:val="24"/>
        </w:rPr>
      </w:pPr>
      <w:r>
        <w:rPr>
          <w:rFonts w:hint="eastAsia" w:ascii="宋体" w:hAnsi="宋体" w:eastAsia="宋体" w:cs="宋体"/>
          <w:sz w:val="24"/>
        </w:rPr>
        <w:t>确保纪念馆内部安全，切实维护纪念馆内部的安全管理和车辆停放秩序。</w:t>
      </w:r>
    </w:p>
    <w:p>
      <w:pPr>
        <w:pStyle w:val="226"/>
        <w:numPr>
          <w:ilvl w:val="0"/>
          <w:numId w:val="19"/>
        </w:numPr>
        <w:spacing w:line="400" w:lineRule="exact"/>
        <w:ind w:left="0" w:firstLine="480" w:firstLineChars="200"/>
        <w:rPr>
          <w:rFonts w:hint="eastAsia" w:ascii="宋体" w:hAnsi="宋体" w:eastAsia="宋体" w:cs="宋体"/>
          <w:sz w:val="24"/>
        </w:rPr>
      </w:pPr>
      <w:r>
        <w:rPr>
          <w:rFonts w:hint="eastAsia" w:ascii="宋体" w:hAnsi="宋体" w:eastAsia="宋体" w:cs="宋体"/>
          <w:sz w:val="24"/>
        </w:rPr>
        <w:t>安保工作以生命至上为总原则；提供服务以人为本、主动热情；处理问题有理有利有节；应对突发事件生命至上、高效有序。</w:t>
      </w:r>
    </w:p>
    <w:p>
      <w:pPr>
        <w:pStyle w:val="226"/>
        <w:numPr>
          <w:ilvl w:val="0"/>
          <w:numId w:val="19"/>
        </w:numPr>
        <w:spacing w:line="400" w:lineRule="exact"/>
        <w:ind w:left="0" w:firstLine="480" w:firstLineChars="200"/>
        <w:rPr>
          <w:rFonts w:hint="eastAsia" w:ascii="宋体" w:hAnsi="宋体" w:eastAsia="宋体" w:cs="宋体"/>
          <w:sz w:val="24"/>
        </w:rPr>
      </w:pPr>
      <w:r>
        <w:rPr>
          <w:rFonts w:hint="eastAsia" w:ascii="宋体" w:hAnsi="宋体" w:eastAsia="宋体" w:cs="宋体"/>
          <w:sz w:val="24"/>
        </w:rPr>
        <w:t>上岗人员要依据季节变化统一着装，确保仪容仪表干净整洁；待人接物文明有礼；岗位卫生整洁干净。</w:t>
      </w:r>
    </w:p>
    <w:p>
      <w:pPr>
        <w:pStyle w:val="226"/>
        <w:numPr>
          <w:ilvl w:val="0"/>
          <w:numId w:val="19"/>
        </w:numPr>
        <w:spacing w:line="400" w:lineRule="exact"/>
        <w:ind w:left="0" w:firstLine="480" w:firstLineChars="200"/>
        <w:rPr>
          <w:rFonts w:hint="eastAsia" w:ascii="宋体" w:hAnsi="宋体" w:eastAsia="宋体" w:cs="宋体"/>
          <w:sz w:val="24"/>
        </w:rPr>
      </w:pPr>
      <w:r>
        <w:rPr>
          <w:rFonts w:hint="eastAsia" w:ascii="宋体" w:hAnsi="宋体" w:eastAsia="宋体" w:cs="宋体"/>
          <w:sz w:val="24"/>
        </w:rPr>
        <w:t>对工作中使用采购人所有的设备、物资等，指定专人负责保管，做好使用记录和日常维护，登记造册，配合采购人定期盘点。</w:t>
      </w:r>
    </w:p>
    <w:p>
      <w:pPr>
        <w:pStyle w:val="226"/>
        <w:numPr>
          <w:ilvl w:val="0"/>
          <w:numId w:val="19"/>
        </w:numPr>
        <w:spacing w:line="400" w:lineRule="exact"/>
        <w:ind w:left="0" w:firstLine="480" w:firstLineChars="200"/>
        <w:rPr>
          <w:rFonts w:hint="eastAsia" w:ascii="宋体" w:hAnsi="宋体" w:eastAsia="宋体" w:cs="宋体"/>
          <w:sz w:val="24"/>
        </w:rPr>
      </w:pPr>
      <w:r>
        <w:rPr>
          <w:rFonts w:hint="eastAsia" w:ascii="宋体" w:hAnsi="宋体" w:eastAsia="宋体" w:cs="宋体"/>
          <w:sz w:val="24"/>
        </w:rPr>
        <w:t>负责提供进驻保安人员值勤所需的装备、器材、通讯设备等，包括但不限于：安保人员制服、一米线、防暴器材、防汛物资等。</w:t>
      </w:r>
    </w:p>
    <w:p>
      <w:pPr>
        <w:pStyle w:val="226"/>
        <w:numPr>
          <w:ilvl w:val="0"/>
          <w:numId w:val="19"/>
        </w:numPr>
        <w:spacing w:line="400" w:lineRule="exact"/>
        <w:ind w:left="0" w:firstLine="480" w:firstLineChars="200"/>
        <w:rPr>
          <w:rFonts w:hint="eastAsia" w:ascii="宋体" w:hAnsi="宋体" w:eastAsia="宋体" w:cs="宋体"/>
          <w:sz w:val="24"/>
        </w:rPr>
      </w:pPr>
      <w:r>
        <w:rPr>
          <w:rFonts w:hint="eastAsia" w:ascii="宋体" w:hAnsi="宋体" w:eastAsia="宋体" w:cs="宋体"/>
          <w:sz w:val="24"/>
        </w:rPr>
        <w:t>从内部安全保卫工作实际出发，常态化开展在岗人员业务培训和应急预案演练。</w:t>
      </w:r>
    </w:p>
    <w:p>
      <w:pPr>
        <w:pStyle w:val="226"/>
        <w:numPr>
          <w:ilvl w:val="0"/>
          <w:numId w:val="19"/>
        </w:numPr>
        <w:spacing w:line="400" w:lineRule="exact"/>
        <w:ind w:left="0" w:firstLine="480" w:firstLineChars="200"/>
        <w:rPr>
          <w:rFonts w:hint="eastAsia" w:ascii="宋体" w:hAnsi="宋体" w:eastAsia="宋体" w:cs="宋体"/>
          <w:sz w:val="24"/>
        </w:rPr>
      </w:pPr>
      <w:r>
        <w:rPr>
          <w:rFonts w:hint="eastAsia" w:ascii="宋体" w:hAnsi="宋体" w:eastAsia="宋体" w:cs="宋体"/>
          <w:sz w:val="24"/>
        </w:rPr>
        <w:t>内部管理体制健全，设立保安队长、班长、巡逻员，严格规范保安队伍管理。</w:t>
      </w:r>
    </w:p>
    <w:p>
      <w:pPr>
        <w:pStyle w:val="226"/>
        <w:numPr>
          <w:ilvl w:val="0"/>
          <w:numId w:val="19"/>
        </w:numPr>
        <w:spacing w:line="400" w:lineRule="exact"/>
        <w:ind w:left="0" w:firstLine="480" w:firstLineChars="200"/>
        <w:rPr>
          <w:rFonts w:hint="eastAsia" w:ascii="宋体" w:hAnsi="宋体" w:eastAsia="宋体" w:cs="宋体"/>
          <w:sz w:val="24"/>
        </w:rPr>
      </w:pPr>
      <w:r>
        <w:rPr>
          <w:rFonts w:hint="eastAsia" w:ascii="宋体" w:hAnsi="宋体" w:eastAsia="宋体" w:cs="宋体"/>
          <w:sz w:val="24"/>
        </w:rPr>
        <w:t>中标人必须采取切实有效措施保持保安队伍的稳定，严格控制非违纪人员轮换岗比例，合同期限内轮换岗保安人数不得超过合同编制的30%，确保服务质量不因人员变动而受影响。</w:t>
      </w:r>
    </w:p>
    <w:p>
      <w:pPr>
        <w:pStyle w:val="226"/>
        <w:numPr>
          <w:ilvl w:val="0"/>
          <w:numId w:val="19"/>
        </w:numPr>
        <w:spacing w:line="400" w:lineRule="exact"/>
        <w:ind w:left="0" w:firstLine="480" w:firstLineChars="200"/>
        <w:rPr>
          <w:rFonts w:hint="eastAsia" w:ascii="宋体" w:hAnsi="宋体" w:eastAsia="宋体" w:cs="宋体"/>
          <w:color w:val="auto"/>
          <w:sz w:val="24"/>
        </w:rPr>
      </w:pPr>
      <w:r>
        <w:rPr>
          <w:rFonts w:hint="eastAsia" w:ascii="宋体" w:hAnsi="宋体" w:eastAsia="宋体" w:cs="宋体"/>
          <w:sz w:val="24"/>
        </w:rPr>
        <w:t>保安应聘、录用、离职等管理档案规范，手续齐全，禁止离职保安</w:t>
      </w:r>
      <w:r>
        <w:rPr>
          <w:rFonts w:hint="eastAsia" w:ascii="宋体" w:hAnsi="宋体" w:eastAsia="宋体" w:cs="宋体"/>
          <w:color w:val="auto"/>
          <w:sz w:val="24"/>
        </w:rPr>
        <w:t>员到</w:t>
      </w:r>
      <w:r>
        <w:rPr>
          <w:rFonts w:hint="eastAsia" w:ascii="宋体" w:hAnsi="宋体" w:cs="宋体"/>
          <w:color w:val="auto"/>
          <w:sz w:val="24"/>
          <w:lang w:val="en-US" w:eastAsia="zh-CN"/>
        </w:rPr>
        <w:t>纪念馆</w:t>
      </w:r>
      <w:r>
        <w:rPr>
          <w:rFonts w:hint="eastAsia" w:ascii="宋体" w:hAnsi="宋体" w:eastAsia="宋体" w:cs="宋体"/>
          <w:color w:val="auto"/>
          <w:sz w:val="24"/>
        </w:rPr>
        <w:t>非参观区域活动。</w:t>
      </w:r>
    </w:p>
    <w:p>
      <w:pPr>
        <w:pStyle w:val="226"/>
        <w:numPr>
          <w:ilvl w:val="0"/>
          <w:numId w:val="19"/>
        </w:numPr>
        <w:spacing w:line="40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加强员工集体宿舍管理，队长为第一责任人，确保员工防疫、消防等安全。</w:t>
      </w:r>
    </w:p>
    <w:p>
      <w:pPr>
        <w:pStyle w:val="226"/>
        <w:numPr>
          <w:ilvl w:val="0"/>
          <w:numId w:val="19"/>
        </w:numPr>
        <w:spacing w:line="40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严格遵守采购人禁烟规定，禁止携带打火机等火种进入工作区域。</w:t>
      </w:r>
    </w:p>
    <w:p>
      <w:pPr>
        <w:pStyle w:val="226"/>
        <w:numPr>
          <w:ilvl w:val="0"/>
          <w:numId w:val="19"/>
        </w:numPr>
        <w:spacing w:line="40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服务团队应坚持党建引领，加强政治理论学习，在做好自身文化建设的同时，要融入纪念馆文化建设，模范遵守岗位职责要求，工作态度积极向上。</w:t>
      </w:r>
    </w:p>
    <w:p>
      <w:pPr>
        <w:pStyle w:val="226"/>
        <w:numPr>
          <w:ilvl w:val="0"/>
          <w:numId w:val="19"/>
        </w:numPr>
        <w:spacing w:line="40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保安队长与</w:t>
      </w:r>
      <w:r>
        <w:rPr>
          <w:rFonts w:hint="eastAsia" w:ascii="宋体" w:hAnsi="宋体" w:cs="宋体"/>
          <w:color w:val="auto"/>
          <w:sz w:val="24"/>
          <w:lang w:val="en-US" w:eastAsia="zh-CN"/>
        </w:rPr>
        <w:t>纪念馆</w:t>
      </w:r>
      <w:r>
        <w:rPr>
          <w:rFonts w:hint="eastAsia" w:ascii="宋体" w:hAnsi="宋体" w:eastAsia="宋体" w:cs="宋体"/>
          <w:color w:val="auto"/>
          <w:sz w:val="24"/>
        </w:rPr>
        <w:t>安全保卫主管人员保持必要的工作交流，每周必须向安全管理人员汇报工作，重大情况</w:t>
      </w:r>
      <w:r>
        <w:rPr>
          <w:rFonts w:hint="eastAsia" w:ascii="宋体" w:hAnsi="宋体" w:eastAsia="宋体" w:cs="宋体"/>
          <w:color w:val="auto"/>
          <w:sz w:val="24"/>
          <w:lang w:eastAsia="zh-CN"/>
        </w:rPr>
        <w:t>及时</w:t>
      </w:r>
      <w:r>
        <w:rPr>
          <w:rFonts w:hint="eastAsia" w:ascii="宋体" w:hAnsi="宋体" w:eastAsia="宋体" w:cs="宋体"/>
          <w:color w:val="auto"/>
          <w:sz w:val="24"/>
        </w:rPr>
        <w:t>报告。</w:t>
      </w:r>
    </w:p>
    <w:p>
      <w:pPr>
        <w:pStyle w:val="226"/>
        <w:numPr>
          <w:ilvl w:val="0"/>
          <w:numId w:val="19"/>
        </w:numPr>
        <w:spacing w:line="400" w:lineRule="exact"/>
        <w:ind w:left="0" w:firstLine="480" w:firstLineChars="200"/>
        <w:rPr>
          <w:rFonts w:hint="eastAsia" w:ascii="宋体" w:hAnsi="宋体" w:eastAsia="宋体" w:cs="宋体"/>
          <w:bCs/>
          <w:color w:val="auto"/>
          <w:sz w:val="24"/>
        </w:rPr>
      </w:pPr>
      <w:r>
        <w:rPr>
          <w:rFonts w:hint="eastAsia" w:ascii="宋体" w:hAnsi="宋体" w:eastAsia="宋体" w:cs="宋体"/>
          <w:color w:val="auto"/>
          <w:sz w:val="24"/>
        </w:rPr>
        <w:t>安全保卫有关工作记录、原始台账须保存完好，以备核查。</w:t>
      </w:r>
    </w:p>
    <w:p>
      <w:pPr>
        <w:pStyle w:val="226"/>
        <w:numPr>
          <w:ilvl w:val="0"/>
          <w:numId w:val="19"/>
        </w:numPr>
        <w:spacing w:line="400" w:lineRule="exact"/>
        <w:ind w:left="0" w:firstLine="480" w:firstLineChars="200"/>
        <w:rPr>
          <w:rFonts w:hint="eastAsia" w:ascii="宋体" w:hAnsi="宋体" w:eastAsia="宋体" w:cs="宋体"/>
          <w:bCs/>
          <w:color w:val="auto"/>
          <w:sz w:val="24"/>
        </w:rPr>
      </w:pPr>
      <w:r>
        <w:rPr>
          <w:rFonts w:hint="eastAsia" w:ascii="宋体" w:hAnsi="宋体" w:eastAsia="宋体" w:cs="宋体"/>
          <w:color w:val="auto"/>
          <w:sz w:val="24"/>
          <w:lang w:eastAsia="zh-CN"/>
        </w:rPr>
        <w:t>其他属于</w:t>
      </w:r>
      <w:r>
        <w:rPr>
          <w:rFonts w:hint="eastAsia" w:ascii="宋体" w:hAnsi="宋体" w:eastAsia="宋体" w:cs="宋体"/>
          <w:color w:val="auto"/>
          <w:sz w:val="24"/>
        </w:rPr>
        <w:t>保安服务范围内的工作以及纪念馆安全物业部交办的临时性任务。</w:t>
      </w:r>
    </w:p>
    <w:p>
      <w:pPr>
        <w:spacing w:line="400" w:lineRule="exact"/>
        <w:rPr>
          <w:rFonts w:hint="eastAsia" w:ascii="宋体" w:hAnsi="宋体" w:eastAsia="宋体" w:cs="宋体"/>
          <w:bCs/>
          <w:color w:val="auto"/>
          <w:sz w:val="24"/>
        </w:rPr>
      </w:pPr>
      <w:r>
        <w:rPr>
          <w:rFonts w:hint="eastAsia" w:ascii="宋体" w:hAnsi="宋体" w:eastAsia="宋体" w:cs="宋体"/>
          <w:b/>
          <w:color w:val="auto"/>
          <w:sz w:val="24"/>
          <w:szCs w:val="24"/>
          <w:lang w:eastAsia="zh-CN"/>
        </w:rPr>
        <w:t>5.</w:t>
      </w:r>
      <w:r>
        <w:rPr>
          <w:rFonts w:hint="eastAsia" w:ascii="宋体" w:hAnsi="宋体" w:eastAsia="宋体" w:cs="宋体"/>
          <w:b/>
          <w:color w:val="auto"/>
          <w:sz w:val="24"/>
          <w:szCs w:val="24"/>
          <w:lang w:val="en-US" w:eastAsia="zh-CN"/>
        </w:rPr>
        <w:t>绿化</w:t>
      </w:r>
    </w:p>
    <w:p>
      <w:pPr>
        <w:spacing w:line="4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服务范围及内容：</w:t>
      </w:r>
    </w:p>
    <w:p>
      <w:pPr>
        <w:tabs>
          <w:tab w:val="left" w:pos="993"/>
        </w:tabs>
        <w:spacing w:line="40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val="en-US" w:eastAsia="zh-CN"/>
        </w:rPr>
        <w:t>保障重大活动绿植供应及馆区</w:t>
      </w:r>
      <w:r>
        <w:rPr>
          <w:rFonts w:hint="eastAsia" w:ascii="宋体" w:hAnsi="宋体" w:eastAsia="宋体" w:cs="宋体"/>
          <w:color w:val="auto"/>
          <w:sz w:val="24"/>
          <w:szCs w:val="24"/>
          <w:highlight w:val="none"/>
        </w:rPr>
        <w:t>院内绿化养护服务，</w:t>
      </w:r>
      <w:bookmarkStart w:id="2" w:name="_Toc118816140"/>
      <w:r>
        <w:rPr>
          <w:rFonts w:hint="eastAsia" w:ascii="宋体" w:hAnsi="宋体" w:eastAsia="宋体" w:cs="宋体"/>
          <w:color w:val="auto"/>
          <w:sz w:val="24"/>
          <w:szCs w:val="24"/>
          <w:highlight w:val="none"/>
        </w:rPr>
        <w:t>绿植养护服务包括院内绿植养护、院内绿地养护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院内树木及古枣树养护</w:t>
      </w:r>
      <w:r>
        <w:rPr>
          <w:rFonts w:hint="eastAsia" w:ascii="宋体" w:hAnsi="宋体" w:eastAsia="宋体" w:cs="宋体"/>
          <w:color w:val="auto"/>
          <w:sz w:val="24"/>
          <w:szCs w:val="24"/>
          <w:highlight w:val="none"/>
        </w:rPr>
        <w:t>。对绿植养护服务质量进行有效监管。</w:t>
      </w:r>
      <w:bookmarkEnd w:id="2"/>
    </w:p>
    <w:p>
      <w:pPr>
        <w:tabs>
          <w:tab w:val="left" w:pos="993"/>
        </w:tabs>
        <w:spacing w:line="400" w:lineRule="exact"/>
        <w:ind w:left="426"/>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服务标准：</w:t>
      </w:r>
    </w:p>
    <w:p>
      <w:pPr>
        <w:tabs>
          <w:tab w:val="left" w:pos="993"/>
        </w:tabs>
        <w:spacing w:line="400" w:lineRule="exact"/>
        <w:ind w:firstLine="480" w:firstLineChars="200"/>
        <w:contextualSpacing/>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1）修剪：根据各类植物的生长特点、立地环境、景观要求，按照操作规程适时进行。</w:t>
      </w:r>
    </w:p>
    <w:p>
      <w:pPr>
        <w:tabs>
          <w:tab w:val="left" w:pos="993"/>
        </w:tabs>
        <w:spacing w:line="400" w:lineRule="exact"/>
        <w:ind w:left="426"/>
        <w:contextualSpacing/>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2）施肥：根据各类植物的生长特点及植物对肥料的需要，适时适量进行施肥，以保持各类植物的生长旺盛达到符合要求的景观效果。</w:t>
      </w:r>
    </w:p>
    <w:p>
      <w:pPr>
        <w:tabs>
          <w:tab w:val="left" w:pos="993"/>
        </w:tabs>
        <w:spacing w:line="400" w:lineRule="exact"/>
        <w:ind w:left="426"/>
        <w:contextualSpacing/>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3）除草：各类绿地、树穴、绿带要结合松土及时清理各类杂草。</w:t>
      </w:r>
    </w:p>
    <w:p>
      <w:pPr>
        <w:tabs>
          <w:tab w:val="left" w:pos="993"/>
        </w:tabs>
        <w:spacing w:line="400" w:lineRule="exact"/>
        <w:ind w:left="426"/>
        <w:contextualSpacing/>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4）抹芽：主要用于乔木、大型灌木，对不定芽要及时清除，以保持树木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"http://wiki.zhulong.com/baike/detail.asp?t=骨架" \t "_blank"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骨架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清晰，促使生长形态美观，营养集中。</w:t>
      </w:r>
    </w:p>
    <w:p>
      <w:pPr>
        <w:tabs>
          <w:tab w:val="left" w:pos="993"/>
        </w:tabs>
        <w:spacing w:line="400" w:lineRule="exact"/>
        <w:ind w:left="426"/>
        <w:contextualSpacing/>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5）病虫害防治：病虫害防治是植物养护中较为重要的手段和内容，要根据各类植物的寄生对象及时做好预测预报，及时采取措施防治。</w:t>
      </w:r>
    </w:p>
    <w:p>
      <w:pPr>
        <w:tabs>
          <w:tab w:val="left" w:pos="993"/>
        </w:tabs>
        <w:spacing w:line="400" w:lineRule="exact"/>
        <w:ind w:left="426"/>
        <w:contextualSpacing/>
        <w:rPr>
          <w:rFonts w:hint="eastAsia" w:ascii="宋体" w:hAnsi="宋体" w:eastAsia="宋体" w:cs="宋体"/>
          <w:bCs/>
          <w:color w:val="auto"/>
          <w:sz w:val="24"/>
          <w:szCs w:val="24"/>
        </w:rPr>
      </w:pPr>
      <w:r>
        <w:rPr>
          <w:rFonts w:hint="eastAsia" w:ascii="宋体" w:hAnsi="宋体" w:eastAsia="宋体" w:cs="宋体"/>
          <w:color w:val="auto"/>
          <w:sz w:val="24"/>
          <w:szCs w:val="24"/>
          <w:highlight w:val="none"/>
        </w:rPr>
        <w:t>6）抗旱、抗台、抗涝：旱季及新种植物要及时进行灌溉，防止植物因脱水而造成枯死。台汛期间要做好加固、排涝抢险工作，防止植物受损。不包括不可抗拒因素所造成的植被损失。</w:t>
      </w:r>
    </w:p>
    <w:p>
      <w:pPr>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lang w:eastAsia="zh-CN"/>
        </w:rPr>
        <w:t>其他</w:t>
      </w:r>
    </w:p>
    <w:p>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做好临展项目和临时大型活动等专项保障，包括但不限于临展保洁、展厅服务、礼仪服务，需协助采购人做好临时活动保障。</w:t>
      </w:r>
    </w:p>
    <w:p>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按采购人需求，做好其他配合性工作。</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成交人须按采购人工作要求，做好与原物业公司相关业务工作交接，确保物业服务人员队伍稳定，物业服务工作无缝衔接。</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节能管理工作参照北京市机关事务管理局关于印发《关于在物业管理服务政府采</w:t>
      </w:r>
      <w:r>
        <w:rPr>
          <w:rFonts w:hint="eastAsia" w:ascii="宋体" w:hAnsi="宋体" w:eastAsia="宋体" w:cs="宋体"/>
          <w:sz w:val="24"/>
          <w:szCs w:val="24"/>
          <w:highlight w:val="none"/>
        </w:rPr>
        <w:t>购项目中增加节约型公共机构建设相关要求的指导意见》的通知要求开展。</w:t>
      </w:r>
    </w:p>
    <w:p>
      <w:pPr>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★提供由拟派馆区负责人手写签名的安全管理承诺书并加盖投标人公章（格式与内容自拟）否则投标无效。</w:t>
      </w:r>
    </w:p>
    <w:p>
      <w:pPr>
        <w:pStyle w:val="279"/>
        <w:spacing w:line="400" w:lineRule="exact"/>
        <w:ind w:left="0" w:firstLine="0"/>
        <w:rPr>
          <w:rFonts w:hint="eastAsia" w:hAnsi="宋体" w:eastAsia="宋体" w:cs="宋体"/>
          <w:b/>
          <w:sz w:val="24"/>
          <w:szCs w:val="24"/>
        </w:rPr>
      </w:pPr>
      <w:r>
        <w:rPr>
          <w:rFonts w:hint="eastAsia" w:hAnsi="宋体" w:eastAsia="宋体" w:cs="宋体"/>
          <w:b/>
          <w:sz w:val="24"/>
          <w:szCs w:val="24"/>
          <w:highlight w:val="none"/>
        </w:rPr>
        <w:t>三、售后服</w:t>
      </w:r>
      <w:r>
        <w:rPr>
          <w:rFonts w:hint="eastAsia" w:hAnsi="宋体" w:eastAsia="宋体" w:cs="宋体"/>
          <w:b/>
          <w:sz w:val="24"/>
          <w:szCs w:val="24"/>
        </w:rPr>
        <w:t>务及培训要求</w:t>
      </w:r>
    </w:p>
    <w:p>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各专业相关人员持证上岗；配合采购人对突发事件、消防、安全生产等相关知识内容的培训。</w:t>
      </w:r>
    </w:p>
    <w:p>
      <w:pPr>
        <w:pStyle w:val="279"/>
        <w:spacing w:line="400" w:lineRule="exact"/>
        <w:ind w:left="0" w:firstLine="0"/>
        <w:rPr>
          <w:rFonts w:hint="eastAsia" w:hAnsi="宋体" w:eastAsia="宋体" w:cs="宋体"/>
          <w:b/>
          <w:sz w:val="24"/>
          <w:szCs w:val="24"/>
        </w:rPr>
      </w:pPr>
      <w:r>
        <w:rPr>
          <w:rFonts w:hint="eastAsia" w:hAnsi="宋体" w:eastAsia="宋体" w:cs="宋体"/>
          <w:b/>
          <w:sz w:val="24"/>
          <w:szCs w:val="24"/>
        </w:rPr>
        <w:t>四、服务时间及地点</w:t>
      </w:r>
    </w:p>
    <w:p>
      <w:pPr>
        <w:pStyle w:val="16"/>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服务时间：</w:t>
      </w:r>
      <w:r>
        <w:rPr>
          <w:rFonts w:hint="eastAsia" w:ascii="宋体" w:hAnsi="宋体" w:cs="宋体"/>
          <w:sz w:val="24"/>
          <w:szCs w:val="24"/>
          <w:lang w:val="en-US" w:eastAsia="zh-CN"/>
        </w:rPr>
        <w:t>自合同签订之日起一年</w:t>
      </w:r>
      <w:r>
        <w:rPr>
          <w:rFonts w:hint="eastAsia" w:ascii="宋体" w:hAnsi="宋体" w:eastAsia="宋体" w:cs="宋体"/>
          <w:color w:val="000000"/>
          <w:sz w:val="24"/>
          <w:szCs w:val="24"/>
        </w:rPr>
        <w:t>。</w:t>
      </w:r>
    </w:p>
    <w:p>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服务地点：</w:t>
      </w:r>
      <w:r>
        <w:rPr>
          <w:rFonts w:hint="eastAsia" w:ascii="宋体" w:hAnsi="宋体" w:eastAsia="宋体" w:cs="宋体"/>
          <w:sz w:val="24"/>
          <w:szCs w:val="24"/>
        </w:rPr>
        <w:t>西城区小石虎胡同</w:t>
      </w:r>
      <w:r>
        <w:rPr>
          <w:rFonts w:hint="eastAsia" w:ascii="宋体" w:hAnsi="宋体" w:eastAsia="宋体" w:cs="宋体"/>
          <w:kern w:val="2"/>
          <w:sz w:val="24"/>
          <w:szCs w:val="24"/>
        </w:rPr>
        <w:t>33</w:t>
      </w:r>
      <w:r>
        <w:rPr>
          <w:rFonts w:hint="eastAsia" w:ascii="宋体" w:hAnsi="宋体" w:eastAsia="宋体" w:cs="宋体"/>
          <w:sz w:val="24"/>
          <w:szCs w:val="24"/>
        </w:rPr>
        <w:t>号、东城区五四大街29号。</w:t>
      </w:r>
    </w:p>
    <w:p>
      <w:pPr>
        <w:pStyle w:val="279"/>
        <w:spacing w:line="400" w:lineRule="exact"/>
        <w:ind w:left="0" w:firstLine="0"/>
        <w:rPr>
          <w:rFonts w:hint="eastAsia" w:hAnsi="宋体" w:eastAsia="宋体" w:cs="宋体"/>
          <w:b/>
          <w:sz w:val="24"/>
          <w:szCs w:val="24"/>
        </w:rPr>
      </w:pPr>
      <w:r>
        <w:rPr>
          <w:rFonts w:hint="eastAsia" w:hAnsi="宋体" w:eastAsia="宋体" w:cs="宋体"/>
          <w:b/>
          <w:sz w:val="24"/>
          <w:szCs w:val="24"/>
        </w:rPr>
        <w:t>五、验收服务要求</w:t>
      </w:r>
    </w:p>
    <w:p>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参照《北京市物业管理考评标准及评分细则》规定标准进行考核验收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Hans"/>
        </w:rPr>
        <w:t>中标人</w:t>
      </w:r>
      <w:r>
        <w:rPr>
          <w:rFonts w:hint="eastAsia" w:ascii="宋体" w:hAnsi="宋体" w:eastAsia="宋体" w:cs="宋体"/>
          <w:color w:val="000000"/>
          <w:sz w:val="24"/>
          <w:szCs w:val="24"/>
          <w:highlight w:val="none"/>
        </w:rPr>
        <w:t>接受</w:t>
      </w:r>
      <w:r>
        <w:rPr>
          <w:rFonts w:hint="eastAsia" w:ascii="宋体" w:hAnsi="宋体" w:eastAsia="宋体" w:cs="宋体"/>
          <w:color w:val="000000"/>
          <w:sz w:val="24"/>
          <w:szCs w:val="24"/>
          <w:highlight w:val="none"/>
          <w:lang w:val="en-US" w:eastAsia="zh-Hans"/>
        </w:rPr>
        <w:t>采购人</w:t>
      </w:r>
      <w:r>
        <w:rPr>
          <w:rFonts w:hint="eastAsia" w:ascii="宋体" w:hAnsi="宋体" w:eastAsia="宋体" w:cs="宋体"/>
          <w:color w:val="000000"/>
          <w:sz w:val="24"/>
          <w:szCs w:val="24"/>
          <w:highlight w:val="none"/>
        </w:rPr>
        <w:t>委托的审计公司对该项目进行年度审计</w:t>
      </w:r>
      <w:r>
        <w:rPr>
          <w:rFonts w:hint="eastAsia" w:ascii="宋体" w:hAnsi="宋体" w:eastAsia="宋体" w:cs="宋体"/>
          <w:color w:val="000000"/>
          <w:sz w:val="24"/>
          <w:szCs w:val="24"/>
        </w:rPr>
        <w:t>。</w:t>
      </w:r>
    </w:p>
    <w:p>
      <w:pPr>
        <w:pStyle w:val="279"/>
        <w:spacing w:line="400" w:lineRule="exact"/>
        <w:ind w:left="0" w:firstLine="0"/>
        <w:rPr>
          <w:rFonts w:hint="eastAsia" w:hAnsi="宋体" w:eastAsia="宋体" w:cs="宋体"/>
          <w:b/>
          <w:sz w:val="24"/>
          <w:szCs w:val="24"/>
        </w:rPr>
      </w:pPr>
      <w:r>
        <w:rPr>
          <w:rFonts w:hint="eastAsia" w:hAnsi="宋体" w:eastAsia="宋体" w:cs="宋体"/>
          <w:b/>
          <w:sz w:val="24"/>
          <w:szCs w:val="24"/>
        </w:rPr>
        <w:t>六、付款方式</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Hans"/>
        </w:rPr>
        <w:t>采购人</w:t>
      </w:r>
      <w:r>
        <w:rPr>
          <w:rFonts w:hint="eastAsia" w:ascii="宋体" w:hAnsi="宋体" w:eastAsia="宋体" w:cs="宋体"/>
          <w:color w:val="000000"/>
          <w:sz w:val="24"/>
          <w:szCs w:val="24"/>
          <w:highlight w:val="none"/>
        </w:rPr>
        <w:t>将分三期支付服务费，首期</w:t>
      </w:r>
      <w:r>
        <w:rPr>
          <w:rFonts w:hint="eastAsia" w:ascii="宋体" w:hAnsi="宋体" w:eastAsia="宋体" w:cs="宋体"/>
          <w:color w:val="000000"/>
          <w:sz w:val="24"/>
          <w:szCs w:val="24"/>
          <w:highlight w:val="none"/>
          <w:lang w:val="en-US" w:eastAsia="zh-CN"/>
        </w:rPr>
        <w:t>支付</w:t>
      </w:r>
      <w:r>
        <w:rPr>
          <w:rFonts w:hint="eastAsia" w:ascii="宋体" w:hAnsi="宋体" w:eastAsia="宋体" w:cs="宋体"/>
          <w:color w:val="000000"/>
          <w:sz w:val="24"/>
          <w:szCs w:val="24"/>
          <w:highlight w:val="none"/>
        </w:rPr>
        <w:t>管理服务费</w:t>
      </w:r>
      <w:r>
        <w:rPr>
          <w:rFonts w:hint="eastAsia" w:ascii="宋体" w:hAnsi="宋体" w:eastAsia="宋体" w:cs="宋体"/>
          <w:color w:val="000000"/>
          <w:sz w:val="24"/>
          <w:szCs w:val="24"/>
          <w:highlight w:val="none"/>
          <w:lang w:eastAsia="zh-CN"/>
        </w:rPr>
        <w:t>的</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0%，第二</w:t>
      </w:r>
      <w:r>
        <w:rPr>
          <w:rFonts w:hint="eastAsia" w:ascii="宋体" w:hAnsi="宋体" w:eastAsia="宋体" w:cs="宋体"/>
          <w:color w:val="000000"/>
          <w:sz w:val="24"/>
          <w:szCs w:val="24"/>
          <w:highlight w:val="none"/>
          <w:lang w:val="en-US" w:eastAsia="zh-CN"/>
        </w:rPr>
        <w:t>期支付30%，第</w:t>
      </w:r>
      <w:r>
        <w:rPr>
          <w:rFonts w:hint="eastAsia" w:ascii="宋体" w:hAnsi="宋体" w:eastAsia="宋体" w:cs="宋体"/>
          <w:color w:val="000000"/>
          <w:sz w:val="24"/>
          <w:szCs w:val="24"/>
          <w:highlight w:val="none"/>
        </w:rPr>
        <w:t>三期</w:t>
      </w:r>
      <w:r>
        <w:rPr>
          <w:rFonts w:hint="eastAsia" w:ascii="宋体" w:hAnsi="宋体" w:eastAsia="宋体" w:cs="宋体"/>
          <w:color w:val="000000"/>
          <w:sz w:val="24"/>
          <w:szCs w:val="24"/>
          <w:highlight w:val="none"/>
          <w:lang w:val="en-US" w:eastAsia="zh-CN"/>
        </w:rPr>
        <w:t>支付2</w:t>
      </w:r>
      <w:r>
        <w:rPr>
          <w:rFonts w:hint="eastAsia" w:ascii="宋体" w:hAnsi="宋体" w:eastAsia="宋体" w:cs="宋体"/>
          <w:color w:val="000000"/>
          <w:sz w:val="24"/>
          <w:szCs w:val="24"/>
          <w:highlight w:val="none"/>
        </w:rPr>
        <w:t>0%。</w:t>
      </w:r>
    </w:p>
    <w:p>
      <w:pPr>
        <w:pStyle w:val="279"/>
        <w:spacing w:line="400" w:lineRule="exact"/>
        <w:ind w:left="0" w:firstLine="480" w:firstLineChars="200"/>
        <w:rPr>
          <w:rFonts w:hint="eastAsia" w:ascii="宋体" w:hAnsi="宋体" w:eastAsia="宋体" w:cs="宋体"/>
          <w:sz w:val="24"/>
          <w:szCs w:val="24"/>
          <w:lang w:eastAsia="zh-Hans"/>
        </w:rPr>
      </w:pPr>
      <w:r>
        <w:rPr>
          <w:rFonts w:hint="eastAsia" w:hAnsi="宋体" w:eastAsia="宋体" w:cs="宋体"/>
          <w:sz w:val="24"/>
          <w:szCs w:val="24"/>
          <w:lang w:val="en-US" w:eastAsia="zh-Hans"/>
        </w:rPr>
        <w:t>中标人</w:t>
      </w:r>
      <w:r>
        <w:rPr>
          <w:rFonts w:hint="eastAsia" w:hAnsi="宋体" w:eastAsia="宋体" w:cs="宋体"/>
          <w:sz w:val="24"/>
          <w:szCs w:val="24"/>
        </w:rPr>
        <w:t>在合同签订后5个工作日内，按照合同总额的10%去银行办理履约担保业务。</w:t>
      </w:r>
      <w:r>
        <w:rPr>
          <w:rFonts w:hint="eastAsia" w:hAnsi="宋体" w:eastAsia="宋体" w:cs="宋体"/>
          <w:sz w:val="24"/>
          <w:szCs w:val="24"/>
          <w:lang w:val="en-US" w:eastAsia="zh-Hans"/>
        </w:rPr>
        <w:t>中标人</w:t>
      </w:r>
      <w:r>
        <w:rPr>
          <w:rFonts w:hint="eastAsia" w:ascii="宋体" w:hAnsi="宋体" w:eastAsia="宋体" w:cs="宋体"/>
          <w:sz w:val="24"/>
          <w:szCs w:val="24"/>
        </w:rPr>
        <w:t>在收到银行签发的《履约保函》3个工作日内将保函原件交给</w:t>
      </w:r>
      <w:r>
        <w:rPr>
          <w:rFonts w:hint="eastAsia" w:ascii="宋体" w:hAnsi="宋体" w:eastAsia="宋体" w:cs="宋体"/>
          <w:sz w:val="24"/>
          <w:szCs w:val="24"/>
          <w:lang w:val="en-US" w:eastAsia="zh-Hans"/>
        </w:rPr>
        <w:t>采购人</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作为履约担保</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采购人收到履约保函后支付首款</w:t>
      </w:r>
      <w:r>
        <w:rPr>
          <w:rFonts w:hint="eastAsia" w:ascii="宋体" w:hAnsi="宋体" w:eastAsia="宋体" w:cs="宋体"/>
          <w:sz w:val="24"/>
          <w:szCs w:val="24"/>
          <w:lang w:eastAsia="zh-Hans"/>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4"/>
          <w:jc w:val="center"/>
        </w:pPr>
        <w:r>
          <w:fldChar w:fldCharType="begin"/>
        </w:r>
        <w:r>
          <w:instrText xml:space="preserve">PAGE   \* MERGEFORMAT</w:instrText>
        </w:r>
        <w:r>
          <w:fldChar w:fldCharType="separate"/>
        </w:r>
        <w:r>
          <w:rPr>
            <w:lang w:val="zh-CN"/>
          </w:rPr>
          <w:t>1</w:t>
        </w:r>
        <w:r>
          <w:fldChar w:fldCharType="end"/>
        </w:r>
      </w:p>
    </w:sdtContent>
  </w:sdt>
  <w:p>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5BA2CF"/>
    <w:multiLevelType w:val="singleLevel"/>
    <w:tmpl w:val="9E5BA2CF"/>
    <w:lvl w:ilvl="0" w:tentative="0">
      <w:start w:val="1"/>
      <w:numFmt w:val="decimal"/>
      <w:lvlText w:val="%1)"/>
      <w:lvlJc w:val="left"/>
      <w:pPr>
        <w:ind w:left="425" w:hanging="425"/>
      </w:pPr>
      <w:rPr>
        <w:rFonts w:hint="default" w:ascii="宋体" w:hAnsi="宋体" w:eastAsia="宋体" w:cs="宋体"/>
      </w:rPr>
    </w:lvl>
  </w:abstractNum>
  <w:abstractNum w:abstractNumId="1">
    <w:nsid w:val="A76AC058"/>
    <w:multiLevelType w:val="singleLevel"/>
    <w:tmpl w:val="A76AC058"/>
    <w:lvl w:ilvl="0" w:tentative="0">
      <w:start w:val="1"/>
      <w:numFmt w:val="decimal"/>
      <w:lvlText w:val="%1)"/>
      <w:lvlJc w:val="left"/>
      <w:pPr>
        <w:ind w:left="425" w:hanging="425"/>
      </w:pPr>
      <w:rPr>
        <w:rFonts w:hint="default"/>
      </w:rPr>
    </w:lvl>
  </w:abstractNum>
  <w:abstractNum w:abstractNumId="2">
    <w:nsid w:val="AAC9349B"/>
    <w:multiLevelType w:val="singleLevel"/>
    <w:tmpl w:val="AAC9349B"/>
    <w:lvl w:ilvl="0" w:tentative="0">
      <w:start w:val="1"/>
      <w:numFmt w:val="decimal"/>
      <w:lvlText w:val="%1)"/>
      <w:lvlJc w:val="left"/>
      <w:pPr>
        <w:ind w:left="425" w:hanging="425"/>
      </w:pPr>
      <w:rPr>
        <w:rFonts w:hint="default"/>
      </w:rPr>
    </w:lvl>
  </w:abstractNum>
  <w:abstractNum w:abstractNumId="3">
    <w:nsid w:val="BC1B64C5"/>
    <w:multiLevelType w:val="singleLevel"/>
    <w:tmpl w:val="BC1B64C5"/>
    <w:lvl w:ilvl="0" w:tentative="0">
      <w:start w:val="1"/>
      <w:numFmt w:val="decimal"/>
      <w:lvlText w:val="%1)"/>
      <w:lvlJc w:val="left"/>
      <w:pPr>
        <w:ind w:left="425" w:hanging="425"/>
      </w:pPr>
      <w:rPr>
        <w:rFonts w:hint="default"/>
      </w:rPr>
    </w:lvl>
  </w:abstractNum>
  <w:abstractNum w:abstractNumId="4">
    <w:nsid w:val="BEB06206"/>
    <w:multiLevelType w:val="singleLevel"/>
    <w:tmpl w:val="BEB06206"/>
    <w:lvl w:ilvl="0" w:tentative="0">
      <w:start w:val="1"/>
      <w:numFmt w:val="decimal"/>
      <w:lvlText w:val="%1)"/>
      <w:lvlJc w:val="left"/>
      <w:pPr>
        <w:ind w:left="425" w:hanging="425"/>
      </w:pPr>
      <w:rPr>
        <w:rFonts w:hint="default" w:ascii="宋体" w:hAnsi="宋体" w:eastAsia="宋体" w:cs="宋体"/>
        <w:b w:val="0"/>
        <w:bCs w:val="0"/>
        <w:i w:val="0"/>
        <w:iCs w:val="0"/>
      </w:rPr>
    </w:lvl>
  </w:abstractNum>
  <w:abstractNum w:abstractNumId="5">
    <w:nsid w:val="C5AA6BBA"/>
    <w:multiLevelType w:val="singleLevel"/>
    <w:tmpl w:val="C5AA6BBA"/>
    <w:lvl w:ilvl="0" w:tentative="0">
      <w:start w:val="1"/>
      <w:numFmt w:val="decimal"/>
      <w:lvlText w:val="%1)"/>
      <w:lvlJc w:val="left"/>
      <w:pPr>
        <w:ind w:left="425" w:hanging="425"/>
      </w:pPr>
      <w:rPr>
        <w:rFonts w:hint="default"/>
      </w:rPr>
    </w:lvl>
  </w:abstractNum>
  <w:abstractNum w:abstractNumId="6">
    <w:nsid w:val="DFFF4DDA"/>
    <w:multiLevelType w:val="singleLevel"/>
    <w:tmpl w:val="DFFF4DDA"/>
    <w:lvl w:ilvl="0" w:tentative="0">
      <w:start w:val="1"/>
      <w:numFmt w:val="decimal"/>
      <w:lvlText w:val="%1)"/>
      <w:lvlJc w:val="left"/>
      <w:pPr>
        <w:ind w:left="425" w:hanging="425"/>
      </w:pPr>
      <w:rPr>
        <w:rFonts w:hint="default"/>
      </w:rPr>
    </w:lvl>
  </w:abstractNum>
  <w:abstractNum w:abstractNumId="7">
    <w:nsid w:val="F9EA4545"/>
    <w:multiLevelType w:val="singleLevel"/>
    <w:tmpl w:val="F9EA4545"/>
    <w:lvl w:ilvl="0" w:tentative="0">
      <w:start w:val="1"/>
      <w:numFmt w:val="decimal"/>
      <w:lvlText w:val="%1)"/>
      <w:lvlJc w:val="left"/>
      <w:pPr>
        <w:ind w:left="425" w:hanging="425"/>
      </w:pPr>
      <w:rPr>
        <w:rFonts w:hint="default" w:ascii="宋体" w:hAnsi="宋体" w:eastAsia="宋体" w:cs="宋体"/>
      </w:rPr>
    </w:lvl>
  </w:abstractNum>
  <w:abstractNum w:abstractNumId="8">
    <w:nsid w:val="FDD6B381"/>
    <w:multiLevelType w:val="singleLevel"/>
    <w:tmpl w:val="FDD6B381"/>
    <w:lvl w:ilvl="0" w:tentative="0">
      <w:start w:val="1"/>
      <w:numFmt w:val="decimal"/>
      <w:lvlText w:val="%1)"/>
      <w:lvlJc w:val="left"/>
      <w:pPr>
        <w:ind w:left="425" w:hanging="425"/>
      </w:pPr>
      <w:rPr>
        <w:rFonts w:hint="default" w:ascii="宋体" w:hAnsi="宋体" w:eastAsia="宋体" w:cs="宋体"/>
      </w:rPr>
    </w:lvl>
  </w:abstractNum>
  <w:abstractNum w:abstractNumId="9">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12">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3">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4">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6">
    <w:nsid w:val="1DBDC7E0"/>
    <w:multiLevelType w:val="singleLevel"/>
    <w:tmpl w:val="1DBDC7E0"/>
    <w:lvl w:ilvl="0" w:tentative="0">
      <w:start w:val="2"/>
      <w:numFmt w:val="chineseCounting"/>
      <w:suff w:val="nothing"/>
      <w:lvlText w:val="%1、"/>
      <w:lvlJc w:val="left"/>
      <w:rPr>
        <w:rFonts w:hint="eastAsia"/>
      </w:rPr>
    </w:lvl>
  </w:abstractNum>
  <w:abstractNum w:abstractNumId="17">
    <w:nsid w:val="2B0821B5"/>
    <w:multiLevelType w:val="singleLevel"/>
    <w:tmpl w:val="2B0821B5"/>
    <w:lvl w:ilvl="0" w:tentative="0">
      <w:start w:val="1"/>
      <w:numFmt w:val="decimal"/>
      <w:lvlText w:val="%1)"/>
      <w:lvlJc w:val="left"/>
      <w:pPr>
        <w:ind w:left="425" w:hanging="425"/>
      </w:pPr>
      <w:rPr>
        <w:rFonts w:hint="default"/>
      </w:rPr>
    </w:lvl>
  </w:abstractNum>
  <w:abstractNum w:abstractNumId="18">
    <w:nsid w:val="7826EBC4"/>
    <w:multiLevelType w:val="singleLevel"/>
    <w:tmpl w:val="7826EBC4"/>
    <w:lvl w:ilvl="0" w:tentative="0">
      <w:start w:val="1"/>
      <w:numFmt w:val="decimal"/>
      <w:lvlText w:val="%1)"/>
      <w:lvlJc w:val="left"/>
      <w:pPr>
        <w:ind w:left="425" w:hanging="425"/>
      </w:pPr>
      <w:rPr>
        <w:rFonts w:hint="default"/>
      </w:rPr>
    </w:lvl>
  </w:abstractNum>
  <w:num w:numId="1">
    <w:abstractNumId w:val="12"/>
  </w:num>
  <w:num w:numId="2">
    <w:abstractNumId w:val="14"/>
  </w:num>
  <w:num w:numId="3">
    <w:abstractNumId w:val="9"/>
  </w:num>
  <w:num w:numId="4">
    <w:abstractNumId w:val="15"/>
  </w:num>
  <w:num w:numId="5">
    <w:abstractNumId w:val="11"/>
  </w:num>
  <w:num w:numId="6">
    <w:abstractNumId w:val="13"/>
  </w:num>
  <w:num w:numId="7">
    <w:abstractNumId w:val="10"/>
  </w:num>
  <w:num w:numId="8">
    <w:abstractNumId w:val="16"/>
  </w:num>
  <w:num w:numId="9">
    <w:abstractNumId w:val="17"/>
  </w:num>
  <w:num w:numId="10">
    <w:abstractNumId w:val="1"/>
  </w:num>
  <w:num w:numId="11">
    <w:abstractNumId w:val="2"/>
  </w:num>
  <w:num w:numId="12">
    <w:abstractNumId w:val="3"/>
  </w:num>
  <w:num w:numId="13">
    <w:abstractNumId w:val="18"/>
  </w:num>
  <w:num w:numId="14">
    <w:abstractNumId w:val="5"/>
  </w:num>
  <w:num w:numId="15">
    <w:abstractNumId w:val="4"/>
  </w:num>
  <w:num w:numId="16">
    <w:abstractNumId w:val="0"/>
  </w:num>
  <w:num w:numId="17">
    <w:abstractNumId w:val="8"/>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BCC364D"/>
    <w:rsid w:val="0EC374CD"/>
    <w:rsid w:val="0FE61D4E"/>
    <w:rsid w:val="11A20CDB"/>
    <w:rsid w:val="151C29F3"/>
    <w:rsid w:val="1C98397C"/>
    <w:rsid w:val="1CEE5DFA"/>
    <w:rsid w:val="1DA14407"/>
    <w:rsid w:val="1E706FDD"/>
    <w:rsid w:val="1F7F39CF"/>
    <w:rsid w:val="29D20428"/>
    <w:rsid w:val="2D0E5DCC"/>
    <w:rsid w:val="37AC2D77"/>
    <w:rsid w:val="38677016"/>
    <w:rsid w:val="39184CEB"/>
    <w:rsid w:val="3B4C2D3E"/>
    <w:rsid w:val="44EC1D67"/>
    <w:rsid w:val="45964E2C"/>
    <w:rsid w:val="499646CD"/>
    <w:rsid w:val="4C7B1D33"/>
    <w:rsid w:val="4DED6F89"/>
    <w:rsid w:val="52510A99"/>
    <w:rsid w:val="555F5B42"/>
    <w:rsid w:val="5DC35C7F"/>
    <w:rsid w:val="62C958C2"/>
    <w:rsid w:val="6DC533E1"/>
    <w:rsid w:val="779F12EB"/>
    <w:rsid w:val="799B6D3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6">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index 8"/>
    <w:basedOn w:val="1"/>
    <w:next w:val="1"/>
    <w:qFormat/>
    <w:uiPriority w:val="0"/>
    <w:pPr>
      <w:ind w:left="1400" w:leftChars="1400"/>
    </w:pPr>
  </w:style>
  <w:style w:type="paragraph" w:styleId="13">
    <w:name w:val="Normal Indent"/>
    <w:basedOn w:val="1"/>
    <w:next w:val="1"/>
    <w:link w:val="119"/>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4"/>
    <w:qFormat/>
    <w:uiPriority w:val="0"/>
    <w:pPr>
      <w:shd w:val="clear" w:color="auto" w:fill="000080"/>
    </w:pPr>
  </w:style>
  <w:style w:type="paragraph" w:styleId="16">
    <w:name w:val="annotation text"/>
    <w:basedOn w:val="1"/>
    <w:link w:val="116"/>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1"/>
    <w:qFormat/>
    <w:uiPriority w:val="0"/>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22"/>
    <w:link w:val="142"/>
    <w:qFormat/>
    <w:uiPriority w:val="0"/>
    <w:pPr>
      <w:tabs>
        <w:tab w:val="left" w:pos="567"/>
      </w:tabs>
      <w:spacing w:before="120" w:line="22" w:lineRule="atLeast"/>
    </w:pPr>
    <w:rPr>
      <w:rFonts w:ascii="宋体" w:hAnsi="宋体"/>
      <w:sz w:val="24"/>
    </w:rPr>
  </w:style>
  <w:style w:type="paragraph" w:customStyle="1" w:styleId="22">
    <w:name w:val="目录 11"/>
    <w:next w:val="1"/>
    <w:qFormat/>
    <w:uiPriority w:val="0"/>
    <w:pPr>
      <w:wordWrap w:val="0"/>
      <w:jc w:val="both"/>
    </w:pPr>
    <w:rPr>
      <w:rFonts w:ascii="Calibri" w:hAnsi="Calibri" w:eastAsia="宋体" w:cs="Calibri"/>
      <w:sz w:val="21"/>
      <w:szCs w:val="22"/>
      <w:lang w:val="en-US" w:eastAsia="zh-CN" w:bidi="ar-SA"/>
    </w:rPr>
  </w:style>
  <w:style w:type="paragraph" w:styleId="23">
    <w:name w:val="Body Text Indent"/>
    <w:basedOn w:val="1"/>
    <w:next w:val="24"/>
    <w:link w:val="144"/>
    <w:qFormat/>
    <w:uiPriority w:val="0"/>
    <w:pPr>
      <w:spacing w:line="360" w:lineRule="auto"/>
      <w:ind w:firstLine="570"/>
    </w:pPr>
    <w:rPr>
      <w:sz w:val="24"/>
    </w:rPr>
  </w:style>
  <w:style w:type="paragraph" w:styleId="24">
    <w:name w:val="envelope return"/>
    <w:basedOn w:val="1"/>
    <w:unhideWhenUsed/>
    <w:qFormat/>
    <w:uiPriority w:val="99"/>
    <w:rPr>
      <w:rFonts w:ascii="Arial" w:hAnsi="Arial" w:cs="Arial"/>
      <w:kern w:val="1"/>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11"/>
    <w:qFormat/>
    <w:uiPriority w:val="0"/>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8"/>
    <w:qFormat/>
    <w:uiPriority w:val="0"/>
    <w:pPr>
      <w:ind w:left="100" w:leftChars="2500"/>
    </w:pPr>
    <w:rPr>
      <w:rFonts w:ascii="仿宋_GB2312" w:hAnsi="宋体" w:eastAsia="仿宋_GB2312"/>
      <w:color w:val="000000"/>
      <w:sz w:val="24"/>
    </w:rPr>
  </w:style>
  <w:style w:type="paragraph" w:styleId="32">
    <w:name w:val="Body Text Indent 2"/>
    <w:basedOn w:val="1"/>
    <w:link w:val="89"/>
    <w:qFormat/>
    <w:uiPriority w:val="0"/>
    <w:pPr>
      <w:ind w:firstLine="480" w:firstLineChars="200"/>
    </w:pPr>
    <w:rPr>
      <w:rFonts w:ascii="仿宋_GB2312" w:eastAsia="仿宋_GB2312"/>
      <w:sz w:val="24"/>
    </w:rPr>
  </w:style>
  <w:style w:type="paragraph" w:styleId="33">
    <w:name w:val="Balloon Text"/>
    <w:basedOn w:val="1"/>
    <w:link w:val="90"/>
    <w:qFormat/>
    <w:uiPriority w:val="0"/>
    <w:rPr>
      <w:sz w:val="18"/>
      <w:szCs w:val="18"/>
    </w:rPr>
  </w:style>
  <w:style w:type="paragraph" w:styleId="34">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6"/>
    <w:next w:val="16"/>
    <w:link w:val="96"/>
    <w:qFormat/>
    <w:uiPriority w:val="0"/>
    <w:rPr>
      <w:b/>
      <w:bCs/>
    </w:rPr>
  </w:style>
  <w:style w:type="paragraph" w:styleId="51">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next w:val="1"/>
    <w:link w:val="131"/>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3"/>
    <w:qFormat/>
    <w:uiPriority w:val="0"/>
    <w:rPr>
      <w:rFonts w:ascii="宋体" w:hAnsi="Times New Roman"/>
      <w:b/>
      <w:kern w:val="44"/>
      <w:sz w:val="32"/>
    </w:rPr>
  </w:style>
  <w:style w:type="character" w:customStyle="1" w:styleId="78">
    <w:name w:val="标题 4 字符"/>
    <w:basedOn w:val="56"/>
    <w:link w:val="5"/>
    <w:qFormat/>
    <w:uiPriority w:val="0"/>
    <w:rPr>
      <w:rFonts w:ascii="Times New Roman" w:hAnsi="Times New Roman"/>
      <w:sz w:val="24"/>
    </w:rPr>
  </w:style>
  <w:style w:type="character" w:customStyle="1" w:styleId="79">
    <w:name w:val="标题 5 字符"/>
    <w:basedOn w:val="56"/>
    <w:link w:val="6"/>
    <w:qFormat/>
    <w:uiPriority w:val="9"/>
    <w:rPr>
      <w:rFonts w:ascii="Times New Roman" w:hAnsi="Times New Roman"/>
      <w:b/>
      <w:sz w:val="28"/>
    </w:rPr>
  </w:style>
  <w:style w:type="character" w:customStyle="1" w:styleId="80">
    <w:name w:val="标题 6 字符"/>
    <w:basedOn w:val="56"/>
    <w:link w:val="7"/>
    <w:qFormat/>
    <w:uiPriority w:val="9"/>
    <w:rPr>
      <w:rFonts w:ascii="Arial" w:hAnsi="Arial" w:eastAsia="黑体"/>
      <w:b/>
      <w:sz w:val="24"/>
    </w:rPr>
  </w:style>
  <w:style w:type="character" w:customStyle="1" w:styleId="81">
    <w:name w:val="标题 7 字符"/>
    <w:basedOn w:val="56"/>
    <w:link w:val="8"/>
    <w:qFormat/>
    <w:uiPriority w:val="9"/>
    <w:rPr>
      <w:rFonts w:ascii="Times New Roman" w:hAnsi="Times New Roman"/>
      <w:b/>
      <w:sz w:val="24"/>
    </w:rPr>
  </w:style>
  <w:style w:type="character" w:customStyle="1" w:styleId="82">
    <w:name w:val="标题 8 字符"/>
    <w:basedOn w:val="56"/>
    <w:link w:val="9"/>
    <w:qFormat/>
    <w:uiPriority w:val="0"/>
    <w:rPr>
      <w:rFonts w:ascii="Arial" w:hAnsi="Arial" w:eastAsia="黑体"/>
      <w:sz w:val="24"/>
    </w:rPr>
  </w:style>
  <w:style w:type="character" w:customStyle="1" w:styleId="83">
    <w:name w:val="标题 9 字符"/>
    <w:basedOn w:val="56"/>
    <w:link w:val="10"/>
    <w:qFormat/>
    <w:uiPriority w:val="0"/>
    <w:rPr>
      <w:rFonts w:ascii="Arial" w:hAnsi="Arial" w:eastAsia="黑体"/>
      <w:sz w:val="21"/>
    </w:rPr>
  </w:style>
  <w:style w:type="character" w:customStyle="1" w:styleId="84">
    <w:name w:val="文档结构图 字符"/>
    <w:basedOn w:val="56"/>
    <w:link w:val="15"/>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19"/>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1"/>
    <w:qFormat/>
    <w:uiPriority w:val="99"/>
    <w:rPr>
      <w:rFonts w:ascii="仿宋_GB2312" w:hAnsi="宋体" w:eastAsia="仿宋_GB2312"/>
      <w:color w:val="000000"/>
      <w:kern w:val="2"/>
      <w:sz w:val="24"/>
      <w:szCs w:val="24"/>
    </w:rPr>
  </w:style>
  <w:style w:type="character" w:customStyle="1" w:styleId="89">
    <w:name w:val="正文文本缩进 2 字符"/>
    <w:basedOn w:val="56"/>
    <w:link w:val="32"/>
    <w:qFormat/>
    <w:uiPriority w:val="99"/>
    <w:rPr>
      <w:rFonts w:ascii="仿宋_GB2312" w:hAnsi="Times New Roman" w:eastAsia="仿宋_GB2312"/>
      <w:kern w:val="2"/>
      <w:sz w:val="24"/>
      <w:szCs w:val="24"/>
    </w:rPr>
  </w:style>
  <w:style w:type="character" w:customStyle="1" w:styleId="90">
    <w:name w:val="批注框文本 字符"/>
    <w:basedOn w:val="56"/>
    <w:link w:val="33"/>
    <w:qFormat/>
    <w:uiPriority w:val="99"/>
    <w:rPr>
      <w:rFonts w:ascii="Times New Roman" w:hAnsi="Times New Roman"/>
      <w:kern w:val="2"/>
      <w:sz w:val="18"/>
      <w:szCs w:val="18"/>
    </w:rPr>
  </w:style>
  <w:style w:type="character" w:customStyle="1" w:styleId="91">
    <w:name w:val="页脚 字符"/>
    <w:basedOn w:val="56"/>
    <w:link w:val="34"/>
    <w:qFormat/>
    <w:uiPriority w:val="99"/>
    <w:rPr>
      <w:rFonts w:ascii="宋体" w:hAnsi="Times New Roman"/>
      <w:sz w:val="18"/>
    </w:rPr>
  </w:style>
  <w:style w:type="character" w:customStyle="1" w:styleId="92">
    <w:name w:val="页眉 字符"/>
    <w:basedOn w:val="56"/>
    <w:link w:val="35"/>
    <w:qFormat/>
    <w:uiPriority w:val="99"/>
    <w:rPr>
      <w:rFonts w:ascii="Times New Roman" w:hAnsi="Times New Roman"/>
      <w:kern w:val="2"/>
      <w:sz w:val="18"/>
      <w:szCs w:val="18"/>
    </w:rPr>
  </w:style>
  <w:style w:type="character" w:customStyle="1" w:styleId="93">
    <w:name w:val="正文文本缩进 3 字符"/>
    <w:basedOn w:val="56"/>
    <w:link w:val="42"/>
    <w:qFormat/>
    <w:uiPriority w:val="99"/>
    <w:rPr>
      <w:rFonts w:ascii="宋体" w:hAnsi="Times New Roman"/>
      <w:sz w:val="24"/>
    </w:rPr>
  </w:style>
  <w:style w:type="character" w:customStyle="1" w:styleId="94">
    <w:name w:val="HTML 预设格式 字符"/>
    <w:basedOn w:val="56"/>
    <w:link w:val="46"/>
    <w:qFormat/>
    <w:uiPriority w:val="0"/>
    <w:rPr>
      <w:rFonts w:ascii="宋体" w:hAnsi="宋体" w:cs="宋体"/>
      <w:sz w:val="24"/>
      <w:szCs w:val="24"/>
    </w:rPr>
  </w:style>
  <w:style w:type="character" w:customStyle="1" w:styleId="95">
    <w:name w:val="标题 字符"/>
    <w:basedOn w:val="56"/>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4"/>
    <w:qFormat/>
    <w:uiPriority w:val="0"/>
    <w:rPr>
      <w:rFonts w:ascii="宋体" w:hAnsi="Times New Roman"/>
      <w:b/>
      <w:sz w:val="24"/>
      <w:u w:val="single"/>
    </w:rPr>
  </w:style>
  <w:style w:type="character" w:customStyle="1" w:styleId="105">
    <w:name w:val="标题 2 字符"/>
    <w:link w:val="2"/>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9"/>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6"/>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13"/>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13"/>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13"/>
    <w:link w:val="129"/>
    <w:qFormat/>
    <w:uiPriority w:val="0"/>
    <w:pPr>
      <w:jc w:val="center"/>
    </w:pPr>
    <w:rPr>
      <w:i w:val="0"/>
      <w:color w:val="000000"/>
      <w:sz w:val="28"/>
      <w:szCs w:val="21"/>
    </w:rPr>
  </w:style>
  <w:style w:type="character" w:customStyle="1" w:styleId="131">
    <w:name w:val="正文首行缩进 2 字符"/>
    <w:link w:val="5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5"/>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2"/>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18"/>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2"/>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4"/>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2"/>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5"/>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6"/>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7"/>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8"/>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4"/>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5"/>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2"/>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4"/>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4"/>
    <w:next w:val="4"/>
    <w:qFormat/>
    <w:uiPriority w:val="0"/>
    <w:rPr>
      <w:bCs/>
      <w:u w:val="none"/>
    </w:rPr>
  </w:style>
  <w:style w:type="paragraph" w:customStyle="1" w:styleId="483">
    <w:name w:val="样式 标题 3 + (中文) 黑体 小四 非加粗 段前: 7.8 磅 段后: 0 磅 行距: 固定值 20 磅"/>
    <w:basedOn w:val="4"/>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5"/>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2026-01-06T02:46:48Z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