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0E7701">
      <w:pPr>
        <w:adjustRightInd w:val="0"/>
        <w:snapToGrid w:val="0"/>
        <w:spacing w:line="360" w:lineRule="auto"/>
        <w:jc w:val="center"/>
        <w:outlineLvl w:val="0"/>
        <w:rPr>
          <w:rFonts w:ascii="仿宋" w:hAnsi="仿宋" w:eastAsia="仿宋" w:cs="仿宋"/>
          <w:b/>
          <w:color w:val="auto"/>
          <w:sz w:val="40"/>
          <w:szCs w:val="40"/>
          <w:highlight w:val="none"/>
        </w:rPr>
      </w:pPr>
      <w:bookmarkStart w:id="0" w:name="_Toc240007613"/>
      <w:r>
        <w:rPr>
          <w:rFonts w:hint="eastAsia" w:ascii="仿宋" w:hAnsi="仿宋" w:eastAsia="仿宋" w:cs="仿宋"/>
          <w:b/>
          <w:color w:val="auto"/>
          <w:sz w:val="40"/>
          <w:szCs w:val="40"/>
          <w:highlight w:val="none"/>
        </w:rPr>
        <w:t xml:space="preserve">第五章   </w:t>
      </w:r>
      <w:bookmarkStart w:id="15" w:name="_GoBack"/>
      <w:bookmarkEnd w:id="15"/>
      <w:r>
        <w:rPr>
          <w:rFonts w:hint="eastAsia" w:ascii="仿宋" w:hAnsi="仿宋" w:eastAsia="仿宋" w:cs="仿宋"/>
          <w:b/>
          <w:color w:val="auto"/>
          <w:sz w:val="40"/>
          <w:szCs w:val="40"/>
          <w:highlight w:val="none"/>
        </w:rPr>
        <w:t>采购需求</w:t>
      </w:r>
      <w:bookmarkEnd w:id="0"/>
    </w:p>
    <w:p w14:paraId="15F82D45">
      <w:pPr>
        <w:adjustRightInd w:val="0"/>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说明：</w:t>
      </w:r>
    </w:p>
    <w:p w14:paraId="6CED639D">
      <w:pPr>
        <w:adjustRightInd w:val="0"/>
        <w:snapToGrid w:val="0"/>
        <w:spacing w:line="360" w:lineRule="auto"/>
        <w:contextualSpacing/>
        <w:rPr>
          <w:rFonts w:ascii="仿宋" w:hAnsi="仿宋" w:eastAsia="仿宋" w:cs="仿宋"/>
          <w:color w:val="auto"/>
          <w:sz w:val="24"/>
          <w:highlight w:val="none"/>
        </w:rPr>
      </w:pPr>
      <w:bookmarkStart w:id="1" w:name="_Hlk167284587"/>
      <w:r>
        <w:rPr>
          <w:rFonts w:hint="eastAsia" w:ascii="仿宋" w:hAnsi="仿宋" w:eastAsia="仿宋" w:cs="仿宋"/>
          <w:color w:val="auto"/>
          <w:sz w:val="24"/>
          <w:highlight w:val="none"/>
        </w:rPr>
        <w:t>1. 当采购项目涉及政务信息系统时，采购需求应当符合《政务信息系统政府采购管理暂行办法》（财库〔2017〕210号）的相关要求。</w:t>
      </w:r>
    </w:p>
    <w:p w14:paraId="6A137D09">
      <w:pPr>
        <w:adjustRightInd w:val="0"/>
        <w:snapToGrid w:val="0"/>
        <w:spacing w:line="360" w:lineRule="auto"/>
        <w:contextualSpacing/>
        <w:rPr>
          <w:rFonts w:ascii="仿宋" w:hAnsi="仿宋" w:eastAsia="仿宋" w:cs="仿宋"/>
          <w:color w:val="auto"/>
          <w:sz w:val="24"/>
          <w:highlight w:val="none"/>
        </w:rPr>
      </w:pPr>
      <w:bookmarkStart w:id="2" w:name="_Hlk168431603"/>
      <w:r>
        <w:rPr>
          <w:rFonts w:hint="eastAsia" w:ascii="仿宋" w:hAnsi="仿宋" w:eastAsia="仿宋" w:cs="仿宋"/>
          <w:color w:val="auto"/>
          <w:sz w:val="24"/>
          <w:highlight w:val="none"/>
        </w:rPr>
        <w:t>2. 采购人及采购代理机构应关注财政部门会同有关部门制定发布的需求标准，结合具体应用场景，根据对应《需求标准》确定采购需求。</w:t>
      </w:r>
    </w:p>
    <w:p w14:paraId="08B0BDFB">
      <w:pPr>
        <w:adjustRightInd w:val="0"/>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已发布的需求标准如下：</w:t>
      </w:r>
    </w:p>
    <w:p w14:paraId="7F74F563">
      <w:pPr>
        <w:adjustRightInd w:val="0"/>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《关于印发〈商品包装政府采购需求标准（试行）〉、〈快递包装政府采购需求标准（试行）〉的通知》（财办库﹝2020﹞123号））</w:t>
      </w:r>
    </w:p>
    <w:p w14:paraId="44F6C170">
      <w:pPr>
        <w:pStyle w:val="6"/>
        <w:adjustRightInd w:val="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《绿色数据中心政府采购需求标准（试行）》（财库〔2023〕7号）</w:t>
      </w:r>
    </w:p>
    <w:p w14:paraId="4967C3DF">
      <w:pPr>
        <w:pStyle w:val="6"/>
        <w:adjustRightInd w:val="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《台式计算机政府采购需求标准（2023年版）》（财库〔2023〕29号）</w:t>
      </w:r>
    </w:p>
    <w:p w14:paraId="2CD22837">
      <w:pPr>
        <w:pStyle w:val="6"/>
        <w:adjustRightInd w:val="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《便携式计算机政府采购需求标准（2023年版）》（财库〔2023〕30号）</w:t>
      </w:r>
    </w:p>
    <w:p w14:paraId="155D9688">
      <w:pPr>
        <w:pStyle w:val="6"/>
        <w:adjustRightInd w:val="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《一体式计算机政府采购需求标准（2023年版）》（财库〔2023〕31号）</w:t>
      </w:r>
    </w:p>
    <w:p w14:paraId="42649CFF">
      <w:pPr>
        <w:pStyle w:val="6"/>
        <w:adjustRightInd w:val="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《工作站政府采购需求标准（2023年版）》（财库〔2023〕32号）</w:t>
      </w:r>
    </w:p>
    <w:p w14:paraId="28E7C851">
      <w:pPr>
        <w:pStyle w:val="6"/>
        <w:adjustRightInd w:val="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《通用服务器政府采购需求标准（2023年版）》（财库〔2023〕33号）</w:t>
      </w:r>
    </w:p>
    <w:p w14:paraId="5EFC918F">
      <w:pPr>
        <w:pStyle w:val="6"/>
        <w:adjustRightInd w:val="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《操作系统政府采购需求标准（2023年版）》（财库〔2023〕34号）</w:t>
      </w:r>
    </w:p>
    <w:p w14:paraId="1A68F564">
      <w:pPr>
        <w:pStyle w:val="6"/>
        <w:adjustRightInd w:val="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《数据库政府采购需求标准（2023年版）》（财库〔2023〕35号）</w:t>
      </w:r>
    </w:p>
    <w:p w14:paraId="479ABA05">
      <w:pPr>
        <w:pStyle w:val="6"/>
        <w:adjustRightInd w:val="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《物业管理服务政府采购需求标准（办公场所类）（试行）》（财办库〔2024〕113号）</w:t>
      </w:r>
    </w:p>
    <w:p w14:paraId="15DF309B">
      <w:pPr>
        <w:adjustRightInd w:val="0"/>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如有更新或增加，以财政部门发布为准。</w:t>
      </w:r>
      <w:bookmarkEnd w:id="1"/>
      <w:bookmarkEnd w:id="2"/>
    </w:p>
    <w:p w14:paraId="2E58552B">
      <w:pPr>
        <w:widowControl/>
        <w:adjustRightInd w:val="0"/>
        <w:snapToGrid w:val="0"/>
        <w:spacing w:line="360" w:lineRule="auto"/>
        <w:jc w:val="left"/>
        <w:rPr>
          <w:rFonts w:ascii="仿宋" w:hAnsi="仿宋" w:eastAsia="仿宋" w:cs="仿宋"/>
          <w:b/>
          <w:color w:val="auto"/>
          <w:sz w:val="28"/>
          <w:szCs w:val="28"/>
          <w:highlight w:val="none"/>
        </w:rPr>
      </w:pPr>
      <w:r>
        <w:rPr>
          <w:rFonts w:ascii="仿宋" w:hAnsi="仿宋" w:eastAsia="仿宋" w:cs="仿宋"/>
          <w:b/>
          <w:color w:val="auto"/>
          <w:sz w:val="28"/>
          <w:szCs w:val="28"/>
          <w:highlight w:val="none"/>
        </w:rPr>
        <w:br w:type="page"/>
      </w:r>
    </w:p>
    <w:p w14:paraId="0DC82891">
      <w:pPr>
        <w:adjustRightInd w:val="0"/>
        <w:snapToGrid w:val="0"/>
        <w:spacing w:line="360" w:lineRule="auto"/>
        <w:ind w:firstLine="562" w:firstLineChars="200"/>
        <w:rPr>
          <w:rFonts w:ascii="仿宋" w:hAnsi="仿宋" w:eastAsia="仿宋" w:cs="仿宋"/>
          <w:b/>
          <w:color w:val="auto"/>
          <w:sz w:val="28"/>
          <w:szCs w:val="28"/>
          <w:highlight w:val="none"/>
        </w:rPr>
      </w:pPr>
      <w:r>
        <w:rPr>
          <w:rFonts w:hint="eastAsia" w:ascii="仿宋" w:hAnsi="仿宋" w:eastAsia="仿宋" w:cs="仿宋"/>
          <w:b/>
          <w:color w:val="auto"/>
          <w:sz w:val="28"/>
          <w:szCs w:val="28"/>
          <w:highlight w:val="none"/>
        </w:rPr>
        <w:t>一、采购标的</w:t>
      </w:r>
    </w:p>
    <w:p w14:paraId="52C90343">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（一）采购标的（货物需求一览表或简要服务内容及数量）</w:t>
      </w:r>
    </w:p>
    <w:tbl>
      <w:tblPr>
        <w:tblStyle w:val="4"/>
        <w:tblW w:w="4998" w:type="pct"/>
        <w:jc w:val="center"/>
        <w:tblLayout w:type="autofit"/>
        <w:tblCellMar>
          <w:top w:w="0" w:type="dxa"/>
          <w:left w:w="108" w:type="dxa"/>
          <w:bottom w:w="0" w:type="dxa"/>
          <w:right w:w="108" w:type="dxa"/>
        </w:tblCellMar>
      </w:tblPr>
      <w:tblGrid>
        <w:gridCol w:w="922"/>
        <w:gridCol w:w="1215"/>
        <w:gridCol w:w="3344"/>
        <w:gridCol w:w="1502"/>
        <w:gridCol w:w="1536"/>
      </w:tblGrid>
      <w:tr w14:paraId="112E66D9">
        <w:tblPrEx>
          <w:tblCellMar>
            <w:top w:w="0" w:type="dxa"/>
            <w:left w:w="108" w:type="dxa"/>
            <w:bottom w:w="0" w:type="dxa"/>
            <w:right w:w="108" w:type="dxa"/>
          </w:tblCellMar>
        </w:tblPrEx>
        <w:trPr>
          <w:trHeight w:val="612" w:hRule="atLeast"/>
          <w:jc w:val="center"/>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F1136">
            <w:pPr>
              <w:widowControl/>
              <w:adjustRightInd w:val="0"/>
              <w:snapToGrid w:val="0"/>
              <w:spacing w:line="360" w:lineRule="auto"/>
              <w:jc w:val="center"/>
              <w:textAlignment w:val="center"/>
              <w:rPr>
                <w:rFonts w:ascii="仿宋" w:hAnsi="仿宋" w:eastAsia="仿宋" w:cs="仿宋"/>
                <w:b/>
                <w:bCs/>
                <w:color w:val="auto"/>
                <w:sz w:val="28"/>
                <w:szCs w:val="28"/>
                <w:highlight w:val="none"/>
              </w:rPr>
            </w:pPr>
            <w:r>
              <w:rPr>
                <w:rFonts w:hint="eastAsia" w:ascii="仿宋" w:hAnsi="仿宋" w:eastAsia="仿宋" w:cs="仿宋"/>
                <w:b/>
                <w:bCs/>
                <w:color w:val="auto"/>
                <w:kern w:val="0"/>
                <w:sz w:val="28"/>
                <w:szCs w:val="28"/>
                <w:highlight w:val="none"/>
                <w:lang w:bidi="ar"/>
              </w:rPr>
              <w:t>包号</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3FF5B">
            <w:pPr>
              <w:widowControl/>
              <w:adjustRightInd w:val="0"/>
              <w:snapToGrid w:val="0"/>
              <w:spacing w:line="360" w:lineRule="auto"/>
              <w:jc w:val="center"/>
              <w:textAlignment w:val="center"/>
              <w:rPr>
                <w:rFonts w:ascii="仿宋" w:hAnsi="仿宋" w:eastAsia="仿宋" w:cs="仿宋"/>
                <w:b/>
                <w:bCs/>
                <w:color w:val="auto"/>
                <w:sz w:val="28"/>
                <w:szCs w:val="28"/>
                <w:highlight w:val="none"/>
              </w:rPr>
            </w:pPr>
            <w:r>
              <w:rPr>
                <w:rFonts w:hint="eastAsia" w:ascii="仿宋" w:hAnsi="仿宋" w:eastAsia="仿宋" w:cs="仿宋"/>
                <w:b/>
                <w:bCs/>
                <w:color w:val="auto"/>
                <w:kern w:val="0"/>
                <w:sz w:val="28"/>
                <w:szCs w:val="28"/>
                <w:highlight w:val="none"/>
                <w:lang w:bidi="ar"/>
              </w:rPr>
              <w:t>品目号</w:t>
            </w:r>
          </w:p>
        </w:tc>
        <w:tc>
          <w:tcPr>
            <w:tcW w:w="1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855D8">
            <w:pPr>
              <w:widowControl/>
              <w:adjustRightInd w:val="0"/>
              <w:snapToGrid w:val="0"/>
              <w:spacing w:line="360" w:lineRule="auto"/>
              <w:jc w:val="center"/>
              <w:textAlignment w:val="center"/>
              <w:rPr>
                <w:rFonts w:ascii="仿宋" w:hAnsi="仿宋" w:eastAsia="仿宋" w:cs="仿宋"/>
                <w:b/>
                <w:bCs/>
                <w:color w:val="auto"/>
                <w:sz w:val="28"/>
                <w:szCs w:val="28"/>
                <w:highlight w:val="none"/>
              </w:rPr>
            </w:pPr>
            <w:r>
              <w:rPr>
                <w:rFonts w:hint="eastAsia" w:ascii="仿宋" w:hAnsi="仿宋" w:eastAsia="仿宋" w:cs="仿宋"/>
                <w:b/>
                <w:bCs/>
                <w:color w:val="auto"/>
                <w:kern w:val="0"/>
                <w:sz w:val="28"/>
                <w:szCs w:val="28"/>
                <w:highlight w:val="none"/>
                <w:lang w:bidi="ar"/>
              </w:rPr>
              <w:t>标的名称</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22F31">
            <w:pPr>
              <w:widowControl/>
              <w:adjustRightInd w:val="0"/>
              <w:snapToGrid w:val="0"/>
              <w:spacing w:line="360" w:lineRule="auto"/>
              <w:jc w:val="center"/>
              <w:textAlignment w:val="center"/>
              <w:rPr>
                <w:rFonts w:ascii="仿宋" w:hAnsi="仿宋" w:eastAsia="仿宋" w:cs="仿宋"/>
                <w:b/>
                <w:bCs/>
                <w:color w:val="auto"/>
                <w:sz w:val="28"/>
                <w:szCs w:val="28"/>
                <w:highlight w:val="none"/>
              </w:rPr>
            </w:pPr>
            <w:r>
              <w:rPr>
                <w:rFonts w:hint="eastAsia" w:ascii="仿宋" w:hAnsi="仿宋" w:eastAsia="仿宋" w:cs="仿宋"/>
                <w:b/>
                <w:bCs/>
                <w:color w:val="auto"/>
                <w:kern w:val="0"/>
                <w:sz w:val="28"/>
                <w:szCs w:val="28"/>
                <w:highlight w:val="none"/>
                <w:lang w:bidi="ar"/>
              </w:rPr>
              <w:t>数量（台/套/件）</w:t>
            </w: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917AF">
            <w:pPr>
              <w:widowControl/>
              <w:adjustRightInd w:val="0"/>
              <w:snapToGrid w:val="0"/>
              <w:spacing w:line="360" w:lineRule="auto"/>
              <w:jc w:val="center"/>
              <w:textAlignment w:val="center"/>
              <w:rPr>
                <w:rFonts w:ascii="仿宋" w:hAnsi="仿宋" w:eastAsia="仿宋" w:cs="仿宋"/>
                <w:b/>
                <w:bCs/>
                <w:color w:val="auto"/>
                <w:sz w:val="28"/>
                <w:szCs w:val="28"/>
                <w:highlight w:val="none"/>
              </w:rPr>
            </w:pPr>
            <w:r>
              <w:rPr>
                <w:rFonts w:hint="eastAsia" w:ascii="仿宋" w:hAnsi="仿宋" w:eastAsia="仿宋" w:cs="仿宋"/>
                <w:b/>
                <w:bCs/>
                <w:color w:val="auto"/>
                <w:kern w:val="0"/>
                <w:sz w:val="28"/>
                <w:szCs w:val="28"/>
                <w:highlight w:val="none"/>
                <w:lang w:bidi="ar"/>
              </w:rPr>
              <w:t>是否接受进口</w:t>
            </w:r>
          </w:p>
        </w:tc>
      </w:tr>
      <w:tr w14:paraId="58F420FF">
        <w:tblPrEx>
          <w:tblCellMar>
            <w:top w:w="0" w:type="dxa"/>
            <w:left w:w="108" w:type="dxa"/>
            <w:bottom w:w="0" w:type="dxa"/>
            <w:right w:w="108" w:type="dxa"/>
          </w:tblCellMar>
        </w:tblPrEx>
        <w:trPr>
          <w:trHeight w:val="480" w:hRule="atLeast"/>
          <w:jc w:val="center"/>
        </w:trPr>
        <w:tc>
          <w:tcPr>
            <w:tcW w:w="5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2C573E">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13</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BB926">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13-1</w:t>
            </w:r>
          </w:p>
        </w:tc>
        <w:tc>
          <w:tcPr>
            <w:tcW w:w="1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A8F32">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三维心脏电生理标测系统</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420F8">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w:t>
            </w: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19F96">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否</w:t>
            </w:r>
          </w:p>
        </w:tc>
      </w:tr>
      <w:tr w14:paraId="0F3C337A">
        <w:tblPrEx>
          <w:tblCellMar>
            <w:top w:w="0" w:type="dxa"/>
            <w:left w:w="108" w:type="dxa"/>
            <w:bottom w:w="0" w:type="dxa"/>
            <w:right w:w="108" w:type="dxa"/>
          </w:tblCellMar>
        </w:tblPrEx>
        <w:trPr>
          <w:trHeight w:val="480" w:hRule="atLeast"/>
          <w:jc w:val="center"/>
        </w:trPr>
        <w:tc>
          <w:tcPr>
            <w:tcW w:w="5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2B8DF">
            <w:pPr>
              <w:adjustRightInd w:val="0"/>
              <w:snapToGrid w:val="0"/>
              <w:spacing w:line="360" w:lineRule="auto"/>
              <w:jc w:val="center"/>
              <w:rPr>
                <w:rFonts w:ascii="仿宋" w:hAnsi="仿宋" w:eastAsia="仿宋" w:cs="仿宋"/>
                <w:color w:val="auto"/>
                <w:sz w:val="28"/>
                <w:szCs w:val="28"/>
                <w:highlight w:val="none"/>
              </w:rPr>
            </w:pP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AFB83">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13-2</w:t>
            </w:r>
          </w:p>
        </w:tc>
        <w:tc>
          <w:tcPr>
            <w:tcW w:w="1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F826B">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心脏脉冲电场消融仪</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B14B1">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w:t>
            </w: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5B1A0">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否</w:t>
            </w:r>
          </w:p>
        </w:tc>
      </w:tr>
      <w:tr w14:paraId="3A8C92B4">
        <w:tblPrEx>
          <w:tblCellMar>
            <w:top w:w="0" w:type="dxa"/>
            <w:left w:w="108" w:type="dxa"/>
            <w:bottom w:w="0" w:type="dxa"/>
            <w:right w:w="108" w:type="dxa"/>
          </w:tblCellMar>
        </w:tblPrEx>
        <w:trPr>
          <w:trHeight w:val="480" w:hRule="atLeast"/>
          <w:jc w:val="center"/>
        </w:trPr>
        <w:tc>
          <w:tcPr>
            <w:tcW w:w="5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8F7576">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14</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9F4CE">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14-1</w:t>
            </w:r>
          </w:p>
        </w:tc>
        <w:tc>
          <w:tcPr>
            <w:tcW w:w="1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13A83">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高频治疗机</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E657E">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w:t>
            </w: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87711">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否</w:t>
            </w:r>
          </w:p>
        </w:tc>
      </w:tr>
      <w:tr w14:paraId="28FAA423">
        <w:tblPrEx>
          <w:tblCellMar>
            <w:top w:w="0" w:type="dxa"/>
            <w:left w:w="108" w:type="dxa"/>
            <w:bottom w:w="0" w:type="dxa"/>
            <w:right w:w="108" w:type="dxa"/>
          </w:tblCellMar>
        </w:tblPrEx>
        <w:trPr>
          <w:trHeight w:val="480" w:hRule="atLeast"/>
          <w:jc w:val="center"/>
        </w:trPr>
        <w:tc>
          <w:tcPr>
            <w:tcW w:w="5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4E0D4">
            <w:pPr>
              <w:adjustRightInd w:val="0"/>
              <w:snapToGrid w:val="0"/>
              <w:spacing w:line="360" w:lineRule="auto"/>
              <w:jc w:val="center"/>
              <w:rPr>
                <w:rFonts w:ascii="仿宋" w:hAnsi="仿宋" w:eastAsia="仿宋" w:cs="仿宋"/>
                <w:color w:val="auto"/>
                <w:sz w:val="28"/>
                <w:szCs w:val="28"/>
                <w:highlight w:val="none"/>
              </w:rPr>
            </w:pP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1EBE7">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14-2</w:t>
            </w:r>
          </w:p>
        </w:tc>
        <w:tc>
          <w:tcPr>
            <w:tcW w:w="1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3A9F3">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角膜内皮显微镜</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BAF7D">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w:t>
            </w: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80A94">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否</w:t>
            </w:r>
          </w:p>
        </w:tc>
      </w:tr>
      <w:tr w14:paraId="5EB7BD1B">
        <w:tblPrEx>
          <w:tblCellMar>
            <w:top w:w="0" w:type="dxa"/>
            <w:left w:w="108" w:type="dxa"/>
            <w:bottom w:w="0" w:type="dxa"/>
            <w:right w:w="108" w:type="dxa"/>
          </w:tblCellMar>
        </w:tblPrEx>
        <w:trPr>
          <w:trHeight w:val="480" w:hRule="atLeast"/>
          <w:jc w:val="center"/>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79A6C">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15</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BF48E">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15-1</w:t>
            </w:r>
          </w:p>
        </w:tc>
        <w:tc>
          <w:tcPr>
            <w:tcW w:w="1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1C4D4">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磁振结肠水疗机</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8B94F">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2</w:t>
            </w: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9B954">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否</w:t>
            </w:r>
          </w:p>
        </w:tc>
      </w:tr>
      <w:tr w14:paraId="655B78FC">
        <w:tblPrEx>
          <w:tblCellMar>
            <w:top w:w="0" w:type="dxa"/>
            <w:left w:w="108" w:type="dxa"/>
            <w:bottom w:w="0" w:type="dxa"/>
            <w:right w:w="108" w:type="dxa"/>
          </w:tblCellMar>
        </w:tblPrEx>
        <w:trPr>
          <w:trHeight w:val="480" w:hRule="atLeast"/>
          <w:jc w:val="center"/>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E9CBC">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16</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FAFA9">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16-1</w:t>
            </w:r>
          </w:p>
        </w:tc>
        <w:tc>
          <w:tcPr>
            <w:tcW w:w="1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2DEA7">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皮肤色素检测仪</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49B09">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w:t>
            </w: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C9777">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否</w:t>
            </w:r>
          </w:p>
        </w:tc>
      </w:tr>
      <w:tr w14:paraId="06097EF8">
        <w:tblPrEx>
          <w:tblCellMar>
            <w:top w:w="0" w:type="dxa"/>
            <w:left w:w="108" w:type="dxa"/>
            <w:bottom w:w="0" w:type="dxa"/>
            <w:right w:w="108" w:type="dxa"/>
          </w:tblCellMar>
        </w:tblPrEx>
        <w:trPr>
          <w:trHeight w:val="480" w:hRule="atLeast"/>
          <w:jc w:val="center"/>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D43B4">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17</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AEFF0">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17-1</w:t>
            </w:r>
          </w:p>
        </w:tc>
        <w:tc>
          <w:tcPr>
            <w:tcW w:w="1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38FBA">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宫腔镜冷刀系统</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D80C3">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w:t>
            </w: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1A526">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否</w:t>
            </w:r>
          </w:p>
        </w:tc>
      </w:tr>
      <w:tr w14:paraId="1D428926">
        <w:tblPrEx>
          <w:tblCellMar>
            <w:top w:w="0" w:type="dxa"/>
            <w:left w:w="108" w:type="dxa"/>
            <w:bottom w:w="0" w:type="dxa"/>
            <w:right w:w="108" w:type="dxa"/>
          </w:tblCellMar>
        </w:tblPrEx>
        <w:trPr>
          <w:trHeight w:val="480" w:hRule="atLeast"/>
          <w:jc w:val="center"/>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8B39B">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18</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F0E09">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18-1</w:t>
            </w:r>
          </w:p>
        </w:tc>
        <w:tc>
          <w:tcPr>
            <w:tcW w:w="1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A491C">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心电图机</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388D9">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20</w:t>
            </w: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59FDC">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否</w:t>
            </w:r>
          </w:p>
        </w:tc>
      </w:tr>
      <w:tr w14:paraId="3637113D">
        <w:tblPrEx>
          <w:tblCellMar>
            <w:top w:w="0" w:type="dxa"/>
            <w:left w:w="108" w:type="dxa"/>
            <w:bottom w:w="0" w:type="dxa"/>
            <w:right w:w="108" w:type="dxa"/>
          </w:tblCellMar>
        </w:tblPrEx>
        <w:trPr>
          <w:trHeight w:val="480" w:hRule="atLeast"/>
          <w:jc w:val="center"/>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4428F">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19</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A33EC">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19-1</w:t>
            </w:r>
          </w:p>
        </w:tc>
        <w:tc>
          <w:tcPr>
            <w:tcW w:w="1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6EBFB">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靶控输注系统</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7D0C8">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5</w:t>
            </w: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13EE8">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否</w:t>
            </w:r>
          </w:p>
        </w:tc>
      </w:tr>
      <w:tr w14:paraId="1788E88E">
        <w:tblPrEx>
          <w:tblCellMar>
            <w:top w:w="0" w:type="dxa"/>
            <w:left w:w="108" w:type="dxa"/>
            <w:bottom w:w="0" w:type="dxa"/>
            <w:right w:w="108" w:type="dxa"/>
          </w:tblCellMar>
        </w:tblPrEx>
        <w:trPr>
          <w:trHeight w:val="480" w:hRule="atLeast"/>
          <w:jc w:val="center"/>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D2B85">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20</w:t>
            </w:r>
          </w:p>
        </w:tc>
        <w:tc>
          <w:tcPr>
            <w:tcW w:w="7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B8FC5">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20-1</w:t>
            </w:r>
          </w:p>
        </w:tc>
        <w:tc>
          <w:tcPr>
            <w:tcW w:w="1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7352E">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点阵二氧化碳激光治疗仪</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023E5">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1</w:t>
            </w:r>
          </w:p>
        </w:tc>
        <w:tc>
          <w:tcPr>
            <w:tcW w:w="9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DB72C">
            <w:pPr>
              <w:widowControl/>
              <w:adjustRightInd w:val="0"/>
              <w:snapToGrid w:val="0"/>
              <w:spacing w:line="360" w:lineRule="auto"/>
              <w:jc w:val="center"/>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bidi="ar"/>
              </w:rPr>
              <w:t>否</w:t>
            </w:r>
          </w:p>
        </w:tc>
      </w:tr>
    </w:tbl>
    <w:p w14:paraId="7A4E53B1">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（二）项目背景/项目概述（如有）</w:t>
      </w:r>
    </w:p>
    <w:p w14:paraId="29EDB1C7">
      <w:pPr>
        <w:adjustRightInd w:val="0"/>
        <w:snapToGrid w:val="0"/>
        <w:spacing w:line="360" w:lineRule="auto"/>
        <w:ind w:firstLine="560" w:firstLineChars="200"/>
        <w:contextualSpacing/>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本次采购是为北京老年医院配置基本设备，供应商应根据招标文件所提出的设备技术规格和服务要求，综合考虑设备的适用性，选择需要最佳性能价格比的设备前来投标。供应商应以技术先进的设备、优良的服务和优惠的价格，充分显示自己的竞争实力。</w:t>
      </w:r>
    </w:p>
    <w:p w14:paraId="1EC9D82A">
      <w:pPr>
        <w:tabs>
          <w:tab w:val="left" w:pos="5456"/>
        </w:tabs>
        <w:adjustRightInd w:val="0"/>
        <w:snapToGrid w:val="0"/>
        <w:spacing w:line="360" w:lineRule="auto"/>
        <w:ind w:firstLine="562" w:firstLineChars="200"/>
        <w:contextualSpacing/>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二、商务要求</w:t>
      </w:r>
    </w:p>
    <w:p w14:paraId="407697ED">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（一）交付（实施）的时间（期限）和地点（范围）</w:t>
      </w:r>
    </w:p>
    <w:p w14:paraId="20AF42AE">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1、交付时间：自合同签订之日起45天内。设备交货时，出厂日期不得＞3个月。</w:t>
      </w:r>
    </w:p>
    <w:p w14:paraId="7E9DD00B">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2、交付地点：中标人负责将采购人所采购货物运至采购人指定的地点。软、硬件经安装、调试完毕，由采购人负责验收，中标人应随货物向采购人提供使用说明书和质量标准及所要求的相关资料。</w:t>
      </w:r>
    </w:p>
    <w:p w14:paraId="0743371A">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（二）付款条件（进度和方式）</w:t>
      </w:r>
    </w:p>
    <w:p w14:paraId="38A592B9">
      <w:pPr>
        <w:adjustRightInd w:val="0"/>
        <w:snapToGrid w:val="0"/>
        <w:spacing w:line="360" w:lineRule="auto"/>
        <w:ind w:firstLine="560" w:firstLineChars="200"/>
        <w:outlineLvl w:val="0"/>
        <w:rPr>
          <w:rFonts w:ascii="仿宋" w:hAnsi="仿宋" w:eastAsia="仿宋" w:cs="仿宋"/>
          <w:color w:val="auto"/>
          <w:sz w:val="28"/>
          <w:szCs w:val="28"/>
          <w:highlight w:val="none"/>
        </w:rPr>
      </w:pPr>
      <w:r>
        <w:rPr>
          <w:rFonts w:hint="eastAsia" w:ascii="仿宋" w:hAnsi="仿宋" w:eastAsia="仿宋" w:cs="仿宋"/>
          <w:bCs/>
          <w:color w:val="auto"/>
          <w:sz w:val="28"/>
          <w:szCs w:val="28"/>
          <w:highlight w:val="none"/>
        </w:rPr>
        <w:t>详见本项目招标文件“第六章拟签订的合同文本”“买卖合同书”中的约定</w:t>
      </w:r>
    </w:p>
    <w:p w14:paraId="42FA987A">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（三）包装和运输</w:t>
      </w:r>
    </w:p>
    <w:p w14:paraId="22B84EEC">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投标产品的包装应符合《财政部等三部门联合印发商品包装和快递包装政府采购需求标准（试行）》（财办库〔2020〕123号）的规定。</w:t>
      </w:r>
    </w:p>
    <w:p w14:paraId="13B87BF8">
      <w:pPr>
        <w:adjustRightInd w:val="0"/>
        <w:snapToGrid w:val="0"/>
        <w:spacing w:line="360" w:lineRule="auto"/>
        <w:ind w:firstLine="560" w:firstLineChars="200"/>
        <w:rPr>
          <w:rFonts w:ascii="仿宋" w:hAnsi="仿宋" w:eastAsia="仿宋" w:cs="仿宋"/>
          <w:b/>
          <w:bCs/>
          <w:color w:val="auto"/>
          <w:sz w:val="28"/>
          <w:szCs w:val="28"/>
          <w:highlight w:val="none"/>
        </w:rPr>
      </w:pPr>
      <w:r>
        <w:rPr>
          <w:rFonts w:hint="eastAsia" w:ascii="仿宋" w:hAnsi="仿宋" w:eastAsia="仿宋" w:cs="仿宋"/>
          <w:bCs/>
          <w:color w:val="auto"/>
          <w:sz w:val="28"/>
          <w:szCs w:val="28"/>
          <w:highlight w:val="none"/>
        </w:rPr>
        <w:t>（四）</w:t>
      </w:r>
      <w:bookmarkStart w:id="3" w:name="OLE_LINK367"/>
      <w:bookmarkStart w:id="4" w:name="OLE_LINK26"/>
      <w:bookmarkStart w:id="5" w:name="OLE_LINK27"/>
      <w:r>
        <w:rPr>
          <w:rFonts w:hint="eastAsia" w:ascii="仿宋" w:hAnsi="仿宋" w:eastAsia="仿宋" w:cs="仿宋"/>
          <w:bCs/>
          <w:color w:val="auto"/>
          <w:sz w:val="28"/>
          <w:szCs w:val="28"/>
          <w:highlight w:val="none"/>
        </w:rPr>
        <w:t>售后服务（质保期）</w:t>
      </w:r>
      <w:bookmarkEnd w:id="3"/>
      <w:bookmarkEnd w:id="4"/>
      <w:bookmarkEnd w:id="5"/>
      <w:r>
        <w:rPr>
          <w:rFonts w:hint="eastAsia" w:ascii="仿宋" w:hAnsi="仿宋" w:eastAsia="仿宋" w:cs="仿宋"/>
          <w:b/>
          <w:bCs/>
          <w:color w:val="auto"/>
          <w:sz w:val="28"/>
          <w:szCs w:val="28"/>
          <w:highlight w:val="none"/>
        </w:rPr>
        <w:t>（以各包技术规格中要求为准，如技术规格中无要求，则以本款要求为准。）</w:t>
      </w:r>
    </w:p>
    <w:p w14:paraId="27789078">
      <w:pPr>
        <w:adjustRightInd w:val="0"/>
        <w:snapToGrid w:val="0"/>
        <w:spacing w:line="360" w:lineRule="auto"/>
        <w:ind w:firstLine="560" w:firstLineChars="200"/>
        <w:jc w:val="left"/>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1、质量保证期（保修期）及服务要求：为自设备安装、调试、验收合格之日起不少于60个月的原厂保修，保修范围应包括提供的所有设备（含第三方设备及配件）和安装调试服务。在保修期内应提供维修和技术咨询服务，矫正和免费更换有缺陷的设备或部件、排除系统出现的故障。质量保证期内，投标人应对由于设计、工艺或材料的缺陷而发生的任何不足或故障负责，费用由投标人负担。质量保证期满，投标人为采购人提供终身保修有偿服务。设备和医院His等信息化系统接口费由供应商承担。设备如搭载软件系统的，需在设备使用有效期内终身免费升级。</w:t>
      </w:r>
      <w:r>
        <w:rPr>
          <w:rFonts w:hint="eastAsia" w:ascii="仿宋" w:hAnsi="仿宋" w:eastAsia="仿宋" w:cs="仿宋"/>
          <w:color w:val="auto"/>
          <w:sz w:val="28"/>
          <w:szCs w:val="28"/>
          <w:highlight w:val="none"/>
        </w:rPr>
        <w:t>该设备注册证变更后，卖方及时提供变更后有效注册证，如有注册证变更特殊事项及时通知买方。</w:t>
      </w:r>
    </w:p>
    <w:p w14:paraId="293054FF">
      <w:pPr>
        <w:adjustRightInd w:val="0"/>
        <w:snapToGrid w:val="0"/>
        <w:spacing w:line="360" w:lineRule="auto"/>
        <w:ind w:firstLine="560" w:firstLineChars="200"/>
        <w:jc w:val="left"/>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2、投标人应在质保期满前三个月对设备做全面保养及性能检测，并出具相应的报告。</w:t>
      </w:r>
    </w:p>
    <w:p w14:paraId="3E398F15">
      <w:pPr>
        <w:adjustRightInd w:val="0"/>
        <w:snapToGrid w:val="0"/>
        <w:spacing w:line="360" w:lineRule="auto"/>
        <w:ind w:firstLine="560" w:firstLineChars="200"/>
        <w:jc w:val="left"/>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3、投标人和制造商（或境内总代理、独家代理）需要同时提供包含上述质量保证期（保修期）及服务要求的承诺函并加盖单位公章。</w:t>
      </w:r>
    </w:p>
    <w:p w14:paraId="4132E74E">
      <w:pPr>
        <w:adjustRightInd w:val="0"/>
        <w:snapToGrid w:val="0"/>
        <w:spacing w:line="360" w:lineRule="auto"/>
        <w:ind w:firstLine="560" w:firstLineChars="200"/>
        <w:jc w:val="left"/>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4、投标人还需要提供质量保证期（保修期）结束后，年度维保费用最高不超过合同金额5%的承诺函并加盖单位公章。保修费用应含维保工时费、零配件费用和软件维护、升级费用，服务内容和细则与免费维保期相同。</w:t>
      </w:r>
    </w:p>
    <w:p w14:paraId="58E06A89">
      <w:pPr>
        <w:adjustRightInd w:val="0"/>
        <w:snapToGrid w:val="0"/>
        <w:spacing w:line="360" w:lineRule="auto"/>
        <w:ind w:firstLine="560" w:firstLineChars="200"/>
        <w:jc w:val="left"/>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5、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3463E363">
      <w:pPr>
        <w:adjustRightInd w:val="0"/>
        <w:snapToGrid w:val="0"/>
        <w:spacing w:line="360" w:lineRule="auto"/>
        <w:ind w:firstLine="560" w:firstLineChars="200"/>
        <w:jc w:val="left"/>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6、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质量保证期内的免费售后维修及服务包括所有投标产品及配件，并含第三方产品，同时投标人应定期对所有投标产品提供维护保养服务。</w:t>
      </w:r>
    </w:p>
    <w:p w14:paraId="771709BB">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color w:val="auto"/>
          <w:sz w:val="28"/>
          <w:szCs w:val="28"/>
          <w:highlight w:val="none"/>
        </w:rPr>
        <w:t>（五）</w:t>
      </w:r>
      <w:r>
        <w:rPr>
          <w:rFonts w:hint="eastAsia" w:ascii="仿宋" w:hAnsi="仿宋" w:eastAsia="仿宋" w:cs="仿宋"/>
          <w:bCs/>
          <w:color w:val="auto"/>
          <w:sz w:val="28"/>
          <w:szCs w:val="28"/>
          <w:highlight w:val="none"/>
        </w:rPr>
        <w:t>交付（实施）的时间（期限）和地点（范围）、付款条件（进度和方式）、包装和运输、售后服务（质保期）等其他内容详见第六章拟签订的合同文本。</w:t>
      </w:r>
    </w:p>
    <w:p w14:paraId="49DD30B0">
      <w:pPr>
        <w:adjustRightInd w:val="0"/>
        <w:snapToGrid w:val="0"/>
        <w:spacing w:line="360" w:lineRule="auto"/>
        <w:ind w:firstLine="562" w:firstLineChars="200"/>
        <w:contextualSpacing/>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三、技术要求</w:t>
      </w:r>
    </w:p>
    <w:p w14:paraId="45A19D30">
      <w:pPr>
        <w:adjustRightInd w:val="0"/>
        <w:snapToGrid w:val="0"/>
        <w:spacing w:line="360" w:lineRule="auto"/>
        <w:ind w:firstLine="562" w:firstLineChars="200"/>
        <w:contextualSpacing/>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（一）基本要求</w:t>
      </w:r>
    </w:p>
    <w:p w14:paraId="64181EB1">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1、采购标的需实现的功能或者目标</w:t>
      </w:r>
    </w:p>
    <w:p w14:paraId="0C5E477E">
      <w:pPr>
        <w:adjustRightInd w:val="0"/>
        <w:snapToGrid w:val="0"/>
        <w:spacing w:line="360" w:lineRule="auto"/>
        <w:ind w:firstLine="560" w:firstLineChars="200"/>
        <w:contextualSpacing/>
        <w:rPr>
          <w:rFonts w:ascii="仿宋" w:hAnsi="仿宋" w:eastAsia="仿宋" w:cs="仿宋"/>
          <w:color w:val="auto"/>
          <w:sz w:val="28"/>
          <w:szCs w:val="28"/>
          <w:highlight w:val="none"/>
        </w:rPr>
      </w:pPr>
      <w:bookmarkStart w:id="6" w:name="OLE_LINK180"/>
      <w:r>
        <w:rPr>
          <w:rFonts w:hint="eastAsia" w:ascii="仿宋" w:hAnsi="仿宋" w:eastAsia="仿宋" w:cs="仿宋"/>
          <w:color w:val="auto"/>
          <w:sz w:val="28"/>
          <w:szCs w:val="28"/>
          <w:highlight w:val="none"/>
        </w:rPr>
        <w:t>本次招标采购项目为北京老年医院医用设备购置采购项目，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6"/>
    </w:p>
    <w:p w14:paraId="17E9626D">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2、需执行的国家相关标准、行业标准、地方标准或者其他标准、规范</w:t>
      </w:r>
    </w:p>
    <w:p w14:paraId="6F71A52B">
      <w:pPr>
        <w:adjustRightInd w:val="0"/>
        <w:snapToGrid w:val="0"/>
        <w:spacing w:line="360" w:lineRule="auto"/>
        <w:ind w:firstLine="562" w:firstLineChars="200"/>
        <w:contextualSpacing/>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★2.1、投标产品属于医疗器械的，应按原国家食品药品监督管理总局颁发的《医疗器械注册管理办法》，办理医疗器械注册证或者办理备案，投标人须提供医疗器械注册证复印件或备案凭证。</w:t>
      </w:r>
    </w:p>
    <w:p w14:paraId="75DA5DF3">
      <w:pPr>
        <w:adjustRightInd w:val="0"/>
        <w:snapToGrid w:val="0"/>
        <w:spacing w:line="360" w:lineRule="auto"/>
        <w:ind w:firstLine="562" w:firstLineChars="200"/>
        <w:contextualSpacing/>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14:paraId="555332E1">
      <w:pPr>
        <w:adjustRightInd w:val="0"/>
        <w:snapToGrid w:val="0"/>
        <w:spacing w:line="360" w:lineRule="auto"/>
        <w:ind w:firstLine="562" w:firstLineChars="200"/>
        <w:contextualSpacing/>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2.3、投标产品属于辐射或射线类的设备或材料的，需提供投标人及投标产品制造商的辐射安全许可证复印件（不适用的情况除外）。投标产品属于压力容器的，投标人需要根据国家特种设备制造相关管理规定，提供投标产品制造商的特种设备制造许可证（压力容器）。</w:t>
      </w:r>
    </w:p>
    <w:p w14:paraId="73D3C876">
      <w:pPr>
        <w:adjustRightInd w:val="0"/>
        <w:snapToGrid w:val="0"/>
        <w:spacing w:line="360" w:lineRule="auto"/>
        <w:ind w:firstLine="562" w:firstLineChars="200"/>
        <w:contextualSpacing/>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2.4、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1EBE5832">
      <w:pPr>
        <w:adjustRightInd w:val="0"/>
        <w:snapToGrid w:val="0"/>
        <w:spacing w:line="360" w:lineRule="auto"/>
        <w:ind w:firstLine="562" w:firstLineChars="200"/>
        <w:contextualSpacing/>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（二）服务内容及要求/货物技术要求</w:t>
      </w:r>
    </w:p>
    <w:p w14:paraId="074A3D6D">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1、采购标的需满足的性能、材料、结构、外观、质量、安全、技术规格、物理特性等要求：</w:t>
      </w:r>
    </w:p>
    <w:p w14:paraId="4623281C">
      <w:pPr>
        <w:adjustRightInd w:val="0"/>
        <w:snapToGrid w:val="0"/>
        <w:spacing w:line="360" w:lineRule="auto"/>
        <w:jc w:val="center"/>
        <w:rPr>
          <w:rFonts w:ascii="仿宋" w:hAnsi="仿宋" w:eastAsia="仿宋" w:cs="仿宋"/>
          <w:b/>
          <w:bCs/>
          <w:color w:val="auto"/>
          <w:sz w:val="28"/>
          <w:szCs w:val="28"/>
          <w:highlight w:val="none"/>
        </w:rPr>
      </w:pPr>
      <w:bookmarkStart w:id="7" w:name="OLE_LINK53"/>
      <w:r>
        <w:rPr>
          <w:rFonts w:hint="eastAsia" w:ascii="仿宋" w:hAnsi="仿宋" w:eastAsia="仿宋" w:cs="仿宋"/>
          <w:b/>
          <w:bCs/>
          <w:color w:val="auto"/>
          <w:sz w:val="28"/>
          <w:szCs w:val="28"/>
          <w:highlight w:val="none"/>
        </w:rPr>
        <w:t>包号13  品目号13-1  三维心脏电生理标测系统</w:t>
      </w:r>
    </w:p>
    <w:p w14:paraId="4DC685C6">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一、数量：1台套</w:t>
      </w:r>
    </w:p>
    <w:p w14:paraId="5406E155">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二、设备用途：用于在心脏电生理手术中发出电刺激信号和记录心电信号，进行心脏的电生理标测、三维建模，并显示导管位置。可测量心腔和血管内压力。</w:t>
      </w:r>
    </w:p>
    <w:p w14:paraId="26FF6301">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三、技术要求：</w:t>
      </w:r>
    </w:p>
    <w:p w14:paraId="2E85F122">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1、具有影像化快速建模功能，能快速建立心脏三维模型。</w:t>
      </w:r>
    </w:p>
    <w:p w14:paraId="63808209">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2、具备回收站功能，可恢复所有误操作丢失的信息。</w:t>
      </w:r>
    </w:p>
    <w:p w14:paraId="5409878F">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bCs/>
          <w:color w:val="auto"/>
          <w:sz w:val="28"/>
          <w:szCs w:val="28"/>
          <w:highlight w:val="none"/>
        </w:rPr>
        <w:t>▲</w:t>
      </w:r>
      <w:r>
        <w:rPr>
          <w:rFonts w:hint="eastAsia" w:ascii="仿宋" w:hAnsi="仿宋" w:eastAsia="仿宋" w:cs="仿宋"/>
          <w:color w:val="auto"/>
          <w:sz w:val="28"/>
          <w:szCs w:val="28"/>
          <w:highlight w:val="none"/>
        </w:rPr>
        <w:t>3、具备呼吸补偿和门控两种技术。</w:t>
      </w:r>
    </w:p>
    <w:p w14:paraId="0CA24F32">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4、能提供三维电激动图，不同颜色实时显示激动传导顺序。可选择单个或多个心腔进行标测，提供整体的激动信息。</w:t>
      </w:r>
    </w:p>
    <w:p w14:paraId="49C4E743">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5、能提供三维电解剖图，立体彩色显示心脏的解剖结构和位置。</w:t>
      </w:r>
    </w:p>
    <w:p w14:paraId="21E8D4BA">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6、能提供三维电压图，能直观显示心肌疤痕区域、低电压区域和正常心肌组织。</w:t>
      </w:r>
    </w:p>
    <w:p w14:paraId="7C359FCF">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7、具有模型裁剪、模型切口、模型复制重构功能。</w:t>
      </w:r>
    </w:p>
    <w:p w14:paraId="3040C9E7">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8、具有模型擦除和模型擦除恢复功能，可恢复模型误擦除丢失的模型信息。</w:t>
      </w:r>
    </w:p>
    <w:p w14:paraId="408E6694">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9、模型测量工具：可以测量模型的距离、表面积、容积。</w:t>
      </w:r>
    </w:p>
    <w:p w14:paraId="3202166E">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10、具备CT图像三维融合功能。</w:t>
      </w:r>
    </w:p>
    <w:p w14:paraId="15234B90">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11、具备有创血压通道，有创血压测量范围≥0～300 mmHg。</w:t>
      </w:r>
    </w:p>
    <w:p w14:paraId="06167F60">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▲12、具有刺激功能,具压刺激和电流刺激两种模式。</w:t>
      </w:r>
    </w:p>
    <w:p w14:paraId="282131DC">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▲13、刺激仪电压刺激范围：1V～8V，采用步进 0.5V调节。</w:t>
      </w:r>
    </w:p>
    <w:p w14:paraId="1C82904D">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▲14、刺激仪电压刺激的触发模式：连续触发、RS2感知触发、R波感知触发可选。</w:t>
      </w:r>
    </w:p>
    <w:p w14:paraId="57E6A97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▲15、刺激仪电流刺激范围：≥0.5mA～20.0mA，步进为0.2mA。</w:t>
      </w:r>
    </w:p>
    <w:p w14:paraId="47005615">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16、消融控制：系统可显示消融过程中从消融仪接收的阻抗、功率、温度和时间数据，能在三维标测系统上对心脏射频消融仪进行远程显示和控制。</w:t>
      </w:r>
    </w:p>
    <w:p w14:paraId="72F33646">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▲17、模拟输出：可选任意体表、心内和有创压力通道作为输出。</w:t>
      </w:r>
    </w:p>
    <w:p w14:paraId="777602AE">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▲18、模拟输出：≥2路模拟信号输出。</w:t>
      </w:r>
    </w:p>
    <w:p w14:paraId="0551B2BE">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19、具备密集点（高密度）标测功能。</w:t>
      </w:r>
    </w:p>
    <w:p w14:paraId="2A42DB4C">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20、具有回溯采点记录功。</w:t>
      </w:r>
    </w:p>
    <w:p w14:paraId="61E3B5E5">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21、集成完整电生理记录系统，系统每个通道可独立设置滤波、陷波参数、显示颜色，可以更改通道的增益、刷新速度等;并提供模板保存功能，保存以上设置。</w:t>
      </w:r>
    </w:p>
    <w:p w14:paraId="77C5F060">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22、采用磁场和电场混合定位原理, 多导管可视化，无扭曲变形，定位精度≤1mm。</w:t>
      </w:r>
    </w:p>
    <w:p w14:paraId="7FA37913">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▲23、具有磁定位通道≥50个。</w:t>
      </w:r>
    </w:p>
    <w:p w14:paraId="3D68C4D0">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24、图文工作站：</w:t>
      </w:r>
    </w:p>
    <w:p w14:paraId="77534397">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24.1、CPU：i7同等或以上性能；</w:t>
      </w:r>
    </w:p>
    <w:p w14:paraId="5054E480">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24.2、内存：≥8G×2；</w:t>
      </w:r>
    </w:p>
    <w:p w14:paraId="63CEEB06">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24.3、硬盘：≥2T；</w:t>
      </w:r>
    </w:p>
    <w:p w14:paraId="141B2DEF">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24.4、图像显示终端尺寸：≥23英寸；</w:t>
      </w:r>
    </w:p>
    <w:p w14:paraId="71BDDAC0">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24.5、数据输出终端：A4黑白激光打印机；标配USB2.0接口；打印分辨率≥1200×1200dpi，能清晰打印含曲线图的检查报告；标配≥250页进纸盒，支持自动双面打印。</w:t>
      </w:r>
    </w:p>
    <w:p w14:paraId="1B7DE90B">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四、主要配置：</w:t>
      </w:r>
    </w:p>
    <w:p w14:paraId="4862170C">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1、前置放大器：1台。</w:t>
      </w:r>
    </w:p>
    <w:p w14:paraId="761B0F35">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2、隔离电源：1套。</w:t>
      </w:r>
    </w:p>
    <w:p w14:paraId="07235B05">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3、图文工作站：1套。</w:t>
      </w:r>
    </w:p>
    <w:p w14:paraId="72677E8B">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4、有创压力导联线：2根。</w:t>
      </w:r>
    </w:p>
    <w:p w14:paraId="076E8F63">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5、心内输入盒：2个。</w:t>
      </w:r>
    </w:p>
    <w:p w14:paraId="377F8A3A">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6、系统定位盒：1个。</w:t>
      </w:r>
    </w:p>
    <w:p w14:paraId="32E6B4EE">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7、体表导联线：2套。</w:t>
      </w:r>
    </w:p>
    <w:p w14:paraId="57B7CA7A">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8、体表参考连线：2根。</w:t>
      </w:r>
    </w:p>
    <w:p w14:paraId="40DF971E">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9、显示器：4台。</w:t>
      </w:r>
    </w:p>
    <w:p w14:paraId="5CB529D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10、输出终端：1台。</w:t>
      </w:r>
    </w:p>
    <w:p w14:paraId="2D133C6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11、磁定位板：1个。</w:t>
      </w:r>
    </w:p>
    <w:p w14:paraId="56011BB3">
      <w:pPr>
        <w:adjustRightInd w:val="0"/>
        <w:snapToGrid w:val="0"/>
        <w:spacing w:line="360" w:lineRule="auto"/>
        <w:jc w:val="center"/>
        <w:rPr>
          <w:rFonts w:ascii="仿宋" w:hAnsi="仿宋" w:eastAsia="仿宋" w:cs="仿宋"/>
          <w:b/>
          <w:bCs/>
          <w:color w:val="auto"/>
          <w:sz w:val="28"/>
          <w:szCs w:val="28"/>
          <w:highlight w:val="none"/>
        </w:rPr>
      </w:pPr>
    </w:p>
    <w:p w14:paraId="03908B88">
      <w:pPr>
        <w:adjustRightInd w:val="0"/>
        <w:snapToGrid w:val="0"/>
        <w:spacing w:line="360" w:lineRule="auto"/>
        <w:jc w:val="center"/>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包号13  品目号13-2  心脏脉冲电场消融仪</w:t>
      </w:r>
    </w:p>
    <w:p w14:paraId="5B458A4A">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一、数量：1台套</w:t>
      </w:r>
    </w:p>
    <w:p w14:paraId="15D72754">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二、设备用途：用于治疗药物难治性复发性症状性阵发性房颤和阵发性室上速。</w:t>
      </w:r>
    </w:p>
    <w:p w14:paraId="7A0C9150">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三、技术要求：</w:t>
      </w:r>
    </w:p>
    <w:p w14:paraId="4F2F950F">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bCs/>
          <w:color w:val="auto"/>
          <w:sz w:val="28"/>
          <w:szCs w:val="28"/>
          <w:highlight w:val="none"/>
        </w:rPr>
        <w:t>▲</w:t>
      </w:r>
      <w:r>
        <w:rPr>
          <w:rFonts w:hint="eastAsia" w:ascii="仿宋" w:hAnsi="仿宋" w:eastAsia="仿宋" w:cs="仿宋"/>
          <w:color w:val="auto"/>
          <w:sz w:val="28"/>
          <w:szCs w:val="28"/>
          <w:highlight w:val="none"/>
        </w:rPr>
        <w:t>1、脉冲幅度包含1800V，最大脉冲输出电压不低于2400Vp，脉冲组间期包含400ms，脉冲上升时间≤400ns。</w:t>
      </w:r>
    </w:p>
    <w:p w14:paraId="6F7648F9">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bCs/>
          <w:color w:val="auto"/>
          <w:sz w:val="28"/>
          <w:szCs w:val="28"/>
          <w:highlight w:val="none"/>
        </w:rPr>
        <w:t>▲</w:t>
      </w:r>
      <w:r>
        <w:rPr>
          <w:rFonts w:hint="eastAsia" w:ascii="仿宋" w:hAnsi="仿宋" w:eastAsia="仿宋" w:cs="仿宋"/>
          <w:color w:val="auto"/>
          <w:sz w:val="28"/>
          <w:szCs w:val="28"/>
          <w:highlight w:val="none"/>
        </w:rPr>
        <w:t>2、单个脉冲能量：≤0.3J。</w:t>
      </w:r>
    </w:p>
    <w:p w14:paraId="27DA6135">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bCs/>
          <w:color w:val="auto"/>
          <w:sz w:val="28"/>
          <w:szCs w:val="28"/>
          <w:highlight w:val="none"/>
        </w:rPr>
        <w:t>▲</w:t>
      </w:r>
      <w:r>
        <w:rPr>
          <w:rFonts w:hint="eastAsia" w:ascii="仿宋" w:hAnsi="仿宋" w:eastAsia="仿宋" w:cs="仿宋"/>
          <w:color w:val="auto"/>
          <w:sz w:val="28"/>
          <w:szCs w:val="28"/>
          <w:highlight w:val="none"/>
        </w:rPr>
        <w:t>3、脉冲宽度：至少包含2μs和3μs。</w:t>
      </w:r>
    </w:p>
    <w:p w14:paraId="7FD005B1">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4、单个脉冲输出电流：≤70A。</w:t>
      </w:r>
    </w:p>
    <w:p w14:paraId="6A775687">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bCs/>
          <w:color w:val="auto"/>
          <w:sz w:val="28"/>
          <w:szCs w:val="28"/>
          <w:highlight w:val="none"/>
        </w:rPr>
        <w:t>▲</w:t>
      </w:r>
      <w:r>
        <w:rPr>
          <w:rFonts w:hint="eastAsia" w:ascii="仿宋" w:hAnsi="仿宋" w:eastAsia="仿宋" w:cs="仿宋"/>
          <w:color w:val="auto"/>
          <w:sz w:val="28"/>
          <w:szCs w:val="28"/>
          <w:highlight w:val="none"/>
        </w:rPr>
        <w:t>5、脉冲组数范围：≥5组。</w:t>
      </w:r>
    </w:p>
    <w:p w14:paraId="7F3F635D">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6、输出脉冲波形：由正脉冲和负脉冲组合而成。</w:t>
      </w:r>
    </w:p>
    <w:p w14:paraId="3DD3DD52">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7、可以通过操作显示面板、主机按键或脚踏开关实现脉冲输出。</w:t>
      </w:r>
    </w:p>
    <w:p w14:paraId="03DE7A6B">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8、脉冲启动方式：</w:t>
      </w:r>
    </w:p>
    <w:p w14:paraId="090B165E">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8.1、实时启动方式：直接输出脉冲能力；</w:t>
      </w:r>
    </w:p>
    <w:p w14:paraId="0965D02B">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8.2、触发启动方式：在感知到模拟输入端口输入的R波信号后，才能输出脉冲能力；</w:t>
      </w:r>
    </w:p>
    <w:p w14:paraId="21EFC80E">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8.3、同步启动方式：在感知到同步输入的同步信号后，才能输出脉冲能量。</w:t>
      </w:r>
    </w:p>
    <w:p w14:paraId="06DA910A">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9、配套脉冲导管形态显示：消融导管头端≥3个磁体传感器，配合同品牌三维标测系统使用时，三维标测系统可全程、实时显示导管形态。</w:t>
      </w:r>
    </w:p>
    <w:p w14:paraId="09FAD8D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10、具备防除颤功能：在治疗房颤的手术中，只需一种脉冲消融导管配合即可完成手术治疗，除颤恢复时间≤5s。。</w:t>
      </w:r>
    </w:p>
    <w:p w14:paraId="775D9063">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11、显示器：≥23英寸。</w:t>
      </w:r>
    </w:p>
    <w:p w14:paraId="5B790F76">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12、数据输出终端：A4黑白激光打印机；标配USB2.0接口；打印分辨率≥1200×1200dpi，能清晰打印含曲线图的检查报告；标配≥250页进纸盒，支持自动双面打印。</w:t>
      </w:r>
    </w:p>
    <w:p w14:paraId="4E53187A">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13、设备使用年限：≥8年。</w:t>
      </w:r>
    </w:p>
    <w:p w14:paraId="64DEEEC3">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14、安全性能：I类设备，CF型应用部分。</w:t>
      </w:r>
    </w:p>
    <w:p w14:paraId="577AA500">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四、主要配置：</w:t>
      </w:r>
    </w:p>
    <w:p w14:paraId="1718DC00">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1、主机：1台。</w:t>
      </w:r>
    </w:p>
    <w:p w14:paraId="2FBCAE2A">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2、输出盒：1个。</w:t>
      </w:r>
    </w:p>
    <w:p w14:paraId="747243A4">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3、输出盒连接电缆：2根。</w:t>
      </w:r>
    </w:p>
    <w:p w14:paraId="5E99E83B">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4、ECG连接电缆：4根。</w:t>
      </w:r>
    </w:p>
    <w:p w14:paraId="516F10CD">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5、串行连接电缆：4根。</w:t>
      </w:r>
    </w:p>
    <w:p w14:paraId="2CE45B7F">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6、电位均衡导线：2根。</w:t>
      </w:r>
    </w:p>
    <w:p w14:paraId="4F96D481">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7、输出终端：1台。</w:t>
      </w:r>
    </w:p>
    <w:p w14:paraId="686329A2">
      <w:pPr>
        <w:adjustRightInd w:val="0"/>
        <w:snapToGrid w:val="0"/>
        <w:spacing w:line="360" w:lineRule="auto"/>
        <w:jc w:val="center"/>
        <w:rPr>
          <w:rFonts w:ascii="仿宋" w:hAnsi="仿宋" w:eastAsia="仿宋" w:cs="仿宋"/>
          <w:b/>
          <w:bCs/>
          <w:color w:val="auto"/>
          <w:sz w:val="28"/>
          <w:szCs w:val="28"/>
          <w:highlight w:val="none"/>
        </w:rPr>
      </w:pPr>
    </w:p>
    <w:p w14:paraId="3F4124B6">
      <w:pPr>
        <w:adjustRightInd w:val="0"/>
        <w:snapToGrid w:val="0"/>
        <w:spacing w:line="360" w:lineRule="auto"/>
        <w:jc w:val="center"/>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包号14  品目号14-1  高频治疗机</w:t>
      </w:r>
    </w:p>
    <w:p w14:paraId="412A336F">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一、数量：1套</w:t>
      </w:r>
    </w:p>
    <w:p w14:paraId="0B03F096">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二、设备用途：用于肿瘤患者配合放化疗的辅助治疗。</w:t>
      </w:r>
    </w:p>
    <w:p w14:paraId="31315401">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三、技术要求：</w:t>
      </w:r>
    </w:p>
    <w:p w14:paraId="4C7075F7">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1、电源：AC220V±22V，50±1Hz，输入功率≤2000VA。</w:t>
      </w:r>
    </w:p>
    <w:p w14:paraId="116A6923">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▲2、工作频率：27±0.4MHz。    </w:t>
      </w:r>
    </w:p>
    <w:p w14:paraId="3A50267A">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3、输出波形：等幅连续正弦波。</w:t>
      </w:r>
    </w:p>
    <w:p w14:paraId="2FE0EA17">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4、射频源：RF波振荡源集成模块，具备电流异常检测保护系统。</w:t>
      </w:r>
    </w:p>
    <w:p w14:paraId="6281510A">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5、定时装置：1min～5h59min范围内设定。按设定时间自动停机并提醒。</w:t>
      </w:r>
    </w:p>
    <w:p w14:paraId="160EE0ED">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6、正常工作下的患者漏电流：≤0.1mA。</w:t>
      </w:r>
    </w:p>
    <w:p w14:paraId="53D793FA">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7、单一故障状态患者漏电流：≤0.5mA。</w:t>
      </w:r>
    </w:p>
    <w:p w14:paraId="1054BA49">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8、保护接地阻抗：≤0.2Ω。</w:t>
      </w:r>
    </w:p>
    <w:p w14:paraId="1D7B3B8B">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9、介质强度：治疗应用部分（输出器）与机器机身之间应能承受交流 4000V、50Hz试验电压1min 无闪烁击穿现象。</w:t>
      </w:r>
    </w:p>
    <w:p w14:paraId="1BA7FFBE">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10、具有功率伺服功能 。  </w:t>
      </w:r>
    </w:p>
    <w:p w14:paraId="170AD100">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12、具有过载保护功能。</w:t>
      </w:r>
    </w:p>
    <w:p w14:paraId="1500B097">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13、噪声：≤ 65dB。</w:t>
      </w:r>
    </w:p>
    <w:p w14:paraId="56833E30">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▲14、测温系统：6通道光纤测温，测温范围：37℃～45℃，误差≤±0.3℃；控温范围：37℃～45℃，误差≤±0.5℃。</w:t>
      </w:r>
    </w:p>
    <w:p w14:paraId="03F58D29">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15、测温系统具备超温检测报警功能。</w:t>
      </w:r>
    </w:p>
    <w:p w14:paraId="7E350993">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16、温度数据可以同时以测温曲线和热场图进行显示。</w:t>
      </w:r>
    </w:p>
    <w:p w14:paraId="53BD48A2">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17、具有温度自动控制系统，基于功率、温度自适应调节。</w:t>
      </w:r>
    </w:p>
    <w:p w14:paraId="1F984EFD">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▲18、机械臂：三维空间机械臂，机械臂左右动态位移≥950mm；高度空间位移≥130mm；转移角度≥90°。</w:t>
      </w:r>
    </w:p>
    <w:p w14:paraId="311AF51C">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19、触摸屏工业控制机；控制软件采用多点触摸操作模式。</w:t>
      </w:r>
    </w:p>
    <w:p w14:paraId="723A0BA9">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20、智能治疗平台：电动机械结构，配备辅助定位标尺；配备分布式重力传感器；配备风冷循环高导热复合床面，床面具有主动散热功能。</w:t>
      </w:r>
    </w:p>
    <w:p w14:paraId="37DE4017">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▲21、穿透深度：全透。</w:t>
      </w:r>
    </w:p>
    <w:p w14:paraId="644D8932">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▲22、可根据患者影像数据识别治疗靶区，并根据肿瘤靶区临床数据设定治疗参数。</w:t>
      </w:r>
    </w:p>
    <w:p w14:paraId="0D953103">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23、储存病历：≥10000份。</w:t>
      </w:r>
    </w:p>
    <w:p w14:paraId="2F85FE82">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24、数据输出终端：A4黑白激光打印机；标配USB2.0接口；打印分辨率≥1200×1200dpi，能清晰打印含曲线图的检查报告；标配≥250页进纸盒，支持自动双面打印。</w:t>
      </w:r>
    </w:p>
    <w:p w14:paraId="42818077">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25、设备有效使用年限：≥8年</w:t>
      </w:r>
    </w:p>
    <w:p w14:paraId="7D2A3AC1">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▲四、资质要求：具备国家药品监督管理局审批的三类医疗器械产品注册证书。设备需符合北京市医保收费。</w:t>
      </w:r>
    </w:p>
    <w:p w14:paraId="581D0309">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五、主要配置：</w:t>
      </w:r>
    </w:p>
    <w:p w14:paraId="6C0A5319">
      <w:pPr>
        <w:adjustRightInd w:val="0"/>
        <w:snapToGrid w:val="0"/>
        <w:spacing w:line="360" w:lineRule="auto"/>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1、治疗主机：1套。</w:t>
      </w:r>
    </w:p>
    <w:p w14:paraId="6322D653">
      <w:pPr>
        <w:pStyle w:val="3"/>
        <w:adjustRightInd w:val="0"/>
        <w:snapToGrid w:val="0"/>
        <w:spacing w:before="0"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2、测控温系统：1套。</w:t>
      </w:r>
    </w:p>
    <w:p w14:paraId="4A850BE3">
      <w:pPr>
        <w:pStyle w:val="3"/>
        <w:adjustRightInd w:val="0"/>
        <w:snapToGrid w:val="0"/>
        <w:spacing w:before="0" w:line="360" w:lineRule="auto"/>
        <w:rPr>
          <w:rFonts w:ascii="仿宋" w:hAnsi="仿宋" w:eastAsia="仿宋" w:cs="仿宋"/>
          <w:color w:val="auto"/>
          <w:kern w:val="0"/>
          <w:sz w:val="28"/>
          <w:szCs w:val="28"/>
          <w:highlight w:val="none"/>
        </w:rPr>
      </w:pPr>
      <w:r>
        <w:rPr>
          <w:rFonts w:hint="eastAsia" w:ascii="仿宋" w:hAnsi="仿宋" w:eastAsia="仿宋" w:cs="仿宋"/>
          <w:color w:val="auto"/>
          <w:sz w:val="28"/>
          <w:szCs w:val="28"/>
          <w:highlight w:val="none"/>
        </w:rPr>
        <w:t>3、</w:t>
      </w:r>
      <w:r>
        <w:rPr>
          <w:rFonts w:hint="eastAsia" w:ascii="仿宋" w:hAnsi="仿宋" w:eastAsia="仿宋" w:cs="仿宋"/>
          <w:color w:val="auto"/>
          <w:kern w:val="0"/>
          <w:sz w:val="28"/>
          <w:szCs w:val="28"/>
          <w:highlight w:val="none"/>
        </w:rPr>
        <w:t>三维空间机械臂：1套。</w:t>
      </w:r>
    </w:p>
    <w:p w14:paraId="6D25E638">
      <w:pPr>
        <w:pStyle w:val="3"/>
        <w:adjustRightInd w:val="0"/>
        <w:snapToGrid w:val="0"/>
        <w:spacing w:before="0" w:line="360" w:lineRule="auto"/>
        <w:rPr>
          <w:rFonts w:ascii="仿宋" w:hAnsi="仿宋" w:eastAsia="仿宋" w:cs="仿宋"/>
          <w:color w:val="auto"/>
          <w:kern w:val="0"/>
          <w:sz w:val="28"/>
          <w:szCs w:val="28"/>
          <w:highlight w:val="none"/>
        </w:rPr>
      </w:pPr>
      <w:r>
        <w:rPr>
          <w:rFonts w:hint="eastAsia" w:ascii="仿宋" w:hAnsi="仿宋" w:eastAsia="仿宋" w:cs="仿宋"/>
          <w:color w:val="auto"/>
          <w:sz w:val="28"/>
          <w:szCs w:val="28"/>
          <w:highlight w:val="none"/>
        </w:rPr>
        <w:t>4、</w:t>
      </w:r>
      <w:r>
        <w:rPr>
          <w:rFonts w:hint="eastAsia" w:ascii="仿宋" w:hAnsi="仿宋" w:eastAsia="仿宋" w:cs="仿宋"/>
          <w:color w:val="auto"/>
          <w:kern w:val="0"/>
          <w:sz w:val="28"/>
          <w:szCs w:val="28"/>
          <w:highlight w:val="none"/>
        </w:rPr>
        <w:t>智能控制台：1台。</w:t>
      </w:r>
    </w:p>
    <w:p w14:paraId="61FDDB9E">
      <w:pPr>
        <w:pStyle w:val="3"/>
        <w:adjustRightInd w:val="0"/>
        <w:snapToGrid w:val="0"/>
        <w:spacing w:before="0"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5、智能治疗床：1张。</w:t>
      </w:r>
    </w:p>
    <w:p w14:paraId="62DF1E2E">
      <w:pPr>
        <w:pStyle w:val="3"/>
        <w:adjustRightInd w:val="0"/>
        <w:snapToGrid w:val="0"/>
        <w:spacing w:before="0"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6、治疗系统：1套。</w:t>
      </w:r>
    </w:p>
    <w:p w14:paraId="2495A620">
      <w:pPr>
        <w:pStyle w:val="3"/>
        <w:adjustRightInd w:val="0"/>
        <w:snapToGrid w:val="0"/>
        <w:spacing w:before="0"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7、治疗系统软件：1 套。</w:t>
      </w:r>
    </w:p>
    <w:p w14:paraId="1C12E42E">
      <w:pPr>
        <w:pStyle w:val="3"/>
        <w:adjustRightInd w:val="0"/>
        <w:snapToGrid w:val="0"/>
        <w:spacing w:before="0"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8、热场模拟/显示系统：1套。</w:t>
      </w:r>
    </w:p>
    <w:p w14:paraId="1BC8884A">
      <w:pPr>
        <w:pStyle w:val="3"/>
        <w:adjustRightInd w:val="0"/>
        <w:snapToGrid w:val="0"/>
        <w:spacing w:before="0"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9、屏蔽体（包含屏蔽体、屏蔽门、屏蔽窗）：1套。</w:t>
      </w:r>
    </w:p>
    <w:p w14:paraId="77212E9C">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10、报告输出终端：1台。 </w:t>
      </w:r>
    </w:p>
    <w:p w14:paraId="4F060B8F">
      <w:pPr>
        <w:adjustRightInd w:val="0"/>
        <w:snapToGrid w:val="0"/>
        <w:spacing w:line="360" w:lineRule="auto"/>
        <w:jc w:val="center"/>
        <w:rPr>
          <w:rFonts w:ascii="仿宋" w:hAnsi="仿宋" w:eastAsia="仿宋" w:cs="仿宋"/>
          <w:b/>
          <w:bCs/>
          <w:color w:val="auto"/>
          <w:sz w:val="28"/>
          <w:szCs w:val="28"/>
          <w:highlight w:val="none"/>
        </w:rPr>
      </w:pPr>
    </w:p>
    <w:p w14:paraId="35F65493">
      <w:pPr>
        <w:adjustRightInd w:val="0"/>
        <w:snapToGrid w:val="0"/>
        <w:spacing w:line="360" w:lineRule="auto"/>
        <w:jc w:val="center"/>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包号14  品目号14-2  角膜内皮显微镜</w:t>
      </w:r>
    </w:p>
    <w:p w14:paraId="46176D42">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一、数量：1套</w:t>
      </w:r>
    </w:p>
    <w:p w14:paraId="0BC75F5C">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二、设备用途：用于患者做眼角膜内皮细胞显微放大检查、摄像诊断及角膜厚度测量。</w:t>
      </w:r>
    </w:p>
    <w:p w14:paraId="7AA212DA">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三、技术要求：</w:t>
      </w:r>
    </w:p>
    <w:p w14:paraId="36BA2B82">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1、拍摄方式：非接触式成像。</w:t>
      </w:r>
    </w:p>
    <w:p w14:paraId="1F23ECE0">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2、拍摄点位：≥13个角膜拍摄点位，基础标准点位≥7个（鼻、颞、上、下、中心）。</w:t>
      </w:r>
    </w:p>
    <w:p w14:paraId="40430E43">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3、屏显摄影放大率：≥150X。</w:t>
      </w:r>
    </w:p>
    <w:p w14:paraId="678705B7">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4、摄影裂隙宽度：≤0.3mm，满足角膜内皮细胞清晰成像需求。</w:t>
      </w:r>
    </w:p>
    <w:p w14:paraId="41F3347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5、闪光时间：≤1s，支持连续多幅拍摄并自动筛选最优图像。</w:t>
      </w:r>
    </w:p>
    <w:p w14:paraId="2A30A42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▲6、工作模式：全自动、半自动双模式。</w:t>
      </w:r>
    </w:p>
    <w:p w14:paraId="27164DBA">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7、全自动功能：具备自动找眼、自动对准、自动拍摄、自动分析、一键操作功能。</w:t>
      </w:r>
    </w:p>
    <w:p w14:paraId="1DB09F15">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8、图像拍摄完成后自动分析时长≤2s，完整输出全部测量参数。</w:t>
      </w:r>
    </w:p>
    <w:p w14:paraId="1BD3992F">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9、手动分析功能：可手动选定分析区域，系统依据选定区域重新计算核心测量参数。</w:t>
      </w:r>
    </w:p>
    <w:p w14:paraId="1FA86E87">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▲10、自动输出全套分析参数：细胞数量、细胞密度、细胞平均面积、细胞面积标准差、细胞面积变异系数、最大细胞面积、最小细胞面积、六边形细胞比例、中央角膜厚度。</w:t>
      </w:r>
    </w:p>
    <w:p w14:paraId="1BA4EB57">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11、统计图表：可生成细胞面积分类直方图、细胞形态分类直方图。</w:t>
      </w:r>
    </w:p>
    <w:p w14:paraId="20E52839">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12、报告输出终端：内置热敏打印机，同时支持外接各类外置打印机。</w:t>
      </w:r>
    </w:p>
    <w:p w14:paraId="1244CE5A">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13、数据接口与系统对接：配备USB接口、LAN网口；支持DICOM3.0标准协议，可对接医院HIS、PACS系统，数据可长期归档存储，无需依赖U盘传输。</w:t>
      </w:r>
    </w:p>
    <w:p w14:paraId="74AD1CA6">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14、显示屏：彩色液晶触摸显示屏≥10英寸。</w:t>
      </w:r>
    </w:p>
    <w:p w14:paraId="3030F0DC">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15、电源：AC220V，50Hz，功率≤100VA。</w:t>
      </w:r>
    </w:p>
    <w:p w14:paraId="6094F8C5">
      <w:pPr>
        <w:adjustRightInd w:val="0"/>
        <w:snapToGrid w:val="0"/>
        <w:spacing w:line="360" w:lineRule="auto"/>
        <w:rPr>
          <w:rFonts w:ascii="仿宋" w:hAnsi="仿宋" w:eastAsia="仿宋" w:cs="仿宋"/>
          <w:b/>
          <w:bCs/>
          <w:color w:val="auto"/>
          <w:sz w:val="28"/>
          <w:szCs w:val="28"/>
          <w:highlight w:val="none"/>
        </w:rPr>
      </w:pPr>
      <w:r>
        <w:rPr>
          <w:rFonts w:hint="eastAsia" w:ascii="仿宋" w:hAnsi="仿宋" w:eastAsia="仿宋" w:cs="仿宋"/>
          <w:color w:val="auto"/>
          <w:sz w:val="28"/>
          <w:szCs w:val="28"/>
          <w:highlight w:val="none"/>
        </w:rPr>
        <w:t>16、工作站：</w:t>
      </w:r>
    </w:p>
    <w:p w14:paraId="4E18770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16.1、CPU：i5或以上性能；</w:t>
      </w:r>
    </w:p>
    <w:p w14:paraId="1B9B431A">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16.2、内存：≥8G；</w:t>
      </w:r>
    </w:p>
    <w:p w14:paraId="2E6A0414">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16.3、硬盘：≥1T；</w:t>
      </w:r>
    </w:p>
    <w:p w14:paraId="342B3F9E">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16.4、显示器：≥23英寸</w:t>
      </w:r>
    </w:p>
    <w:p w14:paraId="7A346DC2">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16.5、输出终端：激光打印机。</w:t>
      </w:r>
    </w:p>
    <w:p w14:paraId="486391C1">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17、设备有效使用年限：≥8年。</w:t>
      </w:r>
    </w:p>
    <w:p w14:paraId="2EDB70B5">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四、配置：</w:t>
      </w:r>
    </w:p>
    <w:p w14:paraId="337F9031">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1、主机：1台。</w:t>
      </w:r>
    </w:p>
    <w:p w14:paraId="3FCB89BB">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2、保险管：4个。</w:t>
      </w:r>
    </w:p>
    <w:p w14:paraId="7E6FB447">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3、触摸笔：1个。</w:t>
      </w:r>
    </w:p>
    <w:p w14:paraId="1E6416D5">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4、电源线：1条。</w:t>
      </w:r>
    </w:p>
    <w:p w14:paraId="00CCB9C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5、遮光布：1个。</w:t>
      </w:r>
    </w:p>
    <w:p w14:paraId="48FFDD4F">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6、标准工作台面：1台。</w:t>
      </w:r>
    </w:p>
    <w:p w14:paraId="1ADA0D9F">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7、输出终端：1台。</w:t>
      </w:r>
    </w:p>
    <w:p w14:paraId="3A495D9C">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8、工作站：1套。</w:t>
      </w:r>
    </w:p>
    <w:p w14:paraId="2B990323">
      <w:pPr>
        <w:adjustRightInd w:val="0"/>
        <w:snapToGrid w:val="0"/>
        <w:spacing w:line="360" w:lineRule="auto"/>
        <w:jc w:val="center"/>
        <w:rPr>
          <w:rFonts w:ascii="仿宋" w:hAnsi="仿宋" w:eastAsia="仿宋" w:cs="仿宋"/>
          <w:b/>
          <w:bCs/>
          <w:color w:val="auto"/>
          <w:sz w:val="28"/>
          <w:szCs w:val="28"/>
          <w:highlight w:val="none"/>
        </w:rPr>
      </w:pPr>
    </w:p>
    <w:p w14:paraId="281A2AE9">
      <w:pPr>
        <w:adjustRightInd w:val="0"/>
        <w:snapToGrid w:val="0"/>
        <w:spacing w:line="360" w:lineRule="auto"/>
        <w:jc w:val="center"/>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包号15  品目号15-1  磁振结肠水疗机</w:t>
      </w:r>
    </w:p>
    <w:p w14:paraId="0EECF44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一、数量：2台</w:t>
      </w:r>
    </w:p>
    <w:p w14:paraId="33641425">
      <w:pPr>
        <w:widowControl/>
        <w:adjustRightInd w:val="0"/>
        <w:snapToGrid w:val="0"/>
        <w:spacing w:line="360" w:lineRule="auto"/>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二、设备用途：</w:t>
      </w:r>
      <w:r>
        <w:rPr>
          <w:rFonts w:hint="eastAsia" w:ascii="仿宋" w:hAnsi="仿宋" w:eastAsia="仿宋" w:cs="仿宋"/>
          <w:color w:val="auto"/>
          <w:kern w:val="0"/>
          <w:sz w:val="28"/>
          <w:szCs w:val="28"/>
          <w:highlight w:val="none"/>
        </w:rPr>
        <w:t>用于习惯性便秘、慢性结肠炎的治疗以及手术、肠镜检查的肠道准备</w:t>
      </w:r>
      <w:r>
        <w:rPr>
          <w:rFonts w:hint="eastAsia" w:ascii="仿宋" w:hAnsi="仿宋" w:eastAsia="仿宋" w:cs="仿宋"/>
          <w:color w:val="auto"/>
          <w:sz w:val="28"/>
          <w:szCs w:val="28"/>
          <w:highlight w:val="none"/>
        </w:rPr>
        <w:t>。</w:t>
      </w:r>
    </w:p>
    <w:p w14:paraId="2165ACCE">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三、技术要求：</w:t>
      </w:r>
    </w:p>
    <w:p w14:paraId="54A31AC0">
      <w:pPr>
        <w:widowControl/>
        <w:adjustRightInd w:val="0"/>
        <w:snapToGrid w:val="0"/>
        <w:spacing w:line="360" w:lineRule="auto"/>
        <w:jc w:val="left"/>
        <w:rPr>
          <w:rFonts w:ascii="仿宋" w:hAnsi="仿宋" w:eastAsia="仿宋" w:cs="仿宋"/>
          <w:color w:val="auto"/>
          <w:kern w:val="0"/>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kern w:val="0"/>
          <w:sz w:val="28"/>
          <w:szCs w:val="28"/>
          <w:highlight w:val="none"/>
        </w:rPr>
        <w:t>、电源：AC220±22V，50±1Hz，功率≤2000W。</w:t>
      </w:r>
    </w:p>
    <w:p w14:paraId="10460F45">
      <w:pPr>
        <w:widowControl/>
        <w:adjustRightInd w:val="0"/>
        <w:snapToGrid w:val="0"/>
        <w:spacing w:line="360" w:lineRule="auto"/>
        <w:jc w:val="left"/>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rPr>
        <w:t>2、液路系统无液体泄漏现象。</w:t>
      </w:r>
      <w:r>
        <w:rPr>
          <w:rFonts w:hint="eastAsia" w:ascii="仿宋" w:hAnsi="仿宋" w:eastAsia="仿宋" w:cs="仿宋"/>
          <w:color w:val="auto"/>
          <w:sz w:val="28"/>
          <w:szCs w:val="28"/>
          <w:highlight w:val="none"/>
        </w:rPr>
        <w:tab/>
      </w:r>
    </w:p>
    <w:p w14:paraId="6AC48389">
      <w:pPr>
        <w:widowControl/>
        <w:adjustRightInd w:val="0"/>
        <w:snapToGrid w:val="0"/>
        <w:spacing w:line="360" w:lineRule="auto"/>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3、磁振功能：</w:t>
      </w:r>
    </w:p>
    <w:p w14:paraId="0FF704D3">
      <w:pPr>
        <w:widowControl/>
        <w:adjustRightInd w:val="0"/>
        <w:snapToGrid w:val="0"/>
        <w:spacing w:line="360" w:lineRule="auto"/>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3.1、支持磁振辅助功能，阻抗范围：3-10Ω；</w:t>
      </w:r>
    </w:p>
    <w:p w14:paraId="1280D544">
      <w:pPr>
        <w:widowControl/>
        <w:adjustRightInd w:val="0"/>
        <w:snapToGrid w:val="0"/>
        <w:spacing w:line="360" w:lineRule="auto"/>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3.2、输出电压稳定（基准负载6±2Ω)，满足设备正常工作及安全标准要求（24V、12V，允差≤±2V）；</w:t>
      </w:r>
    </w:p>
    <w:p w14:paraId="73825789">
      <w:pPr>
        <w:widowControl/>
        <w:adjustRightInd w:val="0"/>
        <w:snapToGrid w:val="0"/>
        <w:spacing w:line="360" w:lineRule="auto"/>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3.3、表面磁感应强度范围：10-200mT；</w:t>
      </w:r>
    </w:p>
    <w:p w14:paraId="6A6507B2">
      <w:pPr>
        <w:widowControl/>
        <w:adjustRightInd w:val="0"/>
        <w:snapToGrid w:val="0"/>
        <w:spacing w:line="360" w:lineRule="auto"/>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3.4、磁场输出频率：50±10Hz；</w:t>
      </w:r>
    </w:p>
    <w:p w14:paraId="40E52B47">
      <w:pPr>
        <w:widowControl/>
        <w:adjustRightInd w:val="0"/>
        <w:snapToGrid w:val="0"/>
        <w:spacing w:line="360" w:lineRule="auto"/>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3.5、磁场空间安全范围：≥20cm；</w:t>
      </w:r>
    </w:p>
    <w:p w14:paraId="32BA270C">
      <w:pPr>
        <w:widowControl/>
        <w:adjustRightInd w:val="0"/>
        <w:snapToGrid w:val="0"/>
        <w:spacing w:line="360" w:lineRule="auto"/>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3.6、振动面尺寸：≥90mm；</w:t>
      </w:r>
    </w:p>
    <w:p w14:paraId="2A78D28C">
      <w:pPr>
        <w:widowControl/>
        <w:adjustRightInd w:val="0"/>
        <w:snapToGrid w:val="0"/>
        <w:spacing w:line="360" w:lineRule="auto"/>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3.7、径向振幅：≤5mm；</w:t>
      </w:r>
    </w:p>
    <w:p w14:paraId="783220DE">
      <w:pPr>
        <w:widowControl/>
        <w:adjustRightInd w:val="0"/>
        <w:snapToGrid w:val="0"/>
        <w:spacing w:line="360" w:lineRule="auto"/>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3.8、振动时间范围：1-99min 可调。</w:t>
      </w:r>
    </w:p>
    <w:p w14:paraId="3623E6F3">
      <w:pPr>
        <w:widowControl/>
        <w:adjustRightInd w:val="0"/>
        <w:snapToGrid w:val="0"/>
        <w:spacing w:line="360" w:lineRule="auto"/>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4、灌注速度：1000±100mL/min。</w:t>
      </w:r>
    </w:p>
    <w:p w14:paraId="1A5FCD53">
      <w:pPr>
        <w:widowControl/>
        <w:adjustRightInd w:val="0"/>
        <w:snapToGrid w:val="0"/>
        <w:spacing w:line="360" w:lineRule="auto"/>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5、水温控制范围：35-39℃, 温控误差≤±2℃。</w:t>
      </w:r>
    </w:p>
    <w:p w14:paraId="6854A2D8">
      <w:pPr>
        <w:widowControl/>
        <w:adjustRightInd w:val="0"/>
        <w:snapToGrid w:val="0"/>
        <w:spacing w:line="360" w:lineRule="auto"/>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6、药液加注：支持药液加注，进药量可控可调。</w:t>
      </w:r>
    </w:p>
    <w:p w14:paraId="11F8336E">
      <w:pPr>
        <w:widowControl/>
        <w:adjustRightInd w:val="0"/>
        <w:snapToGrid w:val="0"/>
        <w:spacing w:line="360" w:lineRule="auto"/>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7、恒温基准：37℃左右范围可调节；温差允差≤±2℃。</w:t>
      </w:r>
    </w:p>
    <w:p w14:paraId="79D9B935">
      <w:pPr>
        <w:widowControl/>
        <w:adjustRightInd w:val="0"/>
        <w:snapToGrid w:val="0"/>
        <w:spacing w:line="360" w:lineRule="auto"/>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8、储液容量：储液桶容量≥5L；药液杯容量≥500ml。</w:t>
      </w:r>
    </w:p>
    <w:p w14:paraId="30A31393">
      <w:pPr>
        <w:widowControl/>
        <w:adjustRightInd w:val="0"/>
        <w:snapToGrid w:val="0"/>
        <w:spacing w:line="360" w:lineRule="auto"/>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9、时间控制：</w:t>
      </w:r>
    </w:p>
    <w:p w14:paraId="7B32C8D6">
      <w:pPr>
        <w:widowControl/>
        <w:adjustRightInd w:val="0"/>
        <w:snapToGrid w:val="0"/>
        <w:spacing w:line="360" w:lineRule="auto"/>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9.1、给液时间范围：1-10s可调；</w:t>
      </w:r>
    </w:p>
    <w:p w14:paraId="664FC329">
      <w:pPr>
        <w:widowControl/>
        <w:adjustRightInd w:val="0"/>
        <w:snapToGrid w:val="0"/>
        <w:spacing w:line="360" w:lineRule="auto"/>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9.2、停液时间范围：0-20s可调；</w:t>
      </w:r>
    </w:p>
    <w:p w14:paraId="1CFEDAD5">
      <w:pPr>
        <w:widowControl/>
        <w:adjustRightInd w:val="0"/>
        <w:snapToGrid w:val="0"/>
        <w:spacing w:line="360" w:lineRule="auto"/>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9.3、可连续工作时长：≥24 小时。</w:t>
      </w:r>
    </w:p>
    <w:p w14:paraId="781DD62C">
      <w:pPr>
        <w:widowControl/>
        <w:adjustRightInd w:val="0"/>
        <w:snapToGrid w:val="0"/>
        <w:spacing w:line="360" w:lineRule="auto"/>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10、液量控制：灌水液量范围0-40000ml，允差≤±10%；灌药液量范围：0-500ml，允差≤±10%。</w:t>
      </w:r>
    </w:p>
    <w:p w14:paraId="2BAE4A0D">
      <w:pPr>
        <w:widowControl/>
        <w:adjustRightInd w:val="0"/>
        <w:snapToGrid w:val="0"/>
        <w:spacing w:line="360" w:lineRule="auto"/>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11、灌注压力：55kPa，允差≤±5kPa。</w:t>
      </w:r>
    </w:p>
    <w:p w14:paraId="585B9622">
      <w:pPr>
        <w:widowControl/>
        <w:adjustRightInd w:val="0"/>
        <w:snapToGrid w:val="0"/>
        <w:spacing w:line="360" w:lineRule="auto"/>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12、排泄压力：10±2kPa。</w:t>
      </w:r>
    </w:p>
    <w:p w14:paraId="4C9B8625">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13、操作界面：嵌入式液晶触摸屏。</w:t>
      </w:r>
    </w:p>
    <w:p w14:paraId="05761396">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14、自动清洗管路，对进水进行过滤消毒纯化处理过滤杂质。</w:t>
      </w:r>
    </w:p>
    <w:p w14:paraId="1DDA0250">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15、管路双进双出，具备独立的灌注管路和排泄管路，实现进出水分离。</w:t>
      </w:r>
    </w:p>
    <w:p w14:paraId="4F977FF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16、肠道压力实时监测、实时显示，具备压力感应装置。压力值超过设定值自动报警，停止工作。</w:t>
      </w:r>
    </w:p>
    <w:p w14:paraId="02151CD2">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17、治疗床承重≥150kg。带有排泄盆座。</w:t>
      </w:r>
    </w:p>
    <w:p w14:paraId="7EFF61F4">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18、内置排污系统和冲洗按钮开关，使用者可自行冲洗排出物。</w:t>
      </w:r>
    </w:p>
    <w:p w14:paraId="265DBA4A">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19、外置冲水水枪。</w:t>
      </w:r>
    </w:p>
    <w:p w14:paraId="74C081F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20、蠕动泵:双泵控制（具备独立的注液和排液动力控制系统）。</w:t>
      </w:r>
    </w:p>
    <w:p w14:paraId="1847062D">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21、超温超压自动断电保护。</w:t>
      </w:r>
    </w:p>
    <w:p w14:paraId="77C4A23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22、内置摄像系统。</w:t>
      </w:r>
    </w:p>
    <w:p w14:paraId="4D902F2F">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23、机器内置恒温装置，采用水电隔离式加热方式。余液不足自动停止加热。</w:t>
      </w:r>
    </w:p>
    <w:p w14:paraId="2F6F0D32">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24、外置刻度药杯，药液定量加入，可控可调。</w:t>
      </w:r>
    </w:p>
    <w:p w14:paraId="5259F8F3">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25、给液过程超流量、超时、液尽、温度过低自动停止注液。</w:t>
      </w:r>
    </w:p>
    <w:p w14:paraId="60B06E8C">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26、设备可搭配已获得医疗器械注册证的一次性使用无菌肠导管使用。</w:t>
      </w:r>
    </w:p>
    <w:p w14:paraId="6B8DDCC1">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27、设备标配隐私帘。</w:t>
      </w:r>
    </w:p>
    <w:p w14:paraId="3C5AC788">
      <w:pPr>
        <w:widowControl/>
        <w:adjustRightInd w:val="0"/>
        <w:snapToGrid w:val="0"/>
        <w:spacing w:line="360" w:lineRule="auto"/>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28、数据输出终端：A4黑白激光打印机；标配USB2.0接口；打印分辨率≥1200×1200dpi，能清晰打印含曲线图的检查报告；标配≥250页进纸盒，支持自动双面打印。</w:t>
      </w:r>
    </w:p>
    <w:p w14:paraId="01A58A25">
      <w:pPr>
        <w:widowControl/>
        <w:adjustRightInd w:val="0"/>
        <w:snapToGrid w:val="0"/>
        <w:spacing w:line="360" w:lineRule="auto"/>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29、噪音：≤65 dB。</w:t>
      </w:r>
    </w:p>
    <w:p w14:paraId="46B169D5">
      <w:pPr>
        <w:widowControl/>
        <w:adjustRightInd w:val="0"/>
        <w:snapToGrid w:val="0"/>
        <w:spacing w:line="360" w:lineRule="auto"/>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30、设备使用年限：≥8年。</w:t>
      </w:r>
    </w:p>
    <w:p w14:paraId="1F35F9A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四、主要配置：</w:t>
      </w:r>
    </w:p>
    <w:p w14:paraId="74B768D6">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1、主机：2台。</w:t>
      </w:r>
    </w:p>
    <w:p w14:paraId="3B3DCC8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2、遥控器：2个。</w:t>
      </w:r>
    </w:p>
    <w:p w14:paraId="4CDC61BC">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3、净水器：2台。</w:t>
      </w:r>
    </w:p>
    <w:p w14:paraId="3D9E4B74">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4、排污阀：2个。</w:t>
      </w:r>
    </w:p>
    <w:p w14:paraId="7CC17907">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5、连接软管：2根。</w:t>
      </w:r>
    </w:p>
    <w:p w14:paraId="254D043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6、花洒三件套：2套。</w:t>
      </w:r>
    </w:p>
    <w:p w14:paraId="16A7A9CB">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7、防爆软管：2根。 </w:t>
      </w:r>
    </w:p>
    <w:p w14:paraId="3929953B">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8、排污管：2根。</w:t>
      </w:r>
    </w:p>
    <w:p w14:paraId="0B4ED307">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9、电源线：2根。</w:t>
      </w:r>
    </w:p>
    <w:p w14:paraId="6A0257CE">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10、靠背：2个。</w:t>
      </w:r>
    </w:p>
    <w:p w14:paraId="76EF76BD">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11、喉箍：4个。</w:t>
      </w:r>
    </w:p>
    <w:p w14:paraId="5BAB28FE">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12、遥控器挂件盒：2个。</w:t>
      </w:r>
    </w:p>
    <w:p w14:paraId="50508DAF">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13、配套耗材：200套（含磁振套、一次性肠镜检查裤、一次性床单）。</w:t>
      </w:r>
    </w:p>
    <w:p w14:paraId="3D58649E">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14、输出终端：2台。</w:t>
      </w:r>
    </w:p>
    <w:p w14:paraId="0318C669">
      <w:pPr>
        <w:adjustRightInd w:val="0"/>
        <w:snapToGrid w:val="0"/>
        <w:spacing w:line="360" w:lineRule="auto"/>
        <w:jc w:val="center"/>
        <w:rPr>
          <w:rFonts w:ascii="仿宋" w:hAnsi="仿宋" w:eastAsia="仿宋" w:cs="仿宋"/>
          <w:b/>
          <w:bCs/>
          <w:color w:val="auto"/>
          <w:sz w:val="28"/>
          <w:szCs w:val="28"/>
          <w:highlight w:val="none"/>
        </w:rPr>
      </w:pPr>
    </w:p>
    <w:p w14:paraId="688068C8">
      <w:pPr>
        <w:adjustRightInd w:val="0"/>
        <w:snapToGrid w:val="0"/>
        <w:spacing w:line="360" w:lineRule="auto"/>
        <w:jc w:val="center"/>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包号16  品目号16-1  皮肤色素检测仪</w:t>
      </w:r>
    </w:p>
    <w:p w14:paraId="2140BB2B">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一、数量：1台/套</w:t>
      </w:r>
    </w:p>
    <w:p w14:paraId="4B592A6D">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二、设备用途：用于对人皮肤、毛发的病变组织（脂溢性角化病、色素痣等）进行拍照和观察。</w:t>
      </w:r>
    </w:p>
    <w:p w14:paraId="36BD6E37">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三、技术要求：</w:t>
      </w:r>
    </w:p>
    <w:p w14:paraId="1C3A0CEC">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1、微观摄像机</w:t>
      </w:r>
      <w:r>
        <w:rPr>
          <w:rFonts w:hint="eastAsia" w:ascii="仿宋" w:hAnsi="仿宋" w:eastAsia="仿宋" w:cs="仿宋"/>
          <w:color w:val="auto"/>
          <w:sz w:val="28"/>
          <w:szCs w:val="28"/>
          <w:highlight w:val="none"/>
          <w:lang w:val="zh-CN"/>
        </w:rPr>
        <w:t>成像分辨率：≥</w:t>
      </w:r>
      <w:r>
        <w:rPr>
          <w:rFonts w:hint="eastAsia" w:ascii="仿宋" w:hAnsi="仿宋" w:eastAsia="仿宋" w:cs="仿宋"/>
          <w:color w:val="auto"/>
          <w:sz w:val="28"/>
          <w:szCs w:val="28"/>
          <w:highlight w:val="none"/>
        </w:rPr>
        <w:t>2592x1944</w:t>
      </w:r>
      <w:r>
        <w:rPr>
          <w:rFonts w:hint="eastAsia" w:ascii="仿宋" w:hAnsi="仿宋" w:eastAsia="仿宋" w:cs="仿宋"/>
          <w:color w:val="auto"/>
          <w:sz w:val="28"/>
          <w:szCs w:val="28"/>
          <w:highlight w:val="none"/>
          <w:lang w:val="zh-CN"/>
        </w:rPr>
        <w:t>，像素≥</w:t>
      </w:r>
      <w:r>
        <w:rPr>
          <w:rFonts w:hint="eastAsia" w:ascii="仿宋" w:hAnsi="仿宋" w:eastAsia="仿宋" w:cs="仿宋"/>
          <w:color w:val="auto"/>
          <w:sz w:val="28"/>
          <w:szCs w:val="28"/>
          <w:highlight w:val="none"/>
        </w:rPr>
        <w:t>500</w:t>
      </w:r>
      <w:r>
        <w:rPr>
          <w:rFonts w:hint="eastAsia" w:ascii="仿宋" w:hAnsi="仿宋" w:eastAsia="仿宋" w:cs="仿宋"/>
          <w:color w:val="auto"/>
          <w:sz w:val="28"/>
          <w:szCs w:val="28"/>
          <w:highlight w:val="none"/>
          <w:lang w:val="zh-CN"/>
        </w:rPr>
        <w:t>万</w:t>
      </w:r>
      <w:r>
        <w:rPr>
          <w:rFonts w:hint="eastAsia" w:ascii="仿宋" w:hAnsi="仿宋" w:eastAsia="仿宋" w:cs="仿宋"/>
          <w:color w:val="auto"/>
          <w:sz w:val="28"/>
          <w:szCs w:val="28"/>
          <w:highlight w:val="none"/>
        </w:rPr>
        <w:t>。</w:t>
      </w:r>
    </w:p>
    <w:p w14:paraId="7A0E8482">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▲2、支持非偏振、偏振、浸润模式，偏振光角度范围0-90°可调。</w:t>
      </w:r>
    </w:p>
    <w:p w14:paraId="19FE7A12">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3、放大倍率：20-50×、200×；具有变倍和倍率锁定功能，变倍时无需更换镜头。</w:t>
      </w:r>
    </w:p>
    <w:p w14:paraId="529DCE5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▲4、一次性隔离垫：隔离垫通过生物相容性检测。</w:t>
      </w:r>
    </w:p>
    <w:p w14:paraId="0B01DC97">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5、具有实时显示、采集、图像对比、皮肤分析、毛发分析、病历管理、报告打印等功能。</w:t>
      </w:r>
    </w:p>
    <w:p w14:paraId="61783F6E">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6、显示：具有图像高清实时动态显示、高清冻结观察功能。</w:t>
      </w:r>
    </w:p>
    <w:p w14:paraId="5D26501A">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7、图像处理：具有图像亮度对比度调节、标注、测量、增强滤波等图像处理功能。</w:t>
      </w:r>
    </w:p>
    <w:p w14:paraId="21DBD9ED">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8、专业分析模块：三分法、七分法、模式法、ABCD法、Menzies分析法等分析模块，支持对黑素瘤、色素痣、血管、鳞屑类皮损等病变的分析。</w:t>
      </w:r>
    </w:p>
    <w:p w14:paraId="0A4422D5">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9、风险提示：分析结果具有多种颜色风险提示功能。</w:t>
      </w:r>
    </w:p>
    <w:p w14:paraId="72F8EEA9">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10、具有银屑病PASI评分和白癜风VETFa、VASI、VIDA评分功能。</w:t>
      </w:r>
    </w:p>
    <w:p w14:paraId="52E8CCD1">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11、支持图像3D展示功能。</w:t>
      </w:r>
    </w:p>
    <w:p w14:paraId="48065ED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12、具有终毛、中毛、毳毛分类自动识别和自动分析功能。</w:t>
      </w:r>
    </w:p>
    <w:p w14:paraId="3771540B">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13、自动计算毛发总量、密度，终毛、中毛、毳毛数量和百分比。</w:t>
      </w:r>
    </w:p>
    <w:p w14:paraId="11B2001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14、自动计算视野内的毛发平均直径。</w:t>
      </w:r>
    </w:p>
    <w:p w14:paraId="74BA40E1">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15、具有单根毛发长度和直径测量功能，测量数据自动植入报告单。</w:t>
      </w:r>
    </w:p>
    <w:p w14:paraId="2857DF5E">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16、毛发分析数据以饼图、柱状图方式展现，并自动植入报告单。</w:t>
      </w:r>
    </w:p>
    <w:p w14:paraId="4E20D4B7">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17、具有单根毛囊、两根毛囊及三根以上毛囊计数和分析功能。</w:t>
      </w:r>
    </w:p>
    <w:p w14:paraId="5C8D59D4">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▲18、支持同一位置不同时期检查的宏观、微观图像对比分析功能。</w:t>
      </w:r>
    </w:p>
    <w:p w14:paraId="35BC02B1">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19、具有不同时期检查数据的趋势分析功能，可以生成趋势分析报告。</w:t>
      </w:r>
    </w:p>
    <w:p w14:paraId="08C010A1">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20、自定义模板：图谱、病例库可自定义添加，典型病例可制作为标准模板。</w:t>
      </w:r>
    </w:p>
    <w:p w14:paraId="4B4A992D">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21、报告格式：具有多种毛发专用报告格式，并可根据临床需要进行编辑和修改。</w:t>
      </w:r>
    </w:p>
    <w:p w14:paraId="07E31F07">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22、病例管理：具有病例存档、查询和关键字搜索等病例管理功能。 </w:t>
      </w:r>
    </w:p>
    <w:p w14:paraId="2F2A148E">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23、扩展功能：可连接医院综合管理系统，实现资源共享和远程会诊。</w:t>
      </w:r>
    </w:p>
    <w:p w14:paraId="7C634A39">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24、偏振光探头：像数≥500万。</w:t>
      </w:r>
    </w:p>
    <w:p w14:paraId="0823673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25、图文工作站：</w:t>
      </w:r>
    </w:p>
    <w:p w14:paraId="513B823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25.1、CPU：i7同等或以上性能；</w:t>
      </w:r>
    </w:p>
    <w:p w14:paraId="72FF84FE">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25.2、内存：≥8G×2；</w:t>
      </w:r>
    </w:p>
    <w:p w14:paraId="4F9DFEA1">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25.3、硬盘：≥2T；</w:t>
      </w:r>
    </w:p>
    <w:p w14:paraId="7B3E5827">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25.4、图像显示器：液晶显示器≥23英寸，分辨率≥1280×1024；</w:t>
      </w:r>
    </w:p>
    <w:p w14:paraId="21C8BF10">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25.5、数据输出终端：A4黑白激光打印机；标配USB2.0接口；打印分辨率≥1200×1200dpi，能清晰打印含曲线图的检查报告；标配≥250页进纸盒，支持自动双面打印。</w:t>
      </w:r>
    </w:p>
    <w:p w14:paraId="2D569C0F">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26、设备使用年限：≥10年。</w:t>
      </w:r>
    </w:p>
    <w:p w14:paraId="6EADBDB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四、主要配置：</w:t>
      </w:r>
    </w:p>
    <w:p w14:paraId="1A54269F">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1、医用操作台：1台。</w:t>
      </w:r>
    </w:p>
    <w:p w14:paraId="295A4F1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2、主机：1台。</w:t>
      </w:r>
    </w:p>
    <w:p w14:paraId="08992171">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3、手持显微探头：1台。</w:t>
      </w:r>
    </w:p>
    <w:p w14:paraId="75A497BB">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4、输出终端：1台。</w:t>
      </w:r>
    </w:p>
    <w:p w14:paraId="465DDD2A">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5、电子皮肤镜软件：1套。</w:t>
      </w:r>
    </w:p>
    <w:p w14:paraId="19FA7465">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6、图文工作站：1 套。</w:t>
      </w:r>
    </w:p>
    <w:p w14:paraId="384FFBE4">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7、一次性隔离垫：1盒。</w:t>
      </w:r>
    </w:p>
    <w:p w14:paraId="6F7F3251">
      <w:pPr>
        <w:adjustRightInd w:val="0"/>
        <w:snapToGrid w:val="0"/>
        <w:spacing w:line="360" w:lineRule="auto"/>
        <w:jc w:val="center"/>
        <w:rPr>
          <w:rFonts w:ascii="仿宋" w:hAnsi="仿宋" w:eastAsia="仿宋" w:cs="仿宋"/>
          <w:b/>
          <w:bCs/>
          <w:color w:val="auto"/>
          <w:sz w:val="28"/>
          <w:szCs w:val="28"/>
          <w:highlight w:val="none"/>
        </w:rPr>
      </w:pPr>
    </w:p>
    <w:p w14:paraId="7DBA3B1E">
      <w:pPr>
        <w:adjustRightInd w:val="0"/>
        <w:snapToGrid w:val="0"/>
        <w:spacing w:line="360" w:lineRule="auto"/>
        <w:jc w:val="center"/>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包号17  品目号17-1  宫腔镜冷刀系统</w:t>
      </w:r>
    </w:p>
    <w:p w14:paraId="6C7AEB1A">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一、数量：1套</w:t>
      </w:r>
    </w:p>
    <w:p w14:paraId="429A325E">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二、设备用途：用于子宫内疾病治疗、宫腔整复。可实现宫腔内异常病变组织清除等。</w:t>
      </w:r>
    </w:p>
    <w:p w14:paraId="308B059C">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三、技术要求：</w:t>
      </w:r>
    </w:p>
    <w:p w14:paraId="6062F3C2">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（一）、内窥镜手术动力系统（刨削系统）</w:t>
      </w:r>
    </w:p>
    <w:p w14:paraId="4F2E3B42">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1、主机具有触摸屏，通过电动手柄连接控制刀头，手柄和多功能脚踏都可连接于主机前面。</w:t>
      </w:r>
    </w:p>
    <w:p w14:paraId="3BA42E64">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2、主机开关和脚踏开关都可实现顺时针、逆时针、往复式切割模式切换。</w:t>
      </w:r>
    </w:p>
    <w:p w14:paraId="24947CE2">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3、可通过主机调节转速，控制刀头的切割速度；调节范围：正转、反转≥1000-12000转/分钟，往返转≥500-7500转/分钟。</w:t>
      </w:r>
    </w:p>
    <w:p w14:paraId="6F87B9AC">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▲4、主机带有自动控制吸引装置，可控制切割和吸引同步进行。 </w:t>
      </w:r>
    </w:p>
    <w:p w14:paraId="44EAF7F1">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5、主机具有电动手柄识别功能和记忆功能，可记忆上一次参数。 </w:t>
      </w:r>
    </w:p>
    <w:p w14:paraId="0536A72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6、刨削刀头为钝性无创头端设计；直径≤4.0mm；卵圆形开口，开口外斜（开口兼顾顶部和侧方）。</w:t>
      </w:r>
    </w:p>
    <w:p w14:paraId="1CB74B67">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▲7、刀头为内、外切割刀管，切割方向可 360°旋转。 </w:t>
      </w:r>
    </w:p>
    <w:p w14:paraId="3ED465CA">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8、刀头配有便捷式锁扣装置，可360°安装。 </w:t>
      </w:r>
    </w:p>
    <w:p w14:paraId="7551D923">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（二）宫腔镜</w:t>
      </w:r>
    </w:p>
    <w:p w14:paraId="6003FCFD">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▲1、镜体为Y型设计，最大插入部外径≤8.0mm，器械通道≥4mm，有单独进水和出水通道，蓝宝石镜面。</w:t>
      </w:r>
    </w:p>
    <w:p w14:paraId="140D57B2">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2、视向角 12°，视场角≥60°，有效景深范围≥3-100mm。</w:t>
      </w:r>
    </w:p>
    <w:p w14:paraId="5EE9FCB6">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▲3、目镜系统：目镜和镜体呈45度角。</w:t>
      </w:r>
    </w:p>
    <w:p w14:paraId="5190C309">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▲4、循环灌流功能：可在手术过程中，持续灌注和冲洗。</w:t>
      </w:r>
    </w:p>
    <w:p w14:paraId="3996FFD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5、内窥镜手术动力系统和宫腔镜（冷刀系统）为同一制造商,以确保系统功能稳定。</w:t>
      </w:r>
    </w:p>
    <w:p w14:paraId="70E1D78F">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（三）、宫腔镜（冷刀系统）</w:t>
      </w:r>
      <w:r>
        <w:rPr>
          <w:rFonts w:hint="eastAsia" w:ascii="仿宋" w:hAnsi="仿宋" w:eastAsia="仿宋" w:cs="仿宋"/>
          <w:color w:val="auto"/>
          <w:sz w:val="28"/>
          <w:szCs w:val="28"/>
          <w:highlight w:val="none"/>
        </w:rPr>
        <w:tab/>
      </w:r>
      <w:r>
        <w:rPr>
          <w:rFonts w:hint="eastAsia" w:ascii="仿宋" w:hAnsi="仿宋" w:eastAsia="仿宋" w:cs="仿宋"/>
          <w:color w:val="auto"/>
          <w:sz w:val="28"/>
          <w:szCs w:val="28"/>
          <w:highlight w:val="none"/>
        </w:rPr>
        <w:tab/>
      </w:r>
    </w:p>
    <w:p w14:paraId="23177DD7">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▲1、宫腔镜（冷刀）：镜体外径≤8.0mm，视向角 12°、视场角≥60°，有效景深范围≥3-100mm。蓝宝石镜面。</w:t>
      </w:r>
    </w:p>
    <w:p w14:paraId="5743625E">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2、镜体为Z型或Y型设计，器械通道≥4mm，器械通道为独立环闭式，防漏密闭。</w:t>
      </w:r>
    </w:p>
    <w:p w14:paraId="4F219201">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3、镜体具备不带外鞘操作模式，独立循环灌流功能。外鞘可 360°旋转出水阀体，可行多种循环灌流操作。单独进水和出水通道，可在手术过程中，持续灌注和冲洗。</w:t>
      </w:r>
    </w:p>
    <w:p w14:paraId="55EB12BE">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▲4、可配合进行曼月乐宫腔内缝合。</w:t>
      </w:r>
    </w:p>
    <w:p w14:paraId="363AEFD2">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5、可配合宫腔镜器械通道使用的器械：工作外径≤4.0mm。包括剪刀、活检钳、分离钳、异物钳、电钩、电棒。（器械手柄、钳杆、钳芯可拆卸，360°可旋转手柄）。</w:t>
      </w:r>
    </w:p>
    <w:p w14:paraId="0E0F1B3E">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（四）、诊断治疗宫腔镜</w:t>
      </w:r>
    </w:p>
    <w:p w14:paraId="7494C5BA">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▲1、主体镜：最大插入外径≤4.0mm，视向角30°，视场角≥85°，光学工作距离≥40mm，有效景深范围≥3-100mm。</w:t>
      </w:r>
    </w:p>
    <w:p w14:paraId="0A72773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2、可分别配5Fr手术器械和7Fr手术器械。</w:t>
      </w:r>
    </w:p>
    <w:p w14:paraId="6454628D">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3、镜体采用蓝宝石镜头。主镜和进出水通道可360°旋转。</w:t>
      </w:r>
    </w:p>
    <w:p w14:paraId="1455B8CE">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4、手术器械：5Fr（直径1.6mm）、7Fr（直径2.0 mm），包括剪刀、活检钳、异物钳，电钩、电棒。可360°旋转操作，器械可拆卸手柄和钳杆。</w:t>
      </w:r>
    </w:p>
    <w:p w14:paraId="379F7ACC">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（五）数据输出终端：A4黑白激光打印机；标配USB2.0接口；打印分辨率≥1200×1200dpi，能清晰打印含曲线图的检查报告；标配≥250页进纸盒，支持自动双面打印。</w:t>
      </w:r>
    </w:p>
    <w:p w14:paraId="7C36B44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四、主要配置：</w:t>
      </w:r>
    </w:p>
    <w:p w14:paraId="59AF15A2">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1、内窥镜手术动力系统（刨削系统）主机：1套。</w:t>
      </w:r>
    </w:p>
    <w:p w14:paraId="2CDDBBD9">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2、脚踏控制开关：2个。</w:t>
      </w:r>
    </w:p>
    <w:p w14:paraId="517C3F0F">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3、电动手柄 （刨削手柄）：1个。</w:t>
      </w:r>
    </w:p>
    <w:p w14:paraId="268C0A60">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4、刨削刀头：1个。</w:t>
      </w:r>
    </w:p>
    <w:p w14:paraId="6576DC3D">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5、宫腔镜（包括镜体、鞘套、闭孔器）：2套。</w:t>
      </w:r>
    </w:p>
    <w:p w14:paraId="1BEC086C">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6、诊断治疗宫腔镜：2套。</w:t>
      </w:r>
    </w:p>
    <w:p w14:paraId="490BDF2A">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7、手术器械（包括剪刀、活检钳、异物钳，电钩、电棒等）：1套。</w:t>
      </w:r>
    </w:p>
    <w:p w14:paraId="677D367B">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8、手术器械（包括5Fr，7Fr手术器械）：各1套。</w:t>
      </w:r>
    </w:p>
    <w:p w14:paraId="499FFFEC">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9、电缆线：2条。</w:t>
      </w:r>
    </w:p>
    <w:p w14:paraId="1A29E883">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10、曼月乐宫腔内缝合器械（包括持针钳、推结器、冲洗器）：2套。</w:t>
      </w:r>
    </w:p>
    <w:p w14:paraId="54C9B305">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11、配备消毒盒：4个。</w:t>
      </w:r>
    </w:p>
    <w:p w14:paraId="58E5A0F4">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12、数据输出终端：1台。</w:t>
      </w:r>
    </w:p>
    <w:p w14:paraId="7C5C9E2F">
      <w:pPr>
        <w:adjustRightInd w:val="0"/>
        <w:snapToGrid w:val="0"/>
        <w:spacing w:line="360" w:lineRule="auto"/>
        <w:jc w:val="center"/>
        <w:rPr>
          <w:rFonts w:ascii="仿宋" w:hAnsi="仿宋" w:eastAsia="仿宋" w:cs="仿宋"/>
          <w:b/>
          <w:bCs/>
          <w:color w:val="auto"/>
          <w:sz w:val="28"/>
          <w:szCs w:val="28"/>
          <w:highlight w:val="none"/>
        </w:rPr>
      </w:pPr>
    </w:p>
    <w:p w14:paraId="082D6059">
      <w:pPr>
        <w:adjustRightInd w:val="0"/>
        <w:snapToGrid w:val="0"/>
        <w:spacing w:line="360" w:lineRule="auto"/>
        <w:jc w:val="center"/>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包号18  品目号18-1  心电图机</w:t>
      </w:r>
    </w:p>
    <w:p w14:paraId="4FD5DFC4">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一、心电图机一</w:t>
      </w:r>
    </w:p>
    <w:p w14:paraId="5AF64D33">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（一）、数量：18台</w:t>
      </w:r>
    </w:p>
    <w:p w14:paraId="35FC860E">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（二）、设备用途：用于患者常规心电图检查，采集12 导联心电信号，完成心电图分析、记录与报告输出。</w:t>
      </w:r>
    </w:p>
    <w:p w14:paraId="33AF8979">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（三）、技术要求：</w:t>
      </w:r>
    </w:p>
    <w:p w14:paraId="7039BE3F">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1、ECG输入通道：标准12导联心电信号同步采集。</w:t>
      </w:r>
    </w:p>
    <w:p w14:paraId="7244682D">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2、导联选择：手动/自动可选，标准12导联。</w:t>
      </w:r>
    </w:p>
    <w:p w14:paraId="455D78C3">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3、输入阻抗：≥100 MΩ。</w:t>
      </w:r>
    </w:p>
    <w:p w14:paraId="2DEEB8C4">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4、频率响应范围：0.05-150 Hz，提供交流滤波器、基线漂移滤波器、肌电滤波器、低通滤波器等滤波器可供选择。</w:t>
      </w:r>
    </w:p>
    <w:p w14:paraId="3A330E92">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5、定标电压：1mV±1%。</w:t>
      </w:r>
    </w:p>
    <w:p w14:paraId="53C2C8EF">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6、耐极化电压：≥±550mV。</w:t>
      </w:r>
    </w:p>
    <w:p w14:paraId="72A3671E">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7、时间常数：≥3.2s。</w:t>
      </w:r>
    </w:p>
    <w:p w14:paraId="01B7D221">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8、共模抑制比：≥100dB。</w:t>
      </w:r>
    </w:p>
    <w:p w14:paraId="0404E295">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9、A/D转换：≥18bit。</w:t>
      </w:r>
    </w:p>
    <w:p w14:paraId="4A751026">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10、采样率：≥16000Hz。</w:t>
      </w:r>
    </w:p>
    <w:p w14:paraId="07F95E1C">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▲11、起搏器检测：独立起搏通道。</w:t>
      </w:r>
    </w:p>
    <w:p w14:paraId="049C1A56">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12、灵敏度选择：5 mm/mV、10 mm/mV、20 mm/mV等分档可选。</w:t>
      </w:r>
    </w:p>
    <w:p w14:paraId="73AB17A0">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13、走速：12.5mm/s、25mm/s、50mm/s等分档可选。</w:t>
      </w:r>
    </w:p>
    <w:p w14:paraId="05B652C9">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14、心率计算范围：30-300 bpm，精度±1 bpm。</w:t>
      </w:r>
    </w:p>
    <w:p w14:paraId="3E928DA9">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15、液晶显示屏≥7.0英寸，分辨率≥800×480。</w:t>
      </w:r>
    </w:p>
    <w:p w14:paraId="17515F6B">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18、标准键盘物理按键设计，具备独立功能键按键。</w:t>
      </w:r>
    </w:p>
    <w:p w14:paraId="27C6493D">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19、具备隐藏式提手。</w:t>
      </w:r>
    </w:p>
    <w:p w14:paraId="7CF479EE">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20、内置一体化热敏式点阵打印机；并支持通过USB口外接激光打印机打印12导联的A4报告。</w:t>
      </w:r>
    </w:p>
    <w:p w14:paraId="49F69852">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21、采用交直流两用供电模式，内置可充电锂离子电池，充足后可正常工作时间≥4小时</w:t>
      </w:r>
    </w:p>
    <w:p w14:paraId="143E5B2E">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22、设备使用年限：≥10年</w:t>
      </w:r>
    </w:p>
    <w:p w14:paraId="373CC1F0">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（四）、系统功能：</w:t>
      </w:r>
    </w:p>
    <w:p w14:paraId="30E8DFF1">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1、具有信号质量指示功能。</w:t>
      </w:r>
    </w:p>
    <w:p w14:paraId="70E3EC87">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2、支持显示背景网格。</w:t>
      </w:r>
    </w:p>
    <w:p w14:paraId="72F5D7EC">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3、根据不同的临床使用场景，可提供手动、自动工作模式可选。</w:t>
      </w:r>
    </w:p>
    <w:p w14:paraId="5C6973B1">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4、支持R-R间期检测，将R-R趋势测量报告连同心电波形一并给出。</w:t>
      </w:r>
    </w:p>
    <w:p w14:paraId="548829FC">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5、自动模式下可以支持10-60s时间的采集、记录、存储、传输。</w:t>
      </w:r>
    </w:p>
    <w:p w14:paraId="06BF9CD7">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6、支持手动、自动采样模式。</w:t>
      </w:r>
    </w:p>
    <w:p w14:paraId="7FF093FB">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▲7、提供自动心律失常检测。</w:t>
      </w:r>
    </w:p>
    <w:p w14:paraId="4B6A0702">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8、具备波形冻结功能，对所需区间的波形进行更好的观察、分析、并选择所需要的时间段进行记录。</w:t>
      </w:r>
    </w:p>
    <w:p w14:paraId="3D9BB743">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9、自动分析功能：具有12导联同步自动分析功能。</w:t>
      </w:r>
    </w:p>
    <w:p w14:paraId="19D24F86">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10、提供≥4种QTc算法可供选择。</w:t>
      </w:r>
    </w:p>
    <w:p w14:paraId="3441746A">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（五）、配置：</w:t>
      </w:r>
    </w:p>
    <w:p w14:paraId="4E1BCAD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1、主机：18台。</w:t>
      </w:r>
    </w:p>
    <w:p w14:paraId="1B418D1F">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2、采集盒：18个。</w:t>
      </w:r>
    </w:p>
    <w:p w14:paraId="3CCFB122">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3、心电导联线：18套。</w:t>
      </w:r>
    </w:p>
    <w:p w14:paraId="06CB3B26">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4、胸电极：18盒（6只/盒）。</w:t>
      </w:r>
    </w:p>
    <w:p w14:paraId="3DA8D375">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5、肢电极：18盒（4只/盒）。</w:t>
      </w:r>
    </w:p>
    <w:p w14:paraId="10C50141">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6、记录纸：18本/卷。</w:t>
      </w:r>
    </w:p>
    <w:p w14:paraId="70CDD49B">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7、锂电池：18个。</w:t>
      </w:r>
    </w:p>
    <w:p w14:paraId="23622EC7">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二、心电图机二</w:t>
      </w:r>
    </w:p>
    <w:p w14:paraId="08A95480">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（一）、数量：2台套</w:t>
      </w:r>
    </w:p>
    <w:p w14:paraId="631B5B8F">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（二）、设备用途：用于患者常规心电图检查，采集 18 导联心电信号，完成心电图分析、记录与报告输出。</w:t>
      </w:r>
    </w:p>
    <w:p w14:paraId="2B946B7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（三）、技术要求：</w:t>
      </w:r>
    </w:p>
    <w:p w14:paraId="77EBB15C">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▲1、输入通道：18 导联同步采集。</w:t>
      </w:r>
    </w:p>
    <w:p w14:paraId="27FFFD4D">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2、导联选择：手动、自动，支持 Cabrera、NEHB 导联体系。</w:t>
      </w:r>
    </w:p>
    <w:p w14:paraId="22A53596">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3、输入阻抗：≥100MΩ。</w:t>
      </w:r>
    </w:p>
    <w:p w14:paraId="37058154">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4、频率响应范围：0.5-500Hz。</w:t>
      </w:r>
    </w:p>
    <w:p w14:paraId="693F3214">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5、噪声：≤20μVp-p。</w:t>
      </w:r>
    </w:p>
    <w:p w14:paraId="38711CCE">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6、耐极化电压：≥±550mV。</w:t>
      </w:r>
    </w:p>
    <w:p w14:paraId="666AE81F">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7、时间常数：≥3.2s。</w:t>
      </w:r>
    </w:p>
    <w:p w14:paraId="2E57CC92">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8、共模抑制比：≥100dB。</w:t>
      </w:r>
    </w:p>
    <w:p w14:paraId="794FD8AC">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9、除颤保护：具有抗除颤电击、导联线内附抗除颤电击保护功能。</w:t>
      </w:r>
    </w:p>
    <w:p w14:paraId="0738444F">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10、A/D 转换：≥18 位。</w:t>
      </w:r>
    </w:p>
    <w:p w14:paraId="14A14E10">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11、采样率：≥30000Hz。</w:t>
      </w:r>
    </w:p>
    <w:p w14:paraId="0B3C7A9B">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12、灵敏度选择：5mm/mV、10mm/mV、20mm/mV。</w:t>
      </w:r>
    </w:p>
    <w:p w14:paraId="2A384807">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13、测量诊断功能：具有自动测量和自动诊断功能。</w:t>
      </w:r>
    </w:p>
    <w:p w14:paraId="4C300577">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14、内置存储：可存储 ≥500 例病历数据。</w:t>
      </w:r>
    </w:p>
    <w:p w14:paraId="694E86A9">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15、数据传输与扩展：可通过 USB 口导入导出数据，支持外接 U 盘和 SD 卡扩展存储空间。</w:t>
      </w:r>
    </w:p>
    <w:p w14:paraId="0490F8D6">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16、彩色液晶屏：≥8英寸，分辨率≥800×400。</w:t>
      </w:r>
    </w:p>
    <w:p w14:paraId="48A6CB63">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17、键盘：一体化防水防尘硅胶键盘。</w:t>
      </w:r>
    </w:p>
    <w:p w14:paraId="41D55DCC">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18、显示信息：同屏显示18、15、12导心电波形，主界面显示病人 ID、姓名、性别、年龄电极状态等信息。</w:t>
      </w:r>
    </w:p>
    <w:p w14:paraId="317C23DE">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19、背景网格：可设置屏幕背景网格显示。</w:t>
      </w:r>
    </w:p>
    <w:p w14:paraId="0278BD71">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20、打印机类型：热敏式点阵打印机热敏记录。</w:t>
      </w:r>
    </w:p>
    <w:p w14:paraId="6D083798">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21、走纸速度：12.5mm/s、25mm/s、50 mm/s。 </w:t>
      </w:r>
    </w:p>
    <w:p w14:paraId="6F49AE1E">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22、记录通道：</w:t>
      </w:r>
    </w:p>
    <w:p w14:paraId="78A99507">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22.1、12 导：12×1、3×4、3×4+1R、3×4+3R、6×2、6×2+1R；</w:t>
      </w:r>
    </w:p>
    <w:p w14:paraId="1CC72F8C">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22.2、18 导：6×3+1R，6×2+6×1，12×1+6×1，6×2+6×1+2R。</w:t>
      </w:r>
    </w:p>
    <w:p w14:paraId="2077C708">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23、打印方式：实时同步或连续 18 导心电波形。</w:t>
      </w:r>
    </w:p>
    <w:p w14:paraId="2E1B4816">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24、记录内容：心电波形、分析结果以及导联名称、走纸速度、增益、滤波器、日期、中文患者信息、标记等。</w:t>
      </w:r>
    </w:p>
    <w:p w14:paraId="67A94716">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25、电源：</w:t>
      </w:r>
    </w:p>
    <w:p w14:paraId="641901B0">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25.1、交直流两用：支持交直流自动转换；</w:t>
      </w:r>
    </w:p>
    <w:p w14:paraId="2E62AFF4">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25.2、直流电源：内置可充电锂离子电池可正常工作≥3 小时；</w:t>
      </w:r>
    </w:p>
    <w:p w14:paraId="1B04F684">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25.3、交流电源：220V±10％,50±2Hz。</w:t>
      </w:r>
    </w:p>
    <w:p w14:paraId="2871D562">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26、图文工作站：</w:t>
      </w:r>
    </w:p>
    <w:p w14:paraId="3213E99E">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26.1、CPU：i7同等或以上性能；</w:t>
      </w:r>
    </w:p>
    <w:p w14:paraId="40F62425">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26.2、内存：≥8G×2；</w:t>
      </w:r>
    </w:p>
    <w:p w14:paraId="3DD57FCD">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26.3、硬盘：≥1TBSSD+2TBHDD。</w:t>
      </w:r>
    </w:p>
    <w:p w14:paraId="4294A594">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26.4、图像显示器：≥23英寸。</w:t>
      </w:r>
    </w:p>
    <w:p w14:paraId="5BA0EAE4">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26.5、数据输出终端：A4黑白激光打印机；标配USB2.0接口；打印分辨率≥1200×1200dpi，能清晰打印含曲线图的检查报告；标配≥250页进纸盒，支持自动双面打印。</w:t>
      </w:r>
    </w:p>
    <w:p w14:paraId="47601BA6">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27、设备使用年限：≥10年。</w:t>
      </w:r>
    </w:p>
    <w:p w14:paraId="4D117B95">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（四）、软件功能：</w:t>
      </w:r>
    </w:p>
    <w:p w14:paraId="32BED986">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1、电极反转提示：具备左右手电极反转检测提示功能.</w:t>
      </w:r>
    </w:p>
    <w:p w14:paraId="5EABADB7">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2、记录比较功能：可对同一病人不同时间采集的心电图进行比较。</w:t>
      </w:r>
    </w:p>
    <w:p w14:paraId="7B341C9E">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3、支持180 s的波形采集、存储、回顾、冻结和传输。</w:t>
      </w:r>
    </w:p>
    <w:p w14:paraId="193AE31F">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▲4、异常波形标记：能自动识别 QRS 波异常波形并颜色标记。</w:t>
      </w:r>
    </w:p>
    <w:p w14:paraId="0327CA59">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5、导联信号检测：可对每个导联信号质量、导联脱落等状态进行提示。</w:t>
      </w:r>
    </w:p>
    <w:p w14:paraId="288A60A5">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▲6、ST - VIEW 功能：支持查看各导联 ST 段幅值与形态，快速判断 ST 抬高/压低情况。</w:t>
      </w:r>
    </w:p>
    <w:p w14:paraId="5FAA6924">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7、外接打印：可直接外接打印机，通过 A4 纸打印 15 导心电波形和报告。</w:t>
      </w:r>
    </w:p>
    <w:p w14:paraId="27907AB2">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8、QTc 公式选择：支持≥ 4 种 QTc 公式选择。</w:t>
      </w:r>
    </w:p>
    <w:p w14:paraId="6CBFD8BA">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9、文件格式支持：支持 DAT、PDF、BMP、JPG、及选配文件格式输出。</w:t>
      </w:r>
    </w:p>
    <w:p w14:paraId="16EA3E26">
      <w:pPr>
        <w:adjustRightInd w:val="0"/>
        <w:snapToGrid w:val="0"/>
        <w:spacing w:line="360" w:lineRule="auto"/>
        <w:ind w:left="425" w:hanging="425"/>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（五）、主要配置：</w:t>
      </w:r>
    </w:p>
    <w:p w14:paraId="335F04E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1、主机：2台。</w:t>
      </w:r>
    </w:p>
    <w:p w14:paraId="5F4C0E99">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2、采集盒：2个。</w:t>
      </w:r>
    </w:p>
    <w:p w14:paraId="03D8E704">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3、心电导联线：2套。</w:t>
      </w:r>
    </w:p>
    <w:p w14:paraId="3323395B">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4、胸电极：2盒（6只/盒）。</w:t>
      </w:r>
    </w:p>
    <w:p w14:paraId="695C14AC">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5、肢电极：2盒（4只/盒）。</w:t>
      </w:r>
    </w:p>
    <w:p w14:paraId="0C9208AB">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6、记录纸：2本/卷。</w:t>
      </w:r>
    </w:p>
    <w:p w14:paraId="5963371A">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7、锂电池：2个。</w:t>
      </w:r>
    </w:p>
    <w:p w14:paraId="4E45B603">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8、图文工作站（含数据输出终端）：2套。</w:t>
      </w:r>
    </w:p>
    <w:p w14:paraId="63647B90">
      <w:pPr>
        <w:adjustRightInd w:val="0"/>
        <w:snapToGrid w:val="0"/>
        <w:spacing w:line="360" w:lineRule="auto"/>
        <w:jc w:val="center"/>
        <w:rPr>
          <w:rFonts w:ascii="仿宋" w:hAnsi="仿宋" w:eastAsia="仿宋" w:cs="仿宋"/>
          <w:b/>
          <w:bCs/>
          <w:color w:val="auto"/>
          <w:sz w:val="28"/>
          <w:szCs w:val="28"/>
          <w:highlight w:val="none"/>
        </w:rPr>
      </w:pPr>
    </w:p>
    <w:p w14:paraId="20E5216D">
      <w:pPr>
        <w:adjustRightInd w:val="0"/>
        <w:snapToGrid w:val="0"/>
        <w:spacing w:line="360" w:lineRule="auto"/>
        <w:jc w:val="center"/>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包号19  品目号19-1  靶控输注系统</w:t>
      </w:r>
    </w:p>
    <w:p w14:paraId="11400B79">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一、数量：5套</w:t>
      </w:r>
    </w:p>
    <w:p w14:paraId="6104CF43">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二、设备用途：整合输注泵，进行统一供电、通信、数据采集和监控。</w:t>
      </w:r>
    </w:p>
    <w:p w14:paraId="109020EC">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三、技术要求：</w:t>
      </w:r>
    </w:p>
    <w:p w14:paraId="044BC093">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1、具有输液给药相关信息的分析和储存功能。</w:t>
      </w:r>
    </w:p>
    <w:p w14:paraId="69277BC6">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2、输液信息采集系统设备互联。</w:t>
      </w:r>
    </w:p>
    <w:p w14:paraId="2AC459DC">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3、输液信息采集系统数据管理。</w:t>
      </w:r>
    </w:p>
    <w:p w14:paraId="49B81B39">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4、输液信息采集系统电源管理：需通过1个接口实现对系统内输注泵的供电和通讯。</w:t>
      </w:r>
    </w:p>
    <w:p w14:paraId="36F92C6E">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5、输液采集系统采用多通道设计。</w:t>
      </w:r>
    </w:p>
    <w:p w14:paraId="102A3FD2">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6、靶控泵注射模式：至少包含TCI模式、速度模式、时间模式、体重模式、梯度模式、序列模式、微量模式、首剂量和间断给药模式。</w:t>
      </w:r>
    </w:p>
    <w:p w14:paraId="3FDF162F">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7、TCI诱导方式：≥4种，包括但不限于自动诱导、定时诱导、平滑诱导和分段诱导等。</w:t>
      </w:r>
    </w:p>
    <w:p w14:paraId="6C62DA12">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8、TCI模式支持药物：丙泊酚、瑞芬太尼、苏芬太尼，支持丙泊酚小儿药代模型，支持丙泊酚新一代通用型模型。</w:t>
      </w:r>
    </w:p>
    <w:p w14:paraId="2754CBF1">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9、压力报警：阈值≥12档可调，最低75 mmHg。</w:t>
      </w:r>
    </w:p>
    <w:p w14:paraId="7B20A980">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10、速率范围：0.1-2200 ml/h, 调节步长0.01 ml/h。</w:t>
      </w:r>
    </w:p>
    <w:p w14:paraId="2F13823F">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11、注射精度：误差≤±2%。</w:t>
      </w:r>
    </w:p>
    <w:p w14:paraId="1A787059">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12、支持注射器规格：至少包含1 ml、2ml、3ml、5 ml、10 ml、20 ml、30 ml、50 ml。</w:t>
      </w:r>
    </w:p>
    <w:p w14:paraId="197AC86C">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13、彩色显示屏≥3.5英寸。</w:t>
      </w:r>
    </w:p>
    <w:p w14:paraId="166792A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14、注射器安装方式：注射器安装后，推拉盒可自动定位并固定注射器尾夹，无需手动操作。</w:t>
      </w:r>
    </w:p>
    <w:p w14:paraId="1E71EC15">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15、感控设计：泵体两侧无导轨设计。</w:t>
      </w:r>
    </w:p>
    <w:p w14:paraId="137AAC30">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16、报警及安全指标：可实现声光报警提示，显示具体报警信息。</w:t>
      </w:r>
    </w:p>
    <w:p w14:paraId="642C56A5">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四、主要配置：</w:t>
      </w:r>
    </w:p>
    <w:p w14:paraId="1404F466">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1、靶控泵：30个。</w:t>
      </w:r>
    </w:p>
    <w:p w14:paraId="1D20BB95">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2、信息采集系统：5套（可放置40个泵）。</w:t>
      </w:r>
    </w:p>
    <w:p w14:paraId="0BC90465">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3、台车：5台。</w:t>
      </w:r>
    </w:p>
    <w:p w14:paraId="39BA522F">
      <w:pPr>
        <w:adjustRightInd w:val="0"/>
        <w:snapToGrid w:val="0"/>
        <w:spacing w:line="360" w:lineRule="auto"/>
        <w:jc w:val="center"/>
        <w:rPr>
          <w:rFonts w:ascii="仿宋" w:hAnsi="仿宋" w:eastAsia="仿宋" w:cs="仿宋"/>
          <w:b/>
          <w:bCs/>
          <w:color w:val="auto"/>
          <w:sz w:val="28"/>
          <w:szCs w:val="28"/>
          <w:highlight w:val="none"/>
        </w:rPr>
      </w:pPr>
    </w:p>
    <w:p w14:paraId="3BEFB775">
      <w:pPr>
        <w:adjustRightInd w:val="0"/>
        <w:snapToGrid w:val="0"/>
        <w:spacing w:line="360" w:lineRule="auto"/>
        <w:jc w:val="center"/>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包号20  品目号20-1  点阵二氧化碳激光治疗仪</w:t>
      </w:r>
    </w:p>
    <w:p w14:paraId="765DC9EF">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一、数量：1台/套</w:t>
      </w:r>
    </w:p>
    <w:p w14:paraId="0718CC24">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二、设备用途：用于人体组织的汽化、碳化、凝固和照射。</w:t>
      </w:r>
    </w:p>
    <w:p w14:paraId="5D5C2D5C">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三、技术要求：</w:t>
      </w:r>
    </w:p>
    <w:p w14:paraId="344509AD">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1、激光器类型：二氧化碳（CO2）激光器。</w:t>
      </w:r>
    </w:p>
    <w:p w14:paraId="5790F0DC">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2、带扫描工作头，具有图形、大小、速度、打点方式等选择。</w:t>
      </w:r>
    </w:p>
    <w:p w14:paraId="6E751EE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3、激光模式：准单模。</w:t>
      </w:r>
    </w:p>
    <w:p w14:paraId="1E2F9535">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4、输出激光波长：10600nm。</w:t>
      </w:r>
    </w:p>
    <w:p w14:paraId="227BCD86">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5、激光功率：≥35W可调, 功率不稳定度≤±5%。</w:t>
      </w:r>
    </w:p>
    <w:p w14:paraId="02885B29">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6、最高频率：≥1000Hz。</w:t>
      </w:r>
    </w:p>
    <w:p w14:paraId="441DE054">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7、焦点光斑直径：≤0.1mm。</w:t>
      </w:r>
    </w:p>
    <w:p w14:paraId="4933C55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8、同光路指示：采用半导体激光，波长635±10nm，功率≤5mw。</w:t>
      </w:r>
    </w:p>
    <w:p w14:paraId="62268EBE">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9、关节臂：7关节重锤式导光关节臂。</w:t>
      </w:r>
    </w:p>
    <w:p w14:paraId="7C3EFDB0">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10、冷却系统：水冷加风冷。</w:t>
      </w:r>
    </w:p>
    <w:p w14:paraId="17975402">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11、操作和控制：≥10英寸触摸屏和微电脑控制。</w:t>
      </w:r>
    </w:p>
    <w:p w14:paraId="237E8900">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12、液晶显示：</w:t>
      </w:r>
    </w:p>
    <w:p w14:paraId="485A8849">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12.1、功率、工作方式、工作状态、参数设置；</w:t>
      </w:r>
    </w:p>
    <w:p w14:paraId="542B36B4">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12.2、单点模式：根据频率和脉冲数决定；</w:t>
      </w:r>
    </w:p>
    <w:p w14:paraId="18DE7D9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12.3、扫描模式:扫描范围20x20mm,扫描图形6个。</w:t>
      </w:r>
    </w:p>
    <w:p w14:paraId="2A8500C5">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12.4、扫描方式：有序扫描和无序扫描，扫描频率0.1ms步进。</w:t>
      </w:r>
    </w:p>
    <w:p w14:paraId="4B7B4328">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13、具有参数记忆功能。</w:t>
      </w:r>
    </w:p>
    <w:p w14:paraId="52CC3B35">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▲14、点阵光学图形扫描应具备国家药监局的注册认证。</w:t>
      </w:r>
    </w:p>
    <w:p w14:paraId="00084CC1">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15、可升级私密激光。</w:t>
      </w:r>
    </w:p>
    <w:p w14:paraId="59753C30">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16、设备使用年限：≥10年。</w:t>
      </w:r>
    </w:p>
    <w:p w14:paraId="0192E080">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四、主要配置：</w:t>
      </w:r>
    </w:p>
    <w:p w14:paraId="7ABB2E31">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1、主机：1台。</w:t>
      </w:r>
      <w:r>
        <w:rPr>
          <w:rFonts w:hint="eastAsia" w:ascii="仿宋" w:hAnsi="仿宋" w:eastAsia="仿宋" w:cs="仿宋"/>
          <w:color w:val="auto"/>
          <w:sz w:val="28"/>
          <w:szCs w:val="28"/>
          <w:highlight w:val="none"/>
        </w:rPr>
        <w:cr/>
      </w:r>
      <w:r>
        <w:rPr>
          <w:rFonts w:hint="eastAsia" w:ascii="仿宋" w:hAnsi="仿宋" w:eastAsia="仿宋" w:cs="仿宋"/>
          <w:color w:val="auto"/>
          <w:sz w:val="28"/>
          <w:szCs w:val="28"/>
          <w:highlight w:val="none"/>
        </w:rPr>
        <w:t>2、手具（含超脉冲手具、点阵手具、私密手具）：4套（8个）。</w:t>
      </w:r>
      <w:r>
        <w:rPr>
          <w:rFonts w:hint="eastAsia" w:ascii="仿宋" w:hAnsi="仿宋" w:eastAsia="仿宋" w:cs="仿宋"/>
          <w:color w:val="auto"/>
          <w:sz w:val="28"/>
          <w:szCs w:val="28"/>
          <w:highlight w:val="none"/>
        </w:rPr>
        <w:cr/>
      </w:r>
      <w:r>
        <w:rPr>
          <w:rFonts w:hint="eastAsia" w:ascii="仿宋" w:hAnsi="仿宋" w:eastAsia="仿宋" w:cs="仿宋"/>
          <w:color w:val="auto"/>
          <w:sz w:val="28"/>
          <w:szCs w:val="28"/>
          <w:highlight w:val="none"/>
        </w:rPr>
        <w:t>3、关节臂：1套(包括f=50mm,f=100mm聚焦镜）。</w:t>
      </w:r>
    </w:p>
    <w:p w14:paraId="79E807A2">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4、光学图形扫描：1套。</w:t>
      </w:r>
    </w:p>
    <w:p w14:paraId="5579C491">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5、脚踏开关：2个。</w:t>
      </w:r>
      <w:r>
        <w:rPr>
          <w:rFonts w:hint="eastAsia" w:ascii="仿宋" w:hAnsi="仿宋" w:eastAsia="仿宋" w:cs="仿宋"/>
          <w:color w:val="auto"/>
          <w:sz w:val="28"/>
          <w:szCs w:val="28"/>
          <w:highlight w:val="none"/>
        </w:rPr>
        <w:cr/>
      </w:r>
      <w:r>
        <w:rPr>
          <w:rFonts w:hint="eastAsia" w:ascii="仿宋" w:hAnsi="仿宋" w:eastAsia="仿宋" w:cs="仿宋"/>
          <w:color w:val="auto"/>
          <w:sz w:val="28"/>
          <w:szCs w:val="28"/>
          <w:highlight w:val="none"/>
        </w:rPr>
        <w:t>6、激光防护眼镜：2副。</w:t>
      </w:r>
    </w:p>
    <w:p w14:paraId="3B76CC1D">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7、保险丝：4个。</w:t>
      </w:r>
    </w:p>
    <w:p w14:paraId="57813B6B">
      <w:pPr>
        <w:adjustRightInd w:val="0"/>
        <w:snapToGrid w:val="0"/>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8、整机防尘罩：1套。</w:t>
      </w:r>
    </w:p>
    <w:p w14:paraId="13D14B45">
      <w:pPr>
        <w:adjustRightInd w:val="0"/>
        <w:snapToGrid w:val="0"/>
        <w:spacing w:line="360" w:lineRule="auto"/>
        <w:rPr>
          <w:color w:val="auto"/>
          <w:highlight w:val="none"/>
        </w:rPr>
      </w:pPr>
    </w:p>
    <w:bookmarkEnd w:id="7"/>
    <w:p w14:paraId="5F414FE9">
      <w:pPr>
        <w:adjustRightInd w:val="0"/>
        <w:snapToGrid w:val="0"/>
        <w:spacing w:line="360" w:lineRule="auto"/>
        <w:ind w:firstLine="562" w:firstLineChars="200"/>
        <w:rPr>
          <w:rFonts w:ascii="仿宋" w:hAnsi="仿宋" w:eastAsia="仿宋" w:cs="仿宋"/>
          <w:b/>
          <w:color w:val="auto"/>
          <w:sz w:val="28"/>
          <w:szCs w:val="28"/>
          <w:highlight w:val="none"/>
        </w:rPr>
      </w:pPr>
      <w:bookmarkStart w:id="8" w:name="OLE_LINK102"/>
      <w:bookmarkStart w:id="9" w:name="OLE_LINK103"/>
      <w:r>
        <w:rPr>
          <w:rFonts w:hint="eastAsia" w:ascii="仿宋" w:hAnsi="仿宋" w:eastAsia="仿宋" w:cs="仿宋"/>
          <w:b/>
          <w:color w:val="auto"/>
          <w:sz w:val="28"/>
          <w:szCs w:val="28"/>
          <w:highlight w:val="none"/>
        </w:rPr>
        <w:t>2、采购标的需满足的服务标准、期限、效率等要求</w:t>
      </w:r>
      <w:bookmarkEnd w:id="8"/>
      <w:bookmarkEnd w:id="9"/>
      <w:r>
        <w:rPr>
          <w:rFonts w:hint="eastAsia" w:ascii="仿宋" w:hAnsi="仿宋" w:eastAsia="仿宋" w:cs="仿宋"/>
          <w:b/>
          <w:color w:val="auto"/>
          <w:sz w:val="28"/>
          <w:szCs w:val="28"/>
          <w:highlight w:val="none"/>
        </w:rPr>
        <w:t>；</w:t>
      </w:r>
    </w:p>
    <w:p w14:paraId="67A3802C">
      <w:pPr>
        <w:adjustRightInd w:val="0"/>
        <w:snapToGrid w:val="0"/>
        <w:spacing w:line="360" w:lineRule="auto"/>
        <w:ind w:firstLine="490" w:firstLineChars="175"/>
        <w:rPr>
          <w:rFonts w:ascii="仿宋" w:hAnsi="仿宋" w:eastAsia="仿宋"/>
          <w:color w:val="auto"/>
          <w:sz w:val="28"/>
          <w:szCs w:val="28"/>
          <w:highlight w:val="none"/>
        </w:rPr>
      </w:pPr>
      <w:r>
        <w:rPr>
          <w:rFonts w:ascii="仿宋" w:hAnsi="仿宋" w:eastAsia="仿宋" w:cs="仿宋"/>
          <w:bCs/>
          <w:color w:val="auto"/>
          <w:sz w:val="28"/>
          <w:szCs w:val="28"/>
          <w:highlight w:val="none"/>
        </w:rPr>
        <w:t>2.1、投标人应有能力做好售后服务工作和提供技术保障。投标人或投标产品制造商应设有专业的售后服务维修机构，有充足的零件储备和能力相当的技术服务人员，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color w:val="auto"/>
          <w:sz w:val="28"/>
          <w:szCs w:val="28"/>
          <w:highlight w:val="none"/>
        </w:rPr>
        <w:t>并保证投标产品停产后10年的备件供应</w:t>
      </w:r>
      <w:r>
        <w:rPr>
          <w:rFonts w:ascii="仿宋" w:hAnsi="仿宋" w:eastAsia="仿宋"/>
          <w:bCs/>
          <w:color w:val="auto"/>
          <w:sz w:val="28"/>
          <w:szCs w:val="28"/>
          <w:highlight w:val="none"/>
        </w:rPr>
        <w:t>。</w:t>
      </w:r>
    </w:p>
    <w:p w14:paraId="067912B9">
      <w:pPr>
        <w:adjustRightInd w:val="0"/>
        <w:snapToGrid w:val="0"/>
        <w:spacing w:line="360" w:lineRule="auto"/>
        <w:ind w:firstLine="490" w:firstLineChars="175"/>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2.2、投标人应保证提供投标货物专用的软件和相应数据库资料的终身免费升级服务。</w:t>
      </w:r>
    </w:p>
    <w:p w14:paraId="6DCFE48C">
      <w:pPr>
        <w:adjustRightInd w:val="0"/>
        <w:snapToGrid w:val="0"/>
        <w:spacing w:line="360" w:lineRule="auto"/>
        <w:ind w:firstLine="562" w:firstLineChars="200"/>
        <w:rPr>
          <w:rFonts w:ascii="仿宋" w:hAnsi="仿宋" w:eastAsia="仿宋" w:cs="仿宋"/>
          <w:b/>
          <w:color w:val="auto"/>
          <w:sz w:val="28"/>
          <w:szCs w:val="28"/>
          <w:highlight w:val="none"/>
        </w:rPr>
      </w:pPr>
      <w:r>
        <w:rPr>
          <w:rFonts w:hint="eastAsia" w:ascii="仿宋" w:hAnsi="仿宋" w:eastAsia="仿宋" w:cs="仿宋"/>
          <w:b/>
          <w:color w:val="auto"/>
          <w:sz w:val="28"/>
          <w:szCs w:val="28"/>
          <w:highlight w:val="none"/>
        </w:rPr>
        <w:t>3、为落实政府采购政策需满足的要求；</w:t>
      </w:r>
    </w:p>
    <w:p w14:paraId="5B7FC88B">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503D55BC">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5C0EF3F2">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44B18546">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695299A8">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20DDA9F6">
      <w:pPr>
        <w:adjustRightInd w:val="0"/>
        <w:snapToGrid w:val="0"/>
        <w:spacing w:line="360" w:lineRule="auto"/>
        <w:ind w:firstLine="560" w:firstLineChars="200"/>
        <w:rPr>
          <w:rFonts w:ascii="仿宋" w:hAnsi="仿宋" w:eastAsia="仿宋" w:cs="仿宋"/>
          <w:bCs/>
          <w:color w:val="auto"/>
          <w:sz w:val="28"/>
          <w:szCs w:val="28"/>
          <w:highlight w:val="none"/>
        </w:rPr>
      </w:pPr>
      <w:bookmarkStart w:id="10" w:name="OLE_LINK113"/>
      <w:r>
        <w:rPr>
          <w:rFonts w:hint="eastAsia" w:ascii="仿宋" w:hAnsi="仿宋" w:eastAsia="仿宋" w:cs="仿宋"/>
          <w:bCs/>
          <w:color w:val="auto"/>
          <w:sz w:val="28"/>
          <w:szCs w:val="28"/>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11" w:name="OLE_LINK56"/>
      <w:bookmarkStart w:id="12" w:name="OLE_LINK55"/>
      <w:r>
        <w:rPr>
          <w:rFonts w:hint="eastAsia" w:ascii="仿宋" w:hAnsi="仿宋" w:eastAsia="仿宋" w:cs="仿宋"/>
          <w:b/>
          <w:bCs/>
          <w:color w:val="auto"/>
          <w:sz w:val="28"/>
          <w:szCs w:val="28"/>
          <w:highlight w:val="none"/>
        </w:rPr>
        <w:t>投标人</w:t>
      </w:r>
      <w:bookmarkEnd w:id="11"/>
      <w:bookmarkEnd w:id="12"/>
      <w:r>
        <w:rPr>
          <w:rFonts w:hint="eastAsia" w:ascii="仿宋" w:hAnsi="仿宋" w:eastAsia="仿宋" w:cs="仿宋"/>
          <w:b/>
          <w:bCs/>
          <w:color w:val="auto"/>
          <w:sz w:val="28"/>
          <w:szCs w:val="28"/>
          <w:highlight w:val="none"/>
        </w:rPr>
        <w:t>应出具招标文件要求的证明材料给予证明，否则评标时不予认可。投标人应对提交的证明材料真实性负责，</w:t>
      </w:r>
      <w:r>
        <w:rPr>
          <w:rFonts w:hint="eastAsia" w:ascii="仿宋" w:hAnsi="仿宋" w:eastAsia="仿宋" w:cs="仿宋"/>
          <w:bCs/>
          <w:color w:val="auto"/>
          <w:sz w:val="28"/>
          <w:szCs w:val="28"/>
          <w:highlight w:val="none"/>
        </w:rPr>
        <w:t>提交证明材料不真实的，应承担相应的法律责任。</w:t>
      </w:r>
      <w:bookmarkEnd w:id="10"/>
    </w:p>
    <w:p w14:paraId="72CDF35E">
      <w:pPr>
        <w:adjustRightInd w:val="0"/>
        <w:snapToGrid w:val="0"/>
        <w:spacing w:line="360" w:lineRule="auto"/>
        <w:ind w:firstLine="562" w:firstLineChars="200"/>
        <w:rPr>
          <w:rFonts w:ascii="仿宋" w:hAnsi="仿宋" w:eastAsia="仿宋" w:cs="仿宋"/>
          <w:b/>
          <w:color w:val="auto"/>
          <w:sz w:val="28"/>
          <w:szCs w:val="28"/>
          <w:highlight w:val="none"/>
        </w:rPr>
      </w:pPr>
      <w:r>
        <w:rPr>
          <w:rFonts w:hint="eastAsia" w:ascii="仿宋" w:hAnsi="仿宋" w:eastAsia="仿宋" w:cs="仿宋"/>
          <w:b/>
          <w:color w:val="auto"/>
          <w:sz w:val="28"/>
          <w:szCs w:val="28"/>
          <w:highlight w:val="none"/>
        </w:rPr>
        <w:t>4、采购标的的其他技术、服务等要求；</w:t>
      </w:r>
    </w:p>
    <w:p w14:paraId="61FE5568">
      <w:pPr>
        <w:adjustRightInd w:val="0"/>
        <w:snapToGrid w:val="0"/>
        <w:spacing w:line="360" w:lineRule="auto"/>
        <w:ind w:firstLine="492" w:firstLineChars="175"/>
        <w:rPr>
          <w:rFonts w:ascii="仿宋" w:hAnsi="仿宋" w:eastAsia="仿宋"/>
          <w:b/>
          <w:color w:val="auto"/>
          <w:sz w:val="28"/>
          <w:szCs w:val="28"/>
          <w:highlight w:val="none"/>
        </w:rPr>
      </w:pPr>
      <w:r>
        <w:rPr>
          <w:rFonts w:hint="eastAsia" w:ascii="仿宋" w:hAnsi="仿宋" w:eastAsia="仿宋"/>
          <w:b/>
          <w:color w:val="auto"/>
          <w:sz w:val="28"/>
          <w:szCs w:val="28"/>
          <w:highlight w:val="none"/>
        </w:rPr>
        <w:t>4.1对于技术规格中标注“★”号的技术参数代表实质性指标，不满足该指标项将直接导致投标被拒绝。</w:t>
      </w:r>
    </w:p>
    <w:p w14:paraId="751F6526">
      <w:pPr>
        <w:adjustRightInd w:val="0"/>
        <w:snapToGrid w:val="0"/>
        <w:spacing w:line="360" w:lineRule="auto"/>
        <w:ind w:firstLine="492" w:firstLineChars="175"/>
        <w:rPr>
          <w:rFonts w:ascii="仿宋" w:hAnsi="仿宋" w:eastAsia="仿宋"/>
          <w:b/>
          <w:color w:val="auto"/>
          <w:sz w:val="28"/>
          <w:szCs w:val="28"/>
          <w:highlight w:val="none"/>
        </w:rPr>
      </w:pPr>
      <w:r>
        <w:rPr>
          <w:rFonts w:hint="eastAsia" w:ascii="仿宋" w:hAnsi="仿宋" w:eastAsia="仿宋"/>
          <w:b/>
          <w:color w:val="auto"/>
          <w:sz w:val="28"/>
          <w:szCs w:val="28"/>
          <w:highlight w:val="none"/>
        </w:rPr>
        <w:t>4.2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w:t>
      </w:r>
    </w:p>
    <w:p w14:paraId="507851FF">
      <w:pPr>
        <w:tabs>
          <w:tab w:val="left" w:pos="420"/>
        </w:tabs>
        <w:adjustRightInd w:val="0"/>
        <w:snapToGrid w:val="0"/>
        <w:spacing w:line="360" w:lineRule="auto"/>
        <w:ind w:firstLine="492" w:firstLineChars="175"/>
        <w:rPr>
          <w:rFonts w:ascii="仿宋" w:hAnsi="仿宋" w:eastAsia="仿宋"/>
          <w:b/>
          <w:color w:val="auto"/>
          <w:sz w:val="28"/>
          <w:szCs w:val="28"/>
          <w:highlight w:val="none"/>
        </w:rPr>
      </w:pPr>
      <w:r>
        <w:rPr>
          <w:rFonts w:hint="eastAsia" w:ascii="仿宋" w:hAnsi="仿宋" w:eastAsia="仿宋"/>
          <w:b/>
          <w:color w:val="auto"/>
          <w:sz w:val="28"/>
          <w:szCs w:val="28"/>
          <w:highlight w:val="none"/>
        </w:rPr>
        <w:t>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32EE92C2">
      <w:pPr>
        <w:adjustRightInd w:val="0"/>
        <w:snapToGrid w:val="0"/>
        <w:spacing w:line="360" w:lineRule="auto"/>
        <w:ind w:firstLine="562" w:firstLineChars="200"/>
        <w:rPr>
          <w:rFonts w:ascii="仿宋" w:hAnsi="仿宋" w:eastAsia="仿宋"/>
          <w:b/>
          <w:color w:val="auto"/>
          <w:sz w:val="28"/>
          <w:szCs w:val="28"/>
          <w:highlight w:val="none"/>
        </w:rPr>
      </w:pPr>
      <w:r>
        <w:rPr>
          <w:rFonts w:hint="eastAsia" w:ascii="仿宋" w:hAnsi="仿宋" w:eastAsia="仿宋"/>
          <w:b/>
          <w:color w:val="auto"/>
          <w:sz w:val="28"/>
          <w:szCs w:val="28"/>
          <w:highlight w:val="none"/>
        </w:rPr>
        <w:t>4.3</w:t>
      </w:r>
      <w:r>
        <w:rPr>
          <w:rFonts w:hint="eastAsia" w:ascii="仿宋" w:hAnsi="仿宋" w:eastAsia="仿宋" w:cs="仿宋"/>
          <w:b/>
          <w:bCs/>
          <w:color w:val="auto"/>
          <w:sz w:val="28"/>
          <w:szCs w:val="28"/>
          <w:highlight w:val="none"/>
        </w:rPr>
        <w:t>供货及安装要求</w:t>
      </w:r>
      <w:r>
        <w:rPr>
          <w:rFonts w:hint="eastAsia" w:ascii="仿宋" w:hAnsi="仿宋" w:eastAsia="仿宋" w:cs="仿宋"/>
          <w:b/>
          <w:bCs/>
          <w:color w:val="auto"/>
          <w:sz w:val="28"/>
          <w:szCs w:val="28"/>
          <w:highlight w:val="none"/>
        </w:rPr>
        <w:tab/>
      </w:r>
    </w:p>
    <w:p w14:paraId="0580DE44">
      <w:pPr>
        <w:adjustRightInd w:val="0"/>
        <w:snapToGrid w:val="0"/>
        <w:spacing w:line="360" w:lineRule="auto"/>
        <w:ind w:firstLine="560" w:firstLineChars="200"/>
        <w:rPr>
          <w:rFonts w:ascii="仿宋" w:hAnsi="仿宋" w:eastAsia="仿宋" w:cs="仿宋"/>
          <w:bCs/>
          <w:color w:val="auto"/>
          <w:sz w:val="28"/>
          <w:szCs w:val="28"/>
          <w:highlight w:val="none"/>
        </w:rPr>
      </w:pPr>
      <w:bookmarkStart w:id="13" w:name="OLE_LINK203"/>
      <w:bookmarkStart w:id="14" w:name="OLE_LINK202"/>
      <w:r>
        <w:rPr>
          <w:rFonts w:hint="eastAsia" w:ascii="仿宋" w:hAnsi="仿宋" w:eastAsia="仿宋" w:cs="仿宋"/>
          <w:bCs/>
          <w:color w:val="auto"/>
          <w:sz w:val="28"/>
          <w:szCs w:val="28"/>
          <w:highlight w:val="none"/>
        </w:rPr>
        <w:t>4.3.1、</w:t>
      </w:r>
      <w:bookmarkEnd w:id="13"/>
      <w:bookmarkEnd w:id="14"/>
      <w:r>
        <w:rPr>
          <w:rFonts w:hint="eastAsia" w:ascii="仿宋" w:hAnsi="仿宋" w:eastAsia="仿宋" w:cs="仿宋"/>
          <w:bCs/>
          <w:color w:val="auto"/>
          <w:sz w:val="28"/>
          <w:szCs w:val="28"/>
          <w:highlight w:val="none"/>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3BDB9C9D">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4.3.2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7313F891">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4.3.3、投标人所提供的部件之间及设备之间的连线或接插件均视为设备内部部件，应包含在相应的配置中。</w:t>
      </w:r>
    </w:p>
    <w:p w14:paraId="6033C218">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4.3.4、工作条件：除了在技术规格中另有规定外，投标人提供的一切仪器、设备和系统，应符合下列条件：</w:t>
      </w:r>
    </w:p>
    <w:p w14:paraId="3CA9F074">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1）仪器设备的插头要符合中国电工标准。如不符合，则应提供适合仪器插头的插座，必须要有接地。</w:t>
      </w:r>
    </w:p>
    <w:p w14:paraId="5E7A74E5">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2）如果仪器设备需特殊的工作条件（如：水、电源、磁场强度、特殊温度、湿度、震动强度等），投标人应在有关投标文件中加以说明。</w:t>
      </w:r>
    </w:p>
    <w:p w14:paraId="1AE35E78">
      <w:pPr>
        <w:widowControl/>
        <w:adjustRightInd w:val="0"/>
        <w:snapToGrid w:val="0"/>
        <w:spacing w:line="360" w:lineRule="auto"/>
        <w:ind w:firstLine="560" w:firstLineChars="200"/>
        <w:jc w:val="left"/>
        <w:rPr>
          <w:rFonts w:ascii="仿宋" w:hAnsi="仿宋" w:eastAsia="仿宋"/>
          <w:color w:val="auto"/>
          <w:sz w:val="28"/>
          <w:szCs w:val="28"/>
          <w:highlight w:val="none"/>
        </w:rPr>
      </w:pPr>
      <w:r>
        <w:rPr>
          <w:rFonts w:hint="eastAsia" w:ascii="仿宋" w:hAnsi="仿宋" w:eastAsia="仿宋"/>
          <w:color w:val="auto"/>
          <w:sz w:val="28"/>
          <w:szCs w:val="28"/>
          <w:highlight w:val="none"/>
        </w:rPr>
        <w:t>4.4培训要求：培训是指涉及产品基本原理、安装、调试、操作使用和保养维修等有关内容的学习。投标人应保证在采购人指定交货地点对每包（品目）最终用户设备操作人员以及维护人员提供不少于1天的免费培训。投标人投标时应提供详细的培训方案（</w:t>
      </w:r>
      <w:r>
        <w:rPr>
          <w:rFonts w:hint="eastAsia" w:ascii="仿宋" w:hAnsi="仿宋" w:eastAsia="仿宋"/>
          <w:b/>
          <w:color w:val="auto"/>
          <w:sz w:val="28"/>
          <w:szCs w:val="28"/>
          <w:highlight w:val="none"/>
        </w:rPr>
        <w:t>应包括对培训内容、培训对象、培训时间做出计划，包括培训时间、地点、人次、方式、预计培训结果等</w:t>
      </w:r>
      <w:r>
        <w:rPr>
          <w:rFonts w:hint="eastAsia" w:ascii="仿宋" w:hAnsi="仿宋" w:eastAsia="仿宋"/>
          <w:color w:val="auto"/>
          <w:sz w:val="28"/>
          <w:szCs w:val="28"/>
          <w:highlight w:val="none"/>
        </w:rPr>
        <w:t>）。培训教员的差旅费、食宿费、培训教材等费用，应计入投标报价。</w:t>
      </w:r>
    </w:p>
    <w:p w14:paraId="1FABDCF0">
      <w:pPr>
        <w:adjustRightInd w:val="0"/>
        <w:snapToGrid w:val="0"/>
        <w:spacing w:line="360" w:lineRule="auto"/>
        <w:ind w:firstLine="562" w:firstLineChars="200"/>
        <w:jc w:val="left"/>
        <w:rPr>
          <w:rFonts w:ascii="仿宋" w:hAnsi="仿宋" w:eastAsia="仿宋" w:cs="仿宋"/>
          <w:b/>
          <w:color w:val="auto"/>
          <w:sz w:val="28"/>
          <w:szCs w:val="28"/>
          <w:highlight w:val="none"/>
        </w:rPr>
      </w:pPr>
      <w:r>
        <w:rPr>
          <w:rFonts w:hint="eastAsia" w:ascii="仿宋" w:hAnsi="仿宋" w:eastAsia="仿宋" w:cs="仿宋"/>
          <w:b/>
          <w:color w:val="auto"/>
          <w:sz w:val="28"/>
          <w:szCs w:val="28"/>
          <w:highlight w:val="none"/>
        </w:rPr>
        <w:t>5、需由投标人提供设计方案、解决方案或者组织方案的采购项目，应当说明采购标的的功能、应用场景、目标等基本要求</w:t>
      </w:r>
    </w:p>
    <w:p w14:paraId="1F47B7A2">
      <w:pPr>
        <w:adjustRightInd w:val="0"/>
        <w:snapToGrid w:val="0"/>
        <w:spacing w:line="360" w:lineRule="auto"/>
        <w:ind w:firstLine="560" w:firstLineChars="200"/>
        <w:jc w:val="left"/>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无</w:t>
      </w:r>
    </w:p>
    <w:p w14:paraId="1D5C9087">
      <w:pPr>
        <w:adjustRightInd w:val="0"/>
        <w:snapToGrid w:val="0"/>
        <w:spacing w:line="360" w:lineRule="auto"/>
        <w:ind w:firstLine="562" w:firstLineChars="200"/>
        <w:jc w:val="left"/>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（三）验收标准</w:t>
      </w:r>
    </w:p>
    <w:p w14:paraId="03215A3F">
      <w:pPr>
        <w:tabs>
          <w:tab w:val="left" w:pos="900"/>
        </w:tabs>
        <w:adjustRightInd w:val="0"/>
        <w:snapToGrid w:val="0"/>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318FD624">
      <w:pPr>
        <w:tabs>
          <w:tab w:val="left" w:pos="900"/>
        </w:tabs>
        <w:adjustRightInd w:val="0"/>
        <w:snapToGrid w:val="0"/>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7616DFD8">
      <w:pPr>
        <w:tabs>
          <w:tab w:val="left" w:pos="900"/>
        </w:tabs>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olor w:val="auto"/>
          <w:sz w:val="28"/>
          <w:szCs w:val="28"/>
          <w:highlight w:val="none"/>
        </w:rPr>
        <w:t>3、投标人应负责使所供计量仪器通过计量部门的验收，并承担相关费用（包括运费）。若需要，应在检测期间提供备用仪器，以便不影响采购人的使用。</w:t>
      </w:r>
    </w:p>
    <w:p w14:paraId="66965E39">
      <w:pPr>
        <w:numPr>
          <w:ilvl w:val="255"/>
          <w:numId w:val="0"/>
        </w:numPr>
        <w:adjustRightInd w:val="0"/>
        <w:snapToGrid w:val="0"/>
        <w:spacing w:line="360" w:lineRule="auto"/>
        <w:ind w:firstLine="562" w:firstLineChars="200"/>
        <w:jc w:val="left"/>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（四）其他要求</w:t>
      </w:r>
    </w:p>
    <w:p w14:paraId="187D3088">
      <w:r>
        <w:rPr>
          <w:rFonts w:hint="eastAsia" w:ascii="仿宋" w:hAnsi="仿宋" w:eastAsia="仿宋" w:cs="仿宋"/>
          <w:bCs/>
          <w:color w:val="auto"/>
          <w:sz w:val="28"/>
          <w:szCs w:val="28"/>
          <w:highlight w:val="none"/>
        </w:rPr>
        <w:t>无</w:t>
      </w:r>
      <w:r>
        <w:rPr>
          <w:rFonts w:hint="eastAsia" w:ascii="仿宋" w:hAnsi="仿宋" w:eastAsia="仿宋"/>
          <w:color w:val="auto"/>
          <w:sz w:val="28"/>
          <w:szCs w:val="28"/>
          <w:highlight w:val="none"/>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7F7D54"/>
    <w:rsid w:val="417F7D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Indent"/>
    <w:basedOn w:val="1"/>
    <w:qFormat/>
    <w:uiPriority w:val="99"/>
    <w:pPr>
      <w:autoSpaceDE w:val="0"/>
      <w:autoSpaceDN w:val="0"/>
      <w:adjustRightInd w:val="0"/>
      <w:ind w:firstLine="420"/>
      <w:jc w:val="left"/>
    </w:pPr>
    <w:rPr>
      <w:rFonts w:ascii="宋体"/>
      <w:sz w:val="24"/>
    </w:rPr>
  </w:style>
  <w:style w:type="paragraph" w:styleId="3">
    <w:name w:val="Body Text"/>
    <w:basedOn w:val="1"/>
    <w:next w:val="1"/>
    <w:qFormat/>
    <w:uiPriority w:val="0"/>
    <w:pPr>
      <w:tabs>
        <w:tab w:val="left" w:pos="567"/>
      </w:tabs>
      <w:spacing w:before="120" w:line="22" w:lineRule="atLeast"/>
    </w:pPr>
    <w:rPr>
      <w:rFonts w:ascii="宋体" w:hAnsi="宋体"/>
      <w:sz w:val="24"/>
    </w:rPr>
  </w:style>
  <w:style w:type="paragraph" w:customStyle="1" w:styleId="6">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0</Words>
  <Characters>0</Characters>
  <Lines>0</Lines>
  <Paragraphs>0</Paragraphs>
  <TotalTime>0</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2026-10-22T07:03:00Z</dcterms:created>
  <dc:creator>亚希Edison</dc:creator>
  <cp:lastModifiedBy>亚希Edison</cp:lastModifiedBy>
  <dcterms:modified xsi:type="dcterms:W3CDTF">2026-10-22T07:04:38Z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BA2D9396FA2B446891EF2E53F4915EDA_11</vt:lpwstr>
  </property>
  <property fmtid="{D5CDD505-2E9C-101B-9397-08002B2CF9AE}" pid="4" name="KSOTemplateDocerSaveRecord">
    <vt:lpwstr>eyJoZGlkIjoiZGE2Mjg2YTZkZTMyMTYwY2M1OTQ5YzJlN2MyYmRjOGEiLCJ1c2VySWQiOiIyNjk3ODg1OTAifQ==</vt:lpwstr>
  </property>
</Properties>
</file>