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52A30">
      <w:pPr>
        <w:spacing w:line="360" w:lineRule="auto"/>
        <w:jc w:val="center"/>
        <w:outlineLvl w:val="0"/>
        <w:rPr>
          <w:b/>
          <w:sz w:val="36"/>
          <w:szCs w:val="36"/>
          <w:highlight w:val="none"/>
        </w:rPr>
      </w:pPr>
      <w:bookmarkStart w:id="0" w:name="_Toc99301424"/>
      <w:r>
        <w:rPr>
          <w:b/>
          <w:sz w:val="36"/>
          <w:szCs w:val="36"/>
          <w:highlight w:val="none"/>
        </w:rPr>
        <w:t>第五章   采购需求</w:t>
      </w:r>
      <w:bookmarkEnd w:id="0"/>
    </w:p>
    <w:p w14:paraId="3AEFC57F">
      <w:pPr>
        <w:pStyle w:val="4"/>
        <w:numPr>
          <w:ilvl w:val="0"/>
          <w:numId w:val="1"/>
        </w:numPr>
        <w:ind w:left="500" w:hanging="500"/>
        <w:jc w:val="left"/>
        <w:rPr>
          <w:sz w:val="24"/>
          <w:szCs w:val="24"/>
          <w:highlight w:val="none"/>
        </w:rPr>
      </w:pPr>
      <w:r>
        <w:rPr>
          <w:sz w:val="24"/>
          <w:szCs w:val="24"/>
          <w:highlight w:val="none"/>
        </w:rPr>
        <w:t>采购标的</w:t>
      </w:r>
    </w:p>
    <w:p w14:paraId="4CD04A06">
      <w:pPr>
        <w:ind w:firstLine="420" w:firstLineChars="200"/>
        <w:rPr>
          <w:highlight w:val="none"/>
        </w:rPr>
      </w:pPr>
      <w:r>
        <w:rPr>
          <w:rFonts w:hint="eastAsia"/>
          <w:highlight w:val="none"/>
        </w:rPr>
        <w:t>本次采购旨在完成茶西监狱办公区、五科市场及清河社区的物业管理服务，包含各处的保洁服、垃圾清运、及各种维修服务，本项目整体预留小微企业，不接受分包。</w:t>
      </w:r>
    </w:p>
    <w:p w14:paraId="6F2C7798">
      <w:pPr>
        <w:pStyle w:val="4"/>
        <w:numPr>
          <w:ilvl w:val="0"/>
          <w:numId w:val="1"/>
        </w:numPr>
        <w:ind w:left="500" w:hanging="500"/>
        <w:jc w:val="left"/>
        <w:rPr>
          <w:sz w:val="24"/>
          <w:szCs w:val="24"/>
          <w:highlight w:val="none"/>
        </w:rPr>
      </w:pPr>
      <w:r>
        <w:rPr>
          <w:rFonts w:hint="eastAsia"/>
          <w:sz w:val="24"/>
          <w:szCs w:val="24"/>
          <w:highlight w:val="none"/>
        </w:rPr>
        <w:t>商务要求</w:t>
      </w:r>
    </w:p>
    <w:p w14:paraId="65766ABC">
      <w:pPr>
        <w:spacing w:line="360" w:lineRule="auto"/>
        <w:contextualSpacing/>
        <w:rPr>
          <w:rFonts w:hint="eastAsia" w:ascii="宋体" w:hAnsi="宋体" w:eastAsia="宋体" w:cs="宋体"/>
          <w:b/>
          <w:bCs/>
          <w:szCs w:val="21"/>
          <w:highlight w:val="none"/>
        </w:rPr>
      </w:pPr>
      <w:r>
        <w:rPr>
          <w:rFonts w:hint="eastAsia" w:ascii="宋体" w:hAnsi="宋体" w:eastAsia="宋体" w:cs="宋体"/>
          <w:b/>
          <w:bCs/>
          <w:szCs w:val="21"/>
          <w:highlight w:val="none"/>
        </w:rPr>
        <w:t>1.交付（实施）的时间（期限）和地点（范围）</w:t>
      </w:r>
    </w:p>
    <w:p w14:paraId="192E7C01">
      <w:pPr>
        <w:rPr>
          <w:highlight w:val="none"/>
        </w:rPr>
      </w:pPr>
      <w:r>
        <w:rPr>
          <w:rFonts w:hint="eastAsia"/>
          <w:highlight w:val="none"/>
        </w:rPr>
        <w:t>服务地点：位于天津市宁河区七里海镇清河农场，包含茶西监狱办公区、五科市场及清河各社区。</w:t>
      </w:r>
    </w:p>
    <w:p w14:paraId="3D289E3D">
      <w:pPr>
        <w:rPr>
          <w:highlight w:val="none"/>
        </w:rPr>
      </w:pPr>
      <w:r>
        <w:rPr>
          <w:rFonts w:hint="eastAsia"/>
          <w:highlight w:val="none"/>
        </w:rPr>
        <w:t>茶西监狱办公区包括：警察训练营、茶西监狱本部办公区、二号院办公区、警务通勤班车场办公区、茶西备勤公寓、原茶南监狱民警备勤宿舍区。</w:t>
      </w:r>
    </w:p>
    <w:p w14:paraId="0D63A63D">
      <w:pPr>
        <w:rPr>
          <w:highlight w:val="none"/>
        </w:rPr>
      </w:pPr>
      <w:r>
        <w:rPr>
          <w:rFonts w:hint="eastAsia"/>
          <w:highlight w:val="none"/>
        </w:rPr>
        <w:t>清河社区包括五清河社区包括：五科西街社区、五科中街社区、龙井北街社区、宝园南街社区。</w:t>
      </w:r>
    </w:p>
    <w:p w14:paraId="322126DA">
      <w:pPr>
        <w:rPr>
          <w:highlight w:val="none"/>
        </w:rPr>
      </w:pPr>
      <w:r>
        <w:rPr>
          <w:highlight w:val="none"/>
        </w:rPr>
        <w:t>合同履行期限：</w:t>
      </w:r>
      <w:r>
        <w:rPr>
          <w:rFonts w:hint="eastAsia"/>
          <w:highlight w:val="none"/>
        </w:rPr>
        <w:t>12个月，合同服务起始时间以采购人书面通知中标人入场时间为准。（预计自</w:t>
      </w:r>
      <w:r>
        <w:rPr>
          <w:rFonts w:hint="eastAsia"/>
          <w:highlight w:val="none"/>
          <w:u w:val="single"/>
        </w:rPr>
        <w:t>202</w:t>
      </w:r>
      <w:r>
        <w:rPr>
          <w:rFonts w:hint="eastAsia"/>
          <w:highlight w:val="none"/>
          <w:u w:val="single"/>
          <w:lang w:val="en-US" w:eastAsia="zh-CN"/>
        </w:rPr>
        <w:t>6</w:t>
      </w:r>
      <w:r>
        <w:rPr>
          <w:rFonts w:hint="eastAsia"/>
          <w:highlight w:val="none"/>
        </w:rPr>
        <w:t>年</w:t>
      </w:r>
      <w:r>
        <w:rPr>
          <w:rFonts w:hint="eastAsia"/>
          <w:highlight w:val="none"/>
          <w:u w:val="single"/>
        </w:rPr>
        <w:t>12</w:t>
      </w:r>
      <w:r>
        <w:rPr>
          <w:rFonts w:hint="eastAsia"/>
          <w:highlight w:val="none"/>
        </w:rPr>
        <w:t xml:space="preserve">月 </w:t>
      </w:r>
      <w:r>
        <w:rPr>
          <w:rFonts w:hint="eastAsia"/>
          <w:highlight w:val="none"/>
          <w:u w:val="single"/>
        </w:rPr>
        <w:t>20</w:t>
      </w:r>
      <w:r>
        <w:rPr>
          <w:rFonts w:hint="eastAsia"/>
          <w:highlight w:val="none"/>
        </w:rPr>
        <w:t>日起至</w:t>
      </w:r>
      <w:r>
        <w:rPr>
          <w:rFonts w:hint="eastAsia"/>
          <w:highlight w:val="none"/>
          <w:u w:val="single"/>
        </w:rPr>
        <w:t>202</w:t>
      </w:r>
      <w:r>
        <w:rPr>
          <w:rFonts w:hint="eastAsia"/>
          <w:highlight w:val="none"/>
          <w:u w:val="single"/>
          <w:lang w:val="en-US" w:eastAsia="zh-CN"/>
        </w:rPr>
        <w:t>7</w:t>
      </w:r>
      <w:r>
        <w:rPr>
          <w:rFonts w:hint="eastAsia"/>
          <w:highlight w:val="none"/>
        </w:rPr>
        <w:t>年</w:t>
      </w:r>
      <w:r>
        <w:rPr>
          <w:rFonts w:hint="eastAsia"/>
          <w:highlight w:val="none"/>
          <w:u w:val="single"/>
        </w:rPr>
        <w:t>12</w:t>
      </w:r>
      <w:r>
        <w:rPr>
          <w:rFonts w:hint="eastAsia"/>
          <w:highlight w:val="none"/>
        </w:rPr>
        <w:t>月</w:t>
      </w:r>
      <w:r>
        <w:rPr>
          <w:rFonts w:hint="eastAsia"/>
          <w:highlight w:val="none"/>
          <w:u w:val="single"/>
        </w:rPr>
        <w:t>19</w:t>
      </w:r>
      <w:r>
        <w:rPr>
          <w:rFonts w:hint="eastAsia"/>
          <w:highlight w:val="none"/>
        </w:rPr>
        <w:t>日止。）</w:t>
      </w:r>
    </w:p>
    <w:p w14:paraId="408339FC">
      <w:pPr>
        <w:pStyle w:val="5"/>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2.付款条件（进度和方式）</w:t>
      </w:r>
    </w:p>
    <w:p w14:paraId="1D5D0CC1">
      <w:pPr>
        <w:rPr>
          <w:b/>
          <w:i/>
          <w:sz w:val="24"/>
          <w:highlight w:val="none"/>
        </w:rPr>
      </w:pPr>
      <w:r>
        <w:rPr>
          <w:rFonts w:hint="eastAsia"/>
          <w:highlight w:val="none"/>
        </w:rPr>
        <w:t>茶西监狱办公区、清河社区、五科市场物业服务费分别按月开票结算，中标人开具合法有效的增值税普通发票后，采购</w:t>
      </w:r>
      <w:r>
        <w:rPr>
          <w:highlight w:val="none"/>
        </w:rPr>
        <w:t>人</w:t>
      </w:r>
      <w:r>
        <w:rPr>
          <w:rFonts w:hint="eastAsia"/>
          <w:highlight w:val="none"/>
        </w:rPr>
        <w:t>以银行转账方式支付给中标人。</w:t>
      </w:r>
    </w:p>
    <w:p w14:paraId="3DA6FD9C">
      <w:pPr>
        <w:pStyle w:val="4"/>
        <w:numPr>
          <w:ilvl w:val="0"/>
          <w:numId w:val="1"/>
        </w:numPr>
        <w:ind w:left="500" w:hanging="500"/>
        <w:jc w:val="left"/>
        <w:rPr>
          <w:sz w:val="24"/>
          <w:szCs w:val="24"/>
          <w:highlight w:val="none"/>
        </w:rPr>
      </w:pPr>
      <w:r>
        <w:rPr>
          <w:sz w:val="24"/>
          <w:szCs w:val="24"/>
          <w:highlight w:val="none"/>
        </w:rPr>
        <w:t>技术要求</w:t>
      </w:r>
    </w:p>
    <w:p w14:paraId="2086B7D9">
      <w:pPr>
        <w:spacing w:line="360" w:lineRule="auto"/>
        <w:contextualSpacing/>
        <w:rPr>
          <w:rFonts w:hint="eastAsia" w:ascii="宋体" w:hAnsi="宋体" w:cs="宋体"/>
          <w:szCs w:val="21"/>
          <w:highlight w:val="none"/>
        </w:rPr>
      </w:pPr>
      <w:r>
        <w:rPr>
          <w:rFonts w:hint="eastAsia" w:ascii="宋体" w:hAnsi="宋体" w:cs="宋体"/>
          <w:szCs w:val="21"/>
          <w:highlight w:val="none"/>
        </w:rPr>
        <w:t>1. 基本要求</w:t>
      </w:r>
    </w:p>
    <w:p w14:paraId="1D6C74FB">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1.1 采购标的需实现的功能或者目标即物业服务主要内容</w:t>
      </w:r>
    </w:p>
    <w:p w14:paraId="1E6F5DF8">
      <w:pPr>
        <w:ind w:firstLine="420" w:firstLineChars="200"/>
        <w:rPr>
          <w:highlight w:val="none"/>
        </w:rPr>
      </w:pPr>
      <w:r>
        <w:rPr>
          <w:rFonts w:hint="eastAsia"/>
          <w:highlight w:val="none"/>
        </w:rPr>
        <w:t>本次采购目的旨在保障好茶西监狱办公区及清河社区正常运行，提供好保洁服务、各类日常维修、各类值守等保障工作，切实解决我单位干职及社区居民后顾之忧。</w:t>
      </w:r>
    </w:p>
    <w:p w14:paraId="7E45DE03">
      <w:pPr>
        <w:spacing w:line="360" w:lineRule="auto"/>
        <w:ind w:firstLine="420" w:firstLineChars="200"/>
        <w:contextualSpacing/>
        <w:rPr>
          <w:szCs w:val="21"/>
          <w:highlight w:val="none"/>
        </w:rPr>
      </w:pPr>
      <w:r>
        <w:rPr>
          <w:szCs w:val="21"/>
          <w:highlight w:val="none"/>
        </w:rPr>
        <w:t>1.2 需执行的国家相关标准、行业标准、地方标准或者其他标准、规范</w:t>
      </w:r>
    </w:p>
    <w:p w14:paraId="474E5FBF">
      <w:pPr>
        <w:spacing w:line="360" w:lineRule="auto"/>
        <w:ind w:firstLine="420" w:firstLineChars="200"/>
        <w:contextualSpacing/>
        <w:rPr>
          <w:szCs w:val="21"/>
          <w:highlight w:val="none"/>
        </w:rPr>
      </w:pPr>
      <w:r>
        <w:rPr>
          <w:rFonts w:hint="eastAsia"/>
          <w:szCs w:val="21"/>
          <w:highlight w:val="none"/>
        </w:rPr>
        <w:t>无。</w:t>
      </w:r>
    </w:p>
    <w:p w14:paraId="46CB89A7">
      <w:pPr>
        <w:spacing w:line="360" w:lineRule="auto"/>
        <w:contextualSpacing/>
        <w:rPr>
          <w:szCs w:val="21"/>
          <w:highlight w:val="none"/>
        </w:rPr>
      </w:pPr>
      <w:r>
        <w:rPr>
          <w:szCs w:val="21"/>
          <w:highlight w:val="none"/>
        </w:rPr>
        <w:t>2. 服务内容及要求/货物技术要求</w:t>
      </w:r>
    </w:p>
    <w:p w14:paraId="43A4FB69">
      <w:pPr>
        <w:widowControl/>
        <w:spacing w:line="360" w:lineRule="auto"/>
        <w:ind w:firstLine="420" w:firstLineChars="200"/>
        <w:contextualSpacing/>
        <w:rPr>
          <w:szCs w:val="21"/>
          <w:highlight w:val="none"/>
        </w:rPr>
      </w:pPr>
      <w:r>
        <w:rPr>
          <w:szCs w:val="21"/>
          <w:highlight w:val="none"/>
        </w:rPr>
        <w:t>2.1采购标的需满足的性能、材料、结构、外观、质量、安全、技术规格、物理特性等要求</w:t>
      </w:r>
    </w:p>
    <w:p w14:paraId="7CCD927C">
      <w:pPr>
        <w:widowControl/>
        <w:spacing w:line="360" w:lineRule="auto"/>
        <w:ind w:firstLine="480" w:firstLineChars="200"/>
        <w:contextualSpacing/>
        <w:rPr>
          <w:sz w:val="24"/>
          <w:highlight w:val="none"/>
        </w:rPr>
      </w:pPr>
      <w:r>
        <w:rPr>
          <w:rFonts w:hint="eastAsia"/>
          <w:sz w:val="24"/>
          <w:highlight w:val="none"/>
        </w:rPr>
        <w:t>无。</w:t>
      </w:r>
    </w:p>
    <w:p w14:paraId="1A2155F0">
      <w:pPr>
        <w:rPr>
          <w:rFonts w:hint="eastAsia" w:ascii="宋体" w:hAnsi="宋体" w:cs="宋体"/>
          <w:highlight w:val="none"/>
        </w:rPr>
      </w:pPr>
      <w:r>
        <w:rPr>
          <w:rFonts w:hint="eastAsia" w:ascii="宋体" w:hAnsi="宋体" w:cs="宋体"/>
          <w:highlight w:val="none"/>
        </w:rPr>
        <w:t>2.2采购标的需满足的服务标准、期限、效率等要求</w:t>
      </w:r>
    </w:p>
    <w:p w14:paraId="43C42FB2">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2.2.1、茶西监狱办公区包括：警察训练营、茶西监狱本部办公区、二号院办公区、警务通勤班车场办公区、茶西备勤公寓、原茶南监狱民警备勤宿舍区，位于天津市宁河区清河农场。建筑面积：2</w:t>
      </w:r>
      <w:r>
        <w:rPr>
          <w:rFonts w:hint="eastAsia" w:ascii="宋体" w:hAnsi="宋体" w:cs="宋体"/>
          <w:szCs w:val="21"/>
          <w:highlight w:val="none"/>
          <w:lang w:val="en-US" w:eastAsia="zh-CN"/>
        </w:rPr>
        <w:t>8128.48</w:t>
      </w:r>
      <w:r>
        <w:rPr>
          <w:rFonts w:hint="eastAsia" w:ascii="宋体" w:hAnsi="宋体" w:cs="宋体"/>
          <w:szCs w:val="21"/>
          <w:highlight w:val="none"/>
        </w:rPr>
        <w:t>㎡，绿化养护面积：31299㎡，共设置垃圾分类桶19个。</w:t>
      </w:r>
    </w:p>
    <w:tbl>
      <w:tblPr>
        <w:tblStyle w:val="6"/>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863"/>
        <w:gridCol w:w="1827"/>
        <w:gridCol w:w="3591"/>
      </w:tblGrid>
      <w:tr w14:paraId="6232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677E49D6">
            <w:pPr>
              <w:spacing w:line="480" w:lineRule="exact"/>
              <w:jc w:val="center"/>
              <w:rPr>
                <w:rFonts w:hint="eastAsia" w:ascii="宋体" w:hAnsi="宋体" w:cs="宋体"/>
                <w:szCs w:val="21"/>
                <w:highlight w:val="none"/>
              </w:rPr>
            </w:pPr>
            <w:r>
              <w:rPr>
                <w:rFonts w:hint="eastAsia" w:ascii="宋体" w:hAnsi="宋体" w:cs="宋体"/>
                <w:szCs w:val="21"/>
                <w:highlight w:val="none"/>
              </w:rPr>
              <w:t>点位</w:t>
            </w:r>
          </w:p>
        </w:tc>
        <w:tc>
          <w:tcPr>
            <w:tcW w:w="1863" w:type="dxa"/>
            <w:noWrap w:val="0"/>
            <w:vAlign w:val="top"/>
          </w:tcPr>
          <w:p w14:paraId="688D6690">
            <w:pPr>
              <w:spacing w:line="480" w:lineRule="exact"/>
              <w:jc w:val="center"/>
              <w:rPr>
                <w:rFonts w:hint="eastAsia" w:ascii="宋体" w:hAnsi="宋体" w:cs="宋体"/>
                <w:szCs w:val="21"/>
                <w:highlight w:val="none"/>
              </w:rPr>
            </w:pPr>
            <w:r>
              <w:rPr>
                <w:rFonts w:hint="eastAsia" w:ascii="宋体" w:hAnsi="宋体" w:cs="宋体"/>
                <w:szCs w:val="21"/>
                <w:highlight w:val="none"/>
              </w:rPr>
              <w:t>类别</w:t>
            </w:r>
          </w:p>
        </w:tc>
        <w:tc>
          <w:tcPr>
            <w:tcW w:w="1827" w:type="dxa"/>
            <w:noWrap w:val="0"/>
            <w:vAlign w:val="top"/>
          </w:tcPr>
          <w:p w14:paraId="5F48D48A">
            <w:pPr>
              <w:spacing w:line="480" w:lineRule="exact"/>
              <w:jc w:val="center"/>
              <w:rPr>
                <w:rFonts w:hint="eastAsia" w:ascii="宋体" w:hAnsi="宋体" w:cs="宋体"/>
                <w:szCs w:val="21"/>
                <w:highlight w:val="none"/>
              </w:rPr>
            </w:pPr>
            <w:r>
              <w:rPr>
                <w:rFonts w:hint="eastAsia" w:ascii="宋体" w:hAnsi="宋体" w:cs="宋体"/>
                <w:szCs w:val="21"/>
                <w:highlight w:val="none"/>
              </w:rPr>
              <w:t>集中点配置数量 （240L/桶）</w:t>
            </w:r>
          </w:p>
        </w:tc>
        <w:tc>
          <w:tcPr>
            <w:tcW w:w="3591" w:type="dxa"/>
            <w:noWrap w:val="0"/>
            <w:vAlign w:val="top"/>
          </w:tcPr>
          <w:p w14:paraId="70B7DE46">
            <w:pPr>
              <w:spacing w:line="480" w:lineRule="exact"/>
              <w:jc w:val="center"/>
              <w:rPr>
                <w:rFonts w:hint="eastAsia" w:ascii="宋体" w:hAnsi="宋体" w:cs="宋体"/>
                <w:szCs w:val="21"/>
                <w:highlight w:val="none"/>
              </w:rPr>
            </w:pPr>
            <w:r>
              <w:rPr>
                <w:rFonts w:hint="eastAsia" w:ascii="宋体" w:hAnsi="宋体" w:cs="宋体"/>
                <w:szCs w:val="21"/>
                <w:highlight w:val="none"/>
              </w:rPr>
              <w:t>备注</w:t>
            </w:r>
          </w:p>
        </w:tc>
      </w:tr>
      <w:tr w14:paraId="0DDE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04" w:type="dxa"/>
            <w:vMerge w:val="restart"/>
            <w:noWrap w:val="0"/>
            <w:vAlign w:val="top"/>
          </w:tcPr>
          <w:p w14:paraId="60943012">
            <w:pPr>
              <w:spacing w:line="480" w:lineRule="exact"/>
              <w:jc w:val="center"/>
              <w:rPr>
                <w:rFonts w:hint="eastAsia" w:ascii="宋体" w:hAnsi="宋体" w:cs="宋体"/>
                <w:szCs w:val="21"/>
                <w:highlight w:val="none"/>
              </w:rPr>
            </w:pPr>
          </w:p>
          <w:p w14:paraId="03CFA6AD">
            <w:pPr>
              <w:spacing w:line="480" w:lineRule="exact"/>
              <w:jc w:val="center"/>
              <w:rPr>
                <w:rFonts w:hint="eastAsia" w:ascii="宋体" w:hAnsi="宋体" w:cs="宋体"/>
                <w:szCs w:val="21"/>
                <w:highlight w:val="none"/>
              </w:rPr>
            </w:pPr>
          </w:p>
          <w:p w14:paraId="40E28308">
            <w:pPr>
              <w:spacing w:line="480" w:lineRule="exact"/>
              <w:jc w:val="center"/>
              <w:rPr>
                <w:rFonts w:hint="eastAsia" w:ascii="宋体" w:hAnsi="宋体" w:cs="宋体"/>
                <w:szCs w:val="21"/>
                <w:highlight w:val="none"/>
              </w:rPr>
            </w:pPr>
            <w:r>
              <w:rPr>
                <w:rFonts w:hint="eastAsia" w:ascii="宋体" w:hAnsi="宋体" w:cs="宋体"/>
                <w:szCs w:val="21"/>
                <w:highlight w:val="none"/>
              </w:rPr>
              <w:t>茶西监狱办公区</w:t>
            </w:r>
          </w:p>
        </w:tc>
        <w:tc>
          <w:tcPr>
            <w:tcW w:w="1863" w:type="dxa"/>
            <w:noWrap w:val="0"/>
            <w:vAlign w:val="center"/>
          </w:tcPr>
          <w:p w14:paraId="4C5AF078">
            <w:pPr>
              <w:spacing w:line="480" w:lineRule="exact"/>
              <w:rPr>
                <w:rFonts w:hint="eastAsia" w:ascii="宋体" w:hAnsi="宋体" w:cs="宋体"/>
                <w:szCs w:val="21"/>
                <w:highlight w:val="none"/>
              </w:rPr>
            </w:pPr>
            <w:r>
              <w:rPr>
                <w:rFonts w:hint="eastAsia" w:ascii="宋体" w:hAnsi="宋体" w:cs="宋体"/>
                <w:szCs w:val="21"/>
                <w:highlight w:val="none"/>
              </w:rPr>
              <w:t>可回收垃圾桶</w:t>
            </w:r>
          </w:p>
        </w:tc>
        <w:tc>
          <w:tcPr>
            <w:tcW w:w="1827" w:type="dxa"/>
            <w:noWrap w:val="0"/>
            <w:vAlign w:val="center"/>
          </w:tcPr>
          <w:p w14:paraId="7C4179CF">
            <w:pPr>
              <w:spacing w:line="480" w:lineRule="exact"/>
              <w:rPr>
                <w:rFonts w:hint="eastAsia" w:ascii="宋体" w:hAnsi="宋体" w:cs="宋体"/>
                <w:szCs w:val="21"/>
                <w:highlight w:val="none"/>
              </w:rPr>
            </w:pPr>
            <w:r>
              <w:rPr>
                <w:rFonts w:hint="eastAsia" w:ascii="宋体" w:hAnsi="宋体" w:cs="宋体"/>
                <w:szCs w:val="21"/>
                <w:highlight w:val="none"/>
              </w:rPr>
              <w:t>5个</w:t>
            </w:r>
          </w:p>
        </w:tc>
        <w:tc>
          <w:tcPr>
            <w:tcW w:w="3591" w:type="dxa"/>
            <w:noWrap w:val="0"/>
            <w:vAlign w:val="center"/>
          </w:tcPr>
          <w:p w14:paraId="7D58033D">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r w14:paraId="60C6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704" w:type="dxa"/>
            <w:vMerge w:val="continue"/>
            <w:noWrap w:val="0"/>
            <w:vAlign w:val="top"/>
          </w:tcPr>
          <w:p w14:paraId="280D6D91">
            <w:pPr>
              <w:spacing w:line="480" w:lineRule="exact"/>
              <w:jc w:val="center"/>
              <w:rPr>
                <w:rFonts w:hint="eastAsia" w:ascii="宋体" w:hAnsi="宋体" w:cs="宋体"/>
                <w:szCs w:val="21"/>
                <w:highlight w:val="none"/>
              </w:rPr>
            </w:pPr>
          </w:p>
        </w:tc>
        <w:tc>
          <w:tcPr>
            <w:tcW w:w="1863" w:type="dxa"/>
            <w:noWrap w:val="0"/>
            <w:vAlign w:val="center"/>
          </w:tcPr>
          <w:p w14:paraId="5C404440">
            <w:pPr>
              <w:spacing w:line="480" w:lineRule="exact"/>
              <w:rPr>
                <w:rFonts w:hint="eastAsia" w:ascii="宋体" w:hAnsi="宋体" w:cs="宋体"/>
                <w:szCs w:val="21"/>
                <w:highlight w:val="none"/>
              </w:rPr>
            </w:pPr>
            <w:r>
              <w:rPr>
                <w:rFonts w:hint="eastAsia" w:ascii="宋体" w:hAnsi="宋体" w:cs="宋体"/>
                <w:szCs w:val="21"/>
                <w:highlight w:val="none"/>
              </w:rPr>
              <w:t>厨余垃圾桶</w:t>
            </w:r>
          </w:p>
        </w:tc>
        <w:tc>
          <w:tcPr>
            <w:tcW w:w="1827" w:type="dxa"/>
            <w:noWrap w:val="0"/>
            <w:vAlign w:val="center"/>
          </w:tcPr>
          <w:p w14:paraId="779D785A">
            <w:pPr>
              <w:spacing w:line="480" w:lineRule="exact"/>
              <w:rPr>
                <w:rFonts w:hint="eastAsia" w:ascii="宋体" w:hAnsi="宋体" w:cs="宋体"/>
                <w:szCs w:val="21"/>
                <w:highlight w:val="none"/>
              </w:rPr>
            </w:pPr>
            <w:r>
              <w:rPr>
                <w:rFonts w:hint="eastAsia" w:ascii="宋体" w:hAnsi="宋体" w:cs="宋体"/>
                <w:szCs w:val="21"/>
                <w:highlight w:val="none"/>
              </w:rPr>
              <w:t>4个</w:t>
            </w:r>
          </w:p>
        </w:tc>
        <w:tc>
          <w:tcPr>
            <w:tcW w:w="3591" w:type="dxa"/>
            <w:noWrap w:val="0"/>
            <w:vAlign w:val="center"/>
          </w:tcPr>
          <w:p w14:paraId="6DC60223">
            <w:pPr>
              <w:spacing w:line="480" w:lineRule="exact"/>
              <w:jc w:val="center"/>
              <w:rPr>
                <w:rFonts w:hint="eastAsia" w:ascii="宋体" w:hAnsi="宋体" w:cs="宋体"/>
                <w:szCs w:val="21"/>
                <w:highlight w:val="none"/>
              </w:rPr>
            </w:pPr>
            <w:r>
              <w:rPr>
                <w:rFonts w:hint="eastAsia" w:ascii="宋体" w:hAnsi="宋体" w:cs="宋体"/>
                <w:szCs w:val="21"/>
                <w:highlight w:val="none"/>
              </w:rPr>
              <w:t>每天消纳处理1次</w:t>
            </w:r>
          </w:p>
        </w:tc>
      </w:tr>
      <w:tr w14:paraId="2900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4" w:type="dxa"/>
            <w:vMerge w:val="continue"/>
            <w:noWrap w:val="0"/>
            <w:vAlign w:val="top"/>
          </w:tcPr>
          <w:p w14:paraId="19D47CD5">
            <w:pPr>
              <w:spacing w:line="480" w:lineRule="exact"/>
              <w:jc w:val="center"/>
              <w:rPr>
                <w:rFonts w:hint="eastAsia" w:ascii="宋体" w:hAnsi="宋体" w:cs="宋体"/>
                <w:szCs w:val="21"/>
                <w:highlight w:val="none"/>
              </w:rPr>
            </w:pPr>
          </w:p>
        </w:tc>
        <w:tc>
          <w:tcPr>
            <w:tcW w:w="1863" w:type="dxa"/>
            <w:noWrap w:val="0"/>
            <w:vAlign w:val="center"/>
          </w:tcPr>
          <w:p w14:paraId="4A02CC85">
            <w:pPr>
              <w:spacing w:line="480" w:lineRule="exact"/>
              <w:rPr>
                <w:rFonts w:hint="eastAsia" w:ascii="宋体" w:hAnsi="宋体" w:cs="宋体"/>
                <w:szCs w:val="21"/>
                <w:highlight w:val="none"/>
              </w:rPr>
            </w:pPr>
            <w:r>
              <w:rPr>
                <w:rFonts w:hint="eastAsia" w:ascii="宋体" w:hAnsi="宋体" w:cs="宋体"/>
                <w:szCs w:val="21"/>
                <w:highlight w:val="none"/>
              </w:rPr>
              <w:t>有害垃圾桶</w:t>
            </w:r>
          </w:p>
        </w:tc>
        <w:tc>
          <w:tcPr>
            <w:tcW w:w="1827" w:type="dxa"/>
            <w:noWrap w:val="0"/>
            <w:vAlign w:val="center"/>
          </w:tcPr>
          <w:p w14:paraId="19A0F72A">
            <w:pPr>
              <w:spacing w:line="480" w:lineRule="exact"/>
              <w:rPr>
                <w:rFonts w:hint="eastAsia" w:ascii="宋体" w:hAnsi="宋体" w:cs="宋体"/>
                <w:szCs w:val="21"/>
                <w:highlight w:val="none"/>
              </w:rPr>
            </w:pPr>
            <w:r>
              <w:rPr>
                <w:rFonts w:hint="eastAsia" w:ascii="宋体" w:hAnsi="宋体" w:cs="宋体"/>
                <w:szCs w:val="21"/>
                <w:highlight w:val="none"/>
              </w:rPr>
              <w:t>3个</w:t>
            </w:r>
          </w:p>
        </w:tc>
        <w:tc>
          <w:tcPr>
            <w:tcW w:w="3591" w:type="dxa"/>
            <w:noWrap w:val="0"/>
            <w:vAlign w:val="center"/>
          </w:tcPr>
          <w:p w14:paraId="7319755F">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r w14:paraId="31A0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704" w:type="dxa"/>
            <w:vMerge w:val="continue"/>
            <w:noWrap w:val="0"/>
            <w:vAlign w:val="top"/>
          </w:tcPr>
          <w:p w14:paraId="022DCA4F">
            <w:pPr>
              <w:spacing w:line="480" w:lineRule="exact"/>
              <w:jc w:val="center"/>
              <w:rPr>
                <w:rFonts w:hint="eastAsia" w:ascii="宋体" w:hAnsi="宋体" w:cs="宋体"/>
                <w:szCs w:val="21"/>
                <w:highlight w:val="none"/>
              </w:rPr>
            </w:pPr>
          </w:p>
        </w:tc>
        <w:tc>
          <w:tcPr>
            <w:tcW w:w="1863" w:type="dxa"/>
            <w:noWrap w:val="0"/>
            <w:vAlign w:val="center"/>
          </w:tcPr>
          <w:p w14:paraId="470557AF">
            <w:pPr>
              <w:spacing w:line="480" w:lineRule="exact"/>
              <w:rPr>
                <w:rFonts w:hint="eastAsia" w:ascii="宋体" w:hAnsi="宋体" w:cs="宋体"/>
                <w:szCs w:val="21"/>
                <w:highlight w:val="none"/>
              </w:rPr>
            </w:pPr>
            <w:r>
              <w:rPr>
                <w:rFonts w:hint="eastAsia" w:ascii="宋体" w:hAnsi="宋体" w:cs="宋体"/>
                <w:szCs w:val="21"/>
                <w:highlight w:val="none"/>
              </w:rPr>
              <w:t>其它垃圾桶</w:t>
            </w:r>
          </w:p>
        </w:tc>
        <w:tc>
          <w:tcPr>
            <w:tcW w:w="1827" w:type="dxa"/>
            <w:noWrap w:val="0"/>
            <w:vAlign w:val="center"/>
          </w:tcPr>
          <w:p w14:paraId="1F6C1ACA">
            <w:pPr>
              <w:spacing w:line="480" w:lineRule="exact"/>
              <w:rPr>
                <w:rFonts w:hint="eastAsia" w:ascii="宋体" w:hAnsi="宋体" w:cs="宋体"/>
                <w:szCs w:val="21"/>
                <w:highlight w:val="none"/>
              </w:rPr>
            </w:pPr>
            <w:r>
              <w:rPr>
                <w:rFonts w:hint="eastAsia" w:ascii="宋体" w:hAnsi="宋体" w:cs="宋体"/>
                <w:szCs w:val="21"/>
                <w:highlight w:val="none"/>
              </w:rPr>
              <w:t>7个</w:t>
            </w:r>
          </w:p>
        </w:tc>
        <w:tc>
          <w:tcPr>
            <w:tcW w:w="3591" w:type="dxa"/>
            <w:noWrap w:val="0"/>
            <w:vAlign w:val="center"/>
          </w:tcPr>
          <w:p w14:paraId="37376759">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bl>
    <w:p w14:paraId="1B86D95D">
      <w:pPr>
        <w:spacing w:line="480" w:lineRule="exact"/>
        <w:rPr>
          <w:rFonts w:hint="eastAsia" w:ascii="宋体" w:hAnsi="宋体" w:cs="宋体"/>
          <w:szCs w:val="21"/>
          <w:highlight w:val="none"/>
        </w:rPr>
      </w:pPr>
      <w:r>
        <w:rPr>
          <w:rFonts w:hint="eastAsia" w:ascii="宋体" w:hAnsi="宋体" w:cs="宋体"/>
          <w:szCs w:val="21"/>
          <w:highlight w:val="none"/>
        </w:rPr>
        <w:t>2.2.2清河社区包括：五科西街社区、五科中街社区、龙井北街社区、宝园南街社区，位于天津市宁河区清河农场。建筑面积83980.83㎡，绿化养护面积：113087.23㎡，共设置垃圾集中转运点4个，集中转运桶90个。</w:t>
      </w:r>
    </w:p>
    <w:tbl>
      <w:tblPr>
        <w:tblStyle w:val="6"/>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2220"/>
        <w:gridCol w:w="1914"/>
        <w:gridCol w:w="3389"/>
      </w:tblGrid>
      <w:tr w14:paraId="3B66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10" w:type="dxa"/>
            <w:noWrap w:val="0"/>
            <w:vAlign w:val="top"/>
          </w:tcPr>
          <w:p w14:paraId="17FCC2AA">
            <w:pPr>
              <w:spacing w:line="480" w:lineRule="exact"/>
              <w:jc w:val="center"/>
              <w:rPr>
                <w:rFonts w:hint="eastAsia" w:ascii="宋体" w:hAnsi="宋体" w:cs="宋体"/>
                <w:szCs w:val="21"/>
                <w:highlight w:val="none"/>
              </w:rPr>
            </w:pPr>
            <w:r>
              <w:rPr>
                <w:rFonts w:hint="eastAsia" w:ascii="宋体" w:hAnsi="宋体" w:cs="宋体"/>
                <w:szCs w:val="21"/>
                <w:highlight w:val="none"/>
              </w:rPr>
              <w:t>点位</w:t>
            </w:r>
          </w:p>
        </w:tc>
        <w:tc>
          <w:tcPr>
            <w:tcW w:w="2220" w:type="dxa"/>
            <w:noWrap w:val="0"/>
            <w:vAlign w:val="top"/>
          </w:tcPr>
          <w:p w14:paraId="407CC91A">
            <w:pPr>
              <w:spacing w:line="480" w:lineRule="exact"/>
              <w:jc w:val="center"/>
              <w:rPr>
                <w:rFonts w:hint="eastAsia" w:ascii="宋体" w:hAnsi="宋体" w:cs="宋体"/>
                <w:szCs w:val="21"/>
                <w:highlight w:val="none"/>
              </w:rPr>
            </w:pPr>
            <w:r>
              <w:rPr>
                <w:rFonts w:hint="eastAsia" w:ascii="宋体" w:hAnsi="宋体" w:cs="宋体"/>
                <w:szCs w:val="21"/>
                <w:highlight w:val="none"/>
              </w:rPr>
              <w:t>类别</w:t>
            </w:r>
          </w:p>
        </w:tc>
        <w:tc>
          <w:tcPr>
            <w:tcW w:w="1914" w:type="dxa"/>
            <w:noWrap w:val="0"/>
            <w:vAlign w:val="top"/>
          </w:tcPr>
          <w:p w14:paraId="35457B15">
            <w:pPr>
              <w:spacing w:line="480" w:lineRule="exact"/>
              <w:jc w:val="center"/>
              <w:rPr>
                <w:rFonts w:hint="eastAsia" w:ascii="宋体" w:hAnsi="宋体" w:cs="宋体"/>
                <w:szCs w:val="21"/>
                <w:highlight w:val="none"/>
              </w:rPr>
            </w:pPr>
            <w:r>
              <w:rPr>
                <w:rFonts w:hint="eastAsia" w:ascii="宋体" w:hAnsi="宋体" w:cs="宋体"/>
                <w:szCs w:val="21"/>
                <w:highlight w:val="none"/>
              </w:rPr>
              <w:t>集中点配置数量 （240L/桶）</w:t>
            </w:r>
          </w:p>
        </w:tc>
        <w:tc>
          <w:tcPr>
            <w:tcW w:w="3389" w:type="dxa"/>
            <w:noWrap w:val="0"/>
            <w:vAlign w:val="top"/>
          </w:tcPr>
          <w:p w14:paraId="5E1729B5">
            <w:pPr>
              <w:spacing w:line="480" w:lineRule="exact"/>
              <w:jc w:val="center"/>
              <w:rPr>
                <w:rFonts w:hint="eastAsia" w:ascii="宋体" w:hAnsi="宋体" w:cs="宋体"/>
                <w:szCs w:val="21"/>
                <w:highlight w:val="none"/>
              </w:rPr>
            </w:pPr>
            <w:r>
              <w:rPr>
                <w:rFonts w:hint="eastAsia" w:ascii="宋体" w:hAnsi="宋体" w:cs="宋体"/>
                <w:szCs w:val="21"/>
                <w:highlight w:val="none"/>
              </w:rPr>
              <w:t>备注</w:t>
            </w:r>
          </w:p>
        </w:tc>
      </w:tr>
      <w:tr w14:paraId="1178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610" w:type="dxa"/>
            <w:vMerge w:val="restart"/>
            <w:noWrap w:val="0"/>
            <w:vAlign w:val="top"/>
          </w:tcPr>
          <w:p w14:paraId="22B3B7BD">
            <w:pPr>
              <w:spacing w:line="480" w:lineRule="exact"/>
              <w:jc w:val="center"/>
              <w:rPr>
                <w:rFonts w:hint="eastAsia" w:ascii="宋体" w:hAnsi="宋体" w:cs="宋体"/>
                <w:szCs w:val="21"/>
                <w:highlight w:val="none"/>
              </w:rPr>
            </w:pPr>
          </w:p>
          <w:p w14:paraId="0FFD5B2A">
            <w:pPr>
              <w:rPr>
                <w:rFonts w:hint="eastAsia" w:ascii="宋体" w:hAnsi="宋体" w:cs="宋体"/>
                <w:szCs w:val="21"/>
                <w:highlight w:val="none"/>
              </w:rPr>
            </w:pPr>
          </w:p>
          <w:p w14:paraId="61734242">
            <w:pPr>
              <w:rPr>
                <w:rFonts w:hint="eastAsia" w:ascii="宋体" w:hAnsi="宋体" w:cs="宋体"/>
                <w:szCs w:val="21"/>
                <w:highlight w:val="none"/>
              </w:rPr>
            </w:pPr>
          </w:p>
          <w:p w14:paraId="7729C9ED">
            <w:pPr>
              <w:rPr>
                <w:rFonts w:hint="eastAsia" w:ascii="宋体" w:hAnsi="宋体" w:cs="宋体"/>
                <w:szCs w:val="21"/>
                <w:highlight w:val="none"/>
              </w:rPr>
            </w:pPr>
            <w:r>
              <w:rPr>
                <w:rFonts w:hint="eastAsia" w:ascii="宋体" w:hAnsi="宋体" w:cs="宋体"/>
                <w:szCs w:val="21"/>
                <w:highlight w:val="none"/>
              </w:rPr>
              <w:t>清河社区</w:t>
            </w:r>
          </w:p>
          <w:p w14:paraId="1F5AF433">
            <w:pPr>
              <w:jc w:val="center"/>
              <w:rPr>
                <w:rFonts w:hint="eastAsia" w:ascii="宋体" w:hAnsi="宋体"/>
                <w:szCs w:val="21"/>
                <w:highlight w:val="none"/>
              </w:rPr>
            </w:pPr>
          </w:p>
        </w:tc>
        <w:tc>
          <w:tcPr>
            <w:tcW w:w="2220" w:type="dxa"/>
            <w:noWrap w:val="0"/>
            <w:vAlign w:val="top"/>
          </w:tcPr>
          <w:p w14:paraId="120C8140">
            <w:pPr>
              <w:spacing w:line="480" w:lineRule="exact"/>
              <w:jc w:val="center"/>
              <w:rPr>
                <w:rFonts w:hint="eastAsia" w:ascii="宋体" w:hAnsi="宋体" w:cs="宋体"/>
                <w:szCs w:val="21"/>
                <w:highlight w:val="none"/>
              </w:rPr>
            </w:pPr>
            <w:r>
              <w:rPr>
                <w:rFonts w:hint="eastAsia" w:ascii="宋体" w:hAnsi="宋体" w:cs="宋体"/>
                <w:szCs w:val="21"/>
                <w:highlight w:val="none"/>
              </w:rPr>
              <w:t>可回收垃圾桶</w:t>
            </w:r>
          </w:p>
        </w:tc>
        <w:tc>
          <w:tcPr>
            <w:tcW w:w="1914" w:type="dxa"/>
            <w:noWrap w:val="0"/>
            <w:vAlign w:val="top"/>
          </w:tcPr>
          <w:p w14:paraId="4101FED4">
            <w:pPr>
              <w:spacing w:line="480" w:lineRule="exact"/>
              <w:jc w:val="center"/>
              <w:rPr>
                <w:rFonts w:hint="eastAsia" w:ascii="宋体" w:hAnsi="宋体" w:cs="宋体"/>
                <w:szCs w:val="21"/>
                <w:highlight w:val="none"/>
              </w:rPr>
            </w:pPr>
            <w:r>
              <w:rPr>
                <w:rFonts w:hint="eastAsia" w:ascii="宋体" w:hAnsi="宋体" w:cs="宋体"/>
                <w:szCs w:val="21"/>
                <w:highlight w:val="none"/>
              </w:rPr>
              <w:t>15个</w:t>
            </w:r>
          </w:p>
        </w:tc>
        <w:tc>
          <w:tcPr>
            <w:tcW w:w="3389" w:type="dxa"/>
            <w:noWrap w:val="0"/>
            <w:vAlign w:val="top"/>
          </w:tcPr>
          <w:p w14:paraId="1918DA41">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r w14:paraId="131C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610" w:type="dxa"/>
            <w:vMerge w:val="continue"/>
            <w:noWrap w:val="0"/>
            <w:vAlign w:val="top"/>
          </w:tcPr>
          <w:p w14:paraId="60173CC3">
            <w:pPr>
              <w:jc w:val="center"/>
              <w:rPr>
                <w:rFonts w:hint="eastAsia" w:ascii="宋体" w:hAnsi="宋体"/>
                <w:szCs w:val="21"/>
                <w:highlight w:val="none"/>
              </w:rPr>
            </w:pPr>
          </w:p>
        </w:tc>
        <w:tc>
          <w:tcPr>
            <w:tcW w:w="2220" w:type="dxa"/>
            <w:noWrap w:val="0"/>
            <w:vAlign w:val="top"/>
          </w:tcPr>
          <w:p w14:paraId="27448DBF">
            <w:pPr>
              <w:spacing w:line="480" w:lineRule="exact"/>
              <w:jc w:val="center"/>
              <w:rPr>
                <w:rFonts w:hint="eastAsia" w:ascii="宋体" w:hAnsi="宋体" w:cs="宋体"/>
                <w:szCs w:val="21"/>
                <w:highlight w:val="none"/>
              </w:rPr>
            </w:pPr>
            <w:r>
              <w:rPr>
                <w:rFonts w:hint="eastAsia" w:ascii="宋体" w:hAnsi="宋体" w:cs="宋体"/>
                <w:szCs w:val="21"/>
                <w:highlight w:val="none"/>
              </w:rPr>
              <w:t>厨余垃圾桶</w:t>
            </w:r>
          </w:p>
        </w:tc>
        <w:tc>
          <w:tcPr>
            <w:tcW w:w="1914" w:type="dxa"/>
            <w:noWrap w:val="0"/>
            <w:vAlign w:val="top"/>
          </w:tcPr>
          <w:p w14:paraId="3A285794">
            <w:pPr>
              <w:spacing w:line="480" w:lineRule="exact"/>
              <w:jc w:val="center"/>
              <w:rPr>
                <w:rFonts w:hint="eastAsia" w:ascii="宋体" w:hAnsi="宋体" w:cs="宋体"/>
                <w:szCs w:val="21"/>
                <w:highlight w:val="none"/>
              </w:rPr>
            </w:pPr>
            <w:r>
              <w:rPr>
                <w:rFonts w:hint="eastAsia" w:ascii="宋体" w:hAnsi="宋体" w:cs="宋体"/>
                <w:szCs w:val="21"/>
                <w:highlight w:val="none"/>
              </w:rPr>
              <w:t>20个</w:t>
            </w:r>
          </w:p>
        </w:tc>
        <w:tc>
          <w:tcPr>
            <w:tcW w:w="3389" w:type="dxa"/>
            <w:noWrap w:val="0"/>
            <w:vAlign w:val="top"/>
          </w:tcPr>
          <w:p w14:paraId="77C33461">
            <w:pPr>
              <w:spacing w:line="480" w:lineRule="exact"/>
              <w:jc w:val="center"/>
              <w:rPr>
                <w:rFonts w:hint="eastAsia" w:ascii="宋体" w:hAnsi="宋体" w:cs="宋体"/>
                <w:szCs w:val="21"/>
                <w:highlight w:val="none"/>
              </w:rPr>
            </w:pPr>
            <w:r>
              <w:rPr>
                <w:rFonts w:hint="eastAsia" w:ascii="宋体" w:hAnsi="宋体" w:cs="宋体"/>
                <w:szCs w:val="21"/>
                <w:highlight w:val="none"/>
              </w:rPr>
              <w:t>每天消纳处理1次</w:t>
            </w:r>
          </w:p>
        </w:tc>
      </w:tr>
      <w:tr w14:paraId="5A39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610" w:type="dxa"/>
            <w:vMerge w:val="continue"/>
            <w:noWrap w:val="0"/>
            <w:vAlign w:val="top"/>
          </w:tcPr>
          <w:p w14:paraId="23F69664">
            <w:pPr>
              <w:spacing w:line="480" w:lineRule="exact"/>
              <w:jc w:val="center"/>
              <w:rPr>
                <w:rFonts w:hint="eastAsia" w:ascii="宋体" w:hAnsi="宋体" w:cs="宋体"/>
                <w:szCs w:val="21"/>
                <w:highlight w:val="none"/>
              </w:rPr>
            </w:pPr>
          </w:p>
        </w:tc>
        <w:tc>
          <w:tcPr>
            <w:tcW w:w="2220" w:type="dxa"/>
            <w:noWrap w:val="0"/>
            <w:vAlign w:val="top"/>
          </w:tcPr>
          <w:p w14:paraId="764CAED5">
            <w:pPr>
              <w:spacing w:line="480" w:lineRule="exact"/>
              <w:jc w:val="center"/>
              <w:rPr>
                <w:rFonts w:hint="eastAsia" w:ascii="宋体" w:hAnsi="宋体" w:cs="宋体"/>
                <w:szCs w:val="21"/>
                <w:highlight w:val="none"/>
              </w:rPr>
            </w:pPr>
            <w:r>
              <w:rPr>
                <w:rFonts w:hint="eastAsia" w:ascii="宋体" w:hAnsi="宋体" w:cs="宋体"/>
                <w:szCs w:val="21"/>
                <w:highlight w:val="none"/>
              </w:rPr>
              <w:t>有害垃圾桶</w:t>
            </w:r>
          </w:p>
        </w:tc>
        <w:tc>
          <w:tcPr>
            <w:tcW w:w="1914" w:type="dxa"/>
            <w:noWrap w:val="0"/>
            <w:vAlign w:val="top"/>
          </w:tcPr>
          <w:p w14:paraId="2BCCC474">
            <w:pPr>
              <w:spacing w:line="480" w:lineRule="exact"/>
              <w:jc w:val="center"/>
              <w:rPr>
                <w:rFonts w:hint="eastAsia" w:ascii="宋体" w:hAnsi="宋体" w:cs="宋体"/>
                <w:szCs w:val="21"/>
                <w:highlight w:val="none"/>
              </w:rPr>
            </w:pPr>
            <w:r>
              <w:rPr>
                <w:rFonts w:hint="eastAsia" w:ascii="宋体" w:hAnsi="宋体" w:cs="宋体"/>
                <w:szCs w:val="21"/>
                <w:highlight w:val="none"/>
              </w:rPr>
              <w:t>15个</w:t>
            </w:r>
          </w:p>
        </w:tc>
        <w:tc>
          <w:tcPr>
            <w:tcW w:w="3389" w:type="dxa"/>
            <w:noWrap w:val="0"/>
            <w:vAlign w:val="top"/>
          </w:tcPr>
          <w:p w14:paraId="7F1CBE8F">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r w14:paraId="327D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610" w:type="dxa"/>
            <w:vMerge w:val="continue"/>
            <w:noWrap w:val="0"/>
            <w:vAlign w:val="top"/>
          </w:tcPr>
          <w:p w14:paraId="75157D8E">
            <w:pPr>
              <w:spacing w:line="480" w:lineRule="exact"/>
              <w:jc w:val="center"/>
              <w:rPr>
                <w:rFonts w:hint="eastAsia" w:ascii="宋体" w:hAnsi="宋体" w:cs="宋体"/>
                <w:szCs w:val="21"/>
                <w:highlight w:val="none"/>
              </w:rPr>
            </w:pPr>
          </w:p>
        </w:tc>
        <w:tc>
          <w:tcPr>
            <w:tcW w:w="2220" w:type="dxa"/>
            <w:noWrap w:val="0"/>
            <w:vAlign w:val="top"/>
          </w:tcPr>
          <w:p w14:paraId="220C01F9">
            <w:pPr>
              <w:spacing w:line="480" w:lineRule="exact"/>
              <w:jc w:val="center"/>
              <w:rPr>
                <w:rFonts w:hint="eastAsia" w:ascii="宋体" w:hAnsi="宋体" w:cs="宋体"/>
                <w:szCs w:val="21"/>
                <w:highlight w:val="none"/>
              </w:rPr>
            </w:pPr>
            <w:r>
              <w:rPr>
                <w:rFonts w:hint="eastAsia" w:ascii="宋体" w:hAnsi="宋体" w:cs="宋体"/>
                <w:szCs w:val="21"/>
                <w:highlight w:val="none"/>
              </w:rPr>
              <w:t>其它垃圾桶</w:t>
            </w:r>
          </w:p>
        </w:tc>
        <w:tc>
          <w:tcPr>
            <w:tcW w:w="1914" w:type="dxa"/>
            <w:noWrap w:val="0"/>
            <w:vAlign w:val="top"/>
          </w:tcPr>
          <w:p w14:paraId="76E8C902">
            <w:pPr>
              <w:spacing w:line="480" w:lineRule="exact"/>
              <w:jc w:val="center"/>
              <w:rPr>
                <w:rFonts w:hint="eastAsia" w:ascii="宋体" w:hAnsi="宋体" w:cs="宋体"/>
                <w:szCs w:val="21"/>
                <w:highlight w:val="none"/>
              </w:rPr>
            </w:pPr>
            <w:r>
              <w:rPr>
                <w:rFonts w:hint="eastAsia" w:ascii="宋体" w:hAnsi="宋体" w:cs="宋体"/>
                <w:szCs w:val="21"/>
                <w:highlight w:val="none"/>
              </w:rPr>
              <w:t>40个</w:t>
            </w:r>
          </w:p>
        </w:tc>
        <w:tc>
          <w:tcPr>
            <w:tcW w:w="3389" w:type="dxa"/>
            <w:noWrap w:val="0"/>
            <w:vAlign w:val="top"/>
          </w:tcPr>
          <w:p w14:paraId="7A58A6AA">
            <w:pPr>
              <w:spacing w:line="480" w:lineRule="exact"/>
              <w:jc w:val="center"/>
              <w:rPr>
                <w:rFonts w:hint="eastAsia" w:ascii="宋体" w:hAnsi="宋体" w:cs="宋体"/>
                <w:szCs w:val="21"/>
                <w:highlight w:val="none"/>
              </w:rPr>
            </w:pPr>
            <w:r>
              <w:rPr>
                <w:rFonts w:hint="eastAsia" w:ascii="宋体" w:hAnsi="宋体" w:cs="宋体"/>
                <w:szCs w:val="21"/>
                <w:highlight w:val="none"/>
              </w:rPr>
              <w:t>每两天消纳处理1次</w:t>
            </w:r>
          </w:p>
        </w:tc>
      </w:tr>
    </w:tbl>
    <w:p w14:paraId="04FA62B2">
      <w:pPr>
        <w:spacing w:line="480" w:lineRule="exact"/>
        <w:rPr>
          <w:rFonts w:hint="eastAsia" w:ascii="宋体" w:hAnsi="宋体" w:cs="宋体"/>
          <w:szCs w:val="21"/>
          <w:highlight w:val="none"/>
        </w:rPr>
      </w:pPr>
    </w:p>
    <w:p w14:paraId="135EE60C">
      <w:pPr>
        <w:spacing w:line="480" w:lineRule="exact"/>
        <w:rPr>
          <w:rFonts w:hint="eastAsia" w:ascii="宋体" w:hAnsi="宋体" w:cs="宋体"/>
          <w:szCs w:val="21"/>
          <w:highlight w:val="none"/>
        </w:rPr>
      </w:pPr>
      <w:r>
        <w:rPr>
          <w:rFonts w:hint="eastAsia" w:ascii="宋体" w:hAnsi="宋体" w:cs="宋体"/>
          <w:szCs w:val="21"/>
          <w:highlight w:val="none"/>
        </w:rPr>
        <w:t>2.2.3五科市场包括：建筑面积7170㎡，设置垃圾桶13个。</w:t>
      </w:r>
    </w:p>
    <w:tbl>
      <w:tblPr>
        <w:tblStyle w:val="6"/>
        <w:tblW w:w="91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2220"/>
        <w:gridCol w:w="2272"/>
        <w:gridCol w:w="3053"/>
      </w:tblGrid>
      <w:tr w14:paraId="1AFA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0" w:type="dxa"/>
            <w:noWrap w:val="0"/>
            <w:vAlign w:val="top"/>
          </w:tcPr>
          <w:p w14:paraId="226926A4">
            <w:pPr>
              <w:spacing w:line="480" w:lineRule="exact"/>
              <w:jc w:val="center"/>
              <w:rPr>
                <w:rFonts w:hint="eastAsia" w:ascii="宋体" w:hAnsi="宋体" w:cs="宋体"/>
                <w:szCs w:val="21"/>
                <w:highlight w:val="none"/>
              </w:rPr>
            </w:pPr>
            <w:r>
              <w:rPr>
                <w:rFonts w:hint="eastAsia" w:ascii="宋体" w:hAnsi="宋体" w:cs="宋体"/>
                <w:szCs w:val="21"/>
                <w:highlight w:val="none"/>
              </w:rPr>
              <w:t>点位</w:t>
            </w:r>
          </w:p>
        </w:tc>
        <w:tc>
          <w:tcPr>
            <w:tcW w:w="2220" w:type="dxa"/>
            <w:noWrap w:val="0"/>
            <w:vAlign w:val="top"/>
          </w:tcPr>
          <w:p w14:paraId="40DE4CB4">
            <w:pPr>
              <w:spacing w:line="480" w:lineRule="exact"/>
              <w:jc w:val="center"/>
              <w:rPr>
                <w:rFonts w:hint="eastAsia" w:ascii="宋体" w:hAnsi="宋体" w:cs="宋体"/>
                <w:szCs w:val="21"/>
                <w:highlight w:val="none"/>
              </w:rPr>
            </w:pPr>
            <w:r>
              <w:rPr>
                <w:rFonts w:hint="eastAsia" w:ascii="宋体" w:hAnsi="宋体" w:cs="宋体"/>
                <w:szCs w:val="21"/>
                <w:highlight w:val="none"/>
              </w:rPr>
              <w:t>类别</w:t>
            </w:r>
          </w:p>
        </w:tc>
        <w:tc>
          <w:tcPr>
            <w:tcW w:w="2272" w:type="dxa"/>
            <w:noWrap w:val="0"/>
            <w:vAlign w:val="top"/>
          </w:tcPr>
          <w:p w14:paraId="42169C55">
            <w:pPr>
              <w:spacing w:line="480" w:lineRule="exact"/>
              <w:jc w:val="center"/>
              <w:rPr>
                <w:rFonts w:hint="eastAsia" w:ascii="宋体" w:hAnsi="宋体" w:cs="宋体"/>
                <w:szCs w:val="21"/>
                <w:highlight w:val="none"/>
              </w:rPr>
            </w:pPr>
            <w:r>
              <w:rPr>
                <w:rFonts w:hint="eastAsia" w:ascii="宋体" w:hAnsi="宋体" w:cs="宋体"/>
                <w:szCs w:val="21"/>
                <w:highlight w:val="none"/>
              </w:rPr>
              <w:t>集中点配置数量 （240L/桶）</w:t>
            </w:r>
          </w:p>
        </w:tc>
        <w:tc>
          <w:tcPr>
            <w:tcW w:w="3053" w:type="dxa"/>
            <w:noWrap w:val="0"/>
            <w:vAlign w:val="top"/>
          </w:tcPr>
          <w:p w14:paraId="68EBDDA0">
            <w:pPr>
              <w:spacing w:line="480" w:lineRule="exact"/>
              <w:jc w:val="center"/>
              <w:rPr>
                <w:rFonts w:hint="eastAsia" w:ascii="宋体" w:hAnsi="宋体" w:cs="宋体"/>
                <w:szCs w:val="21"/>
                <w:highlight w:val="none"/>
              </w:rPr>
            </w:pPr>
            <w:r>
              <w:rPr>
                <w:rFonts w:hint="eastAsia" w:ascii="宋体" w:hAnsi="宋体" w:cs="宋体"/>
                <w:szCs w:val="21"/>
                <w:highlight w:val="none"/>
              </w:rPr>
              <w:t>备注</w:t>
            </w:r>
          </w:p>
        </w:tc>
      </w:tr>
      <w:tr w14:paraId="3F10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0" w:type="dxa"/>
            <w:vMerge w:val="restart"/>
            <w:noWrap w:val="0"/>
            <w:vAlign w:val="top"/>
          </w:tcPr>
          <w:p w14:paraId="5DF06610">
            <w:pPr>
              <w:spacing w:line="480" w:lineRule="exact"/>
              <w:jc w:val="center"/>
              <w:rPr>
                <w:rFonts w:hint="eastAsia" w:ascii="宋体" w:hAnsi="宋体" w:cs="宋体"/>
                <w:szCs w:val="21"/>
                <w:highlight w:val="none"/>
              </w:rPr>
            </w:pPr>
          </w:p>
          <w:p w14:paraId="50A61EB5">
            <w:pPr>
              <w:spacing w:line="480" w:lineRule="exact"/>
              <w:rPr>
                <w:rFonts w:hint="eastAsia" w:ascii="宋体" w:hAnsi="宋体" w:cs="宋体"/>
                <w:szCs w:val="21"/>
                <w:highlight w:val="none"/>
              </w:rPr>
            </w:pPr>
            <w:r>
              <w:rPr>
                <w:rFonts w:hint="eastAsia" w:ascii="宋体" w:hAnsi="宋体" w:cs="宋体"/>
                <w:szCs w:val="21"/>
                <w:highlight w:val="none"/>
              </w:rPr>
              <w:t xml:space="preserve"> 五科市场</w:t>
            </w:r>
          </w:p>
        </w:tc>
        <w:tc>
          <w:tcPr>
            <w:tcW w:w="2220" w:type="dxa"/>
            <w:noWrap w:val="0"/>
            <w:vAlign w:val="top"/>
          </w:tcPr>
          <w:p w14:paraId="05E41CC9">
            <w:pPr>
              <w:spacing w:line="480" w:lineRule="exact"/>
              <w:jc w:val="center"/>
              <w:rPr>
                <w:rFonts w:hint="eastAsia" w:ascii="宋体" w:hAnsi="宋体" w:cs="宋体"/>
                <w:szCs w:val="21"/>
                <w:highlight w:val="none"/>
              </w:rPr>
            </w:pPr>
            <w:r>
              <w:rPr>
                <w:rFonts w:hint="eastAsia" w:ascii="宋体" w:hAnsi="宋体" w:cs="宋体"/>
                <w:szCs w:val="21"/>
                <w:highlight w:val="none"/>
              </w:rPr>
              <w:t>可回收垃圾桶</w:t>
            </w:r>
          </w:p>
        </w:tc>
        <w:tc>
          <w:tcPr>
            <w:tcW w:w="2272" w:type="dxa"/>
            <w:noWrap w:val="0"/>
            <w:vAlign w:val="top"/>
          </w:tcPr>
          <w:p w14:paraId="07853C59">
            <w:pPr>
              <w:spacing w:line="480" w:lineRule="exact"/>
              <w:jc w:val="center"/>
              <w:rPr>
                <w:rFonts w:hint="eastAsia" w:ascii="宋体" w:hAnsi="宋体" w:cs="宋体"/>
                <w:szCs w:val="21"/>
                <w:highlight w:val="none"/>
              </w:rPr>
            </w:pPr>
            <w:r>
              <w:rPr>
                <w:rFonts w:hint="eastAsia" w:ascii="宋体" w:hAnsi="宋体" w:cs="宋体"/>
                <w:szCs w:val="21"/>
                <w:highlight w:val="none"/>
              </w:rPr>
              <w:t>4个</w:t>
            </w:r>
          </w:p>
        </w:tc>
        <w:tc>
          <w:tcPr>
            <w:tcW w:w="3053" w:type="dxa"/>
            <w:noWrap w:val="0"/>
            <w:vAlign w:val="top"/>
          </w:tcPr>
          <w:p w14:paraId="0FD28BBC">
            <w:pPr>
              <w:spacing w:line="480" w:lineRule="exact"/>
              <w:rPr>
                <w:rFonts w:hint="eastAsia" w:ascii="宋体" w:hAnsi="宋体" w:cs="宋体"/>
                <w:szCs w:val="21"/>
                <w:highlight w:val="none"/>
              </w:rPr>
            </w:pPr>
            <w:r>
              <w:rPr>
                <w:rFonts w:hint="eastAsia" w:ascii="宋体" w:hAnsi="宋体" w:cs="宋体"/>
                <w:szCs w:val="21"/>
                <w:highlight w:val="none"/>
              </w:rPr>
              <w:t>每两天消纳处理1次</w:t>
            </w:r>
          </w:p>
        </w:tc>
      </w:tr>
      <w:tr w14:paraId="3A03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0" w:type="dxa"/>
            <w:vMerge w:val="continue"/>
            <w:noWrap w:val="0"/>
            <w:vAlign w:val="top"/>
          </w:tcPr>
          <w:p w14:paraId="0D2E2A48">
            <w:pPr>
              <w:spacing w:line="480" w:lineRule="exact"/>
              <w:jc w:val="center"/>
              <w:rPr>
                <w:rFonts w:hint="eastAsia" w:ascii="宋体" w:hAnsi="宋体" w:cs="宋体"/>
                <w:szCs w:val="21"/>
                <w:highlight w:val="none"/>
              </w:rPr>
            </w:pPr>
          </w:p>
        </w:tc>
        <w:tc>
          <w:tcPr>
            <w:tcW w:w="2220" w:type="dxa"/>
            <w:noWrap w:val="0"/>
            <w:vAlign w:val="top"/>
          </w:tcPr>
          <w:p w14:paraId="6AED4DD6">
            <w:pPr>
              <w:spacing w:line="480" w:lineRule="exact"/>
              <w:jc w:val="center"/>
              <w:rPr>
                <w:rFonts w:hint="eastAsia" w:ascii="宋体" w:hAnsi="宋体" w:cs="宋体"/>
                <w:szCs w:val="21"/>
                <w:highlight w:val="none"/>
              </w:rPr>
            </w:pPr>
            <w:r>
              <w:rPr>
                <w:rFonts w:hint="eastAsia" w:ascii="宋体" w:hAnsi="宋体" w:cs="宋体"/>
                <w:szCs w:val="21"/>
                <w:highlight w:val="none"/>
              </w:rPr>
              <w:t>厨余垃圾桶</w:t>
            </w:r>
          </w:p>
        </w:tc>
        <w:tc>
          <w:tcPr>
            <w:tcW w:w="2272" w:type="dxa"/>
            <w:noWrap w:val="0"/>
            <w:vAlign w:val="top"/>
          </w:tcPr>
          <w:p w14:paraId="39B27921">
            <w:pPr>
              <w:spacing w:line="480" w:lineRule="exact"/>
              <w:jc w:val="center"/>
              <w:rPr>
                <w:rFonts w:hint="eastAsia" w:ascii="宋体" w:hAnsi="宋体" w:cs="宋体"/>
                <w:szCs w:val="21"/>
                <w:highlight w:val="none"/>
              </w:rPr>
            </w:pPr>
            <w:r>
              <w:rPr>
                <w:rFonts w:hint="eastAsia" w:ascii="宋体" w:hAnsi="宋体" w:cs="宋体"/>
                <w:szCs w:val="21"/>
                <w:highlight w:val="none"/>
              </w:rPr>
              <w:t>2个</w:t>
            </w:r>
          </w:p>
        </w:tc>
        <w:tc>
          <w:tcPr>
            <w:tcW w:w="3053" w:type="dxa"/>
            <w:noWrap w:val="0"/>
            <w:vAlign w:val="top"/>
          </w:tcPr>
          <w:p w14:paraId="7EB0E1D0">
            <w:pPr>
              <w:spacing w:line="480" w:lineRule="exact"/>
              <w:rPr>
                <w:rFonts w:hint="eastAsia" w:ascii="宋体" w:hAnsi="宋体" w:cs="宋体"/>
                <w:szCs w:val="21"/>
                <w:highlight w:val="none"/>
              </w:rPr>
            </w:pPr>
            <w:r>
              <w:rPr>
                <w:rFonts w:hint="eastAsia" w:ascii="宋体" w:hAnsi="宋体" w:cs="宋体"/>
                <w:szCs w:val="21"/>
                <w:highlight w:val="none"/>
              </w:rPr>
              <w:t>每天消纳处理1次</w:t>
            </w:r>
          </w:p>
        </w:tc>
      </w:tr>
      <w:tr w14:paraId="2ADE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0" w:type="dxa"/>
            <w:vMerge w:val="continue"/>
            <w:noWrap w:val="0"/>
            <w:vAlign w:val="top"/>
          </w:tcPr>
          <w:p w14:paraId="2D991628">
            <w:pPr>
              <w:spacing w:line="480" w:lineRule="exact"/>
              <w:jc w:val="center"/>
              <w:rPr>
                <w:rFonts w:hint="eastAsia" w:ascii="宋体" w:hAnsi="宋体" w:cs="宋体"/>
                <w:szCs w:val="21"/>
                <w:highlight w:val="none"/>
              </w:rPr>
            </w:pPr>
          </w:p>
        </w:tc>
        <w:tc>
          <w:tcPr>
            <w:tcW w:w="2220" w:type="dxa"/>
            <w:noWrap w:val="0"/>
            <w:vAlign w:val="top"/>
          </w:tcPr>
          <w:p w14:paraId="5CCC306B">
            <w:pPr>
              <w:spacing w:line="480" w:lineRule="exact"/>
              <w:jc w:val="center"/>
              <w:rPr>
                <w:rFonts w:hint="eastAsia" w:ascii="宋体" w:hAnsi="宋体" w:cs="宋体"/>
                <w:szCs w:val="21"/>
                <w:highlight w:val="none"/>
              </w:rPr>
            </w:pPr>
            <w:r>
              <w:rPr>
                <w:rFonts w:hint="eastAsia" w:ascii="宋体" w:hAnsi="宋体" w:cs="宋体"/>
                <w:szCs w:val="21"/>
                <w:highlight w:val="none"/>
              </w:rPr>
              <w:t>有害垃圾桶</w:t>
            </w:r>
          </w:p>
        </w:tc>
        <w:tc>
          <w:tcPr>
            <w:tcW w:w="2272" w:type="dxa"/>
            <w:noWrap w:val="0"/>
            <w:vAlign w:val="top"/>
          </w:tcPr>
          <w:p w14:paraId="45F24E42">
            <w:pPr>
              <w:spacing w:line="480" w:lineRule="exact"/>
              <w:jc w:val="center"/>
              <w:rPr>
                <w:rFonts w:hint="eastAsia" w:ascii="宋体" w:hAnsi="宋体" w:cs="宋体"/>
                <w:szCs w:val="21"/>
                <w:highlight w:val="none"/>
              </w:rPr>
            </w:pPr>
            <w:r>
              <w:rPr>
                <w:rFonts w:hint="eastAsia" w:ascii="宋体" w:hAnsi="宋体" w:cs="宋体"/>
                <w:szCs w:val="21"/>
                <w:highlight w:val="none"/>
              </w:rPr>
              <w:t>2个</w:t>
            </w:r>
          </w:p>
        </w:tc>
        <w:tc>
          <w:tcPr>
            <w:tcW w:w="3053" w:type="dxa"/>
            <w:noWrap w:val="0"/>
            <w:vAlign w:val="top"/>
          </w:tcPr>
          <w:p w14:paraId="5A9EDEB5">
            <w:pPr>
              <w:spacing w:line="480" w:lineRule="exact"/>
              <w:rPr>
                <w:rFonts w:hint="eastAsia" w:ascii="宋体" w:hAnsi="宋体" w:cs="宋体"/>
                <w:szCs w:val="21"/>
                <w:highlight w:val="none"/>
              </w:rPr>
            </w:pPr>
            <w:r>
              <w:rPr>
                <w:rFonts w:hint="eastAsia" w:ascii="宋体" w:hAnsi="宋体" w:cs="宋体"/>
                <w:szCs w:val="21"/>
                <w:highlight w:val="none"/>
              </w:rPr>
              <w:t>每两天消纳处理1次</w:t>
            </w:r>
          </w:p>
        </w:tc>
      </w:tr>
      <w:tr w14:paraId="5EFA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0" w:type="dxa"/>
            <w:vMerge w:val="continue"/>
            <w:noWrap w:val="0"/>
            <w:vAlign w:val="top"/>
          </w:tcPr>
          <w:p w14:paraId="44D46382">
            <w:pPr>
              <w:spacing w:line="480" w:lineRule="exact"/>
              <w:jc w:val="center"/>
              <w:rPr>
                <w:rFonts w:hint="eastAsia" w:ascii="宋体" w:hAnsi="宋体" w:cs="宋体"/>
                <w:szCs w:val="21"/>
                <w:highlight w:val="none"/>
              </w:rPr>
            </w:pPr>
          </w:p>
        </w:tc>
        <w:tc>
          <w:tcPr>
            <w:tcW w:w="2220" w:type="dxa"/>
            <w:noWrap w:val="0"/>
            <w:vAlign w:val="top"/>
          </w:tcPr>
          <w:p w14:paraId="587B5491">
            <w:pPr>
              <w:spacing w:line="480" w:lineRule="exact"/>
              <w:jc w:val="center"/>
              <w:rPr>
                <w:rFonts w:hint="eastAsia" w:ascii="宋体" w:hAnsi="宋体" w:cs="宋体"/>
                <w:szCs w:val="21"/>
                <w:highlight w:val="none"/>
              </w:rPr>
            </w:pPr>
            <w:r>
              <w:rPr>
                <w:rFonts w:hint="eastAsia" w:ascii="宋体" w:hAnsi="宋体" w:cs="宋体"/>
                <w:szCs w:val="21"/>
                <w:highlight w:val="none"/>
              </w:rPr>
              <w:t>其它垃圾桶</w:t>
            </w:r>
          </w:p>
        </w:tc>
        <w:tc>
          <w:tcPr>
            <w:tcW w:w="2272" w:type="dxa"/>
            <w:noWrap w:val="0"/>
            <w:vAlign w:val="top"/>
          </w:tcPr>
          <w:p w14:paraId="0D290088">
            <w:pPr>
              <w:spacing w:line="480" w:lineRule="exact"/>
              <w:jc w:val="center"/>
              <w:rPr>
                <w:rFonts w:hint="eastAsia" w:ascii="宋体" w:hAnsi="宋体" w:cs="宋体"/>
                <w:szCs w:val="21"/>
                <w:highlight w:val="none"/>
              </w:rPr>
            </w:pPr>
            <w:r>
              <w:rPr>
                <w:rFonts w:hint="eastAsia" w:ascii="宋体" w:hAnsi="宋体" w:cs="宋体"/>
                <w:szCs w:val="21"/>
                <w:highlight w:val="none"/>
              </w:rPr>
              <w:t>5个</w:t>
            </w:r>
          </w:p>
        </w:tc>
        <w:tc>
          <w:tcPr>
            <w:tcW w:w="3053" w:type="dxa"/>
            <w:noWrap w:val="0"/>
            <w:vAlign w:val="top"/>
          </w:tcPr>
          <w:p w14:paraId="7D883519">
            <w:pPr>
              <w:spacing w:line="480" w:lineRule="exact"/>
              <w:rPr>
                <w:rFonts w:hint="eastAsia" w:ascii="宋体" w:hAnsi="宋体" w:cs="宋体"/>
                <w:szCs w:val="21"/>
                <w:highlight w:val="none"/>
              </w:rPr>
            </w:pPr>
            <w:r>
              <w:rPr>
                <w:rFonts w:hint="eastAsia" w:ascii="宋体" w:hAnsi="宋体" w:cs="宋体"/>
                <w:szCs w:val="21"/>
                <w:highlight w:val="none"/>
              </w:rPr>
              <w:t>每两天消纳处理1次</w:t>
            </w:r>
          </w:p>
        </w:tc>
      </w:tr>
    </w:tbl>
    <w:p w14:paraId="4C5A8673">
      <w:pPr>
        <w:pStyle w:val="5"/>
        <w:rPr>
          <w:highlight w:val="none"/>
        </w:rPr>
      </w:pPr>
    </w:p>
    <w:p w14:paraId="200410B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2.2.4、中标人须遵守国家法律法规，遵守茶西监狱相关管理制度，服从茶西监狱统一管理，无条件接受采购人对工作质量、工作效果等方面的监督、检查和考核。</w:t>
      </w:r>
    </w:p>
    <w:p w14:paraId="29F13561">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2.2.5、中标人承担经营场所范围内的独立法律责任。</w:t>
      </w:r>
    </w:p>
    <w:p w14:paraId="475DC4CF">
      <w:pPr>
        <w:spacing w:line="480" w:lineRule="exact"/>
        <w:ind w:firstLine="420" w:firstLineChars="200"/>
        <w:rPr>
          <w:rFonts w:hint="eastAsia" w:ascii="宋体" w:hAnsi="宋体" w:cs="宋体"/>
          <w:b/>
          <w:bCs/>
          <w:color w:val="FF0000"/>
          <w:szCs w:val="21"/>
          <w:highlight w:val="none"/>
        </w:rPr>
      </w:pPr>
      <w:r>
        <w:rPr>
          <w:rFonts w:hint="eastAsia" w:ascii="宋体" w:hAnsi="宋体" w:cs="宋体"/>
          <w:szCs w:val="21"/>
          <w:highlight w:val="none"/>
        </w:rPr>
        <w:t>2.2.6、物业管理服务工作由中标人负责，</w:t>
      </w:r>
      <w:r>
        <w:rPr>
          <w:rFonts w:hint="eastAsia" w:ascii="宋体" w:hAnsi="宋体" w:cs="宋体"/>
          <w:color w:val="000000"/>
          <w:szCs w:val="21"/>
          <w:highlight w:val="none"/>
        </w:rPr>
        <w:t>不得将项目打包进行外包、转让。</w:t>
      </w:r>
    </w:p>
    <w:p w14:paraId="6FE9093A">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2.2.7、中标人自主经营、自负盈亏，所有管理人员、各工作人员由中标人自行招聘和管理，食宿、各项待遇、保险等由中标人自行安排,经费自理，采购人不提供食宿场所；工作人员体检、伤残疾病等费用均由中标人自理。</w:t>
      </w:r>
    </w:p>
    <w:p w14:paraId="0F6C3C23">
      <w:pPr>
        <w:spacing w:line="480" w:lineRule="exact"/>
        <w:ind w:firstLine="420" w:firstLineChars="200"/>
        <w:rPr>
          <w:rFonts w:hint="eastAsia" w:ascii="宋体" w:hAnsi="宋体" w:cs="宋体"/>
          <w:color w:val="000000"/>
          <w:szCs w:val="21"/>
          <w:highlight w:val="none"/>
        </w:rPr>
      </w:pPr>
      <w:r>
        <w:rPr>
          <w:rFonts w:hint="eastAsia" w:ascii="宋体" w:hAnsi="宋体" w:cs="宋体"/>
          <w:szCs w:val="21"/>
          <w:highlight w:val="none"/>
        </w:rPr>
        <w:t>2.2.</w:t>
      </w:r>
      <w:r>
        <w:rPr>
          <w:rFonts w:hint="eastAsia" w:ascii="宋体" w:hAnsi="宋体" w:cs="宋体"/>
          <w:color w:val="000000"/>
          <w:szCs w:val="21"/>
          <w:highlight w:val="none"/>
        </w:rPr>
        <w:t>8、中标人要组织有资质的机构和人员进行专业维修、专业性服务</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提供完整的设备维护维修、应急处理方案</w:t>
      </w:r>
      <w:r>
        <w:rPr>
          <w:rFonts w:hint="eastAsia" w:ascii="宋体" w:hAnsi="宋体" w:cs="宋体"/>
          <w:color w:val="000000"/>
          <w:szCs w:val="21"/>
          <w:highlight w:val="none"/>
        </w:rPr>
        <w:t>。</w:t>
      </w:r>
    </w:p>
    <w:p w14:paraId="2DC48C5F">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2.2.9、采购人无偿为中标人提供物业服务办公场所，水、电、燃气费用由中标人支付。</w:t>
      </w:r>
    </w:p>
    <w:p w14:paraId="3FA23583">
      <w:pPr>
        <w:spacing w:line="480" w:lineRule="exact"/>
        <w:ind w:left="199" w:leftChars="95" w:firstLine="210" w:firstLineChars="100"/>
        <w:rPr>
          <w:rFonts w:hint="eastAsia" w:ascii="宋体" w:hAnsi="宋体" w:cs="宋体"/>
          <w:szCs w:val="21"/>
          <w:highlight w:val="none"/>
        </w:rPr>
      </w:pPr>
      <w:r>
        <w:rPr>
          <w:rFonts w:hint="eastAsia" w:ascii="宋体" w:hAnsi="宋体" w:cs="宋体"/>
          <w:szCs w:val="21"/>
          <w:highlight w:val="none"/>
        </w:rPr>
        <w:t>2.2.10、清理杂草、绿化养护、维修维护等服务所需设备工具和保洁、消杀所需设备由中标人自行配备，服务期满后由中标人自行处置。</w:t>
      </w:r>
    </w:p>
    <w:p w14:paraId="643F1CB1">
      <w:pPr>
        <w:spacing w:line="480" w:lineRule="exact"/>
        <w:ind w:firstLine="420" w:firstLineChars="200"/>
        <w:rPr>
          <w:rFonts w:hint="eastAsia" w:ascii="宋体" w:hAnsi="宋体" w:cs="宋体"/>
          <w:color w:val="FF0000"/>
          <w:szCs w:val="21"/>
          <w:highlight w:val="none"/>
        </w:rPr>
      </w:pPr>
      <w:r>
        <w:rPr>
          <w:rFonts w:hint="eastAsia" w:ascii="宋体" w:hAnsi="宋体" w:cs="宋体"/>
          <w:szCs w:val="21"/>
          <w:highlight w:val="none"/>
        </w:rPr>
        <w:t>2.2.11、物业工作面</w:t>
      </w:r>
      <w:r>
        <w:rPr>
          <w:rFonts w:hint="eastAsia" w:ascii="宋体" w:hAnsi="宋体" w:cs="宋体"/>
          <w:color w:val="000000"/>
          <w:szCs w:val="21"/>
          <w:highlight w:val="none"/>
        </w:rPr>
        <w:t>所需低值易耗工具、低值易耗用品等由中标人提供。</w:t>
      </w:r>
    </w:p>
    <w:p w14:paraId="04F1C324">
      <w:pPr>
        <w:spacing w:line="480" w:lineRule="exact"/>
        <w:ind w:firstLine="420" w:firstLineChars="200"/>
        <w:rPr>
          <w:rFonts w:hint="eastAsia" w:ascii="宋体" w:hAnsi="宋体" w:cs="宋体"/>
          <w:color w:val="FF0000"/>
          <w:szCs w:val="21"/>
          <w:highlight w:val="none"/>
        </w:rPr>
      </w:pPr>
      <w:r>
        <w:rPr>
          <w:rFonts w:hint="eastAsia" w:ascii="宋体" w:hAnsi="宋体" w:cs="宋体"/>
          <w:szCs w:val="21"/>
          <w:highlight w:val="none"/>
        </w:rPr>
        <w:t>2.2.</w:t>
      </w:r>
      <w:r>
        <w:rPr>
          <w:rFonts w:hint="eastAsia" w:ascii="宋体" w:hAnsi="宋体" w:cs="宋体"/>
          <w:color w:val="000000"/>
          <w:szCs w:val="21"/>
          <w:highlight w:val="none"/>
        </w:rPr>
        <w:t>12、物业服务区使用的防疫防护用品和防疫用消毒液（医用酒精、84消毒液等）由采购人提供；物业服务办公场所及中标人的物业服务人员自身防护使用的防疫防护用品和防疫用消毒液（医用酒精、84消毒液等）由中标人提供。</w:t>
      </w:r>
    </w:p>
    <w:p w14:paraId="3DBABCA7">
      <w:pPr>
        <w:spacing w:line="480" w:lineRule="exact"/>
        <w:ind w:firstLine="420" w:firstLineChars="200"/>
        <w:rPr>
          <w:rFonts w:hint="eastAsia" w:ascii="宋体" w:hAnsi="宋体" w:cs="宋体"/>
          <w:color w:val="FF0000"/>
          <w:szCs w:val="21"/>
          <w:highlight w:val="none"/>
        </w:rPr>
      </w:pPr>
      <w:r>
        <w:rPr>
          <w:rFonts w:hint="eastAsia" w:ascii="宋体" w:hAnsi="宋体" w:cs="宋体"/>
          <w:szCs w:val="21"/>
          <w:highlight w:val="none"/>
        </w:rPr>
        <w:t>2.2.13、绿化养护用化肥、农药费用由中标人承担。</w:t>
      </w:r>
    </w:p>
    <w:p w14:paraId="3DB0BAA3">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2.2.14、单项或单件维修维护材料费用500元（含）以下由中标人承担，500元（不含）以上由采购人购买。</w:t>
      </w:r>
    </w:p>
    <w:p w14:paraId="08485B3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2.2.15、垃圾处理费用：生活垃圾分类归集、分类运输和分类消纳处理的相关服务费由中标人承担，垃圾分类容器、宣传展板由采购人免费提供。</w:t>
      </w:r>
    </w:p>
    <w:p w14:paraId="545FAA54">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2.2.16、中标单人用于物业管理服务的办公设备、办公用品由中标人自行配备，费用自理。</w:t>
      </w:r>
    </w:p>
    <w:p w14:paraId="09A6F93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2.2.17、中标人消防培训、消防演练费用自理。</w:t>
      </w:r>
    </w:p>
    <w:p w14:paraId="0F3E312E">
      <w:pPr>
        <w:spacing w:line="480" w:lineRule="exact"/>
        <w:ind w:firstLine="420" w:firstLineChars="200"/>
        <w:rPr>
          <w:rFonts w:hint="eastAsia" w:ascii="宋体" w:hAnsi="宋体"/>
          <w:szCs w:val="21"/>
          <w:highlight w:val="none"/>
        </w:rPr>
      </w:pPr>
      <w:r>
        <w:rPr>
          <w:rFonts w:hint="eastAsia" w:ascii="宋体" w:hAnsi="宋体" w:cs="宋体"/>
          <w:szCs w:val="21"/>
          <w:highlight w:val="none"/>
        </w:rPr>
        <w:t>2.2.18、</w:t>
      </w:r>
      <w:r>
        <w:rPr>
          <w:rFonts w:hint="eastAsia" w:ascii="宋体" w:hAnsi="宋体" w:cs="宋体"/>
          <w:color w:val="000000"/>
          <w:szCs w:val="21"/>
          <w:highlight w:val="none"/>
        </w:rPr>
        <w:t>消防设施、设备、器材由采购人购买；消防设施、设备、器材的检测费用由中标人负责；消防设施、设备、器材日常维修、维护、保养、检查等工作由中标人负责。</w:t>
      </w:r>
    </w:p>
    <w:p w14:paraId="4E45914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2.2.19、清河社区、五科市场物业公用部位、公用设施设备及公众责任保险费用由中标人承担。</w:t>
      </w:r>
    </w:p>
    <w:p w14:paraId="61AEF99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2.2.20、中标 人服务人员应具备配合采购人随时停止流动，隔离在服务地点的要求。</w:t>
      </w:r>
    </w:p>
    <w:p w14:paraId="14AEC446">
      <w:pPr>
        <w:spacing w:line="480" w:lineRule="exact"/>
        <w:ind w:firstLine="420" w:firstLineChars="200"/>
        <w:rPr>
          <w:rFonts w:hint="eastAsia" w:ascii="宋体" w:hAnsi="宋体" w:cs="宋体"/>
          <w:bCs/>
          <w:color w:val="000000"/>
          <w:szCs w:val="21"/>
          <w:highlight w:val="none"/>
        </w:rPr>
      </w:pPr>
      <w:bookmarkStart w:id="1" w:name="_Hlk214522814"/>
      <w:r>
        <w:rPr>
          <w:rFonts w:hint="eastAsia" w:ascii="宋体" w:hAnsi="宋体" w:cs="宋体"/>
          <w:szCs w:val="21"/>
          <w:highlight w:val="none"/>
        </w:rPr>
        <w:t>2.2.</w:t>
      </w:r>
      <w:r>
        <w:rPr>
          <w:rFonts w:hint="eastAsia" w:ascii="宋体" w:hAnsi="宋体" w:cs="宋体"/>
          <w:bCs/>
          <w:color w:val="000000"/>
          <w:szCs w:val="21"/>
          <w:highlight w:val="none"/>
        </w:rPr>
        <w:t>21、报价：报总价外，还需按服务区域分项报价（元），分项报价不超过每部分最高限价。</w:t>
      </w:r>
    </w:p>
    <w:tbl>
      <w:tblPr>
        <w:tblStyle w:val="6"/>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5173"/>
        <w:gridCol w:w="3063"/>
      </w:tblGrid>
      <w:tr w14:paraId="256C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3" w:type="dxa"/>
            <w:noWrap w:val="0"/>
            <w:vAlign w:val="top"/>
          </w:tcPr>
          <w:p w14:paraId="40EC3763">
            <w:pPr>
              <w:spacing w:line="480" w:lineRule="exact"/>
              <w:jc w:val="center"/>
              <w:rPr>
                <w:rFonts w:hint="eastAsia" w:ascii="宋体" w:hAnsi="宋体" w:cs="宋体"/>
                <w:szCs w:val="21"/>
                <w:highlight w:val="none"/>
              </w:rPr>
            </w:pPr>
            <w:r>
              <w:rPr>
                <w:rFonts w:hint="eastAsia" w:ascii="宋体" w:hAnsi="宋体" w:cs="宋体"/>
                <w:szCs w:val="21"/>
                <w:highlight w:val="none"/>
              </w:rPr>
              <w:t>序号</w:t>
            </w:r>
          </w:p>
        </w:tc>
        <w:tc>
          <w:tcPr>
            <w:tcW w:w="5173" w:type="dxa"/>
            <w:noWrap w:val="0"/>
            <w:vAlign w:val="top"/>
          </w:tcPr>
          <w:p w14:paraId="1AFD9E1E">
            <w:pPr>
              <w:spacing w:line="480" w:lineRule="exact"/>
              <w:jc w:val="center"/>
              <w:rPr>
                <w:rFonts w:hint="eastAsia" w:ascii="宋体" w:hAnsi="宋体" w:cs="宋体"/>
                <w:szCs w:val="21"/>
                <w:highlight w:val="none"/>
              </w:rPr>
            </w:pPr>
            <w:r>
              <w:rPr>
                <w:rFonts w:hint="eastAsia" w:ascii="宋体" w:hAnsi="宋体" w:cs="宋体"/>
                <w:szCs w:val="21"/>
                <w:highlight w:val="none"/>
              </w:rPr>
              <w:t>物业服务预算控制价</w:t>
            </w:r>
          </w:p>
        </w:tc>
        <w:tc>
          <w:tcPr>
            <w:tcW w:w="3063" w:type="dxa"/>
            <w:noWrap w:val="0"/>
            <w:vAlign w:val="top"/>
          </w:tcPr>
          <w:p w14:paraId="12FF2578">
            <w:pPr>
              <w:spacing w:line="480" w:lineRule="exact"/>
              <w:jc w:val="center"/>
              <w:rPr>
                <w:rFonts w:hint="eastAsia" w:ascii="宋体" w:hAnsi="宋体" w:cs="宋体"/>
                <w:szCs w:val="21"/>
                <w:highlight w:val="none"/>
              </w:rPr>
            </w:pPr>
            <w:r>
              <w:rPr>
                <w:rFonts w:hint="eastAsia" w:ascii="宋体" w:hAnsi="宋体" w:cs="宋体"/>
                <w:szCs w:val="21"/>
                <w:highlight w:val="none"/>
              </w:rPr>
              <w:t>金  额（元）</w:t>
            </w:r>
          </w:p>
        </w:tc>
      </w:tr>
      <w:tr w14:paraId="6F57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53" w:type="dxa"/>
            <w:noWrap w:val="0"/>
            <w:vAlign w:val="top"/>
          </w:tcPr>
          <w:p w14:paraId="1395C79F">
            <w:pPr>
              <w:spacing w:line="480" w:lineRule="exact"/>
              <w:jc w:val="center"/>
              <w:rPr>
                <w:rFonts w:hint="eastAsia" w:ascii="宋体" w:hAnsi="宋体" w:cs="宋体"/>
                <w:szCs w:val="21"/>
                <w:highlight w:val="none"/>
              </w:rPr>
            </w:pPr>
            <w:r>
              <w:rPr>
                <w:rFonts w:hint="eastAsia" w:ascii="宋体" w:hAnsi="宋体" w:cs="宋体"/>
                <w:szCs w:val="21"/>
                <w:highlight w:val="none"/>
              </w:rPr>
              <w:t>1</w:t>
            </w:r>
          </w:p>
        </w:tc>
        <w:tc>
          <w:tcPr>
            <w:tcW w:w="5173" w:type="dxa"/>
            <w:noWrap w:val="0"/>
            <w:vAlign w:val="top"/>
          </w:tcPr>
          <w:p w14:paraId="1D3F4D70">
            <w:pPr>
              <w:spacing w:line="480" w:lineRule="exact"/>
              <w:rPr>
                <w:rFonts w:hint="eastAsia" w:ascii="宋体" w:hAnsi="宋体" w:cs="宋体"/>
                <w:szCs w:val="21"/>
                <w:highlight w:val="none"/>
              </w:rPr>
            </w:pPr>
            <w:r>
              <w:rPr>
                <w:rFonts w:hint="eastAsia" w:ascii="宋体" w:hAnsi="宋体" w:cs="宋体"/>
                <w:szCs w:val="21"/>
                <w:highlight w:val="none"/>
              </w:rPr>
              <w:t>项目预算总计</w:t>
            </w:r>
          </w:p>
        </w:tc>
        <w:tc>
          <w:tcPr>
            <w:tcW w:w="3063" w:type="dxa"/>
            <w:noWrap w:val="0"/>
            <w:vAlign w:val="top"/>
          </w:tcPr>
          <w:p w14:paraId="06BAA810">
            <w:pPr>
              <w:spacing w:line="480" w:lineRule="exac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4470000</w:t>
            </w:r>
          </w:p>
        </w:tc>
      </w:tr>
      <w:tr w14:paraId="3032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53" w:type="dxa"/>
            <w:noWrap w:val="0"/>
            <w:vAlign w:val="top"/>
          </w:tcPr>
          <w:p w14:paraId="039D5674">
            <w:pPr>
              <w:spacing w:line="480" w:lineRule="exact"/>
              <w:jc w:val="center"/>
              <w:rPr>
                <w:rFonts w:hint="eastAsia" w:ascii="宋体" w:hAnsi="宋体" w:cs="宋体"/>
                <w:szCs w:val="21"/>
                <w:highlight w:val="none"/>
              </w:rPr>
            </w:pPr>
            <w:r>
              <w:rPr>
                <w:rFonts w:hint="eastAsia" w:ascii="宋体" w:hAnsi="宋体" w:cs="宋体"/>
                <w:szCs w:val="21"/>
                <w:highlight w:val="none"/>
              </w:rPr>
              <w:t>（1）</w:t>
            </w:r>
          </w:p>
        </w:tc>
        <w:tc>
          <w:tcPr>
            <w:tcW w:w="5173" w:type="dxa"/>
            <w:noWrap w:val="0"/>
            <w:vAlign w:val="top"/>
          </w:tcPr>
          <w:p w14:paraId="05E6F546">
            <w:pPr>
              <w:spacing w:line="480" w:lineRule="exact"/>
              <w:rPr>
                <w:rFonts w:hint="eastAsia" w:ascii="宋体" w:hAnsi="宋体" w:cs="宋体"/>
                <w:szCs w:val="21"/>
                <w:highlight w:val="none"/>
              </w:rPr>
            </w:pPr>
            <w:r>
              <w:rPr>
                <w:rFonts w:hint="eastAsia" w:ascii="宋体" w:hAnsi="宋体" w:cs="宋体"/>
                <w:szCs w:val="21"/>
                <w:highlight w:val="none"/>
              </w:rPr>
              <w:t>茶西监狱办公区物业服务预算控制价</w:t>
            </w:r>
          </w:p>
        </w:tc>
        <w:tc>
          <w:tcPr>
            <w:tcW w:w="3063" w:type="dxa"/>
            <w:noWrap w:val="0"/>
            <w:vAlign w:val="top"/>
          </w:tcPr>
          <w:p w14:paraId="4DFC8F47">
            <w:pPr>
              <w:spacing w:line="480" w:lineRule="exac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1320000</w:t>
            </w:r>
          </w:p>
        </w:tc>
      </w:tr>
      <w:tr w14:paraId="504E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53" w:type="dxa"/>
            <w:noWrap w:val="0"/>
            <w:vAlign w:val="top"/>
          </w:tcPr>
          <w:p w14:paraId="386F853F">
            <w:pPr>
              <w:spacing w:line="480" w:lineRule="exact"/>
              <w:jc w:val="center"/>
              <w:rPr>
                <w:rFonts w:hint="eastAsia" w:ascii="宋体" w:hAnsi="宋体" w:cs="宋体"/>
                <w:szCs w:val="21"/>
                <w:highlight w:val="none"/>
              </w:rPr>
            </w:pPr>
            <w:r>
              <w:rPr>
                <w:rFonts w:hint="eastAsia" w:ascii="宋体" w:hAnsi="宋体" w:cs="宋体"/>
                <w:szCs w:val="21"/>
                <w:highlight w:val="none"/>
              </w:rPr>
              <w:t>（2）</w:t>
            </w:r>
          </w:p>
        </w:tc>
        <w:tc>
          <w:tcPr>
            <w:tcW w:w="5173" w:type="dxa"/>
            <w:noWrap w:val="0"/>
            <w:vAlign w:val="top"/>
          </w:tcPr>
          <w:p w14:paraId="2263EE98">
            <w:pPr>
              <w:spacing w:line="480" w:lineRule="exact"/>
              <w:rPr>
                <w:rFonts w:hint="eastAsia" w:ascii="宋体" w:hAnsi="宋体" w:cs="宋体"/>
                <w:szCs w:val="21"/>
                <w:highlight w:val="none"/>
              </w:rPr>
            </w:pPr>
            <w:r>
              <w:rPr>
                <w:rFonts w:hint="eastAsia" w:ascii="宋体" w:hAnsi="宋体" w:cs="宋体"/>
                <w:szCs w:val="21"/>
                <w:highlight w:val="none"/>
              </w:rPr>
              <w:t>清河社区物业服务部分预算控制价</w:t>
            </w:r>
          </w:p>
        </w:tc>
        <w:tc>
          <w:tcPr>
            <w:tcW w:w="3063" w:type="dxa"/>
            <w:noWrap w:val="0"/>
            <w:vAlign w:val="top"/>
          </w:tcPr>
          <w:p w14:paraId="59F3196F">
            <w:pPr>
              <w:spacing w:line="480" w:lineRule="exac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2815000</w:t>
            </w:r>
          </w:p>
        </w:tc>
      </w:tr>
      <w:tr w14:paraId="573B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53" w:type="dxa"/>
            <w:noWrap w:val="0"/>
            <w:vAlign w:val="top"/>
          </w:tcPr>
          <w:p w14:paraId="59CC5C33">
            <w:pPr>
              <w:spacing w:line="480" w:lineRule="exact"/>
              <w:jc w:val="center"/>
              <w:rPr>
                <w:rFonts w:hint="eastAsia" w:ascii="宋体" w:hAnsi="宋体" w:cs="宋体"/>
                <w:szCs w:val="21"/>
                <w:highlight w:val="none"/>
              </w:rPr>
            </w:pPr>
            <w:r>
              <w:rPr>
                <w:rFonts w:hint="eastAsia" w:ascii="宋体" w:hAnsi="宋体" w:cs="宋体"/>
                <w:szCs w:val="21"/>
                <w:highlight w:val="none"/>
              </w:rPr>
              <w:t>（3）</w:t>
            </w:r>
          </w:p>
        </w:tc>
        <w:tc>
          <w:tcPr>
            <w:tcW w:w="5173" w:type="dxa"/>
            <w:noWrap w:val="0"/>
            <w:vAlign w:val="top"/>
          </w:tcPr>
          <w:p w14:paraId="7D12C690">
            <w:pPr>
              <w:spacing w:line="480" w:lineRule="exact"/>
              <w:rPr>
                <w:rFonts w:hint="eastAsia" w:ascii="宋体" w:hAnsi="宋体" w:cs="宋体"/>
                <w:szCs w:val="21"/>
                <w:highlight w:val="none"/>
              </w:rPr>
            </w:pPr>
            <w:r>
              <w:rPr>
                <w:rFonts w:hint="eastAsia" w:ascii="宋体" w:hAnsi="宋体" w:cs="宋体"/>
                <w:szCs w:val="21"/>
                <w:highlight w:val="none"/>
              </w:rPr>
              <w:t>清河社区纯净水设备维修保养部分预算控制价</w:t>
            </w:r>
          </w:p>
        </w:tc>
        <w:tc>
          <w:tcPr>
            <w:tcW w:w="3063" w:type="dxa"/>
            <w:noWrap w:val="0"/>
            <w:vAlign w:val="top"/>
          </w:tcPr>
          <w:p w14:paraId="0681B65A">
            <w:pPr>
              <w:spacing w:line="480" w:lineRule="exac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95000</w:t>
            </w:r>
          </w:p>
        </w:tc>
      </w:tr>
      <w:tr w14:paraId="1074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034F6CB6">
            <w:pPr>
              <w:spacing w:line="480" w:lineRule="exact"/>
              <w:jc w:val="center"/>
              <w:rPr>
                <w:rFonts w:hint="eastAsia" w:ascii="宋体" w:hAnsi="宋体" w:cs="宋体"/>
                <w:szCs w:val="21"/>
                <w:highlight w:val="none"/>
              </w:rPr>
            </w:pPr>
            <w:r>
              <w:rPr>
                <w:rFonts w:hint="eastAsia" w:ascii="宋体" w:hAnsi="宋体" w:cs="宋体"/>
                <w:szCs w:val="21"/>
                <w:highlight w:val="none"/>
              </w:rPr>
              <w:t>（4）</w:t>
            </w:r>
          </w:p>
        </w:tc>
        <w:tc>
          <w:tcPr>
            <w:tcW w:w="5173" w:type="dxa"/>
            <w:noWrap w:val="0"/>
            <w:vAlign w:val="top"/>
          </w:tcPr>
          <w:p w14:paraId="0F27B4B6">
            <w:pPr>
              <w:spacing w:line="480" w:lineRule="exact"/>
              <w:rPr>
                <w:rFonts w:hint="eastAsia" w:ascii="宋体" w:hAnsi="宋体" w:cs="宋体"/>
                <w:szCs w:val="21"/>
                <w:highlight w:val="none"/>
              </w:rPr>
            </w:pPr>
            <w:r>
              <w:rPr>
                <w:rFonts w:hint="eastAsia" w:ascii="宋体" w:hAnsi="宋体" w:cs="宋体"/>
                <w:szCs w:val="21"/>
                <w:highlight w:val="none"/>
              </w:rPr>
              <w:t>五科市场物业服务预算控制价</w:t>
            </w:r>
          </w:p>
        </w:tc>
        <w:tc>
          <w:tcPr>
            <w:tcW w:w="3063" w:type="dxa"/>
            <w:noWrap w:val="0"/>
            <w:vAlign w:val="top"/>
          </w:tcPr>
          <w:p w14:paraId="0D5CAD83">
            <w:pPr>
              <w:spacing w:line="480" w:lineRule="exac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240000</w:t>
            </w:r>
          </w:p>
        </w:tc>
      </w:tr>
      <w:bookmarkEnd w:id="1"/>
    </w:tbl>
    <w:p w14:paraId="45CF8AAC">
      <w:pPr>
        <w:spacing w:line="480" w:lineRule="exact"/>
        <w:ind w:left="420" w:leftChars="200"/>
        <w:rPr>
          <w:rFonts w:hint="eastAsia" w:ascii="宋体" w:hAnsi="宋体" w:cs="宋体"/>
          <w:szCs w:val="21"/>
          <w:highlight w:val="none"/>
        </w:rPr>
      </w:pPr>
      <w:r>
        <w:rPr>
          <w:rFonts w:hint="eastAsia" w:ascii="宋体" w:hAnsi="宋体" w:cs="宋体"/>
          <w:b/>
          <w:bCs/>
          <w:szCs w:val="21"/>
          <w:highlight w:val="none"/>
        </w:rPr>
        <w:t xml:space="preserve"> </w:t>
      </w:r>
      <w:r>
        <w:rPr>
          <w:rFonts w:hint="eastAsia" w:ascii="宋体" w:hAnsi="宋体" w:cs="宋体"/>
          <w:szCs w:val="21"/>
          <w:highlight w:val="none"/>
        </w:rPr>
        <w:t>2.2.22、</w:t>
      </w:r>
      <w:r>
        <w:rPr>
          <w:rFonts w:hint="eastAsia" w:ascii="宋体" w:hAnsi="宋体" w:cs="宋体"/>
          <w:color w:val="000000"/>
          <w:szCs w:val="21"/>
          <w:highlight w:val="none"/>
        </w:rPr>
        <w:t>人员配置</w:t>
      </w:r>
      <w:r>
        <w:rPr>
          <w:rFonts w:hint="eastAsia" w:ascii="宋体" w:hAnsi="宋体" w:cs="宋体"/>
          <w:szCs w:val="21"/>
          <w:highlight w:val="none"/>
        </w:rPr>
        <w:t>：</w:t>
      </w:r>
    </w:p>
    <w:tbl>
      <w:tblPr>
        <w:tblStyle w:val="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2311"/>
        <w:gridCol w:w="1057"/>
        <w:gridCol w:w="4896"/>
      </w:tblGrid>
      <w:tr w14:paraId="14F4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556B9A4E">
            <w:pPr>
              <w:spacing w:line="480" w:lineRule="exact"/>
              <w:rPr>
                <w:rFonts w:hint="eastAsia" w:ascii="宋体" w:hAnsi="宋体" w:cs="宋体"/>
                <w:szCs w:val="21"/>
                <w:highlight w:val="none"/>
              </w:rPr>
            </w:pPr>
            <w:r>
              <w:rPr>
                <w:rFonts w:hint="eastAsia" w:ascii="宋体" w:hAnsi="宋体" w:cs="宋体"/>
                <w:szCs w:val="21"/>
                <w:highlight w:val="none"/>
              </w:rPr>
              <w:t>序号</w:t>
            </w:r>
          </w:p>
        </w:tc>
        <w:tc>
          <w:tcPr>
            <w:tcW w:w="2311" w:type="dxa"/>
            <w:noWrap w:val="0"/>
            <w:vAlign w:val="top"/>
          </w:tcPr>
          <w:p w14:paraId="5B4CF930">
            <w:pPr>
              <w:spacing w:line="480" w:lineRule="exact"/>
              <w:rPr>
                <w:rFonts w:hint="eastAsia" w:ascii="宋体" w:hAnsi="宋体" w:cs="宋体"/>
                <w:szCs w:val="21"/>
                <w:highlight w:val="none"/>
              </w:rPr>
            </w:pPr>
            <w:r>
              <w:rPr>
                <w:rFonts w:hint="eastAsia" w:ascii="宋体" w:hAnsi="宋体" w:cs="宋体"/>
                <w:szCs w:val="21"/>
                <w:highlight w:val="none"/>
              </w:rPr>
              <w:t xml:space="preserve">      岗位</w:t>
            </w:r>
          </w:p>
        </w:tc>
        <w:tc>
          <w:tcPr>
            <w:tcW w:w="1057" w:type="dxa"/>
            <w:noWrap w:val="0"/>
            <w:vAlign w:val="top"/>
          </w:tcPr>
          <w:p w14:paraId="29B9E255">
            <w:pPr>
              <w:spacing w:line="480" w:lineRule="exact"/>
              <w:jc w:val="center"/>
              <w:rPr>
                <w:rFonts w:hint="eastAsia" w:ascii="宋体" w:hAnsi="宋体" w:cs="宋体"/>
                <w:szCs w:val="21"/>
                <w:highlight w:val="none"/>
              </w:rPr>
            </w:pPr>
            <w:r>
              <w:rPr>
                <w:rFonts w:hint="eastAsia" w:ascii="宋体" w:hAnsi="宋体" w:cs="宋体"/>
                <w:szCs w:val="21"/>
                <w:highlight w:val="none"/>
              </w:rPr>
              <w:t>人数</w:t>
            </w:r>
          </w:p>
        </w:tc>
        <w:tc>
          <w:tcPr>
            <w:tcW w:w="4896" w:type="dxa"/>
            <w:noWrap w:val="0"/>
            <w:vAlign w:val="top"/>
          </w:tcPr>
          <w:p w14:paraId="454183FE">
            <w:pPr>
              <w:spacing w:line="480" w:lineRule="exact"/>
              <w:jc w:val="center"/>
              <w:rPr>
                <w:rFonts w:hint="eastAsia" w:ascii="宋体" w:hAnsi="宋体" w:cs="宋体"/>
                <w:szCs w:val="21"/>
                <w:highlight w:val="none"/>
              </w:rPr>
            </w:pPr>
            <w:r>
              <w:rPr>
                <w:rFonts w:hint="eastAsia" w:ascii="宋体" w:hAnsi="宋体" w:cs="宋体"/>
                <w:szCs w:val="21"/>
                <w:highlight w:val="none"/>
              </w:rPr>
              <w:t>备注</w:t>
            </w:r>
          </w:p>
        </w:tc>
      </w:tr>
      <w:tr w14:paraId="6F56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30A10BD0">
            <w:pPr>
              <w:spacing w:line="480" w:lineRule="exact"/>
              <w:jc w:val="center"/>
              <w:rPr>
                <w:rFonts w:hint="eastAsia" w:ascii="宋体" w:hAnsi="宋体" w:cs="宋体"/>
                <w:szCs w:val="21"/>
                <w:highlight w:val="none"/>
              </w:rPr>
            </w:pPr>
            <w:r>
              <w:rPr>
                <w:rFonts w:hint="eastAsia" w:ascii="宋体" w:hAnsi="宋体" w:cs="宋体"/>
                <w:szCs w:val="21"/>
                <w:highlight w:val="none"/>
              </w:rPr>
              <w:t>1</w:t>
            </w:r>
          </w:p>
        </w:tc>
        <w:tc>
          <w:tcPr>
            <w:tcW w:w="2311" w:type="dxa"/>
            <w:noWrap w:val="0"/>
            <w:vAlign w:val="top"/>
          </w:tcPr>
          <w:p w14:paraId="7FB59705">
            <w:pPr>
              <w:spacing w:line="480" w:lineRule="exact"/>
              <w:jc w:val="center"/>
              <w:rPr>
                <w:rFonts w:hint="eastAsia" w:ascii="宋体" w:hAnsi="宋体" w:cs="宋体"/>
                <w:szCs w:val="21"/>
                <w:highlight w:val="none"/>
              </w:rPr>
            </w:pPr>
            <w:r>
              <w:rPr>
                <w:rFonts w:hint="eastAsia" w:ascii="宋体" w:hAnsi="宋体" w:cs="宋体"/>
                <w:szCs w:val="21"/>
                <w:highlight w:val="none"/>
              </w:rPr>
              <w:t>项目部</w:t>
            </w:r>
          </w:p>
        </w:tc>
        <w:tc>
          <w:tcPr>
            <w:tcW w:w="1057" w:type="dxa"/>
            <w:noWrap w:val="0"/>
            <w:vAlign w:val="top"/>
          </w:tcPr>
          <w:p w14:paraId="21CC5652">
            <w:pPr>
              <w:spacing w:line="480" w:lineRule="exact"/>
              <w:jc w:val="center"/>
              <w:rPr>
                <w:rFonts w:hint="eastAsia" w:ascii="宋体" w:hAnsi="宋体" w:cs="宋体"/>
                <w:szCs w:val="21"/>
                <w:highlight w:val="none"/>
              </w:rPr>
            </w:pPr>
            <w:r>
              <w:rPr>
                <w:rFonts w:hint="eastAsia" w:ascii="宋体" w:hAnsi="宋体" w:cs="宋体"/>
                <w:szCs w:val="21"/>
                <w:highlight w:val="none"/>
              </w:rPr>
              <w:t>5-7</w:t>
            </w:r>
          </w:p>
        </w:tc>
        <w:tc>
          <w:tcPr>
            <w:tcW w:w="4896" w:type="dxa"/>
            <w:noWrap w:val="0"/>
            <w:vAlign w:val="top"/>
          </w:tcPr>
          <w:p w14:paraId="259C966C">
            <w:pPr>
              <w:spacing w:line="480" w:lineRule="exact"/>
              <w:jc w:val="center"/>
              <w:rPr>
                <w:rFonts w:hint="eastAsia" w:ascii="宋体" w:hAnsi="宋体" w:cs="宋体"/>
                <w:szCs w:val="21"/>
                <w:highlight w:val="none"/>
              </w:rPr>
            </w:pPr>
            <w:r>
              <w:rPr>
                <w:rFonts w:hint="eastAsia" w:ascii="宋体" w:hAnsi="宋体" w:cs="宋体"/>
                <w:szCs w:val="21"/>
                <w:highlight w:val="none"/>
              </w:rPr>
              <w:t>项目经理，副经理，会计，出纳。</w:t>
            </w:r>
          </w:p>
        </w:tc>
      </w:tr>
      <w:tr w14:paraId="1368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160718F4">
            <w:pPr>
              <w:spacing w:line="480" w:lineRule="exact"/>
              <w:jc w:val="center"/>
              <w:rPr>
                <w:rFonts w:hint="eastAsia" w:ascii="宋体" w:hAnsi="宋体" w:cs="宋体"/>
                <w:szCs w:val="21"/>
                <w:highlight w:val="none"/>
              </w:rPr>
            </w:pPr>
            <w:r>
              <w:rPr>
                <w:rFonts w:hint="eastAsia" w:ascii="宋体" w:hAnsi="宋体" w:cs="宋体"/>
                <w:szCs w:val="21"/>
                <w:highlight w:val="none"/>
              </w:rPr>
              <w:t>2</w:t>
            </w:r>
          </w:p>
        </w:tc>
        <w:tc>
          <w:tcPr>
            <w:tcW w:w="2311" w:type="dxa"/>
            <w:noWrap w:val="0"/>
            <w:vAlign w:val="top"/>
          </w:tcPr>
          <w:p w14:paraId="7C60C6CB">
            <w:pPr>
              <w:spacing w:line="480" w:lineRule="exact"/>
              <w:jc w:val="center"/>
              <w:rPr>
                <w:rFonts w:hint="eastAsia" w:ascii="宋体" w:hAnsi="宋体" w:cs="宋体"/>
                <w:szCs w:val="21"/>
                <w:highlight w:val="none"/>
              </w:rPr>
            </w:pPr>
            <w:r>
              <w:rPr>
                <w:rFonts w:hint="eastAsia" w:ascii="宋体" w:hAnsi="宋体" w:cs="宋体"/>
                <w:szCs w:val="21"/>
                <w:highlight w:val="none"/>
              </w:rPr>
              <w:t>客服</w:t>
            </w:r>
          </w:p>
        </w:tc>
        <w:tc>
          <w:tcPr>
            <w:tcW w:w="1057" w:type="dxa"/>
            <w:noWrap w:val="0"/>
            <w:vAlign w:val="top"/>
          </w:tcPr>
          <w:p w14:paraId="72D24DC2">
            <w:pPr>
              <w:spacing w:line="480" w:lineRule="exact"/>
              <w:jc w:val="center"/>
              <w:rPr>
                <w:rFonts w:hint="eastAsia" w:ascii="宋体" w:hAnsi="宋体" w:cs="宋体"/>
                <w:szCs w:val="21"/>
                <w:highlight w:val="none"/>
              </w:rPr>
            </w:pPr>
            <w:r>
              <w:rPr>
                <w:rFonts w:hint="eastAsia" w:ascii="宋体" w:hAnsi="宋体" w:cs="宋体"/>
                <w:szCs w:val="21"/>
                <w:highlight w:val="none"/>
              </w:rPr>
              <w:t>2-3</w:t>
            </w:r>
          </w:p>
        </w:tc>
        <w:tc>
          <w:tcPr>
            <w:tcW w:w="4896" w:type="dxa"/>
            <w:noWrap w:val="0"/>
            <w:vAlign w:val="top"/>
          </w:tcPr>
          <w:p w14:paraId="318A0E4E">
            <w:pPr>
              <w:spacing w:line="480" w:lineRule="exact"/>
              <w:jc w:val="center"/>
              <w:rPr>
                <w:rFonts w:hint="eastAsia" w:ascii="宋体" w:hAnsi="宋体" w:cs="宋体"/>
                <w:szCs w:val="21"/>
                <w:highlight w:val="none"/>
              </w:rPr>
            </w:pPr>
          </w:p>
        </w:tc>
      </w:tr>
      <w:tr w14:paraId="3B5C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371AC3E2">
            <w:pPr>
              <w:spacing w:line="480" w:lineRule="exact"/>
              <w:jc w:val="center"/>
              <w:rPr>
                <w:rFonts w:hint="eastAsia" w:ascii="宋体" w:hAnsi="宋体" w:cs="宋体"/>
                <w:szCs w:val="21"/>
                <w:highlight w:val="none"/>
              </w:rPr>
            </w:pPr>
            <w:r>
              <w:rPr>
                <w:rFonts w:hint="eastAsia" w:ascii="宋体" w:hAnsi="宋体" w:cs="宋体"/>
                <w:szCs w:val="21"/>
                <w:highlight w:val="none"/>
              </w:rPr>
              <w:t>3</w:t>
            </w:r>
          </w:p>
        </w:tc>
        <w:tc>
          <w:tcPr>
            <w:tcW w:w="2311" w:type="dxa"/>
            <w:noWrap w:val="0"/>
            <w:vAlign w:val="top"/>
          </w:tcPr>
          <w:p w14:paraId="2EB0A59A">
            <w:pPr>
              <w:spacing w:line="480" w:lineRule="exact"/>
              <w:jc w:val="center"/>
              <w:rPr>
                <w:rFonts w:hint="eastAsia" w:ascii="宋体" w:hAnsi="宋体" w:cs="宋体"/>
                <w:szCs w:val="21"/>
                <w:highlight w:val="none"/>
              </w:rPr>
            </w:pPr>
            <w:r>
              <w:rPr>
                <w:rFonts w:hint="eastAsia" w:ascii="宋体" w:hAnsi="宋体" w:cs="宋体"/>
                <w:szCs w:val="21"/>
                <w:highlight w:val="none"/>
              </w:rPr>
              <w:t>工程维修</w:t>
            </w:r>
          </w:p>
        </w:tc>
        <w:tc>
          <w:tcPr>
            <w:tcW w:w="1057" w:type="dxa"/>
            <w:noWrap w:val="0"/>
            <w:vAlign w:val="top"/>
          </w:tcPr>
          <w:p w14:paraId="2952FA96">
            <w:pPr>
              <w:spacing w:line="480" w:lineRule="exact"/>
              <w:jc w:val="center"/>
              <w:rPr>
                <w:rFonts w:hint="eastAsia" w:ascii="宋体" w:hAnsi="宋体" w:cs="宋体"/>
                <w:szCs w:val="21"/>
                <w:highlight w:val="none"/>
              </w:rPr>
            </w:pPr>
            <w:r>
              <w:rPr>
                <w:rFonts w:hint="eastAsia" w:ascii="宋体" w:hAnsi="宋体" w:cs="宋体"/>
                <w:szCs w:val="21"/>
                <w:highlight w:val="none"/>
              </w:rPr>
              <w:t>8-10</w:t>
            </w:r>
          </w:p>
        </w:tc>
        <w:tc>
          <w:tcPr>
            <w:tcW w:w="4896" w:type="dxa"/>
            <w:noWrap w:val="0"/>
            <w:vAlign w:val="top"/>
          </w:tcPr>
          <w:p w14:paraId="346C50BD">
            <w:pPr>
              <w:spacing w:line="480" w:lineRule="exact"/>
              <w:jc w:val="center"/>
              <w:rPr>
                <w:rFonts w:hint="eastAsia" w:ascii="宋体" w:hAnsi="宋体" w:cs="宋体"/>
                <w:szCs w:val="21"/>
                <w:highlight w:val="none"/>
              </w:rPr>
            </w:pPr>
            <w:r>
              <w:rPr>
                <w:rFonts w:hint="eastAsia" w:ascii="宋体" w:hAnsi="宋体" w:cs="宋体"/>
                <w:szCs w:val="21"/>
                <w:highlight w:val="none"/>
                <w:shd w:val="pct10" w:color="auto" w:fill="FFFFFF"/>
              </w:rPr>
              <w:t>电</w:t>
            </w:r>
            <w:r>
              <w:rPr>
                <w:rFonts w:hint="eastAsia" w:ascii="宋体" w:hAnsi="宋体" w:cs="宋体"/>
                <w:szCs w:val="21"/>
                <w:highlight w:val="none"/>
              </w:rPr>
              <w:t>焊工、电工（至少2人）、钳工、水暖工（至少2人）等</w:t>
            </w:r>
          </w:p>
        </w:tc>
      </w:tr>
      <w:tr w14:paraId="2661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303A16B9">
            <w:pPr>
              <w:spacing w:line="480" w:lineRule="exact"/>
              <w:jc w:val="center"/>
              <w:rPr>
                <w:rFonts w:hint="eastAsia" w:ascii="宋体" w:hAnsi="宋体" w:cs="宋体"/>
                <w:szCs w:val="21"/>
                <w:highlight w:val="none"/>
              </w:rPr>
            </w:pPr>
            <w:r>
              <w:rPr>
                <w:rFonts w:hint="eastAsia" w:ascii="宋体" w:hAnsi="宋体" w:cs="宋体"/>
                <w:szCs w:val="21"/>
                <w:highlight w:val="none"/>
              </w:rPr>
              <w:t>4</w:t>
            </w:r>
          </w:p>
        </w:tc>
        <w:tc>
          <w:tcPr>
            <w:tcW w:w="2311" w:type="dxa"/>
            <w:noWrap w:val="0"/>
            <w:vAlign w:val="top"/>
          </w:tcPr>
          <w:p w14:paraId="1187818C">
            <w:pPr>
              <w:spacing w:line="480" w:lineRule="exact"/>
              <w:jc w:val="center"/>
              <w:rPr>
                <w:rFonts w:hint="eastAsia" w:ascii="宋体" w:hAnsi="宋体" w:cs="宋体"/>
                <w:szCs w:val="21"/>
                <w:highlight w:val="none"/>
              </w:rPr>
            </w:pPr>
            <w:r>
              <w:rPr>
                <w:rFonts w:hint="eastAsia" w:ascii="宋体" w:hAnsi="宋体" w:cs="宋体"/>
                <w:szCs w:val="21"/>
                <w:highlight w:val="none"/>
              </w:rPr>
              <w:t>保洁</w:t>
            </w:r>
          </w:p>
        </w:tc>
        <w:tc>
          <w:tcPr>
            <w:tcW w:w="1057" w:type="dxa"/>
            <w:noWrap w:val="0"/>
            <w:vAlign w:val="top"/>
          </w:tcPr>
          <w:p w14:paraId="4710BCE9">
            <w:pPr>
              <w:spacing w:line="480" w:lineRule="exact"/>
              <w:jc w:val="center"/>
              <w:rPr>
                <w:rFonts w:hint="eastAsia" w:ascii="宋体" w:hAnsi="宋体" w:cs="宋体"/>
                <w:szCs w:val="21"/>
                <w:highlight w:val="none"/>
              </w:rPr>
            </w:pPr>
            <w:r>
              <w:rPr>
                <w:rFonts w:hint="eastAsia" w:ascii="宋体" w:hAnsi="宋体" w:cs="宋体"/>
                <w:szCs w:val="21"/>
                <w:highlight w:val="none"/>
              </w:rPr>
              <w:t>30</w:t>
            </w:r>
          </w:p>
        </w:tc>
        <w:tc>
          <w:tcPr>
            <w:tcW w:w="4896" w:type="dxa"/>
            <w:noWrap w:val="0"/>
            <w:vAlign w:val="top"/>
          </w:tcPr>
          <w:p w14:paraId="3B63D515">
            <w:pPr>
              <w:spacing w:line="480" w:lineRule="exact"/>
              <w:rPr>
                <w:rFonts w:hint="eastAsia" w:ascii="宋体" w:hAnsi="宋体" w:cs="宋体"/>
                <w:szCs w:val="21"/>
                <w:highlight w:val="none"/>
              </w:rPr>
            </w:pPr>
          </w:p>
        </w:tc>
      </w:tr>
      <w:tr w14:paraId="31A1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174ABBDE">
            <w:pPr>
              <w:spacing w:line="480" w:lineRule="exact"/>
              <w:jc w:val="center"/>
              <w:rPr>
                <w:rFonts w:hint="eastAsia" w:ascii="宋体" w:hAnsi="宋体" w:cs="宋体"/>
                <w:szCs w:val="21"/>
                <w:highlight w:val="none"/>
              </w:rPr>
            </w:pPr>
            <w:r>
              <w:rPr>
                <w:rFonts w:hint="eastAsia" w:ascii="宋体" w:hAnsi="宋体" w:cs="宋体"/>
                <w:szCs w:val="21"/>
                <w:highlight w:val="none"/>
              </w:rPr>
              <w:t>5</w:t>
            </w:r>
          </w:p>
        </w:tc>
        <w:tc>
          <w:tcPr>
            <w:tcW w:w="2311" w:type="dxa"/>
            <w:noWrap w:val="0"/>
            <w:vAlign w:val="top"/>
          </w:tcPr>
          <w:p w14:paraId="2677D3FE">
            <w:pPr>
              <w:spacing w:line="480" w:lineRule="exact"/>
              <w:jc w:val="center"/>
              <w:rPr>
                <w:rFonts w:hint="eastAsia" w:ascii="宋体" w:hAnsi="宋体" w:cs="宋体"/>
                <w:szCs w:val="21"/>
                <w:highlight w:val="none"/>
              </w:rPr>
            </w:pPr>
            <w:r>
              <w:rPr>
                <w:rFonts w:hint="eastAsia" w:ascii="宋体" w:hAnsi="宋体" w:cs="宋体"/>
                <w:szCs w:val="21"/>
                <w:highlight w:val="none"/>
              </w:rPr>
              <w:t>绿化</w:t>
            </w:r>
          </w:p>
        </w:tc>
        <w:tc>
          <w:tcPr>
            <w:tcW w:w="1057" w:type="dxa"/>
            <w:noWrap w:val="0"/>
            <w:vAlign w:val="top"/>
          </w:tcPr>
          <w:p w14:paraId="53EC0414">
            <w:pPr>
              <w:spacing w:line="480" w:lineRule="exact"/>
              <w:jc w:val="center"/>
              <w:rPr>
                <w:rFonts w:hint="eastAsia" w:ascii="宋体" w:hAnsi="宋体" w:cs="宋体"/>
                <w:szCs w:val="21"/>
                <w:highlight w:val="none"/>
              </w:rPr>
            </w:pPr>
            <w:r>
              <w:rPr>
                <w:rFonts w:hint="eastAsia" w:ascii="宋体" w:hAnsi="宋体" w:cs="宋体"/>
                <w:szCs w:val="21"/>
                <w:highlight w:val="none"/>
              </w:rPr>
              <w:t>8</w:t>
            </w:r>
          </w:p>
        </w:tc>
        <w:tc>
          <w:tcPr>
            <w:tcW w:w="4896" w:type="dxa"/>
            <w:noWrap w:val="0"/>
            <w:vAlign w:val="top"/>
          </w:tcPr>
          <w:p w14:paraId="15634D57">
            <w:pPr>
              <w:spacing w:line="480" w:lineRule="exact"/>
              <w:jc w:val="center"/>
              <w:rPr>
                <w:rFonts w:hint="eastAsia" w:ascii="宋体" w:hAnsi="宋体" w:cs="宋体"/>
                <w:szCs w:val="21"/>
                <w:highlight w:val="none"/>
              </w:rPr>
            </w:pPr>
          </w:p>
        </w:tc>
      </w:tr>
      <w:tr w14:paraId="7477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24277241">
            <w:pPr>
              <w:spacing w:line="480" w:lineRule="exact"/>
              <w:jc w:val="center"/>
              <w:rPr>
                <w:rFonts w:hint="eastAsia" w:ascii="宋体" w:hAnsi="宋体" w:cs="宋体"/>
                <w:szCs w:val="21"/>
                <w:highlight w:val="none"/>
              </w:rPr>
            </w:pPr>
            <w:r>
              <w:rPr>
                <w:rFonts w:hint="eastAsia" w:ascii="宋体" w:hAnsi="宋体" w:cs="宋体"/>
                <w:szCs w:val="21"/>
                <w:highlight w:val="none"/>
              </w:rPr>
              <w:t>6</w:t>
            </w:r>
          </w:p>
        </w:tc>
        <w:tc>
          <w:tcPr>
            <w:tcW w:w="2311" w:type="dxa"/>
            <w:noWrap w:val="0"/>
            <w:vAlign w:val="top"/>
          </w:tcPr>
          <w:p w14:paraId="5C86B553">
            <w:pPr>
              <w:spacing w:line="480" w:lineRule="exact"/>
              <w:jc w:val="center"/>
              <w:rPr>
                <w:rFonts w:hint="eastAsia" w:ascii="宋体" w:hAnsi="宋体" w:cs="宋体"/>
                <w:szCs w:val="21"/>
                <w:highlight w:val="none"/>
              </w:rPr>
            </w:pPr>
            <w:r>
              <w:rPr>
                <w:rFonts w:hint="eastAsia" w:ascii="宋体" w:hAnsi="宋体" w:cs="宋体"/>
                <w:szCs w:val="21"/>
                <w:highlight w:val="none"/>
              </w:rPr>
              <w:t>夜值</w:t>
            </w:r>
          </w:p>
        </w:tc>
        <w:tc>
          <w:tcPr>
            <w:tcW w:w="1057" w:type="dxa"/>
            <w:noWrap w:val="0"/>
            <w:vAlign w:val="top"/>
          </w:tcPr>
          <w:p w14:paraId="695063E2">
            <w:pPr>
              <w:spacing w:line="480" w:lineRule="exact"/>
              <w:jc w:val="center"/>
              <w:rPr>
                <w:rFonts w:hint="eastAsia" w:ascii="宋体" w:hAnsi="宋体" w:cs="宋体"/>
                <w:szCs w:val="21"/>
                <w:highlight w:val="none"/>
              </w:rPr>
            </w:pPr>
            <w:r>
              <w:rPr>
                <w:rFonts w:hint="eastAsia" w:ascii="宋体" w:hAnsi="宋体" w:cs="宋体"/>
                <w:szCs w:val="21"/>
                <w:highlight w:val="none"/>
              </w:rPr>
              <w:t>4</w:t>
            </w:r>
          </w:p>
        </w:tc>
        <w:tc>
          <w:tcPr>
            <w:tcW w:w="4896" w:type="dxa"/>
            <w:noWrap w:val="0"/>
            <w:vAlign w:val="top"/>
          </w:tcPr>
          <w:p w14:paraId="22829586">
            <w:pPr>
              <w:spacing w:line="480" w:lineRule="exact"/>
              <w:jc w:val="center"/>
              <w:rPr>
                <w:rFonts w:hint="eastAsia" w:ascii="宋体" w:hAnsi="宋体" w:cs="宋体"/>
                <w:szCs w:val="21"/>
                <w:highlight w:val="none"/>
              </w:rPr>
            </w:pPr>
          </w:p>
        </w:tc>
      </w:tr>
      <w:tr w14:paraId="224F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noWrap w:val="0"/>
            <w:vAlign w:val="top"/>
          </w:tcPr>
          <w:p w14:paraId="61B221AD">
            <w:pPr>
              <w:spacing w:line="480" w:lineRule="exact"/>
              <w:jc w:val="center"/>
              <w:rPr>
                <w:rFonts w:hint="eastAsia" w:ascii="宋体" w:hAnsi="宋体" w:cs="宋体"/>
                <w:szCs w:val="21"/>
                <w:highlight w:val="none"/>
              </w:rPr>
            </w:pPr>
            <w:r>
              <w:rPr>
                <w:rFonts w:hint="eastAsia" w:ascii="宋体" w:hAnsi="宋体" w:cs="宋体"/>
                <w:szCs w:val="21"/>
                <w:highlight w:val="none"/>
              </w:rPr>
              <w:t>7</w:t>
            </w:r>
          </w:p>
        </w:tc>
        <w:tc>
          <w:tcPr>
            <w:tcW w:w="2311" w:type="dxa"/>
            <w:noWrap w:val="0"/>
            <w:vAlign w:val="top"/>
          </w:tcPr>
          <w:p w14:paraId="673E1711">
            <w:pPr>
              <w:spacing w:line="480" w:lineRule="exact"/>
              <w:jc w:val="center"/>
              <w:rPr>
                <w:rFonts w:hint="eastAsia" w:ascii="宋体" w:hAnsi="宋体" w:cs="宋体"/>
                <w:szCs w:val="21"/>
                <w:highlight w:val="none"/>
              </w:rPr>
            </w:pPr>
            <w:r>
              <w:rPr>
                <w:rFonts w:hint="eastAsia" w:ascii="宋体" w:hAnsi="宋体" w:cs="宋体"/>
                <w:szCs w:val="21"/>
                <w:highlight w:val="none"/>
              </w:rPr>
              <w:t>合计</w:t>
            </w:r>
          </w:p>
        </w:tc>
        <w:tc>
          <w:tcPr>
            <w:tcW w:w="1057" w:type="dxa"/>
            <w:noWrap w:val="0"/>
            <w:vAlign w:val="top"/>
          </w:tcPr>
          <w:p w14:paraId="022724B9">
            <w:pPr>
              <w:spacing w:line="480" w:lineRule="exact"/>
              <w:jc w:val="center"/>
              <w:rPr>
                <w:rFonts w:hint="eastAsia" w:ascii="宋体" w:hAnsi="宋体" w:cs="宋体"/>
                <w:szCs w:val="21"/>
                <w:highlight w:val="none"/>
              </w:rPr>
            </w:pPr>
            <w:r>
              <w:rPr>
                <w:rFonts w:hint="eastAsia" w:ascii="宋体" w:hAnsi="宋体" w:cs="宋体"/>
                <w:szCs w:val="21"/>
                <w:highlight w:val="none"/>
              </w:rPr>
              <w:t>57-62</w:t>
            </w:r>
          </w:p>
        </w:tc>
        <w:tc>
          <w:tcPr>
            <w:tcW w:w="4896" w:type="dxa"/>
            <w:noWrap w:val="0"/>
            <w:vAlign w:val="top"/>
          </w:tcPr>
          <w:p w14:paraId="1A4C99FA">
            <w:pPr>
              <w:spacing w:line="480" w:lineRule="exact"/>
              <w:jc w:val="center"/>
              <w:rPr>
                <w:rFonts w:hint="eastAsia" w:ascii="宋体" w:hAnsi="宋体" w:cs="宋体"/>
                <w:szCs w:val="21"/>
                <w:highlight w:val="none"/>
              </w:rPr>
            </w:pPr>
          </w:p>
        </w:tc>
      </w:tr>
    </w:tbl>
    <w:p w14:paraId="1ACDC666">
      <w:pPr>
        <w:widowControl/>
        <w:spacing w:line="360" w:lineRule="auto"/>
        <w:ind w:firstLine="360" w:firstLineChars="200"/>
        <w:contextualSpacing/>
        <w:rPr>
          <w:sz w:val="18"/>
          <w:szCs w:val="18"/>
          <w:highlight w:val="none"/>
        </w:rPr>
      </w:pPr>
    </w:p>
    <w:p w14:paraId="02E62F03">
      <w:pPr>
        <w:widowControl/>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2.3为落实政府采购政策需满足的要求</w:t>
      </w:r>
    </w:p>
    <w:p w14:paraId="6FA5A732">
      <w:pPr>
        <w:widowControl/>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中标人应聚焦ESG（环保、社会、治理）理念，遵守</w:t>
      </w:r>
      <w:r>
        <w:rPr>
          <w:rFonts w:hint="eastAsia" w:ascii="宋体" w:hAnsi="宋体"/>
          <w:sz w:val="21"/>
          <w:szCs w:val="21"/>
          <w:highlight w:val="none"/>
        </w:rPr>
        <w:t>节约型公共机构相关要求</w:t>
      </w:r>
      <w:r>
        <w:rPr>
          <w:rFonts w:hint="eastAsia" w:ascii="宋体" w:hAnsi="宋体" w:cs="宋体"/>
          <w:szCs w:val="21"/>
          <w:highlight w:val="none"/>
        </w:rPr>
        <w:t>，明确垃圾分类执行标准：要求中标人配置分类垃圾桶，建立可回收物回收机制，垃圾清运率100%，可回收物回收率不低于30%，明确中标人需遵守《环境保护法》《固体废物污染环境防治法》等法规，垃圾清运需具备合规资质，每年提供1次环保合规自查报告。聚焦社区服务与利益相关方关怀，服务响应效率：明确报修、投诉的响应时限（如紧急报修15分钟内到场，一般投诉24小时内回复），业主满意度调查得分不低于85分，聚焦合规运营与透明管理，明确中标人需具备有效的物业管理资质，无重大违法违规记录（如近3年无行政处罚），承诺不发生商业贿赂、虚假宣传等行为，提供年度合规承诺书。</w:t>
      </w:r>
    </w:p>
    <w:p w14:paraId="4D21B9E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lang w:val="en-US" w:eastAsia="zh-CN"/>
        </w:rPr>
        <w:t>2.4.</w:t>
      </w:r>
      <w:r>
        <w:rPr>
          <w:rFonts w:hint="eastAsia" w:ascii="宋体" w:hAnsi="宋体" w:cs="宋体"/>
          <w:sz w:val="21"/>
          <w:szCs w:val="21"/>
          <w:highlight w:val="none"/>
          <w:u w:val="none"/>
        </w:rPr>
        <w:t>节约型公共机构建设相关服务要求</w:t>
      </w:r>
    </w:p>
    <w:p w14:paraId="3B29845F">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lang w:val="en-US" w:eastAsia="zh-CN"/>
        </w:rPr>
        <w:t>2.4.</w:t>
      </w:r>
      <w:r>
        <w:rPr>
          <w:rFonts w:hint="eastAsia" w:ascii="宋体" w:hAnsi="宋体" w:cs="宋体"/>
          <w:sz w:val="21"/>
          <w:szCs w:val="21"/>
          <w:highlight w:val="none"/>
          <w:u w:val="none"/>
        </w:rPr>
        <w:t>1.节能管理</w:t>
      </w:r>
    </w:p>
    <w:p w14:paraId="0D0AAB1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rPr>
        <w:t>负责自管社区公共区域照明、水泵、公共配电设施等公用设备日常巡检维护，根据季节、作息合理调控公共照明、通风等设备启停时间，减少无效能耗；定期排查线路、用电设备异常耗电情况，发现能耗异常、安全隐患第一时间书面上报甲方；</w:t>
      </w:r>
    </w:p>
    <w:p w14:paraId="691716E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rPr>
        <w:t>2.</w:t>
      </w:r>
      <w:r>
        <w:rPr>
          <w:rFonts w:hint="eastAsia" w:ascii="宋体" w:hAnsi="宋体" w:cs="宋体"/>
          <w:sz w:val="21"/>
          <w:szCs w:val="21"/>
          <w:highlight w:val="none"/>
          <w:u w:val="none"/>
          <w:lang w:val="en-US" w:eastAsia="zh-CN"/>
        </w:rPr>
        <w:t>4.2</w:t>
      </w:r>
      <w:r>
        <w:rPr>
          <w:rFonts w:hint="eastAsia" w:ascii="宋体" w:hAnsi="宋体" w:cs="宋体"/>
          <w:sz w:val="21"/>
          <w:szCs w:val="21"/>
          <w:highlight w:val="none"/>
          <w:u w:val="none"/>
        </w:rPr>
        <w:t xml:space="preserve"> 节水管理</w:t>
      </w:r>
    </w:p>
    <w:p w14:paraId="1DED3E7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rPr>
        <w:t>定期对物业服务范围内供水管网、阀门、公共洁具开展检漏巡查，及时发现并上报跑冒滴漏问题；绿化浇灌优先采用喷淋、滴灌等节水方式，严禁漫灌；维护现有节水器具，更换配件优先选用节水型产品，不得擅自将节水器具更换为非节水型器具。</w:t>
      </w:r>
    </w:p>
    <w:p w14:paraId="114F5723">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lang w:val="en-US" w:eastAsia="zh-CN"/>
        </w:rPr>
        <w:t>2.4.</w:t>
      </w:r>
      <w:r>
        <w:rPr>
          <w:rFonts w:hint="eastAsia" w:ascii="宋体" w:hAnsi="宋体" w:cs="宋体"/>
          <w:sz w:val="21"/>
          <w:szCs w:val="21"/>
          <w:highlight w:val="none"/>
          <w:u w:val="none"/>
        </w:rPr>
        <w:t>3.生活垃圾分类管理</w:t>
      </w:r>
    </w:p>
    <w:p w14:paraId="00454E5A">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rPr>
        <w:t>做好社区公共区域垃圾分类投放点日常管护、保洁、督导工作，规范做好垃圾分类台账记录，引导居民规范投放，按规定对接合规收运单位做好分类移交，规范处置有害垃圾。</w:t>
      </w:r>
    </w:p>
    <w:p w14:paraId="2758250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lang w:val="en-US" w:eastAsia="zh-CN"/>
        </w:rPr>
        <w:t>2.4.</w:t>
      </w:r>
      <w:r>
        <w:rPr>
          <w:rFonts w:hint="eastAsia" w:ascii="宋体" w:hAnsi="宋体" w:cs="宋体"/>
          <w:sz w:val="21"/>
          <w:szCs w:val="21"/>
          <w:highlight w:val="none"/>
          <w:u w:val="none"/>
        </w:rPr>
        <w:t>4.绿色物资与保洁管理</w:t>
      </w:r>
    </w:p>
    <w:p w14:paraId="12362F92">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rPr>
        <w:t>日常保洁优先选用低毒、环保、可降解保洁用品；项目运维更换耗材、配件时，优先选用节能节水、环境标志产品；严禁采购、使用国家明令淘汰的用能、用水产品和设备。</w:t>
      </w:r>
    </w:p>
    <w:p w14:paraId="7C37F16B">
      <w:pPr>
        <w:pStyle w:val="2"/>
        <w:ind w:left="0" w:leftChars="0"/>
        <w:rPr>
          <w:rFonts w:hint="eastAsia" w:ascii="宋体" w:hAnsi="宋体" w:cs="宋体"/>
          <w:sz w:val="21"/>
          <w:szCs w:val="21"/>
          <w:highlight w:val="none"/>
          <w:u w:val="none"/>
        </w:rPr>
      </w:pPr>
      <w:r>
        <w:rPr>
          <w:rFonts w:hint="eastAsia" w:ascii="宋体" w:hAnsi="宋体" w:cs="宋体"/>
          <w:sz w:val="21"/>
          <w:szCs w:val="21"/>
          <w:highlight w:val="none"/>
          <w:u w:val="none"/>
          <w:lang w:val="en-US" w:eastAsia="zh-CN"/>
        </w:rPr>
        <w:t>2.4.</w:t>
      </w:r>
      <w:r>
        <w:rPr>
          <w:rFonts w:hint="eastAsia" w:ascii="宋体" w:hAnsi="宋体" w:cs="宋体"/>
          <w:sz w:val="21"/>
          <w:szCs w:val="21"/>
          <w:highlight w:val="none"/>
          <w:u w:val="none"/>
        </w:rPr>
        <w:t>5. 宣传与配合义务</w:t>
      </w:r>
    </w:p>
    <w:p w14:paraId="194A99A9">
      <w:pPr>
        <w:pStyle w:val="2"/>
        <w:ind w:left="0" w:leftChars="0"/>
        <w:rPr>
          <w:rFonts w:hint="eastAsia" w:ascii="宋体" w:hAnsi="宋体" w:eastAsia="宋体" w:cs="宋体"/>
          <w:sz w:val="21"/>
          <w:szCs w:val="21"/>
          <w:highlight w:val="none"/>
          <w:u w:val="none"/>
          <w:lang w:val="en-US" w:eastAsia="zh-CN"/>
        </w:rPr>
      </w:pPr>
      <w:r>
        <w:rPr>
          <w:rFonts w:hint="eastAsia" w:ascii="宋体" w:hAnsi="宋体" w:cs="宋体"/>
          <w:sz w:val="21"/>
          <w:szCs w:val="21"/>
          <w:highlight w:val="none"/>
          <w:u w:val="none"/>
        </w:rPr>
        <w:t>配合甲方开展节能、节水、低碳生活、垃圾分类等宣传引导工作；按甲方及节能主管部门要求整理、报送相关资料，配合节能监察、专项检查等工作。</w:t>
      </w:r>
    </w:p>
    <w:p w14:paraId="70A98153">
      <w:pPr>
        <w:spacing w:line="360" w:lineRule="auto"/>
        <w:contextualSpacing/>
        <w:rPr>
          <w:rFonts w:hint="eastAsia" w:ascii="宋体" w:hAnsi="宋体" w:cs="宋体"/>
          <w:b/>
          <w:bCs/>
          <w:szCs w:val="21"/>
          <w:highlight w:val="none"/>
        </w:rPr>
      </w:pPr>
      <w:r>
        <w:rPr>
          <w:rFonts w:hint="eastAsia" w:ascii="宋体" w:hAnsi="宋体" w:cs="宋体"/>
          <w:b/>
          <w:bCs/>
          <w:szCs w:val="21"/>
          <w:highlight w:val="none"/>
        </w:rPr>
        <w:t>3.验收标准</w:t>
      </w:r>
    </w:p>
    <w:p w14:paraId="48A48FE8">
      <w:pPr>
        <w:spacing w:line="480" w:lineRule="exact"/>
        <w:ind w:firstLine="422" w:firstLineChars="200"/>
        <w:rPr>
          <w:rFonts w:hint="eastAsia" w:ascii="宋体" w:hAnsi="宋体" w:cs="宋体"/>
          <w:szCs w:val="21"/>
          <w:highlight w:val="none"/>
        </w:rPr>
      </w:pPr>
      <w:r>
        <w:rPr>
          <w:rFonts w:hint="eastAsia" w:ascii="宋体" w:hAnsi="宋体" w:cs="宋体"/>
          <w:b/>
          <w:szCs w:val="21"/>
          <w:highlight w:val="none"/>
        </w:rPr>
        <w:t>3.1.保洁、环境服务验收标准</w:t>
      </w:r>
    </w:p>
    <w:p w14:paraId="5E976B1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（1）地面无杂物、无遗撒、无痰迹污垢、无纸屑果皮、无落叶、无烟头、无小广告，雨季地面无明显积水。不同的公共场所应根据工作需要与环境特点制定不同的清扫频率，始终保持清洁状态。</w:t>
      </w:r>
    </w:p>
    <w:p w14:paraId="0D1EC1DA">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color w:val="000000"/>
          <w:szCs w:val="21"/>
          <w:highlight w:val="none"/>
        </w:rPr>
        <w:t>除草：</w:t>
      </w:r>
      <w:r>
        <w:rPr>
          <w:rFonts w:hint="eastAsia" w:ascii="宋体" w:hAnsi="宋体"/>
          <w:color w:val="000000"/>
          <w:szCs w:val="21"/>
          <w:highlight w:val="none"/>
        </w:rPr>
        <w:t>非绿地面积出现的杂草，杂草应得到有效控制在10cm以下；硬化路面出现的杂草要从根铲除。</w:t>
      </w:r>
      <w:r>
        <w:rPr>
          <w:rFonts w:hint="eastAsia" w:ascii="宋体" w:hAnsi="宋体" w:cs="宋体"/>
          <w:szCs w:val="21"/>
          <w:highlight w:val="none"/>
        </w:rPr>
        <w:t>根据工作需要与环境特点制定不同的除草频率。</w:t>
      </w:r>
    </w:p>
    <w:p w14:paraId="0D435A05">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3）办公区场所、社区场所、市场公共区域（门厅、走廊、楼道、楼梯、门窗、玻璃等）做到干净整洁、无灰尘、无杂物、无痰迹、无积水，无蚊蝇，天棚角落无灰尘、无蛛网、无卫生死角，门窗洁净，根据工作需要与环境特点制定不同的清扫频率，始终保持清洁状态。</w:t>
      </w:r>
    </w:p>
    <w:p w14:paraId="49F5D9B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4）办公区活动室、会议室、教室等公共场所地面、墙面、天花板及照明、门窗擦洗清洁做到干净整洁、无灰尘、无杂物、无痰迹、无积水，无蚊蝇，天棚角落无灰尘、无蛛网、无卫生死角，门窗洁净，桌椅、活动设施干净整洁、摆放整齐，根据工作需要与环境特点制定不同的清扫频率，始终保持清洁状态。</w:t>
      </w:r>
    </w:p>
    <w:p w14:paraId="064AAFB9">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5）卫生间地面、墙面、洗手台面、面池、水龙头、镜面、天花板及照明、门窗、隔板、大小便池等擦洗清洁，清理卫生桶脏物，地漏畅通，及时更换洗手液，每日对卫生间进行消毒，对各种设备擦拭；对小便器内芳香球及时更换。做到干净整洁、无灰尘、无杂物、无污物、无痰迹、无积水、无异味、无蚊蝇、无污水外溢，天棚角落无灰尘、无蛛网、无卫生死角；根据工作需要与环境特点制定不同的清扫频率，始终保持清洁状态。</w:t>
      </w:r>
    </w:p>
    <w:p w14:paraId="1DA61100">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6）办公区浴室地面、墙面、洗手台面、面池、座椅、更衣柜等擦洗；对各种设备擦拭，天花板及照明等清洁，做到干净整洁、无灰尘、无杂物、无痰迹、无积水、无异味、无蛛网、无蚊蝇，无卫生死角，地漏畅通，定期进行消毒，根据工作需要与环境特点制定不同的清扫频率，始终保持清洁状态。</w:t>
      </w:r>
    </w:p>
    <w:p w14:paraId="5B80DA1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（7）纯净水车间、</w:t>
      </w:r>
      <w:r>
        <w:rPr>
          <w:rFonts w:hint="eastAsia" w:ascii="宋体" w:hAnsi="宋体" w:cs="宋体"/>
          <w:color w:val="000000"/>
          <w:szCs w:val="21"/>
          <w:highlight w:val="none"/>
        </w:rPr>
        <w:t>消防泵房、地热井泵房</w:t>
      </w:r>
      <w:r>
        <w:rPr>
          <w:rFonts w:hint="eastAsia" w:ascii="宋体" w:hAnsi="宋体" w:cs="宋体"/>
          <w:szCs w:val="21"/>
          <w:highlight w:val="none"/>
        </w:rPr>
        <w:t>做到干净整洁、无灰尘、无杂物、无痰迹、无积水，无蚊蝇，无蛛网、无卫生死角，门窗洁净，根据工作需要与环境特点制定不同的清扫频率，始终保持清洁状态。</w:t>
      </w:r>
    </w:p>
    <w:p w14:paraId="46E4C72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（8）冬季要及时清理主要干道积雪，保证道路通畅和安全，并清理公共区域积雪。用融雪剂或盐水除雪，不得将清扫后的积雪堆放到绿篱和绿地内。</w:t>
      </w:r>
    </w:p>
    <w:p w14:paraId="17A214C0">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（9）公共设施、灯杆、亭廊牌匾、广告栏、路标、座椅、活动器具等无灰尘、无蛛网、无痰迹、无污渍、无乱写、无乱划、无乱粘贴等。根据工作需要与环境特点制定不同的清扫频率，始终保持清洁状态。</w:t>
      </w:r>
    </w:p>
    <w:p w14:paraId="4DA6E24E">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（10）建筑物墙面无乱写、乱划、乱粘贴等痕迹。</w:t>
      </w:r>
    </w:p>
    <w:p w14:paraId="4A03420E">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（11）楼宇等公共区域的玻璃保持清洁。根据工作需要与环境特点制定不同的清扫频率，始终保持清洁状态。</w:t>
      </w:r>
    </w:p>
    <w:p w14:paraId="3EF92F2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（12）停车场内无货物堆积、道路阻塞现象，地面无水、无油、无污物、无烟头等，道路平整无坑、无尖锐物、无金属钉状物，根据工作需要与环境特点制定不同的清扫频率，始终保持清洁状态。</w:t>
      </w:r>
    </w:p>
    <w:p w14:paraId="1A570423">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（13）排水设施等应定期清理并保持通畅，无污水外溢，保证各井口盖完好。</w:t>
      </w:r>
    </w:p>
    <w:p w14:paraId="75BABDD5">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（14）协助对施工单位进行施工作业管理。主要内容包括：道路、地面不得直接搅拌水泥沙浆，建筑材料应按指定地点摆放整齐。建筑垃圾应按指定地点堆放并及时管理和清运，对遗留的建筑垃圾要及时清运。</w:t>
      </w:r>
    </w:p>
    <w:p w14:paraId="31A1EA3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（15）其他属于保洁服务与管理范围内的工作。</w:t>
      </w:r>
    </w:p>
    <w:p w14:paraId="24286CD5">
      <w:pPr>
        <w:spacing w:line="480" w:lineRule="exact"/>
        <w:ind w:firstLine="422" w:firstLineChars="200"/>
        <w:rPr>
          <w:rFonts w:hint="eastAsia" w:ascii="宋体" w:hAnsi="宋体" w:cs="宋体"/>
          <w:szCs w:val="21"/>
          <w:highlight w:val="none"/>
        </w:rPr>
      </w:pPr>
      <w:r>
        <w:rPr>
          <w:rFonts w:hint="eastAsia" w:ascii="宋体" w:hAnsi="宋体" w:cs="宋体"/>
          <w:b/>
          <w:bCs/>
          <w:szCs w:val="21"/>
          <w:highlight w:val="none"/>
        </w:rPr>
        <w:t>3.2.垃圾分类归集、分类运输和分类处理</w:t>
      </w:r>
      <w:r>
        <w:rPr>
          <w:rFonts w:hint="eastAsia" w:ascii="宋体" w:hAnsi="宋体" w:cs="宋体"/>
          <w:b/>
          <w:szCs w:val="21"/>
          <w:highlight w:val="none"/>
        </w:rPr>
        <w:t>验收标准</w:t>
      </w:r>
    </w:p>
    <w:p w14:paraId="0C1FA2CD">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（1）垃圾应全部实行容器收集并分类归集、分类运输和分类处理，垃圾分类严格把关，不得错放。</w:t>
      </w:r>
    </w:p>
    <w:p w14:paraId="7B9C099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（2）厨余垃圾应每日进行消纳处理一次，其他种类垃圾两天消纳处理一次。</w:t>
      </w:r>
    </w:p>
    <w:p w14:paraId="46DED77D">
      <w:pPr>
        <w:spacing w:line="48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（3）废旧家具、电器等大垃圾应按指定地点存放，定期清除。</w:t>
      </w:r>
    </w:p>
    <w:p w14:paraId="48E3D543">
      <w:pPr>
        <w:spacing w:line="480" w:lineRule="exact"/>
        <w:ind w:firstLine="420" w:firstLineChars="200"/>
        <w:rPr>
          <w:rFonts w:hint="eastAsia" w:ascii="宋体" w:hAnsi="宋体" w:cs="宋体"/>
          <w:color w:val="FF0000"/>
          <w:szCs w:val="21"/>
          <w:highlight w:val="none"/>
        </w:rPr>
      </w:pPr>
      <w:r>
        <w:rPr>
          <w:rFonts w:hint="eastAsia" w:ascii="宋体" w:hAnsi="宋体" w:cs="宋体"/>
          <w:color w:val="000000"/>
          <w:szCs w:val="21"/>
          <w:highlight w:val="none"/>
        </w:rPr>
        <w:t>（4）每日将分类桶归集到集中转运点垃圾分类桶。</w:t>
      </w:r>
    </w:p>
    <w:p w14:paraId="6D987EA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（5）垃圾收集容器应定位设置，摆放整齐，设置点及周围应整洁、无散落、无存留垃圾和污水，垃圾收集容器应无蛆、无蝇、无残缺、无破损、外体干净。</w:t>
      </w:r>
    </w:p>
    <w:p w14:paraId="640BA003">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（6）应每日对垃圾收集点、垃圾容器喷洒消毒、灭蚊蝇药物。</w:t>
      </w:r>
    </w:p>
    <w:p w14:paraId="75391D1F">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（7）收集作业完成后，应及时清理场地，将可移动式垃圾收集容器复位，车走地净，不允许分包。</w:t>
      </w:r>
    </w:p>
    <w:p w14:paraId="6D0E9D29">
      <w:pPr>
        <w:spacing w:line="48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3.3.日常维修维护管理</w:t>
      </w:r>
      <w:r>
        <w:rPr>
          <w:rFonts w:hint="eastAsia" w:ascii="宋体" w:hAnsi="宋体" w:cs="宋体"/>
          <w:b/>
          <w:szCs w:val="21"/>
          <w:highlight w:val="none"/>
        </w:rPr>
        <w:t>验收标准</w:t>
      </w:r>
    </w:p>
    <w:p w14:paraId="474BAA66">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楼盖、屋顶、外墙面、楼梯间、走廊、通道、门窗、纱、玻璃、门锁、卫生间用具、浴室用具、洗漱间用具、道路、化粪池、泵房、井（水井、地热井）及所有供水管线、公用照明、加压供水设备、消防设施设备、污水处理系统、所有上下水管道、节门、水表、机动车车棚、自行车车棚等各项维修维护工作要填报报修情况记录和验收记录，维修保障要及时，维修合格率达到100％。</w:t>
      </w:r>
    </w:p>
    <w:p w14:paraId="31D2196E">
      <w:pPr>
        <w:spacing w:line="480" w:lineRule="exact"/>
        <w:ind w:firstLine="420" w:firstLineChars="200"/>
        <w:rPr>
          <w:rFonts w:hint="eastAsia" w:ascii="宋体" w:hAnsi="宋体" w:cs="宋体"/>
          <w:color w:val="000000"/>
          <w:szCs w:val="21"/>
          <w:highlight w:val="none"/>
        </w:rPr>
      </w:pPr>
      <w:r>
        <w:rPr>
          <w:rFonts w:hint="eastAsia" w:ascii="宋体" w:hAnsi="宋体" w:cs="宋体"/>
          <w:szCs w:val="21"/>
          <w:highlight w:val="none"/>
        </w:rPr>
        <w:t>（2）</w:t>
      </w:r>
      <w:r>
        <w:rPr>
          <w:rFonts w:hint="eastAsia" w:ascii="宋体" w:hAnsi="宋体" w:cs="宋体"/>
          <w:color w:val="000000"/>
          <w:szCs w:val="21"/>
          <w:highlight w:val="none"/>
        </w:rPr>
        <w:t>确保公用照明、办公室照明、公寓和宿舍照明正常，维修保障及时；办公区内的低压电路存量维修维护及时，维修合格率达到100％；办公区电器设备（除运维负责的外）的安装、移位及与之相配套的电路改造要符合安全要求，满足采购人需求。</w:t>
      </w:r>
    </w:p>
    <w:p w14:paraId="23CDEB9B">
      <w:pPr>
        <w:spacing w:line="480" w:lineRule="exact"/>
        <w:ind w:firstLine="420" w:firstLineChars="200"/>
        <w:rPr>
          <w:rFonts w:hint="eastAsia" w:ascii="宋体" w:hAnsi="宋体" w:cs="宋体"/>
          <w:color w:val="FF0000"/>
          <w:szCs w:val="21"/>
          <w:highlight w:val="none"/>
        </w:rPr>
      </w:pPr>
      <w:r>
        <w:rPr>
          <w:rFonts w:hint="eastAsia" w:ascii="宋体" w:hAnsi="宋体" w:cs="宋体"/>
          <w:color w:val="000000"/>
          <w:szCs w:val="21"/>
          <w:highlight w:val="none"/>
        </w:rPr>
        <w:t>（3）服务区域内设施设备维修24小时提供服务及配合茶西监狱有关部门进行高压设备的操作。</w:t>
      </w:r>
    </w:p>
    <w:p w14:paraId="1282306B">
      <w:pPr>
        <w:spacing w:line="480" w:lineRule="exact"/>
        <w:ind w:firstLine="422" w:firstLineChars="200"/>
        <w:rPr>
          <w:rFonts w:hint="eastAsia" w:ascii="宋体" w:hAnsi="宋体" w:cs="宋体"/>
          <w:szCs w:val="21"/>
          <w:highlight w:val="none"/>
        </w:rPr>
      </w:pPr>
      <w:r>
        <w:rPr>
          <w:rFonts w:hint="eastAsia" w:ascii="宋体" w:hAnsi="宋体" w:cs="宋体"/>
          <w:b/>
          <w:bCs/>
          <w:szCs w:val="21"/>
          <w:highlight w:val="none"/>
        </w:rPr>
        <w:t>3.4.公共卫生</w:t>
      </w:r>
      <w:r>
        <w:rPr>
          <w:rFonts w:hint="eastAsia" w:ascii="宋体" w:hAnsi="宋体" w:cs="宋体"/>
          <w:b/>
          <w:szCs w:val="21"/>
          <w:highlight w:val="none"/>
        </w:rPr>
        <w:t>验收标准</w:t>
      </w:r>
    </w:p>
    <w:p w14:paraId="28A4A3B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（1）公共区域场所定期进行消杀（毒），有消杀（毒）记录。根据工作需要与环境特点制定不同的消杀（毒）频率。</w:t>
      </w:r>
    </w:p>
    <w:p w14:paraId="5B1E8D39">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（2）定期开展灭蚊蝇、老鼠、蟑螂等活动。</w:t>
      </w:r>
    </w:p>
    <w:p w14:paraId="3178BA6E">
      <w:pPr>
        <w:spacing w:line="48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3.5.消防、交通安全等管理服务</w:t>
      </w:r>
      <w:r>
        <w:rPr>
          <w:rFonts w:hint="eastAsia" w:ascii="宋体" w:hAnsi="宋体" w:cs="宋体"/>
          <w:b/>
          <w:szCs w:val="21"/>
          <w:highlight w:val="none"/>
        </w:rPr>
        <w:t>验收标准</w:t>
      </w:r>
    </w:p>
    <w:p w14:paraId="54986BA0">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（1）建立、落实消防安全责任制，设消防安全负责人，逐级逐岗明确消防安全职责。</w:t>
      </w:r>
    </w:p>
    <w:p w14:paraId="4B5CBE96">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（2）成立义务消防队，相关人员掌握消防基本知识和技能；每年组织1次有员工、</w:t>
      </w:r>
      <w:r>
        <w:rPr>
          <w:rFonts w:hint="eastAsia" w:ascii="宋体" w:hAnsi="宋体" w:cs="宋体"/>
          <w:szCs w:val="21"/>
          <w:highlight w:val="none"/>
          <w:lang w:val="en-US" w:eastAsia="zh-CN"/>
        </w:rPr>
        <w:t>清河社区居民、茶西监狱相关工作人员</w:t>
      </w:r>
      <w:r>
        <w:rPr>
          <w:rFonts w:hint="eastAsia" w:ascii="宋体" w:hAnsi="宋体" w:cs="宋体"/>
          <w:szCs w:val="21"/>
          <w:highlight w:val="none"/>
        </w:rPr>
        <w:t>参加的消防演练。</w:t>
      </w:r>
    </w:p>
    <w:p w14:paraId="49DC7E03">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（3）设置消防安全宣传专栏，组织开展经常性的消防安全宣传教育；每年对员工进行 2次消防安全培训。</w:t>
      </w:r>
    </w:p>
    <w:p w14:paraId="2E998198">
      <w:pPr>
        <w:spacing w:line="48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（4）火灾报警探测器、手动报警按钮、警报装置每月抽查测试</w:t>
      </w:r>
      <w:r>
        <w:rPr>
          <w:rFonts w:ascii="宋体" w:hAnsi="宋体" w:cs="宋体"/>
          <w:color w:val="000000"/>
          <w:szCs w:val="21"/>
          <w:highlight w:val="none"/>
        </w:rPr>
        <w:t>1</w:t>
      </w:r>
      <w:r>
        <w:rPr>
          <w:rFonts w:hint="eastAsia" w:ascii="宋体" w:hAnsi="宋体" w:cs="宋体"/>
          <w:color w:val="000000"/>
          <w:szCs w:val="21"/>
          <w:highlight w:val="none"/>
        </w:rPr>
        <w:t>次。</w:t>
      </w:r>
    </w:p>
    <w:p w14:paraId="3A344DB6">
      <w:pPr>
        <w:spacing w:line="480" w:lineRule="exact"/>
        <w:ind w:firstLine="420" w:firstLineChars="200"/>
        <w:rPr>
          <w:rFonts w:hint="eastAsia" w:ascii="宋体" w:hAnsi="宋体" w:cs="宋体"/>
          <w:szCs w:val="21"/>
          <w:highlight w:val="none"/>
        </w:rPr>
      </w:pPr>
      <w:r>
        <w:rPr>
          <w:rFonts w:hint="eastAsia" w:ascii="宋体" w:hAnsi="宋体" w:cs="宋体"/>
          <w:color w:val="000000"/>
          <w:szCs w:val="21"/>
          <w:highlight w:val="none"/>
        </w:rPr>
        <w:t>（5）应急照明、疏散指示标志每月测试1次。</w:t>
      </w:r>
    </w:p>
    <w:p w14:paraId="43EE9A94">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（6）每日防火巡查 1 次，每月防火检查 2 次，发现消防安全违法行为和火灾隐患，立即纠正、排除，无法立即纠正、排除的，应向有关部门报告。</w:t>
      </w:r>
    </w:p>
    <w:p w14:paraId="4BD6832E">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（7）发生火情立即报警，组织扑救初起火灾，疏散遇险人员。</w:t>
      </w:r>
    </w:p>
    <w:p w14:paraId="04A0F601">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（8）每周巡查 1 次灭火器数量、位置情况，每月检查核对 1 次灭火器压力和有效期，保证处于完好状态。</w:t>
      </w:r>
    </w:p>
    <w:p w14:paraId="6A5F4C0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（9）做好消防设施设备器材的维修检测工作。</w:t>
      </w:r>
    </w:p>
    <w:p w14:paraId="081AE9AB">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（10）保障疏散通道、安全出口、消防车通道和消防设施、器材符合消防安全要求。</w:t>
      </w:r>
    </w:p>
    <w:p w14:paraId="22467724">
      <w:pPr>
        <w:spacing w:line="48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3.6.清河社区纯净水设备维修保养，纯净水车间、泵房值守服务</w:t>
      </w:r>
      <w:r>
        <w:rPr>
          <w:rFonts w:hint="eastAsia" w:ascii="宋体" w:hAnsi="宋体" w:cs="宋体"/>
          <w:b/>
          <w:szCs w:val="21"/>
          <w:highlight w:val="none"/>
        </w:rPr>
        <w:t>验收标准</w:t>
      </w:r>
    </w:p>
    <w:p w14:paraId="05C78ABD">
      <w:pPr>
        <w:spacing w:line="48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纯净水设备维修保养</w:t>
      </w:r>
    </w:p>
    <w:p w14:paraId="51CCF10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(1）每月更换滤芯。</w:t>
      </w:r>
    </w:p>
    <w:p w14:paraId="2593F646">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(2）每年更换滤砂。</w:t>
      </w:r>
    </w:p>
    <w:p w14:paraId="14704085">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(3）每年更换膜组件。</w:t>
      </w:r>
    </w:p>
    <w:p w14:paraId="32F3DA9D">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(4）每月冲洗砂滤罐。</w:t>
      </w:r>
    </w:p>
    <w:p w14:paraId="5A14C876">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(5）每季度倒换水泵。</w:t>
      </w:r>
    </w:p>
    <w:p w14:paraId="59838B1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(6）每季度清洗仪表探头。</w:t>
      </w:r>
    </w:p>
    <w:p w14:paraId="69EF86E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(7）每季度调校仪表、传感器。</w:t>
      </w:r>
    </w:p>
    <w:p w14:paraId="02C0C52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(8）每月清理控制柜。</w:t>
      </w:r>
    </w:p>
    <w:p w14:paraId="0C4DA7DF">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(9）每年更换活性炭。</w:t>
      </w:r>
    </w:p>
    <w:p w14:paraId="7035036A">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(10）提供应急维修服务。</w:t>
      </w:r>
    </w:p>
    <w:p w14:paraId="70E23109">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(11）每半年进行卫生检测。</w:t>
      </w:r>
    </w:p>
    <w:p w14:paraId="43CF105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(12）负责设备日常维修工作。</w:t>
      </w:r>
    </w:p>
    <w:p w14:paraId="3A6B90BC">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(13）负责设备日常保养工作。</w:t>
      </w:r>
    </w:p>
    <w:p w14:paraId="3C4BBB2F">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(14）负责设备日常应急维修工作。</w:t>
      </w:r>
    </w:p>
    <w:p w14:paraId="0D5C2BD6">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(15）每半年检测水质，并提交检测报告。</w:t>
      </w:r>
    </w:p>
    <w:p w14:paraId="1069429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(16）负责设备定期维修工作。</w:t>
      </w:r>
    </w:p>
    <w:p w14:paraId="4DC11A8A">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(17）负责长期培训设备操作人员。</w:t>
      </w:r>
    </w:p>
    <w:p w14:paraId="61397175">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(18）负责提供所有所需耗品，耗材及设备损坏器件。</w:t>
      </w:r>
    </w:p>
    <w:p w14:paraId="5C6C0B97">
      <w:pPr>
        <w:spacing w:line="480" w:lineRule="exact"/>
        <w:ind w:firstLine="422" w:firstLineChars="200"/>
        <w:rPr>
          <w:rFonts w:hint="eastAsia" w:ascii="宋体" w:hAnsi="宋体" w:cs="宋体"/>
          <w:szCs w:val="21"/>
          <w:highlight w:val="none"/>
        </w:rPr>
      </w:pPr>
      <w:r>
        <w:rPr>
          <w:rFonts w:hint="eastAsia" w:ascii="宋体" w:hAnsi="宋体" w:cs="宋体"/>
          <w:b/>
          <w:bCs/>
          <w:szCs w:val="21"/>
          <w:highlight w:val="none"/>
        </w:rPr>
        <w:t>纯净水车间、泵房值守</w:t>
      </w:r>
      <w:r>
        <w:rPr>
          <w:rFonts w:hint="eastAsia" w:ascii="宋体" w:hAnsi="宋体" w:cs="宋体"/>
          <w:b/>
          <w:szCs w:val="21"/>
          <w:highlight w:val="none"/>
        </w:rPr>
        <w:t>验收标准</w:t>
      </w:r>
    </w:p>
    <w:p w14:paraId="3A59A33D">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(1）值班人员认真填写交接班、工作日志等记录，字迹要端正，记录要真实准确。</w:t>
      </w:r>
    </w:p>
    <w:p w14:paraId="76DF2BF1">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(2）对当班期间发生的问题、报修等情况，处理的完成情况要详细记录在交接情况中，在下班时未处理完毕，由接班人员完成记录。</w:t>
      </w:r>
    </w:p>
    <w:p w14:paraId="12E34DC7">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(3）要保管好交接班、工作日志等记录本，使用完毕的记录本要按前后顺序编制序号，不得有丢失、缺页、乱涂乱画等现象。</w:t>
      </w:r>
    </w:p>
    <w:p w14:paraId="4723882E">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(4）值班人员上班时认真履行职责，不得做与工作无关的事情。</w:t>
      </w:r>
    </w:p>
    <w:p w14:paraId="7F87FA73">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(5）按照卫生防疫部门的要求使用消毒设备，水箱按规定清洗消毒、水质符合国家生活饮用水卫生标准。</w:t>
      </w:r>
    </w:p>
    <w:p w14:paraId="1DB6A928">
      <w:pPr>
        <w:widowControl/>
        <w:spacing w:line="480" w:lineRule="exact"/>
        <w:ind w:firstLine="422" w:firstLineChars="200"/>
        <w:rPr>
          <w:rFonts w:hint="eastAsia" w:ascii="宋体" w:hAnsi="宋体" w:cs="宋体"/>
          <w:b/>
          <w:szCs w:val="21"/>
          <w:highlight w:val="none"/>
        </w:rPr>
      </w:pPr>
      <w:r>
        <w:rPr>
          <w:rFonts w:hint="eastAsia" w:ascii="宋体" w:hAnsi="宋体" w:cs="宋体"/>
          <w:b/>
          <w:szCs w:val="21"/>
          <w:highlight w:val="none"/>
        </w:rPr>
        <w:t>3.7．办公区及社区绿化养护验收标准</w:t>
      </w:r>
    </w:p>
    <w:p w14:paraId="31A51A6B">
      <w:pPr>
        <w:spacing w:line="48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（1）绿化养护服务</w:t>
      </w:r>
      <w:r>
        <w:rPr>
          <w:rFonts w:hint="eastAsia" w:ascii="宋体" w:hAnsi="宋体" w:cs="宋体"/>
          <w:b/>
          <w:szCs w:val="21"/>
          <w:highlight w:val="none"/>
        </w:rPr>
        <w:t>质量要求</w:t>
      </w:r>
    </w:p>
    <w:p w14:paraId="31D290E3">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按照《城市园林绿化养护管理标准》（DB11/T213-2003）和《北京市城市绿地建设和管理等级质量标准（试行）》三级绿地养护管理标准执行。</w:t>
      </w:r>
    </w:p>
    <w:p w14:paraId="7C88768D">
      <w:pPr>
        <w:tabs>
          <w:tab w:val="left" w:pos="4410"/>
        </w:tabs>
        <w:spacing w:line="480" w:lineRule="exact"/>
        <w:ind w:firstLine="422" w:firstLineChars="200"/>
        <w:rPr>
          <w:rFonts w:hint="eastAsia" w:ascii="宋体" w:hAnsi="宋体" w:cs="宋体"/>
          <w:szCs w:val="21"/>
          <w:highlight w:val="none"/>
        </w:rPr>
      </w:pPr>
      <w:r>
        <w:rPr>
          <w:rFonts w:hint="eastAsia" w:ascii="宋体" w:hAnsi="宋体" w:cs="宋体"/>
          <w:b/>
          <w:bCs/>
          <w:szCs w:val="21"/>
          <w:highlight w:val="none"/>
        </w:rPr>
        <w:t>（2）节日摆花质量要求</w:t>
      </w:r>
    </w:p>
    <w:p w14:paraId="75091687">
      <w:pPr>
        <w:tabs>
          <w:tab w:val="left" w:pos="1134"/>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“十一”国庆期间在茶西监狱办公区和4处清河社区摆放盆栽植物。摆放出不同造型，烘托节日气氛，花坛造型及花卉品种多样化</w:t>
      </w:r>
      <w:r>
        <w:rPr>
          <w:rFonts w:hint="eastAsia"/>
          <w:highlight w:val="none"/>
          <w:lang w:eastAsia="zh-CN"/>
        </w:rPr>
        <w:t>，</w:t>
      </w:r>
      <w:r>
        <w:rPr>
          <w:rFonts w:hint="eastAsia"/>
          <w:highlight w:val="none"/>
          <w:lang w:val="en-US" w:eastAsia="zh-CN"/>
        </w:rPr>
        <w:t>鲜花费用包括在投标报价内</w:t>
      </w:r>
      <w:r>
        <w:rPr>
          <w:rFonts w:hint="eastAsia" w:ascii="宋体" w:hAnsi="宋体" w:cs="宋体"/>
          <w:szCs w:val="21"/>
          <w:highlight w:val="none"/>
        </w:rPr>
        <w:t>。</w:t>
      </w:r>
    </w:p>
    <w:p w14:paraId="1D7A306F">
      <w:pPr>
        <w:spacing w:line="480" w:lineRule="exact"/>
        <w:ind w:firstLine="422" w:firstLineChars="200"/>
        <w:rPr>
          <w:rFonts w:hint="eastAsia" w:ascii="宋体" w:hAnsi="宋体" w:cs="宋体"/>
          <w:szCs w:val="21"/>
          <w:highlight w:val="none"/>
        </w:rPr>
      </w:pPr>
      <w:r>
        <w:rPr>
          <w:rFonts w:hint="eastAsia" w:ascii="宋体" w:hAnsi="宋体" w:cs="宋体"/>
          <w:b/>
          <w:bCs/>
          <w:szCs w:val="21"/>
          <w:highlight w:val="none"/>
        </w:rPr>
        <w:t>（3）其他</w:t>
      </w:r>
    </w:p>
    <w:p w14:paraId="3204B829">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1）及时清理树挂、干枝、绿地垃圾；绿化生产垃圾要做到日产日清，绿地内无明显的废弃物，绿地、草坪内无堆物堆料、搭棚或侵占等，能坚持在重大节日前进行突击清理。</w:t>
      </w:r>
    </w:p>
    <w:p w14:paraId="2E2A2373">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2）行道树树干无明显地钉栓刻画现象，树下距树2米以内无影响树木养护管理的堆物堆料、搭棚、圈栏等。</w:t>
      </w:r>
    </w:p>
    <w:p w14:paraId="75EE4855">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3）无较重的人为损坏。对轻微或偶尔发生难以控制的人为损坏，能及时发现和处理。</w:t>
      </w:r>
    </w:p>
    <w:p w14:paraId="38393E42">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4）栏杆、园路、桌椅、井盖和牌饰等设施完整，做到及时维护和油饰。</w:t>
      </w:r>
    </w:p>
    <w:p w14:paraId="639A4ECE">
      <w:pPr>
        <w:tabs>
          <w:tab w:val="left" w:pos="4410"/>
        </w:tabs>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5）不得擅自改变原有绿化格局。</w:t>
      </w:r>
    </w:p>
    <w:p w14:paraId="07CB86CC">
      <w:pPr>
        <w:spacing w:line="480" w:lineRule="exact"/>
        <w:ind w:firstLine="422" w:firstLineChars="200"/>
        <w:jc w:val="lef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3.8．考核要求及扣分细则</w:t>
      </w:r>
    </w:p>
    <w:p w14:paraId="58853044">
      <w:pPr>
        <w:spacing w:line="480" w:lineRule="exact"/>
        <w:ind w:firstLine="422" w:firstLineChars="200"/>
        <w:jc w:val="lef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按照以上工作标准对物业公司进行日常考核，检查不符合以上工作标准的每发现一次按照下表分值扣分，并进行累加，每分值200元。每月汇总扣分，扣分所折抵的金额，直接从下个月应支付的物业服务费中扣除。</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1"/>
        <w:gridCol w:w="1111"/>
      </w:tblGrid>
      <w:tr w14:paraId="6E4D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43AAE519">
            <w:pPr>
              <w:spacing w:line="480" w:lineRule="exact"/>
              <w:jc w:val="center"/>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不符合工作标准行为</w:t>
            </w:r>
          </w:p>
        </w:tc>
        <w:tc>
          <w:tcPr>
            <w:tcW w:w="1111" w:type="dxa"/>
            <w:noWrap w:val="0"/>
            <w:vAlign w:val="top"/>
          </w:tcPr>
          <w:p w14:paraId="79B644B3">
            <w:pPr>
              <w:spacing w:line="480" w:lineRule="exact"/>
              <w:ind w:firstLine="447"/>
              <w:jc w:val="center"/>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分值</w:t>
            </w:r>
          </w:p>
        </w:tc>
      </w:tr>
      <w:tr w14:paraId="52D6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11" w:type="dxa"/>
            <w:noWrap w:val="0"/>
            <w:vAlign w:val="top"/>
          </w:tcPr>
          <w:p w14:paraId="17423C2F">
            <w:pPr>
              <w:spacing w:line="480" w:lineRule="exact"/>
              <w:textAlignment w:val="baseline"/>
              <w:rPr>
                <w:rFonts w:hint="eastAsia" w:ascii="宋体" w:hAnsi="宋体" w:cs="宋体"/>
                <w:b/>
                <w:bCs/>
                <w:kern w:val="0"/>
                <w:szCs w:val="21"/>
                <w:highlight w:val="none"/>
              </w:rPr>
            </w:pPr>
            <w:r>
              <w:rPr>
                <w:rFonts w:hint="eastAsia" w:ascii="宋体" w:hAnsi="宋体" w:cs="宋体"/>
                <w:b/>
                <w:kern w:val="0"/>
                <w:szCs w:val="21"/>
                <w:highlight w:val="none"/>
              </w:rPr>
              <w:t>办公区社区保洁、环境服务不符合以上标准的</w:t>
            </w:r>
          </w:p>
        </w:tc>
        <w:tc>
          <w:tcPr>
            <w:tcW w:w="1111" w:type="dxa"/>
            <w:noWrap w:val="0"/>
            <w:vAlign w:val="top"/>
          </w:tcPr>
          <w:p w14:paraId="7AE01E8C">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1-5</w:t>
            </w:r>
          </w:p>
        </w:tc>
      </w:tr>
      <w:tr w14:paraId="6779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30035650">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垃圾分类归集、分类运输和分类处理工作</w:t>
            </w:r>
            <w:r>
              <w:rPr>
                <w:rFonts w:hint="eastAsia" w:ascii="宋体" w:hAnsi="宋体" w:cs="宋体"/>
                <w:b/>
                <w:kern w:val="0"/>
                <w:szCs w:val="21"/>
                <w:highlight w:val="none"/>
              </w:rPr>
              <w:t>不符合以上标准的</w:t>
            </w:r>
          </w:p>
        </w:tc>
        <w:tc>
          <w:tcPr>
            <w:tcW w:w="1111" w:type="dxa"/>
            <w:noWrap w:val="0"/>
            <w:vAlign w:val="top"/>
          </w:tcPr>
          <w:p w14:paraId="2D50CDB9">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1-8</w:t>
            </w:r>
          </w:p>
        </w:tc>
      </w:tr>
      <w:tr w14:paraId="4D41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0AD91C09">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日常维修维护管理工作</w:t>
            </w:r>
            <w:r>
              <w:rPr>
                <w:rFonts w:hint="eastAsia" w:ascii="宋体" w:hAnsi="宋体" w:cs="宋体"/>
                <w:b/>
                <w:kern w:val="0"/>
                <w:szCs w:val="21"/>
                <w:highlight w:val="none"/>
              </w:rPr>
              <w:t>不符合以上标准的</w:t>
            </w:r>
          </w:p>
        </w:tc>
        <w:tc>
          <w:tcPr>
            <w:tcW w:w="1111" w:type="dxa"/>
            <w:noWrap w:val="0"/>
            <w:vAlign w:val="top"/>
          </w:tcPr>
          <w:p w14:paraId="193C3954">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1-10</w:t>
            </w:r>
          </w:p>
        </w:tc>
      </w:tr>
      <w:tr w14:paraId="4FBE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06072000">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公共场所防疫消杀工作</w:t>
            </w:r>
            <w:r>
              <w:rPr>
                <w:rFonts w:hint="eastAsia" w:ascii="宋体" w:hAnsi="宋体" w:cs="宋体"/>
                <w:b/>
                <w:kern w:val="0"/>
                <w:szCs w:val="21"/>
                <w:highlight w:val="none"/>
              </w:rPr>
              <w:t>不符合以上标准的</w:t>
            </w:r>
          </w:p>
        </w:tc>
        <w:tc>
          <w:tcPr>
            <w:tcW w:w="1111" w:type="dxa"/>
            <w:noWrap w:val="0"/>
            <w:vAlign w:val="top"/>
          </w:tcPr>
          <w:p w14:paraId="35EE5CE3">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1-8</w:t>
            </w:r>
          </w:p>
        </w:tc>
      </w:tr>
      <w:tr w14:paraId="6B93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13C4DC01">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消防、交通安全等管理服务工作</w:t>
            </w:r>
            <w:r>
              <w:rPr>
                <w:rFonts w:hint="eastAsia" w:ascii="宋体" w:hAnsi="宋体" w:cs="宋体"/>
                <w:b/>
                <w:kern w:val="0"/>
                <w:szCs w:val="21"/>
                <w:highlight w:val="none"/>
              </w:rPr>
              <w:t>不符合以上标准的</w:t>
            </w:r>
          </w:p>
        </w:tc>
        <w:tc>
          <w:tcPr>
            <w:tcW w:w="1111" w:type="dxa"/>
            <w:noWrap w:val="0"/>
            <w:vAlign w:val="top"/>
          </w:tcPr>
          <w:p w14:paraId="3095CC0C">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1-5</w:t>
            </w:r>
          </w:p>
        </w:tc>
      </w:tr>
      <w:tr w14:paraId="2CBE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331185CB">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清河社区纯净水设备维修保养，纯净水车间、泵房值守服务工作</w:t>
            </w:r>
            <w:r>
              <w:rPr>
                <w:rFonts w:hint="eastAsia" w:ascii="宋体" w:hAnsi="宋体" w:cs="宋体"/>
                <w:b/>
                <w:kern w:val="0"/>
                <w:szCs w:val="21"/>
                <w:highlight w:val="none"/>
              </w:rPr>
              <w:t>不符合以上标准的</w:t>
            </w:r>
          </w:p>
          <w:p w14:paraId="200114F4">
            <w:pPr>
              <w:spacing w:line="480" w:lineRule="exact"/>
              <w:textAlignment w:val="baseline"/>
              <w:rPr>
                <w:rFonts w:hint="eastAsia" w:ascii="宋体" w:hAnsi="宋体" w:cs="宋体"/>
                <w:b/>
                <w:bCs/>
                <w:kern w:val="0"/>
                <w:szCs w:val="21"/>
                <w:highlight w:val="none"/>
              </w:rPr>
            </w:pPr>
          </w:p>
        </w:tc>
        <w:tc>
          <w:tcPr>
            <w:tcW w:w="1111" w:type="dxa"/>
            <w:noWrap w:val="0"/>
            <w:vAlign w:val="top"/>
          </w:tcPr>
          <w:p w14:paraId="3306BFBC">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1-10</w:t>
            </w:r>
          </w:p>
        </w:tc>
      </w:tr>
      <w:tr w14:paraId="2857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3025D367">
            <w:pPr>
              <w:spacing w:line="480" w:lineRule="exact"/>
              <w:textAlignment w:val="baseline"/>
              <w:rPr>
                <w:rFonts w:hint="eastAsia" w:ascii="宋体" w:hAnsi="宋体" w:cs="宋体"/>
                <w:b/>
                <w:bCs/>
                <w:kern w:val="0"/>
                <w:szCs w:val="21"/>
                <w:highlight w:val="none"/>
              </w:rPr>
            </w:pPr>
            <w:r>
              <w:rPr>
                <w:rFonts w:hint="eastAsia" w:ascii="宋体" w:hAnsi="宋体" w:cs="宋体"/>
                <w:b/>
                <w:kern w:val="0"/>
                <w:szCs w:val="21"/>
                <w:highlight w:val="none"/>
              </w:rPr>
              <w:t>办公区及社区绿化养护服务不符合以上标准的</w:t>
            </w:r>
          </w:p>
        </w:tc>
        <w:tc>
          <w:tcPr>
            <w:tcW w:w="1111" w:type="dxa"/>
            <w:noWrap w:val="0"/>
            <w:vAlign w:val="top"/>
          </w:tcPr>
          <w:p w14:paraId="4C3A8344">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1-8</w:t>
            </w:r>
          </w:p>
        </w:tc>
      </w:tr>
      <w:tr w14:paraId="24B0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1DEC654A">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收到居民投诉物业职责范围内出现推诿、不作为等行为</w:t>
            </w:r>
          </w:p>
        </w:tc>
        <w:tc>
          <w:tcPr>
            <w:tcW w:w="1111" w:type="dxa"/>
            <w:noWrap w:val="0"/>
            <w:vAlign w:val="top"/>
          </w:tcPr>
          <w:p w14:paraId="6DC58D39">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1-10</w:t>
            </w:r>
          </w:p>
        </w:tc>
      </w:tr>
      <w:tr w14:paraId="603F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71656E7E">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不配合我单位进行社区日常管理、抢修、各项检测等行为</w:t>
            </w:r>
          </w:p>
        </w:tc>
        <w:tc>
          <w:tcPr>
            <w:tcW w:w="1111" w:type="dxa"/>
            <w:noWrap w:val="0"/>
            <w:vAlign w:val="top"/>
          </w:tcPr>
          <w:p w14:paraId="1F9A5FFF">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1-10</w:t>
            </w:r>
          </w:p>
        </w:tc>
      </w:tr>
      <w:tr w14:paraId="097C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6DC40888">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临时赋予的任务完不成的</w:t>
            </w:r>
          </w:p>
        </w:tc>
        <w:tc>
          <w:tcPr>
            <w:tcW w:w="1111" w:type="dxa"/>
            <w:noWrap w:val="0"/>
            <w:vAlign w:val="top"/>
          </w:tcPr>
          <w:p w14:paraId="67DE6903">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1-10</w:t>
            </w:r>
          </w:p>
        </w:tc>
      </w:tr>
      <w:tr w14:paraId="68DE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1" w:type="dxa"/>
            <w:noWrap w:val="0"/>
            <w:vAlign w:val="top"/>
          </w:tcPr>
          <w:p w14:paraId="07972E55">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服务人员无相应资质或不符合以上标准的</w:t>
            </w:r>
          </w:p>
        </w:tc>
        <w:tc>
          <w:tcPr>
            <w:tcW w:w="1111" w:type="dxa"/>
            <w:noWrap w:val="0"/>
            <w:vAlign w:val="top"/>
          </w:tcPr>
          <w:p w14:paraId="358952CA">
            <w:pPr>
              <w:spacing w:line="480" w:lineRule="exact"/>
              <w:textAlignment w:val="baseline"/>
              <w:rPr>
                <w:rFonts w:hint="eastAsia" w:ascii="宋体" w:hAnsi="宋体" w:cs="宋体"/>
                <w:b/>
                <w:bCs/>
                <w:kern w:val="0"/>
                <w:szCs w:val="21"/>
                <w:highlight w:val="none"/>
              </w:rPr>
            </w:pPr>
            <w:r>
              <w:rPr>
                <w:rFonts w:hint="eastAsia" w:ascii="宋体" w:hAnsi="宋体" w:cs="宋体"/>
                <w:b/>
                <w:bCs/>
                <w:kern w:val="0"/>
                <w:szCs w:val="21"/>
                <w:highlight w:val="none"/>
              </w:rPr>
              <w:t>10</w:t>
            </w:r>
          </w:p>
        </w:tc>
      </w:tr>
    </w:tbl>
    <w:p w14:paraId="70541FA0">
      <w:pPr>
        <w:tabs>
          <w:tab w:val="left" w:pos="4410"/>
        </w:tabs>
        <w:spacing w:line="480" w:lineRule="exact"/>
        <w:ind w:firstLine="482" w:firstLineChars="200"/>
        <w:rPr>
          <w:b/>
          <w:sz w:val="24"/>
          <w:highlight w:val="none"/>
        </w:rPr>
      </w:pPr>
    </w:p>
    <w:p w14:paraId="62A2C451">
      <w:pPr>
        <w:spacing w:line="360" w:lineRule="auto"/>
        <w:contextualSpacing/>
        <w:rPr>
          <w:rFonts w:hint="eastAsia" w:ascii="宋体" w:hAnsi="宋体" w:cs="宋体"/>
          <w:b/>
          <w:bCs/>
          <w:szCs w:val="21"/>
          <w:highlight w:val="none"/>
        </w:rPr>
      </w:pPr>
      <w:r>
        <w:rPr>
          <w:rFonts w:hint="eastAsia" w:ascii="宋体" w:hAnsi="宋体" w:cs="宋体"/>
          <w:b/>
          <w:bCs/>
          <w:szCs w:val="21"/>
          <w:highlight w:val="none"/>
        </w:rPr>
        <w:t>4. 其他要求</w:t>
      </w:r>
    </w:p>
    <w:p w14:paraId="76647B62">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(1）汛期</w:t>
      </w:r>
      <w:r>
        <w:rPr>
          <w:rFonts w:hint="eastAsia" w:ascii="宋体" w:hAnsi="宋体" w:cs="宋体"/>
          <w:color w:val="000000"/>
          <w:szCs w:val="21"/>
          <w:highlight w:val="none"/>
        </w:rPr>
        <w:t>或雨雪天气</w:t>
      </w:r>
      <w:r>
        <w:rPr>
          <w:rFonts w:hint="eastAsia" w:ascii="宋体" w:hAnsi="宋体" w:cs="宋体"/>
          <w:szCs w:val="21"/>
          <w:highlight w:val="none"/>
        </w:rPr>
        <w:t>配合茶西监狱有关部门做好各项应急处理和抢险工作。</w:t>
      </w:r>
    </w:p>
    <w:p w14:paraId="63411558">
      <w:pPr>
        <w:spacing w:line="480" w:lineRule="exact"/>
        <w:ind w:firstLine="420" w:firstLineChars="200"/>
        <w:rPr>
          <w:rFonts w:hint="eastAsia" w:ascii="宋体" w:hAnsi="宋体" w:cs="宋体"/>
          <w:szCs w:val="21"/>
          <w:highlight w:val="none"/>
        </w:rPr>
      </w:pPr>
      <w:r>
        <w:rPr>
          <w:rFonts w:hint="eastAsia" w:ascii="宋体" w:hAnsi="宋体" w:cs="宋体"/>
          <w:szCs w:val="21"/>
          <w:highlight w:val="none"/>
        </w:rPr>
        <w:t>(2）对基本设施进行定期巡检维护。</w:t>
      </w:r>
    </w:p>
    <w:p w14:paraId="0C9C62DB">
      <w:r>
        <w:rPr>
          <w:rFonts w:hint="eastAsia" w:ascii="宋体" w:hAnsi="宋体" w:cs="宋体"/>
          <w:kern w:val="0"/>
          <w:szCs w:val="21"/>
          <w:highlight w:val="none"/>
        </w:rPr>
        <w:t>(3）通过发放宣传手册、制作横幅、宣传栏张贴海报等方式做好社区的防火、防盗、防煤气等安全方面的宣传教育。</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212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table" w:customStyle="1" w:styleId="8">
    <w:name w:val="网格型1"/>
    <w:basedOn w:val="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2026-10-26T09:20:07Z</dcterms:created>
  <dc:creator>luozhao</dc:creator>
  <cp:lastModifiedBy>LZ</cp:lastModifiedBy>
  <dcterms:modified xsi:type="dcterms:W3CDTF">2026-10-26T09:20:28Z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1E454FB5DC654B1CA64A70AA3F67490D_12</vt:lpwstr>
  </property>
</Properties>
</file>