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D8A4AE">
      <w:pPr>
        <w:snapToGrid w:val="0"/>
        <w:spacing w:line="360" w:lineRule="auto"/>
        <w:jc w:val="center"/>
        <w:outlineLvl w:val="0"/>
        <w:rPr>
          <w:rFonts w:ascii="仿宋" w:hAnsi="仿宋" w:eastAsia="仿宋" w:cs="仿宋"/>
          <w:b/>
          <w:sz w:val="40"/>
          <w:szCs w:val="40"/>
        </w:rPr>
      </w:pPr>
      <w:r>
        <w:rPr>
          <w:rFonts w:hint="eastAsia" w:ascii="仿宋" w:hAnsi="仿宋" w:eastAsia="仿宋" w:cs="仿宋"/>
          <w:b/>
          <w:sz w:val="40"/>
          <w:szCs w:val="40"/>
        </w:rPr>
        <w:t>采购需求</w:t>
      </w:r>
    </w:p>
    <w:p w14:paraId="159C4B8C">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说明：</w:t>
      </w:r>
    </w:p>
    <w:p w14:paraId="0F7EE856">
      <w:pPr>
        <w:snapToGrid w:val="0"/>
        <w:spacing w:line="360" w:lineRule="auto"/>
        <w:contextualSpacing/>
        <w:rPr>
          <w:rFonts w:ascii="仿宋" w:hAnsi="仿宋" w:eastAsia="仿宋" w:cs="仿宋"/>
          <w:sz w:val="28"/>
          <w:szCs w:val="28"/>
        </w:rPr>
      </w:pPr>
      <w:bookmarkStart w:id="0" w:name="_Hlk167284587"/>
      <w:r>
        <w:rPr>
          <w:rFonts w:hint="eastAsia" w:ascii="仿宋" w:hAnsi="仿宋" w:eastAsia="仿宋" w:cs="仿宋"/>
          <w:sz w:val="28"/>
          <w:szCs w:val="28"/>
        </w:rPr>
        <w:t>1. 当采购项目涉及政务信息系统时，采购需求应当符合《政务信息系统政府采购管理暂行办法》（财库〔2017〕210号）的相关要求。</w:t>
      </w:r>
    </w:p>
    <w:p w14:paraId="120FD62C">
      <w:pPr>
        <w:snapToGrid w:val="0"/>
        <w:spacing w:line="360" w:lineRule="auto"/>
        <w:contextualSpacing/>
        <w:rPr>
          <w:rFonts w:ascii="仿宋" w:hAnsi="仿宋" w:eastAsia="仿宋" w:cs="仿宋"/>
          <w:sz w:val="28"/>
          <w:szCs w:val="28"/>
        </w:rPr>
      </w:pPr>
      <w:bookmarkStart w:id="1" w:name="_Hlk168431603"/>
      <w:r>
        <w:rPr>
          <w:rFonts w:hint="eastAsia" w:ascii="仿宋" w:hAnsi="仿宋" w:eastAsia="仿宋" w:cs="仿宋"/>
          <w:sz w:val="28"/>
          <w:szCs w:val="28"/>
        </w:rPr>
        <w:t>2. 采购人及采购代理机构应关注财政部门会同有关部门制定发布的需求标准，结合具体应用场景，根据对应《需求标准》确定采购需求。</w:t>
      </w:r>
    </w:p>
    <w:p w14:paraId="6BF51857">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已发布的需求标准如下：</w:t>
      </w:r>
    </w:p>
    <w:p w14:paraId="7A5383BC">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《关于印发〈商品包装政府采购需求标准（试行）〉、〈快递包装政府采购需求标准（试行）〉的通知》（财办库﹝2020﹞123号））</w:t>
      </w:r>
    </w:p>
    <w:p w14:paraId="63F019BD">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《绿色数据中心政府采购需求标准（试行）》（财库〔2023〕7号）</w:t>
      </w:r>
    </w:p>
    <w:p w14:paraId="56E2E9F6">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《台式计算机政府采购需求标准（2023年版）》（财库〔2023〕29号）</w:t>
      </w:r>
    </w:p>
    <w:p w14:paraId="179CAF75">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《便携式计算机政府采购需求标准（2023年版）》（财库〔2023〕30号）</w:t>
      </w:r>
    </w:p>
    <w:p w14:paraId="7AC7F4BC">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《一体式计算机政府采购需求标准（2023年版）》（财库〔2023〕31号）</w:t>
      </w:r>
    </w:p>
    <w:p w14:paraId="087F4D46">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《工作站政府采购需求标准（2023年版）》（财库〔2023〕32号）</w:t>
      </w:r>
    </w:p>
    <w:p w14:paraId="4A68375C">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《通用服务器政府采购需求标准（2023年版）》（财库〔2023〕33号）</w:t>
      </w:r>
    </w:p>
    <w:p w14:paraId="3CBBA392">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《操作系统政府采购需求标准（2023年版）》（财库〔2023〕34号）</w:t>
      </w:r>
    </w:p>
    <w:p w14:paraId="257DD972">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《数据库政府采购需求标准（2023年版）》（财库〔2023〕35号）</w:t>
      </w:r>
    </w:p>
    <w:p w14:paraId="130D2EBF">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《物业管理服务政府采购需求标准（办公场所类）（试行）》（财办库〔2024〕113号）</w:t>
      </w:r>
    </w:p>
    <w:p w14:paraId="4427C990">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如有更新或增加，以财政部门发布为准。</w:t>
      </w:r>
      <w:bookmarkEnd w:id="0"/>
      <w:bookmarkEnd w:id="1"/>
    </w:p>
    <w:p w14:paraId="21D02132">
      <w:pPr>
        <w:widowControl/>
        <w:snapToGrid w:val="0"/>
        <w:spacing w:line="360" w:lineRule="auto"/>
        <w:jc w:val="left"/>
        <w:rPr>
          <w:rFonts w:ascii="仿宋" w:hAnsi="仿宋" w:eastAsia="仿宋" w:cs="仿宋"/>
          <w:b/>
          <w:sz w:val="28"/>
          <w:szCs w:val="28"/>
        </w:rPr>
      </w:pPr>
      <w:r>
        <w:rPr>
          <w:rFonts w:ascii="仿宋" w:hAnsi="仿宋" w:eastAsia="仿宋" w:cs="仿宋"/>
          <w:b/>
          <w:sz w:val="28"/>
          <w:szCs w:val="28"/>
        </w:rPr>
        <w:br w:type="page"/>
      </w:r>
    </w:p>
    <w:p w14:paraId="240D69CC">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一、采购标的</w:t>
      </w:r>
    </w:p>
    <w:p w14:paraId="0902FC9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3"/>
        <w:tblW w:w="498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852"/>
        <w:gridCol w:w="3296"/>
        <w:gridCol w:w="818"/>
        <w:gridCol w:w="936"/>
        <w:gridCol w:w="1960"/>
      </w:tblGrid>
      <w:tr w14:paraId="753D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0" w:type="pct"/>
            <w:vAlign w:val="center"/>
          </w:tcPr>
          <w:p w14:paraId="0488233B">
            <w:pPr>
              <w:widowControl/>
              <w:jc w:val="center"/>
              <w:rPr>
                <w:rFonts w:ascii="仿宋" w:hAnsi="仿宋" w:eastAsia="仿宋" w:cs="宋体"/>
                <w:kern w:val="0"/>
                <w:sz w:val="24"/>
              </w:rPr>
            </w:pPr>
            <w:r>
              <w:rPr>
                <w:rFonts w:hint="eastAsia" w:ascii="仿宋" w:hAnsi="仿宋" w:eastAsia="仿宋" w:cs="宋体"/>
                <w:kern w:val="0"/>
                <w:sz w:val="24"/>
              </w:rPr>
              <w:t>包号</w:t>
            </w:r>
          </w:p>
        </w:tc>
        <w:tc>
          <w:tcPr>
            <w:tcW w:w="502" w:type="pct"/>
            <w:vAlign w:val="center"/>
          </w:tcPr>
          <w:p w14:paraId="48E8F19D">
            <w:pPr>
              <w:widowControl/>
              <w:jc w:val="center"/>
              <w:rPr>
                <w:rFonts w:ascii="仿宋" w:hAnsi="仿宋" w:eastAsia="仿宋" w:cs="宋体"/>
                <w:kern w:val="0"/>
                <w:sz w:val="24"/>
              </w:rPr>
            </w:pPr>
            <w:r>
              <w:rPr>
                <w:rFonts w:hint="eastAsia" w:ascii="仿宋" w:hAnsi="仿宋" w:eastAsia="仿宋" w:cs="宋体"/>
                <w:kern w:val="0"/>
                <w:sz w:val="24"/>
              </w:rPr>
              <w:t>品目号</w:t>
            </w:r>
          </w:p>
        </w:tc>
        <w:tc>
          <w:tcPr>
            <w:tcW w:w="1941" w:type="pct"/>
            <w:vAlign w:val="center"/>
          </w:tcPr>
          <w:p w14:paraId="523C116C">
            <w:pPr>
              <w:widowControl/>
              <w:jc w:val="center"/>
              <w:rPr>
                <w:rFonts w:ascii="仿宋" w:hAnsi="仿宋" w:eastAsia="仿宋" w:cs="宋体"/>
                <w:kern w:val="0"/>
                <w:sz w:val="24"/>
              </w:rPr>
            </w:pPr>
            <w:r>
              <w:rPr>
                <w:rFonts w:hint="eastAsia" w:ascii="仿宋" w:hAnsi="仿宋" w:eastAsia="仿宋" w:cs="宋体"/>
                <w:kern w:val="0"/>
                <w:sz w:val="24"/>
              </w:rPr>
              <w:t>标的名称</w:t>
            </w:r>
          </w:p>
        </w:tc>
        <w:tc>
          <w:tcPr>
            <w:tcW w:w="482" w:type="pct"/>
            <w:vAlign w:val="center"/>
          </w:tcPr>
          <w:p w14:paraId="2D253CB0">
            <w:pPr>
              <w:snapToGrid w:val="0"/>
              <w:jc w:val="center"/>
              <w:rPr>
                <w:rFonts w:ascii="仿宋" w:hAnsi="仿宋" w:eastAsia="仿宋" w:cs="仿宋"/>
                <w:bCs/>
                <w:sz w:val="24"/>
              </w:rPr>
            </w:pPr>
            <w:r>
              <w:rPr>
                <w:rFonts w:hint="eastAsia" w:ascii="仿宋" w:hAnsi="仿宋" w:eastAsia="仿宋" w:cs="仿宋"/>
                <w:bCs/>
                <w:sz w:val="24"/>
              </w:rPr>
              <w:t>数量</w:t>
            </w:r>
          </w:p>
        </w:tc>
        <w:tc>
          <w:tcPr>
            <w:tcW w:w="551" w:type="pct"/>
            <w:vAlign w:val="center"/>
          </w:tcPr>
          <w:p w14:paraId="1C384637">
            <w:pPr>
              <w:snapToGrid w:val="0"/>
              <w:jc w:val="center"/>
              <w:rPr>
                <w:rFonts w:ascii="仿宋" w:hAnsi="仿宋" w:eastAsia="仿宋" w:cs="仿宋"/>
                <w:bCs/>
                <w:sz w:val="24"/>
              </w:rPr>
            </w:pPr>
            <w:r>
              <w:rPr>
                <w:rFonts w:hint="eastAsia" w:ascii="仿宋" w:hAnsi="仿宋" w:eastAsia="仿宋" w:cs="仿宋"/>
                <w:bCs/>
                <w:sz w:val="24"/>
              </w:rPr>
              <w:t>单位</w:t>
            </w:r>
          </w:p>
        </w:tc>
        <w:tc>
          <w:tcPr>
            <w:tcW w:w="1154" w:type="pct"/>
            <w:vAlign w:val="center"/>
          </w:tcPr>
          <w:p w14:paraId="44A08104">
            <w:pPr>
              <w:widowControl/>
              <w:jc w:val="center"/>
              <w:rPr>
                <w:rFonts w:ascii="仿宋" w:hAnsi="仿宋" w:eastAsia="仿宋" w:cs="宋体"/>
                <w:kern w:val="0"/>
                <w:sz w:val="24"/>
              </w:rPr>
            </w:pPr>
            <w:r>
              <w:rPr>
                <w:rFonts w:hint="eastAsia" w:ascii="仿宋" w:hAnsi="仿宋" w:eastAsia="仿宋" w:cs="宋体"/>
                <w:kern w:val="0"/>
                <w:sz w:val="24"/>
              </w:rPr>
              <w:t>是否接受进口产品</w:t>
            </w:r>
          </w:p>
        </w:tc>
      </w:tr>
      <w:tr w14:paraId="3625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370" w:type="pct"/>
            <w:noWrap/>
            <w:vAlign w:val="center"/>
          </w:tcPr>
          <w:p w14:paraId="0CFCF002">
            <w:pPr>
              <w:widowControl/>
              <w:jc w:val="center"/>
              <w:rPr>
                <w:rFonts w:ascii="仿宋" w:hAnsi="仿宋" w:eastAsia="仿宋" w:cs="宋体"/>
                <w:kern w:val="0"/>
                <w:sz w:val="24"/>
              </w:rPr>
            </w:pPr>
            <w:r>
              <w:rPr>
                <w:rFonts w:hint="eastAsia" w:ascii="仿宋" w:hAnsi="仿宋" w:eastAsia="仿宋" w:cs="宋体"/>
                <w:kern w:val="0"/>
                <w:sz w:val="24"/>
              </w:rPr>
              <w:t>4</w:t>
            </w:r>
          </w:p>
        </w:tc>
        <w:tc>
          <w:tcPr>
            <w:tcW w:w="502" w:type="pct"/>
            <w:noWrap/>
            <w:vAlign w:val="center"/>
          </w:tcPr>
          <w:p w14:paraId="44E2C70D">
            <w:pPr>
              <w:widowControl/>
              <w:jc w:val="center"/>
              <w:rPr>
                <w:rFonts w:ascii="仿宋" w:hAnsi="仿宋" w:eastAsia="仿宋" w:cs="宋体"/>
                <w:kern w:val="0"/>
                <w:sz w:val="24"/>
              </w:rPr>
            </w:pPr>
            <w:r>
              <w:rPr>
                <w:rFonts w:hint="eastAsia" w:ascii="仿宋" w:hAnsi="仿宋" w:eastAsia="仿宋" w:cs="宋体"/>
                <w:kern w:val="0"/>
                <w:sz w:val="24"/>
              </w:rPr>
              <w:t>4-1</w:t>
            </w:r>
          </w:p>
        </w:tc>
        <w:tc>
          <w:tcPr>
            <w:tcW w:w="1941" w:type="pct"/>
            <w:vAlign w:val="center"/>
          </w:tcPr>
          <w:p w14:paraId="7991AEEF">
            <w:pPr>
              <w:widowControl/>
              <w:jc w:val="center"/>
              <w:rPr>
                <w:rFonts w:ascii="仿宋" w:hAnsi="仿宋" w:eastAsia="仿宋" w:cs="宋体"/>
                <w:kern w:val="0"/>
                <w:sz w:val="24"/>
              </w:rPr>
            </w:pPr>
            <w:r>
              <w:rPr>
                <w:rFonts w:hint="eastAsia" w:ascii="仿宋" w:hAnsi="仿宋" w:eastAsia="仿宋" w:cs="宋体"/>
                <w:kern w:val="0"/>
                <w:sz w:val="24"/>
              </w:rPr>
              <w:t>鼻咽喉镜系统</w:t>
            </w:r>
          </w:p>
        </w:tc>
        <w:tc>
          <w:tcPr>
            <w:tcW w:w="482" w:type="pct"/>
            <w:vAlign w:val="center"/>
          </w:tcPr>
          <w:p w14:paraId="0162D244">
            <w:pPr>
              <w:widowControl/>
              <w:jc w:val="center"/>
              <w:rPr>
                <w:rFonts w:ascii="仿宋" w:hAnsi="仿宋" w:eastAsia="仿宋" w:cs="宋体"/>
                <w:kern w:val="0"/>
                <w:sz w:val="24"/>
              </w:rPr>
            </w:pPr>
            <w:r>
              <w:rPr>
                <w:rFonts w:hint="eastAsia" w:ascii="仿宋" w:hAnsi="仿宋" w:eastAsia="仿宋" w:cs="宋体"/>
                <w:kern w:val="0"/>
                <w:sz w:val="24"/>
              </w:rPr>
              <w:t>1</w:t>
            </w:r>
          </w:p>
        </w:tc>
        <w:tc>
          <w:tcPr>
            <w:tcW w:w="551" w:type="pct"/>
            <w:noWrap/>
            <w:vAlign w:val="center"/>
          </w:tcPr>
          <w:p w14:paraId="17A229ED">
            <w:pPr>
              <w:widowControl/>
              <w:jc w:val="center"/>
              <w:rPr>
                <w:rFonts w:ascii="仿宋" w:hAnsi="仿宋" w:eastAsia="仿宋" w:cs="宋体"/>
                <w:kern w:val="0"/>
                <w:sz w:val="24"/>
              </w:rPr>
            </w:pPr>
            <w:r>
              <w:rPr>
                <w:rFonts w:hint="eastAsia" w:ascii="仿宋" w:hAnsi="仿宋" w:eastAsia="仿宋" w:cs="宋体"/>
                <w:kern w:val="0"/>
                <w:sz w:val="24"/>
              </w:rPr>
              <w:t>套</w:t>
            </w:r>
          </w:p>
        </w:tc>
        <w:tc>
          <w:tcPr>
            <w:tcW w:w="1154" w:type="pct"/>
            <w:vAlign w:val="center"/>
          </w:tcPr>
          <w:p w14:paraId="0F04E356">
            <w:pPr>
              <w:widowControl/>
              <w:jc w:val="center"/>
              <w:rPr>
                <w:rFonts w:ascii="仿宋" w:hAnsi="仿宋" w:eastAsia="仿宋" w:cs="宋体"/>
                <w:kern w:val="0"/>
                <w:sz w:val="24"/>
              </w:rPr>
            </w:pPr>
            <w:r>
              <w:rPr>
                <w:rFonts w:hint="eastAsia" w:ascii="仿宋" w:hAnsi="仿宋" w:eastAsia="仿宋" w:cs="宋体"/>
                <w:kern w:val="0"/>
                <w:sz w:val="24"/>
              </w:rPr>
              <w:t>否</w:t>
            </w:r>
          </w:p>
        </w:tc>
      </w:tr>
    </w:tbl>
    <w:p w14:paraId="5E35056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（二）项目背景/项目概述（如有）</w:t>
      </w:r>
    </w:p>
    <w:p w14:paraId="1BB5B30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用于患者鼻咽喉检查。</w:t>
      </w:r>
    </w:p>
    <w:p w14:paraId="2B040A78">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二、商务要求</w:t>
      </w:r>
    </w:p>
    <w:p w14:paraId="1CE2C58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（一）交付（实施）的时间（期限）和地点（范围）</w:t>
      </w:r>
    </w:p>
    <w:p w14:paraId="17DDA0F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1、交付时间：签订合同后三个月内。</w:t>
      </w:r>
    </w:p>
    <w:p w14:paraId="336384D8">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2、交付地点：北京清华长庚医院指定地点。</w:t>
      </w:r>
    </w:p>
    <w:p w14:paraId="2EFE043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（二）付款条件（进度和方式）</w:t>
      </w:r>
    </w:p>
    <w:p w14:paraId="1E1BBF5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合同签订后且采购人收到中标人提交的预付款保函后付30%，到货初验合格且试用期满后付65%，，剩余5%作为履约保证金，待合同约定的质量保修期届满，中标人在保修期内已全面履行保修义务且不存在任何其他违约行为的，经采购人书面确认后30日内，由采购人支付中标人剩余履约保证金。（详见合同）</w:t>
      </w:r>
    </w:p>
    <w:p w14:paraId="25CC7DB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（三）包装和运输</w:t>
      </w:r>
    </w:p>
    <w:p w14:paraId="0F57BB3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32890BF7">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（四）售后服务（质保期）</w:t>
      </w:r>
    </w:p>
    <w:p w14:paraId="6201108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1、自设备验收完成之日起，整机质保期≥5年（含电子鼻咽喉镜），提供原厂质保承诺盖章文件；质保期内依原厂规定执行定期保养与校正，中标厂商提供保养工具及设备。</w:t>
      </w:r>
    </w:p>
    <w:p w14:paraId="6ED61E5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2、质保期内已购软件免费升级。</w:t>
      </w:r>
    </w:p>
    <w:p w14:paraId="77A1E27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3、提供新增软、硬件购置折扣计价方式。</w:t>
      </w:r>
    </w:p>
    <w:p w14:paraId="4D5FCC1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4、提供主要零件编号及价格，零件供应≥10年。</w:t>
      </w:r>
    </w:p>
    <w:p w14:paraId="21513175">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三、技术要求</w:t>
      </w:r>
    </w:p>
    <w:p w14:paraId="1E5BCFC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（一）基本要求</w:t>
      </w:r>
    </w:p>
    <w:p w14:paraId="64F4832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1、采购标的需实现的功能或者目标</w:t>
      </w:r>
    </w:p>
    <w:p w14:paraId="70D9ED0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本次招标采购是为北京清华长庚医院配置基本设备，</w:t>
      </w:r>
      <w:r>
        <w:rPr>
          <w:rFonts w:hint="eastAsia" w:ascii="仿宋" w:hAnsi="仿宋" w:eastAsia="仿宋"/>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29E7B7C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2、需执行的国家相关标准、行业标准、地方标准或者其他标准、规范</w:t>
      </w:r>
    </w:p>
    <w:p w14:paraId="608DBC2F">
      <w:pPr>
        <w:snapToGrid w:val="0"/>
        <w:spacing w:line="360" w:lineRule="auto"/>
        <w:ind w:firstLine="482" w:firstLineChars="200"/>
        <w:rPr>
          <w:rFonts w:ascii="仿宋" w:hAnsi="仿宋" w:eastAsia="仿宋" w:cs="仿宋"/>
          <w:b/>
          <w:bCs/>
          <w:sz w:val="24"/>
        </w:rPr>
      </w:pPr>
      <w:r>
        <w:rPr>
          <w:rFonts w:ascii="仿宋" w:hAnsi="仿宋" w:eastAsia="仿宋" w:cs="仿宋"/>
          <w:b/>
          <w:bCs/>
          <w:sz w:val="24"/>
        </w:rPr>
        <w:t>★</w:t>
      </w:r>
      <w:r>
        <w:rPr>
          <w:rFonts w:hint="eastAsia" w:ascii="仿宋" w:hAnsi="仿宋" w:eastAsia="仿宋" w:cs="仿宋"/>
          <w:b/>
          <w:bCs/>
          <w:sz w:val="24"/>
        </w:rPr>
        <w:t>2.1、</w:t>
      </w:r>
      <w:r>
        <w:rPr>
          <w:rFonts w:ascii="仿宋" w:hAnsi="仿宋" w:eastAsia="仿宋" w:cs="仿宋"/>
          <w:b/>
          <w:bCs/>
          <w:sz w:val="24"/>
        </w:rPr>
        <w:t>投标产品属于医疗器械的，应按原国家食品药品监督管理</w:t>
      </w:r>
      <w:r>
        <w:rPr>
          <w:rFonts w:hint="eastAsia" w:ascii="仿宋" w:hAnsi="仿宋" w:eastAsia="仿宋" w:cs="仿宋"/>
          <w:b/>
          <w:bCs/>
          <w:sz w:val="24"/>
        </w:rPr>
        <w:t>总</w:t>
      </w:r>
      <w:r>
        <w:rPr>
          <w:rFonts w:ascii="仿宋" w:hAnsi="仿宋" w:eastAsia="仿宋" w:cs="仿宋"/>
          <w:b/>
          <w:bCs/>
          <w:sz w:val="24"/>
        </w:rPr>
        <w:t>局颁发的</w:t>
      </w:r>
      <w:r>
        <w:rPr>
          <w:rFonts w:hint="eastAsia" w:ascii="仿宋" w:hAnsi="仿宋" w:eastAsia="仿宋" w:cs="仿宋"/>
          <w:b/>
          <w:bCs/>
          <w:sz w:val="24"/>
        </w:rPr>
        <w:t>《医疗器械注册管理办法》</w:t>
      </w:r>
      <w:r>
        <w:rPr>
          <w:rFonts w:ascii="仿宋" w:hAnsi="仿宋" w:eastAsia="仿宋" w:cs="仿宋"/>
          <w:b/>
          <w:bCs/>
          <w:sz w:val="24"/>
        </w:rPr>
        <w:t>，办理医疗器械注册证或者办理备案，</w:t>
      </w:r>
      <w:r>
        <w:rPr>
          <w:rFonts w:hint="eastAsia" w:ascii="仿宋" w:hAnsi="仿宋" w:eastAsia="仿宋" w:cs="仿宋"/>
          <w:b/>
          <w:bCs/>
          <w:sz w:val="24"/>
        </w:rPr>
        <w:t>投标人</w:t>
      </w:r>
      <w:r>
        <w:rPr>
          <w:rFonts w:ascii="仿宋" w:hAnsi="仿宋" w:eastAsia="仿宋" w:cs="仿宋"/>
          <w:b/>
          <w:bCs/>
          <w:sz w:val="24"/>
        </w:rPr>
        <w:t>须提供医疗器械注册证复印件</w:t>
      </w:r>
      <w:r>
        <w:rPr>
          <w:rFonts w:hint="eastAsia" w:ascii="仿宋" w:hAnsi="仿宋" w:eastAsia="仿宋" w:cs="仿宋"/>
          <w:b/>
          <w:bCs/>
          <w:sz w:val="24"/>
        </w:rPr>
        <w:t>或</w:t>
      </w:r>
      <w:r>
        <w:rPr>
          <w:rFonts w:ascii="仿宋" w:hAnsi="仿宋" w:eastAsia="仿宋" w:cs="仿宋"/>
          <w:b/>
          <w:bCs/>
          <w:sz w:val="24"/>
        </w:rPr>
        <w:t>备案凭证。</w:t>
      </w:r>
    </w:p>
    <w:p w14:paraId="2E9822A1">
      <w:pPr>
        <w:snapToGrid w:val="0"/>
        <w:spacing w:line="360" w:lineRule="auto"/>
        <w:ind w:firstLine="482" w:firstLineChars="200"/>
        <w:rPr>
          <w:rFonts w:ascii="仿宋" w:hAnsi="仿宋" w:eastAsia="仿宋" w:cs="仿宋"/>
          <w:b/>
          <w:bCs/>
          <w:sz w:val="24"/>
        </w:rPr>
      </w:pPr>
      <w:r>
        <w:rPr>
          <w:rFonts w:ascii="仿宋" w:hAnsi="仿宋" w:eastAsia="仿宋" w:cs="仿宋"/>
          <w:b/>
          <w:bCs/>
          <w:sz w:val="24"/>
        </w:rPr>
        <w:t>★</w:t>
      </w:r>
      <w:r>
        <w:rPr>
          <w:rFonts w:hint="eastAsia" w:ascii="仿宋" w:hAnsi="仿宋" w:eastAsia="仿宋" w:cs="仿宋"/>
          <w:b/>
          <w:bCs/>
          <w:sz w:val="24"/>
        </w:rPr>
        <w:t>2.2、</w:t>
      </w:r>
      <w:r>
        <w:rPr>
          <w:rFonts w:ascii="仿宋" w:hAnsi="仿宋" w:eastAsia="仿宋" w:cs="仿宋"/>
          <w:b/>
          <w:bCs/>
          <w:sz w:val="24"/>
        </w:rPr>
        <w:t>投标产品属于医疗器械的，</w:t>
      </w:r>
      <w:r>
        <w:rPr>
          <w:rFonts w:hint="eastAsia" w:ascii="仿宋" w:hAnsi="仿宋" w:eastAsia="仿宋" w:cs="仿宋"/>
          <w:b/>
          <w:bCs/>
          <w:sz w:val="24"/>
        </w:rPr>
        <w:t>中华人民共和国境内制造商</w:t>
      </w:r>
      <w:r>
        <w:rPr>
          <w:rFonts w:ascii="仿宋" w:hAnsi="仿宋" w:eastAsia="仿宋" w:cs="仿宋"/>
          <w:b/>
          <w:bCs/>
          <w:sz w:val="24"/>
        </w:rPr>
        <w:t>应按原国家食品药品监督管理</w:t>
      </w:r>
      <w:r>
        <w:rPr>
          <w:rFonts w:hint="eastAsia" w:ascii="仿宋" w:hAnsi="仿宋" w:eastAsia="仿宋" w:cs="仿宋"/>
          <w:b/>
          <w:bCs/>
          <w:sz w:val="24"/>
        </w:rPr>
        <w:t>总</w:t>
      </w:r>
      <w:r>
        <w:rPr>
          <w:rFonts w:ascii="仿宋" w:hAnsi="仿宋" w:eastAsia="仿宋" w:cs="仿宋"/>
          <w:b/>
          <w:bCs/>
          <w:sz w:val="24"/>
        </w:rPr>
        <w:t>局颁发的</w:t>
      </w:r>
      <w:r>
        <w:rPr>
          <w:rFonts w:hint="eastAsia" w:ascii="仿宋" w:hAnsi="仿宋" w:eastAsia="仿宋" w:cs="仿宋"/>
          <w:b/>
          <w:bCs/>
          <w:sz w:val="24"/>
        </w:rPr>
        <w:t>《医疗器械生产监督管理办法》</w:t>
      </w:r>
      <w:r>
        <w:rPr>
          <w:rFonts w:ascii="仿宋" w:hAnsi="仿宋" w:eastAsia="仿宋" w:cs="仿宋"/>
          <w:b/>
          <w:bCs/>
          <w:sz w:val="24"/>
        </w:rPr>
        <w:t>，办理医疗器械</w:t>
      </w:r>
      <w:r>
        <w:rPr>
          <w:rFonts w:hint="eastAsia" w:ascii="仿宋" w:hAnsi="仿宋" w:eastAsia="仿宋" w:cs="仿宋"/>
          <w:b/>
          <w:bCs/>
          <w:sz w:val="24"/>
        </w:rPr>
        <w:t>生产许可证</w:t>
      </w:r>
      <w:r>
        <w:rPr>
          <w:rFonts w:ascii="仿宋" w:hAnsi="仿宋" w:eastAsia="仿宋" w:cs="仿宋"/>
          <w:b/>
          <w:bCs/>
          <w:sz w:val="24"/>
        </w:rPr>
        <w:t>或者办理备案，</w:t>
      </w:r>
      <w:r>
        <w:rPr>
          <w:rFonts w:hint="eastAsia" w:ascii="仿宋" w:hAnsi="仿宋" w:eastAsia="仿宋" w:cs="仿宋"/>
          <w:b/>
          <w:bCs/>
          <w:sz w:val="24"/>
        </w:rPr>
        <w:t>投标人</w:t>
      </w:r>
      <w:r>
        <w:rPr>
          <w:rFonts w:ascii="仿宋" w:hAnsi="仿宋" w:eastAsia="仿宋" w:cs="仿宋"/>
          <w:b/>
          <w:bCs/>
          <w:sz w:val="24"/>
        </w:rPr>
        <w:t>须提供医疗器械</w:t>
      </w:r>
      <w:r>
        <w:rPr>
          <w:rFonts w:hint="eastAsia" w:ascii="仿宋" w:hAnsi="仿宋" w:eastAsia="仿宋" w:cs="仿宋"/>
          <w:b/>
          <w:bCs/>
          <w:sz w:val="24"/>
        </w:rPr>
        <w:t>生产许可证</w:t>
      </w:r>
      <w:r>
        <w:rPr>
          <w:rFonts w:ascii="仿宋" w:hAnsi="仿宋" w:eastAsia="仿宋" w:cs="仿宋"/>
          <w:b/>
          <w:bCs/>
          <w:sz w:val="24"/>
        </w:rPr>
        <w:t>复印件</w:t>
      </w:r>
      <w:r>
        <w:rPr>
          <w:rFonts w:hint="eastAsia" w:ascii="仿宋" w:hAnsi="仿宋" w:eastAsia="仿宋" w:cs="仿宋"/>
          <w:b/>
          <w:bCs/>
          <w:sz w:val="24"/>
        </w:rPr>
        <w:t>或</w:t>
      </w:r>
      <w:r>
        <w:rPr>
          <w:rFonts w:ascii="仿宋" w:hAnsi="仿宋" w:eastAsia="仿宋" w:cs="仿宋"/>
          <w:b/>
          <w:bCs/>
          <w:sz w:val="24"/>
        </w:rPr>
        <w:t>备案凭证</w:t>
      </w:r>
      <w:r>
        <w:rPr>
          <w:rFonts w:hint="eastAsia" w:ascii="仿宋" w:hAnsi="仿宋" w:eastAsia="仿宋" w:cs="仿宋"/>
          <w:b/>
          <w:bCs/>
          <w:sz w:val="24"/>
        </w:rPr>
        <w:t>。</w:t>
      </w:r>
    </w:p>
    <w:p w14:paraId="2589E828">
      <w:pPr>
        <w:snapToGrid w:val="0"/>
        <w:spacing w:line="360" w:lineRule="auto"/>
        <w:ind w:firstLine="482" w:firstLineChars="200"/>
        <w:rPr>
          <w:rFonts w:ascii="仿宋" w:hAnsi="仿宋" w:eastAsia="仿宋" w:cs="仿宋"/>
          <w:b/>
          <w:bCs/>
          <w:sz w:val="24"/>
        </w:rPr>
      </w:pPr>
      <w:r>
        <w:rPr>
          <w:rFonts w:ascii="仿宋" w:hAnsi="仿宋" w:eastAsia="仿宋" w:cs="仿宋"/>
          <w:b/>
          <w:bCs/>
          <w:sz w:val="24"/>
        </w:rPr>
        <w:t>★</w:t>
      </w:r>
      <w:r>
        <w:rPr>
          <w:rFonts w:hint="eastAsia" w:ascii="仿宋" w:hAnsi="仿宋" w:eastAsia="仿宋" w:cs="仿宋"/>
          <w:b/>
          <w:bCs/>
          <w:sz w:val="24"/>
        </w:rPr>
        <w:t>2.3、</w:t>
      </w:r>
      <w:r>
        <w:rPr>
          <w:rFonts w:ascii="仿宋" w:hAnsi="仿宋" w:eastAsia="仿宋" w:cs="仿宋"/>
          <w:b/>
          <w:bCs/>
          <w:sz w:val="24"/>
        </w:rPr>
        <w:t>投标产品属于</w:t>
      </w:r>
      <w:r>
        <w:rPr>
          <w:rFonts w:hint="eastAsia" w:ascii="仿宋" w:hAnsi="仿宋" w:eastAsia="仿宋" w:cs="仿宋"/>
          <w:b/>
          <w:bCs/>
          <w:sz w:val="24"/>
        </w:rPr>
        <w:t>辐射或射线类的设备或材料的，需提供投标人及投标产品制造商的辐射安全许可证</w:t>
      </w:r>
      <w:r>
        <w:rPr>
          <w:rFonts w:ascii="仿宋" w:hAnsi="仿宋" w:eastAsia="仿宋" w:cs="仿宋"/>
          <w:b/>
          <w:bCs/>
          <w:sz w:val="24"/>
        </w:rPr>
        <w:t>复印件</w:t>
      </w:r>
      <w:r>
        <w:rPr>
          <w:rFonts w:hint="eastAsia" w:ascii="仿宋" w:hAnsi="仿宋" w:eastAsia="仿宋" w:cs="仿宋"/>
          <w:b/>
          <w:bCs/>
          <w:sz w:val="24"/>
        </w:rPr>
        <w:t>（不适用的情况除外）。投标产品属于压力容器的，投标人需要根据国家特种设备制造相关管理规定，提供投标产品制造商的特种设备制造许可证（压力容器）。</w:t>
      </w:r>
    </w:p>
    <w:p w14:paraId="6C97AEAB">
      <w:pPr>
        <w:snapToGrid w:val="0"/>
        <w:spacing w:line="360" w:lineRule="auto"/>
        <w:ind w:firstLine="482" w:firstLineChars="200"/>
        <w:rPr>
          <w:rFonts w:ascii="仿宋" w:hAnsi="仿宋" w:eastAsia="仿宋" w:cs="仿宋"/>
          <w:b/>
          <w:bCs/>
          <w:sz w:val="24"/>
        </w:rPr>
      </w:pPr>
      <w:r>
        <w:rPr>
          <w:rFonts w:ascii="仿宋" w:hAnsi="仿宋" w:eastAsia="仿宋" w:cs="仿宋"/>
          <w:b/>
          <w:bCs/>
          <w:sz w:val="24"/>
        </w:rPr>
        <w:t>★</w:t>
      </w:r>
      <w:r>
        <w:rPr>
          <w:rFonts w:hint="eastAsia" w:ascii="仿宋" w:hAnsi="仿宋" w:eastAsia="仿宋" w:cs="仿宋"/>
          <w:b/>
          <w:bCs/>
          <w:sz w:val="24"/>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w:t>
      </w:r>
      <w:r>
        <w:rPr>
          <w:rFonts w:ascii="仿宋" w:hAnsi="仿宋" w:eastAsia="仿宋" w:cs="仿宋"/>
          <w:b/>
          <w:bCs/>
          <w:sz w:val="24"/>
        </w:rPr>
        <w:t>相关证明文件的复印件</w:t>
      </w:r>
      <w:r>
        <w:rPr>
          <w:rFonts w:hint="eastAsia" w:ascii="仿宋" w:hAnsi="仿宋" w:eastAsia="仿宋" w:cs="仿宋"/>
          <w:b/>
          <w:bCs/>
          <w:sz w:val="24"/>
        </w:rPr>
        <w:t>。</w:t>
      </w:r>
    </w:p>
    <w:p w14:paraId="561FB8D3">
      <w:pPr>
        <w:pStyle w:val="2"/>
        <w:rPr>
          <w:rFonts w:ascii="仿宋" w:hAnsi="仿宋" w:eastAsia="仿宋"/>
        </w:rPr>
      </w:pPr>
    </w:p>
    <w:p w14:paraId="48F1872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（二）服务内容及要求/货物技术要求</w:t>
      </w:r>
    </w:p>
    <w:p w14:paraId="5726B50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7C95F26E">
      <w:pPr>
        <w:snapToGrid w:val="0"/>
        <w:spacing w:line="360" w:lineRule="auto"/>
        <w:ind w:firstLine="482" w:firstLineChars="200"/>
        <w:jc w:val="center"/>
        <w:rPr>
          <w:rFonts w:ascii="仿宋" w:hAnsi="仿宋" w:eastAsia="仿宋" w:cs="仿宋"/>
          <w:b/>
          <w:bCs/>
          <w:sz w:val="24"/>
        </w:rPr>
      </w:pPr>
      <w:r>
        <w:rPr>
          <w:rFonts w:ascii="仿宋" w:hAnsi="仿宋" w:eastAsia="仿宋" w:cs="仿宋"/>
          <w:b/>
          <w:bCs/>
          <w:sz w:val="24"/>
        </w:rPr>
        <w:t>第</w:t>
      </w:r>
      <w:r>
        <w:rPr>
          <w:rFonts w:hint="eastAsia" w:ascii="仿宋" w:hAnsi="仿宋" w:eastAsia="仿宋" w:cs="仿宋"/>
          <w:b/>
          <w:bCs/>
          <w:sz w:val="24"/>
        </w:rPr>
        <w:t xml:space="preserve">4包 </w:t>
      </w:r>
      <w:r>
        <w:rPr>
          <w:rFonts w:ascii="仿宋" w:hAnsi="仿宋" w:eastAsia="仿宋" w:cs="仿宋"/>
          <w:b/>
          <w:bCs/>
          <w:sz w:val="24"/>
        </w:rPr>
        <w:t>品目</w:t>
      </w:r>
      <w:r>
        <w:rPr>
          <w:rFonts w:hint="eastAsia" w:ascii="仿宋" w:hAnsi="仿宋" w:eastAsia="仿宋" w:cs="仿宋"/>
          <w:b/>
          <w:bCs/>
          <w:sz w:val="24"/>
        </w:rPr>
        <w:t>4-1鼻咽喉镜系统</w:t>
      </w:r>
    </w:p>
    <w:p w14:paraId="448421B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1.1、图像处理器：</w:t>
      </w:r>
    </w:p>
    <w:p w14:paraId="604A112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1.1.1、主机具备≥4英寸操控显示屏，支持电容触控。</w:t>
      </w:r>
    </w:p>
    <w:p w14:paraId="14819CA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1.1.2、高清视频信号输出，分辨率≥1920*1080。</w:t>
      </w:r>
    </w:p>
    <w:p w14:paraId="16BA22D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1.1.3、至少具备CVBS、DVI、SDI三种信号输出方式，输出接口各2个，不少于6路输出，可通过转接头兼容其他常规信号接口接入。</w:t>
      </w:r>
    </w:p>
    <w:p w14:paraId="2AD63D8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1.1.4、具备CVBS/AHD信号输入接口。</w:t>
      </w:r>
    </w:p>
    <w:p w14:paraId="0387CEB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1.1.5、主机可实现至少3种图像比例设置，包括16:10、16：9和4:3。</w:t>
      </w:r>
    </w:p>
    <w:p w14:paraId="6082895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1.1.6、具备≥3种图像画面形状选择功能。</w:t>
      </w:r>
    </w:p>
    <w:p w14:paraId="5FC5AA7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1.1.7、具备外置存储卡插槽，最高可支持插入容量为 128G 的标准 SD 存储卡。</w:t>
      </w:r>
    </w:p>
    <w:p w14:paraId="2202628B">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1.1.8、具备数据导出功能：可将录像视频导出至存储卡。</w:t>
      </w:r>
    </w:p>
    <w:p w14:paraId="7D5705F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1.1.9、TV输出制式：可选PAL与NTSC标准。</w:t>
      </w:r>
    </w:p>
    <w:p w14:paraId="3AA7C04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1.1.10、支持红、绿、蓝三种颜色调节，可增强血管的显示。</w:t>
      </w:r>
    </w:p>
    <w:p w14:paraId="11E1E6D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▲1.1.11、具备自动增益控制（AGC），且支持自动调光。</w:t>
      </w:r>
    </w:p>
    <w:p w14:paraId="3647489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1.1.12、具备轮廓增强、电子放大、亮度调节、白平衡调节、图像冻结、对比度调节功能。</w:t>
      </w:r>
    </w:p>
    <w:p w14:paraId="5DDD8B3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1.1.13、测光模式：可选平均、峰值。</w:t>
      </w:r>
    </w:p>
    <w:p w14:paraId="1EDE95C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1.1.14、具备图像保存和视频录制功能，支持图像查看、视频回放。</w:t>
      </w:r>
    </w:p>
    <w:p w14:paraId="5F3B0AD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▲1.1.15、具备自定义按键功能，通过设置操作部功能按键实现拍照/录像、图像冻结/释放、画面大小、蓝色调节、自动增益控制、轮廓增强功能、对比度调节、测光模式、电子放大等功能。</w:t>
      </w:r>
    </w:p>
    <w:p w14:paraId="0FE7DA5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1.1.16、能够兼容同一品牌内窥镜接入使用，应至少包括胃肠镜、鼻咽喉镜、支气管镜、胸腔内窥镜及光学硬式内窥镜。</w:t>
      </w:r>
    </w:p>
    <w:p w14:paraId="3CE72C6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▲1.1.17、产品使用寿命≥10年。</w:t>
      </w:r>
    </w:p>
    <w:p w14:paraId="2D24A8E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1.1.18、软件终身免费升级。</w:t>
      </w:r>
    </w:p>
    <w:p w14:paraId="3299A7C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1.2、电子鼻咽喉内窥镜（无器械通道）：</w:t>
      </w:r>
    </w:p>
    <w:p w14:paraId="3FE7831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1.2.1、成像原理：电子成像技术。</w:t>
      </w:r>
    </w:p>
    <w:p w14:paraId="56FB236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1.2.2、软镜插入管外径≤3mm，先端部外径≤2.6mm，无器械通道，插入部有效长度≥300mm。</w:t>
      </w:r>
    </w:p>
    <w:p w14:paraId="527D8FA8">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1.2.3、视场角≥90°。</w:t>
      </w:r>
    </w:p>
    <w:p w14:paraId="334A735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1.2.4、景深：2-50mm。</w:t>
      </w:r>
    </w:p>
    <w:p w14:paraId="6907CA3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1.2.5、插入管软管前端弯曲角度：向上弯曲≥130°，向下弯曲≥130°，双向弯曲≥260°。</w:t>
      </w:r>
    </w:p>
    <w:p w14:paraId="42CB9BC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1.2.6、弯角手轮上应有操作方向标记。</w:t>
      </w:r>
    </w:p>
    <w:p w14:paraId="19817E9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▲1.2.7.操作手柄具有≥3个电子功能按键：包括大小屏切换、拍照录像、图像冻结和解冻等。</w:t>
      </w:r>
    </w:p>
    <w:p w14:paraId="1110FBFA">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1.2.8、照度≥15000lx。</w:t>
      </w:r>
    </w:p>
    <w:p w14:paraId="1E58691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1.2.9、有效光度率：≥50cd/m²。</w:t>
      </w:r>
    </w:p>
    <w:p w14:paraId="0D0F94C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1.2.10、操作部防水等级：≥IPX7。配备防水盖，可进行全浸泡消毒。</w:t>
      </w:r>
    </w:p>
    <w:p w14:paraId="02A30F2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▲1.2.11.产品使用年限≥10年。</w:t>
      </w:r>
    </w:p>
    <w:p w14:paraId="4CC6505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1.3、电子鼻咽喉内窥镜（有器械通道）：</w:t>
      </w:r>
    </w:p>
    <w:p w14:paraId="4C09BB0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1.3.1、注册证适用范围：应能适用于鼻咽喉腔的观察、诊断和治疗。</w:t>
      </w:r>
    </w:p>
    <w:p w14:paraId="704A26C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▲1.3.2、软镜插入管外径≤4.8mm，先端部外径≤4.8mm，工作通道≥2.0mm，插入部有效长度≥365mm。</w:t>
      </w:r>
    </w:p>
    <w:p w14:paraId="5E456C2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1.3.3、视场角≥90°。</w:t>
      </w:r>
    </w:p>
    <w:p w14:paraId="2D2F671B">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1.3.4、景深：2-50mm。</w:t>
      </w:r>
    </w:p>
    <w:p w14:paraId="216E83A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1.3.5、插入管软管前端弯曲角度：向上弯曲≥130°，向下弯曲≥130°，双向弯曲≥260°。</w:t>
      </w:r>
    </w:p>
    <w:p w14:paraId="62FC0D7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1.3.6、弯角手轮上应有操作方向U、D两向标记并且配备角度锁，角度把手调节至D处时，弯曲部向下弯曲，角度把手调节至U处时，弯曲部向上弯曲。</w:t>
      </w:r>
    </w:p>
    <w:p w14:paraId="342A56AA">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▲1.3.7、操作手柄具有≥3个电子功能按键：包括大小屏切换、拍照录像、图像冻结和解冻等。</w:t>
      </w:r>
    </w:p>
    <w:p w14:paraId="0660AE8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1.3.8、吸引阀座上有吸引按钮防脱设计，且吸引座旁有吸引按钮挡板，无需专机专用耗材。</w:t>
      </w:r>
    </w:p>
    <w:p w14:paraId="62E2D52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1.3.9、操作手柄功能按键，分布于同一平面上，单手即可操控所有功能按键。</w:t>
      </w:r>
    </w:p>
    <w:p w14:paraId="2C6C62E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▲1.3.10、图像处理器可以根据图像处理器实现按键自定义功能，实现电子放大，蓝色调节等功能。</w:t>
      </w:r>
    </w:p>
    <w:p w14:paraId="5D18C58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1.3.11、照度≥15000lx。</w:t>
      </w:r>
    </w:p>
    <w:p w14:paraId="13D9DBB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1.3.12、通道吸引量：≥400 ml/min。</w:t>
      </w:r>
    </w:p>
    <w:p w14:paraId="7288B39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1.3.13、有效光度率：≥50cd/m²。</w:t>
      </w:r>
    </w:p>
    <w:p w14:paraId="015EB1F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1.3.14、器械最小可视距离：≥3.5mm。</w:t>
      </w:r>
    </w:p>
    <w:p w14:paraId="46CC0EB8">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1.3.15、连接方式：手柄连接一体式数据导线软管，连接产品与显示端。与操作手柄无需连接安装，转接线可耐受浸泡消毒。</w:t>
      </w:r>
    </w:p>
    <w:p w14:paraId="31A26EB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1.3.16、消毒灭菌无需ETO帽、NT阀，无需更换配件。</w:t>
      </w:r>
    </w:p>
    <w:p w14:paraId="2E78F55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1.3.17、产品使用年限≥10年。</w:t>
      </w:r>
    </w:p>
    <w:p w14:paraId="320B924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1.4、医用内窥镜冷光源：</w:t>
      </w:r>
    </w:p>
    <w:p w14:paraId="63E4A39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1.4.1、光源主机≥4英寸操控显示屏，电容式触摸屏。</w:t>
      </w:r>
    </w:p>
    <w:p w14:paraId="2C5197E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1.4.2、冷光源与气泵一体化设计，可触屏调节和物理按键调节光源与气泵开关及参数。</w:t>
      </w:r>
    </w:p>
    <w:p w14:paraId="17BC82A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1.4.3、光源主灯平均连续使用寿命≥30000小时。</w:t>
      </w:r>
    </w:p>
    <w:p w14:paraId="3F0E1C9A">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1.4.4、触摸操作屏上具备灯泡剩余寿命指示灯。</w:t>
      </w:r>
    </w:p>
    <w:p w14:paraId="20692E58">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▲1.4.5、光源亮度≥9级可调，具备开/关灯功能。</w:t>
      </w:r>
    </w:p>
    <w:p w14:paraId="0AD0053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1.4.6、显色指数:≥90。</w:t>
      </w:r>
    </w:p>
    <w:p w14:paraId="1DDE2B4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1.4.7、色温范围:3000K～7000K。</w:t>
      </w:r>
    </w:p>
    <w:p w14:paraId="37276B6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1.4.8、输出光通量:≥6001m。</w:t>
      </w:r>
    </w:p>
    <w:p w14:paraId="5F82A9DB">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1.4.9、具备超温提示功能，防止故障措施。</w:t>
      </w:r>
    </w:p>
    <w:p w14:paraId="18038EF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1.4.10、气泵调节：高、中、低三档可调，具备关闭/开启气泵功能。</w:t>
      </w:r>
    </w:p>
    <w:p w14:paraId="68BC791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1.4.11、气泵压力：35kPa～90kPa。</w:t>
      </w:r>
    </w:p>
    <w:p w14:paraId="1173C4D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1.4.12、气泵流量：2L/min~9L/min。</w:t>
      </w:r>
    </w:p>
    <w:p w14:paraId="0884A1F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1.5、图文工作站：</w:t>
      </w:r>
    </w:p>
    <w:p w14:paraId="4F539F6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1.5.1、动静态图像均可采集，具备图像预览库。</w:t>
      </w:r>
    </w:p>
    <w:p w14:paraId="46D8284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1.5.2、图像采集既可用鼠标实现，也可用脚踏开关完成。</w:t>
      </w:r>
    </w:p>
    <w:p w14:paraId="605BE6F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1.5.3、可与各品牌内窥镜连接使用。</w:t>
      </w:r>
    </w:p>
    <w:p w14:paraId="20FF2BA8">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1.5.4、具备软件自动备份功能：图片自动备份，录像实时备份至硬盘。</w:t>
      </w:r>
    </w:p>
    <w:p w14:paraId="1D68ECD8">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1.5.5、具备区域采集图片的同时，实现录像的功能。</w:t>
      </w:r>
    </w:p>
    <w:p w14:paraId="1B01E8E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1.5.6、具备录像及电影回放功能。</w:t>
      </w:r>
    </w:p>
    <w:p w14:paraId="59ABBFC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1.5.7、报告格式，用户可根据需要自定义。</w:t>
      </w:r>
    </w:p>
    <w:p w14:paraId="7DC8E21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1.5.8、内窥镜诊断模板可即时编辑修改增加。</w:t>
      </w:r>
    </w:p>
    <w:p w14:paraId="33E8002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1.5.9、具备病历管理功能，可对病历进行查询，修改，调阅，比较等。</w:t>
      </w:r>
    </w:p>
    <w:p w14:paraId="1764988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1.5.10、电脑主机：CPUi5，内存16G-DDR4，固态硬盘≥1T，机械硬盘≥4T。</w:t>
      </w:r>
    </w:p>
    <w:p w14:paraId="232C3A0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1.5.11、显示器≥24寸液晶；分辨率不低于1920*1080分辨率。</w:t>
      </w:r>
    </w:p>
    <w:p w14:paraId="4D71748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1.5.12、录像视频分辨率≥1920*1080。</w:t>
      </w:r>
    </w:p>
    <w:p w14:paraId="335DA12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1.5.13、软件具备存储，编辑，检索，录像等功能。</w:t>
      </w:r>
    </w:p>
    <w:p w14:paraId="0C108E8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1.5.14、配备图文输出工作站。</w:t>
      </w:r>
    </w:p>
    <w:p w14:paraId="1BEC8BA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1.6、医用高清监视器：</w:t>
      </w:r>
    </w:p>
    <w:p w14:paraId="0749880B">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1.6.1、监视器屏幕≥24英寸。</w:t>
      </w:r>
    </w:p>
    <w:p w14:paraId="1AC502A8">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1.6.2、分辨率≥1920x1200， 宽高比16：10。</w:t>
      </w:r>
    </w:p>
    <w:p w14:paraId="24E7ACB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1.6.3、视角≥178°。</w:t>
      </w:r>
    </w:p>
    <w:p w14:paraId="39C23A7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1.6.4、输入信号：至少包括DVI、HD15、Y/C、SDI、RGBS/YPbPr。</w:t>
      </w:r>
    </w:p>
    <w:p w14:paraId="7C05907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1.6.5、输出信号：至少包括DVI，SDI。</w:t>
      </w:r>
    </w:p>
    <w:p w14:paraId="65A7E19A">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 xml:space="preserve">1.6.6、支持双屏显示功能：画上画(POP)、画旁画(PBP)、画中画(PIP)。 </w:t>
      </w:r>
    </w:p>
    <w:p w14:paraId="4645D9B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1.6.7、防护等级≥IP22。</w:t>
      </w:r>
    </w:p>
    <w:p w14:paraId="0FE969F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1.7、配置：</w:t>
      </w:r>
    </w:p>
    <w:p w14:paraId="62A3DC4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1.7.1、图像处理器（含主控软件）1套。</w:t>
      </w:r>
    </w:p>
    <w:p w14:paraId="7FE261B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1.7.2、电子鼻咽喉内窥镜≥5条，型号依照医院需求任选。</w:t>
      </w:r>
    </w:p>
    <w:p w14:paraId="4461424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1.7.3、医用内窥镜冷光源1套。</w:t>
      </w:r>
    </w:p>
    <w:p w14:paraId="241DB6B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1.7.4、图文工作站1套。</w:t>
      </w:r>
    </w:p>
    <w:p w14:paraId="2DEC89E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1.7.5、医用高清监视器1套。</w:t>
      </w:r>
    </w:p>
    <w:p w14:paraId="23B331FA">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1.7.6、专业台车2台。</w:t>
      </w:r>
    </w:p>
    <w:p w14:paraId="75012AA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1.7.7、 SD 存储卡≥1张。</w:t>
      </w:r>
    </w:p>
    <w:p w14:paraId="785E3148">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1.7.8、外置显示器≥42寸1台（含安装）。</w:t>
      </w:r>
    </w:p>
    <w:p w14:paraId="5569863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1.7.9、硬镜转换摄像头1个。</w:t>
      </w:r>
    </w:p>
    <w:p w14:paraId="175F6D3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1.7.10、消毒车2台（含24根消毒管）。</w:t>
      </w:r>
    </w:p>
    <w:p w14:paraId="5985BF9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1.8、网络连接：</w:t>
      </w:r>
    </w:p>
    <w:p w14:paraId="4E45B15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1.8.1、设备与医院HIS、PACS等系统数据交互。</w:t>
      </w:r>
    </w:p>
    <w:p w14:paraId="458DFB09">
      <w:pPr>
        <w:snapToGrid w:val="0"/>
        <w:spacing w:line="360" w:lineRule="auto"/>
        <w:ind w:firstLine="480" w:firstLineChars="200"/>
        <w:rPr>
          <w:rFonts w:ascii="仿宋" w:hAnsi="仿宋" w:eastAsia="仿宋"/>
        </w:rPr>
      </w:pPr>
      <w:r>
        <w:rPr>
          <w:rFonts w:hint="eastAsia" w:ascii="仿宋" w:hAnsi="仿宋" w:eastAsia="仿宋" w:cs="仿宋"/>
          <w:bCs/>
          <w:sz w:val="24"/>
        </w:rPr>
        <w:t>1.8.2、投标报价包含与医院HIS、PACS等系统的对接服务，支持包括但不限于以下接口：患者信息获取、医嘱项目获取、结构化结果回传、图片结果回传、附件报告回传、视频输出接口等（含接口开发）。同时支持其他经医院认可的对接方式。</w:t>
      </w:r>
    </w:p>
    <w:p w14:paraId="6CF0164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2、采购标的需满足的服务标准、期限、效率等要求；</w:t>
      </w:r>
    </w:p>
    <w:p w14:paraId="1BCDB98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2.1、投标人应有能力做好售后服务工作和提供技术保障。投标人或投标产品制造商应设有专业的售后服务维修机构，有充足的零件储备和能力相当的技术服务人员，并保证投标产品停产后10年的备件供应。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14:paraId="7B1B9C6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3、为落实政府采购政策需满足的要求；</w:t>
      </w:r>
    </w:p>
    <w:p w14:paraId="3D0B023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11622A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107016D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0C00B98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4F84356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5493F9F4">
      <w:pPr>
        <w:snapToGrid w:val="0"/>
        <w:spacing w:line="360" w:lineRule="auto"/>
        <w:ind w:firstLine="480" w:firstLineChars="200"/>
        <w:rPr>
          <w:rFonts w:ascii="仿宋" w:hAnsi="仿宋" w:eastAsia="仿宋" w:cs="仿宋"/>
          <w:bCs/>
          <w:sz w:val="24"/>
        </w:rPr>
      </w:pPr>
      <w:bookmarkStart w:id="2" w:name="OLE_LINK113"/>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3" w:name="OLE_LINK56"/>
      <w:bookmarkStart w:id="4" w:name="OLE_LINK55"/>
      <w:r>
        <w:rPr>
          <w:rFonts w:hint="eastAsia" w:ascii="仿宋" w:hAnsi="仿宋" w:eastAsia="仿宋" w:cs="仿宋"/>
          <w:b/>
          <w:bCs/>
          <w:sz w:val="24"/>
        </w:rPr>
        <w:t>投标人</w:t>
      </w:r>
      <w:bookmarkEnd w:id="3"/>
      <w:bookmarkEnd w:id="4"/>
      <w:r>
        <w:rPr>
          <w:rFonts w:hint="eastAsia" w:ascii="仿宋" w:hAnsi="仿宋" w:eastAsia="仿宋" w:cs="仿宋"/>
          <w:b/>
          <w:bCs/>
          <w:sz w:val="24"/>
        </w:rPr>
        <w:t>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bookmarkEnd w:id="2"/>
    </w:p>
    <w:p w14:paraId="3C23854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4、采购标的的其他技术、服务等要求；</w:t>
      </w:r>
    </w:p>
    <w:p w14:paraId="4E12605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4.1、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66DAF33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4.2、投标人所提供的部件之间及设备之间的连线或接插件均视为设备内部部件，应包含在相应的配置中。</w:t>
      </w:r>
    </w:p>
    <w:p w14:paraId="7544332F">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4.3、工作条件：除了在技术规格中另有规定外，投标人提供的一切仪器、设备和系统，应符合下列条件：</w:t>
      </w:r>
    </w:p>
    <w:p w14:paraId="3B28A81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4.3.1、仪器设备的插头要符合中国电工标准。如不符合，则应提供适合仪器插头的插座，必须要有接地。</w:t>
      </w:r>
    </w:p>
    <w:p w14:paraId="62F07D0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4.3.2如果仪器设备需特殊的工作条件（如：水、电源、磁场强度、特殊温度、湿度、震动强度等），投标人应在有关投标文件中加以说明。</w:t>
      </w:r>
    </w:p>
    <w:p w14:paraId="33E87AC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4.4、培训要求：</w:t>
      </w:r>
    </w:p>
    <w:p w14:paraId="55C9463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4.4.1、装机完成，中标人需配合采购人安排，免费指导使用人员进行操作训练，直至完全熟练掌握操作流程及日常保养流程。</w:t>
      </w:r>
    </w:p>
    <w:p w14:paraId="24DFA3EB">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4.4.2、提供原厂完整课程维修技术培训2名(含学费)，课程学费、住宿地点与训练地点间之交通由中标人负责，机票费、日常生活费由采购人自理。</w:t>
      </w:r>
    </w:p>
    <w:p w14:paraId="3AA6CB1C">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4.4.3、操作手册：2份中文或英文原版手册。</w:t>
      </w:r>
    </w:p>
    <w:p w14:paraId="071AE04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 xml:space="preserve">4.4.4、维修手册：2份中文或英文原版手册。 </w:t>
      </w:r>
    </w:p>
    <w:p w14:paraId="1DC5BAB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14:paraId="246E2C10">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p w14:paraId="60F3F97E">
      <w:pPr>
        <w:pStyle w:val="2"/>
        <w:rPr>
          <w:rFonts w:ascii="仿宋" w:hAnsi="仿宋" w:eastAsia="仿宋"/>
        </w:rPr>
      </w:pPr>
    </w:p>
    <w:p w14:paraId="32334CB4">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（三）验收标准</w:t>
      </w:r>
      <w:bookmarkStart w:id="5" w:name="_GoBack"/>
      <w:bookmarkEnd w:id="5"/>
    </w:p>
    <w:p w14:paraId="56DA53F0">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1、中标人负责场地规划、搬运、安装、调试，包括设备到货至安装期间之搬运及保险，保险需包括人员及设备之全额保险。</w:t>
      </w:r>
    </w:p>
    <w:p w14:paraId="00A860A6">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2、如现场条件无法安装，中标人负责调整设备以满足现场条件。</w:t>
      </w:r>
    </w:p>
    <w:p w14:paraId="28018627">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3、安装完成需提交安装报告书与质量报告书。</w:t>
      </w:r>
    </w:p>
    <w:p w14:paraId="462DC71F">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4、规格书经厂商填报后，为合约之一部分，验收时依规格书逐项比对。</w:t>
      </w:r>
    </w:p>
    <w:p w14:paraId="77BD5DDC">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5、安装完成经检点各项配件，功能及实际使用测试各项软件一个月无异常，且完整提供各项文件经审查通过，为验收完成。</w:t>
      </w:r>
    </w:p>
    <w:p w14:paraId="7AFE3146">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6、维修软件须免费提供至设备报废。</w:t>
      </w:r>
    </w:p>
    <w:p w14:paraId="296ADBA8">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7、中标人需负责清理安装所产生的废弃物。</w:t>
      </w:r>
    </w:p>
    <w:p w14:paraId="01610D05">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8、中标人需负责安装现场整洁，若有损坏需负责恢复原状。</w:t>
      </w:r>
    </w:p>
    <w:p w14:paraId="3333BB25">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9、依国家法规规定提供强检及计量证书，负责设备首次计量、质控等安装后检测，并取得相关证照。</w:t>
      </w:r>
    </w:p>
    <w:p w14:paraId="569C8886">
      <w:pPr>
        <w:numPr>
          <w:ilvl w:val="255"/>
          <w:numId w:val="0"/>
        </w:num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（四）其他要求</w:t>
      </w:r>
    </w:p>
    <w:p w14:paraId="3ED982CD">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p w14:paraId="40B93F0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7864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customStyle="1" w:styleId="5">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2026-10-19T04:51:09Z</dcterms:created>
  <dc:creator>zhang</dc:creator>
  <cp:lastModifiedBy>zhang</cp:lastModifiedBy>
  <dcterms:modified xsi:type="dcterms:W3CDTF">2026-10-19T04:51:42Z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eyJoZGlkIjoiOWI0ZTY4ZGM2ZjA2OWU0ZDdiYWYzZjE5M2Y5ZWM4MmIiLCJ1c2VySWQiOiIzMzk2OTcwOTkifQ==</vt:lpwstr>
  </property>
  <property fmtid="{D5CDD505-2E9C-101B-9397-08002B2CF9AE}" pid="4" name="ICV">
    <vt:lpwstr>268F572E9EE0419C913F7186794E3972_12</vt:lpwstr>
  </property>
</Properties>
</file>