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F9947">
      <w:pPr>
        <w:snapToGrid w:val="0"/>
        <w:spacing w:line="360" w:lineRule="auto"/>
        <w:jc w:val="center"/>
        <w:outlineLvl w:val="0"/>
        <w:rPr>
          <w:rFonts w:ascii="仿宋" w:hAnsi="仿宋" w:eastAsia="仿宋" w:cs="仿宋"/>
          <w:b/>
          <w:color w:val="auto"/>
          <w:sz w:val="40"/>
          <w:szCs w:val="40"/>
          <w:highlight w:val="none"/>
        </w:rPr>
      </w:pPr>
      <w:bookmarkStart w:id="0" w:name="_Toc233744864"/>
      <w:r>
        <w:rPr>
          <w:rFonts w:hint="eastAsia" w:ascii="仿宋" w:hAnsi="仿宋" w:eastAsia="仿宋" w:cs="仿宋"/>
          <w:b/>
          <w:color w:val="auto"/>
          <w:sz w:val="40"/>
          <w:szCs w:val="40"/>
          <w:highlight w:val="none"/>
        </w:rPr>
        <w:t>第五章   采购需求</w:t>
      </w:r>
      <w:bookmarkEnd w:id="0"/>
    </w:p>
    <w:p w14:paraId="1DB828AA">
      <w:pPr>
        <w:snapToGrid w:val="0"/>
        <w:spacing w:line="360" w:lineRule="auto"/>
        <w:contextualSpacing/>
        <w:rPr>
          <w:rFonts w:ascii="仿宋" w:hAnsi="仿宋" w:eastAsia="仿宋" w:cs="仿宋"/>
          <w:color w:val="auto"/>
          <w:sz w:val="24"/>
          <w:szCs w:val="28"/>
          <w:highlight w:val="none"/>
        </w:rPr>
      </w:pPr>
      <w:r>
        <w:rPr>
          <w:rFonts w:hint="eastAsia" w:ascii="仿宋" w:hAnsi="仿宋" w:eastAsia="仿宋" w:cs="仿宋"/>
          <w:color w:val="auto"/>
          <w:sz w:val="24"/>
          <w:szCs w:val="28"/>
          <w:highlight w:val="none"/>
        </w:rPr>
        <w:t>说明：</w:t>
      </w:r>
    </w:p>
    <w:p w14:paraId="0B5728B9">
      <w:pPr>
        <w:snapToGrid w:val="0"/>
        <w:spacing w:line="360" w:lineRule="auto"/>
        <w:contextualSpacing/>
        <w:rPr>
          <w:rFonts w:ascii="仿宋" w:hAnsi="仿宋" w:eastAsia="仿宋" w:cs="仿宋"/>
          <w:color w:val="auto"/>
          <w:sz w:val="24"/>
          <w:szCs w:val="28"/>
          <w:highlight w:val="none"/>
        </w:rPr>
      </w:pPr>
      <w:bookmarkStart w:id="1" w:name="_Hlk167284587"/>
      <w:r>
        <w:rPr>
          <w:rFonts w:hint="eastAsia" w:ascii="仿宋" w:hAnsi="仿宋" w:eastAsia="仿宋" w:cs="仿宋"/>
          <w:color w:val="auto"/>
          <w:sz w:val="24"/>
          <w:szCs w:val="28"/>
          <w:highlight w:val="none"/>
        </w:rPr>
        <w:t>1. 当采购项目涉及政务信息系统时，采购需求应当符合《政务信息系统政府采购管理暂行办法》（财库〔2017〕210号）的相关要求。</w:t>
      </w:r>
    </w:p>
    <w:p w14:paraId="242713A0">
      <w:pPr>
        <w:snapToGrid w:val="0"/>
        <w:spacing w:line="360" w:lineRule="auto"/>
        <w:contextualSpacing/>
        <w:rPr>
          <w:rFonts w:ascii="仿宋" w:hAnsi="仿宋" w:eastAsia="仿宋" w:cs="仿宋"/>
          <w:color w:val="auto"/>
          <w:sz w:val="24"/>
          <w:szCs w:val="28"/>
          <w:highlight w:val="none"/>
        </w:rPr>
      </w:pPr>
      <w:bookmarkStart w:id="2" w:name="_Hlk168431603"/>
      <w:r>
        <w:rPr>
          <w:rFonts w:hint="eastAsia" w:ascii="仿宋" w:hAnsi="仿宋" w:eastAsia="仿宋" w:cs="仿宋"/>
          <w:color w:val="auto"/>
          <w:sz w:val="24"/>
          <w:szCs w:val="28"/>
          <w:highlight w:val="none"/>
        </w:rPr>
        <w:t>2. 采购人及采购代理机构应关注财政部门会同有关部门制定发布的需求标准，结合具体应用场景，根据对应《需求标准》确定采购需求。</w:t>
      </w:r>
    </w:p>
    <w:p w14:paraId="0518D5A7">
      <w:pPr>
        <w:snapToGrid w:val="0"/>
        <w:spacing w:line="360" w:lineRule="auto"/>
        <w:contextualSpacing/>
        <w:rPr>
          <w:rFonts w:ascii="仿宋" w:hAnsi="仿宋" w:eastAsia="仿宋" w:cs="仿宋"/>
          <w:color w:val="auto"/>
          <w:sz w:val="24"/>
          <w:szCs w:val="28"/>
          <w:highlight w:val="none"/>
        </w:rPr>
      </w:pPr>
      <w:r>
        <w:rPr>
          <w:rFonts w:hint="eastAsia" w:ascii="仿宋" w:hAnsi="仿宋" w:eastAsia="仿宋" w:cs="仿宋"/>
          <w:color w:val="auto"/>
          <w:sz w:val="24"/>
          <w:szCs w:val="28"/>
          <w:highlight w:val="none"/>
        </w:rPr>
        <w:t>已发布的需求标准如下：</w:t>
      </w:r>
    </w:p>
    <w:p w14:paraId="3FC6F6EB">
      <w:pPr>
        <w:snapToGrid w:val="0"/>
        <w:spacing w:line="360" w:lineRule="auto"/>
        <w:contextualSpacing/>
        <w:rPr>
          <w:rFonts w:ascii="仿宋" w:hAnsi="仿宋" w:eastAsia="仿宋" w:cs="仿宋"/>
          <w:color w:val="auto"/>
          <w:sz w:val="24"/>
          <w:szCs w:val="28"/>
          <w:highlight w:val="none"/>
        </w:rPr>
      </w:pPr>
      <w:r>
        <w:rPr>
          <w:rFonts w:hint="eastAsia" w:ascii="仿宋" w:hAnsi="仿宋" w:eastAsia="仿宋" w:cs="仿宋"/>
          <w:color w:val="auto"/>
          <w:sz w:val="24"/>
          <w:szCs w:val="28"/>
          <w:highlight w:val="none"/>
        </w:rPr>
        <w:t>《关于印发〈商品包装政府采购需求标准（试行）〉、〈快递包装政府采购需求标准（试行）〉的通知》（财办库﹝2020﹞123号））</w:t>
      </w:r>
    </w:p>
    <w:p w14:paraId="3C00DC50">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《绿色数据中心政府采购需求标准（试行）》（财库〔2023〕7号）</w:t>
      </w:r>
    </w:p>
    <w:p w14:paraId="171767D0">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《台式计算机政府采购需求标准（2023年版）》（财库〔2023〕29号）</w:t>
      </w:r>
    </w:p>
    <w:p w14:paraId="4FD933EE">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《便携式计算机政府采购需求标准（2023年版）》（财库〔2023〕30号）</w:t>
      </w:r>
    </w:p>
    <w:p w14:paraId="2A6FFFC9">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《一体式计算机政府采购需求标准（2023年版）》（财库〔2023〕31号）</w:t>
      </w:r>
    </w:p>
    <w:p w14:paraId="39DCAB02">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《工作站政府采购需求标准（2023年版）》（财库〔2023〕32号）</w:t>
      </w:r>
    </w:p>
    <w:p w14:paraId="12B1BA1B">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《通用服务器政府采购需求标准（2023年版）》（财库〔2023〕33号）</w:t>
      </w:r>
    </w:p>
    <w:p w14:paraId="4CC2092C">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《操作系统政府采购需求标准（2023年版）》（财库〔2023〕34号）</w:t>
      </w:r>
    </w:p>
    <w:p w14:paraId="50589CF5">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《数据库政府采购需求标准（2023年版）》（财库〔2023〕35号）</w:t>
      </w:r>
    </w:p>
    <w:p w14:paraId="0D7EF1BF">
      <w:pPr>
        <w:pStyle w:val="1323"/>
        <w:snapToGrid w:val="0"/>
        <w:spacing w:before="0" w:beforeAutospacing="0" w:after="0" w:afterAutospacing="0" w:line="360" w:lineRule="auto"/>
        <w:rPr>
          <w:rFonts w:ascii="仿宋" w:hAnsi="仿宋" w:eastAsia="仿宋" w:cs="仿宋"/>
          <w:color w:val="auto"/>
          <w:kern w:val="2"/>
          <w:szCs w:val="28"/>
          <w:highlight w:val="none"/>
        </w:rPr>
      </w:pPr>
      <w:r>
        <w:rPr>
          <w:rFonts w:hint="eastAsia" w:ascii="仿宋" w:hAnsi="仿宋" w:eastAsia="仿宋" w:cs="仿宋"/>
          <w:color w:val="auto"/>
          <w:kern w:val="2"/>
          <w:szCs w:val="28"/>
          <w:highlight w:val="none"/>
        </w:rPr>
        <w:t>《物业管理服务政府采购需求标准（办公场所类）（试行）》（财办库〔2024〕113号）</w:t>
      </w:r>
    </w:p>
    <w:p w14:paraId="1586A73A">
      <w:pPr>
        <w:snapToGrid w:val="0"/>
        <w:spacing w:line="360" w:lineRule="auto"/>
        <w:contextualSpacing/>
        <w:rPr>
          <w:rFonts w:ascii="仿宋" w:hAnsi="仿宋" w:eastAsia="仿宋" w:cs="仿宋"/>
          <w:color w:val="auto"/>
          <w:sz w:val="24"/>
          <w:szCs w:val="28"/>
          <w:highlight w:val="none"/>
        </w:rPr>
      </w:pPr>
      <w:r>
        <w:rPr>
          <w:rFonts w:hint="eastAsia" w:ascii="仿宋" w:hAnsi="仿宋" w:eastAsia="仿宋" w:cs="仿宋"/>
          <w:color w:val="auto"/>
          <w:sz w:val="24"/>
          <w:szCs w:val="28"/>
          <w:highlight w:val="none"/>
        </w:rPr>
        <w:t>如有更新或增加，以财政部门发布为准。</w:t>
      </w:r>
      <w:bookmarkEnd w:id="1"/>
      <w:bookmarkEnd w:id="2"/>
    </w:p>
    <w:p w14:paraId="3ABBD14E">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2A615571">
      <w:pPr>
        <w:spacing w:line="360" w:lineRule="auto"/>
        <w:ind w:firstLine="482" w:firstLineChars="200"/>
        <w:contextualSpacing/>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3F128D7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4110"/>
        <w:gridCol w:w="1134"/>
        <w:gridCol w:w="2179"/>
      </w:tblGrid>
      <w:tr w14:paraId="366A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648" w:type="pct"/>
            <w:vAlign w:val="center"/>
          </w:tcPr>
          <w:p w14:paraId="16FBF3BE">
            <w:pPr>
              <w:widowControl/>
              <w:spacing w:line="360" w:lineRule="auto"/>
              <w:contextualSpacing/>
              <w:jc w:val="center"/>
              <w:rPr>
                <w:rFonts w:ascii="仿宋" w:hAnsi="仿宋" w:eastAsia="仿宋"/>
                <w:b/>
                <w:color w:val="auto"/>
                <w:sz w:val="24"/>
                <w:highlight w:val="none"/>
              </w:rPr>
            </w:pPr>
            <w:r>
              <w:rPr>
                <w:rFonts w:hint="eastAsia" w:ascii="仿宋" w:hAnsi="仿宋" w:eastAsia="仿宋"/>
                <w:b/>
                <w:color w:val="auto"/>
                <w:sz w:val="24"/>
                <w:highlight w:val="none"/>
              </w:rPr>
              <w:t>包号</w:t>
            </w:r>
          </w:p>
        </w:tc>
        <w:tc>
          <w:tcPr>
            <w:tcW w:w="2409" w:type="pct"/>
            <w:shd w:val="clear" w:color="000000" w:fill="FFFFFF"/>
            <w:vAlign w:val="center"/>
          </w:tcPr>
          <w:p w14:paraId="4542B11E">
            <w:pPr>
              <w:widowControl/>
              <w:spacing w:line="360" w:lineRule="auto"/>
              <w:contextualSpacing/>
              <w:jc w:val="center"/>
              <w:rPr>
                <w:rFonts w:ascii="仿宋" w:hAnsi="仿宋" w:eastAsia="仿宋"/>
                <w:b/>
                <w:color w:val="auto"/>
                <w:sz w:val="24"/>
                <w:highlight w:val="none"/>
              </w:rPr>
            </w:pPr>
            <w:r>
              <w:rPr>
                <w:rFonts w:hint="eastAsia" w:ascii="仿宋" w:hAnsi="仿宋" w:eastAsia="仿宋"/>
                <w:b/>
                <w:color w:val="auto"/>
                <w:sz w:val="24"/>
                <w:highlight w:val="none"/>
              </w:rPr>
              <w:t>标的名称</w:t>
            </w:r>
          </w:p>
        </w:tc>
        <w:tc>
          <w:tcPr>
            <w:tcW w:w="665" w:type="pct"/>
            <w:shd w:val="clear" w:color="000000" w:fill="FFFFFF"/>
            <w:vAlign w:val="center"/>
          </w:tcPr>
          <w:p w14:paraId="527346BF">
            <w:pPr>
              <w:widowControl/>
              <w:spacing w:line="360" w:lineRule="auto"/>
              <w:contextualSpacing/>
              <w:jc w:val="center"/>
              <w:rPr>
                <w:rFonts w:ascii="仿宋" w:hAnsi="仿宋" w:eastAsia="仿宋"/>
                <w:b/>
                <w:color w:val="auto"/>
                <w:sz w:val="24"/>
                <w:highlight w:val="none"/>
              </w:rPr>
            </w:pPr>
            <w:r>
              <w:rPr>
                <w:rFonts w:ascii="仿宋" w:hAnsi="仿宋" w:eastAsia="仿宋"/>
                <w:b/>
                <w:color w:val="auto"/>
                <w:sz w:val="24"/>
                <w:highlight w:val="none"/>
              </w:rPr>
              <w:t>数量</w:t>
            </w:r>
          </w:p>
        </w:tc>
        <w:tc>
          <w:tcPr>
            <w:tcW w:w="1277" w:type="pct"/>
            <w:shd w:val="clear" w:color="000000" w:fill="FFFFFF"/>
            <w:vAlign w:val="center"/>
          </w:tcPr>
          <w:p w14:paraId="3347FF57">
            <w:pPr>
              <w:widowControl/>
              <w:spacing w:line="360" w:lineRule="auto"/>
              <w:contextualSpacing/>
              <w:jc w:val="center"/>
              <w:rPr>
                <w:rFonts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697D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648" w:type="pct"/>
            <w:vAlign w:val="center"/>
          </w:tcPr>
          <w:p w14:paraId="74041C06">
            <w:pPr>
              <w:spacing w:line="360" w:lineRule="auto"/>
              <w:contextualSpacing/>
              <w:jc w:val="center"/>
              <w:rPr>
                <w:rFonts w:ascii="仿宋" w:hAnsi="仿宋" w:eastAsia="仿宋"/>
                <w:color w:val="auto"/>
                <w:sz w:val="24"/>
                <w:highlight w:val="none"/>
              </w:rPr>
            </w:pPr>
            <w:r>
              <w:rPr>
                <w:rFonts w:hint="eastAsia" w:ascii="仿宋" w:hAnsi="仿宋" w:eastAsia="仿宋"/>
                <w:color w:val="auto"/>
                <w:sz w:val="24"/>
                <w:highlight w:val="none"/>
              </w:rPr>
              <w:t>1</w:t>
            </w:r>
          </w:p>
        </w:tc>
        <w:tc>
          <w:tcPr>
            <w:tcW w:w="2409" w:type="pct"/>
            <w:shd w:val="clear" w:color="000000" w:fill="FFFFFF"/>
            <w:vAlign w:val="center"/>
          </w:tcPr>
          <w:p w14:paraId="553848D8">
            <w:pPr>
              <w:widowControl/>
              <w:spacing w:line="360" w:lineRule="auto"/>
              <w:contextualSpacing/>
              <w:jc w:val="center"/>
              <w:rPr>
                <w:rFonts w:hint="eastAsia" w:ascii="仿宋" w:hAnsi="仿宋" w:eastAsia="仿宋" w:cs="宋体"/>
                <w:color w:val="auto"/>
                <w:kern w:val="0"/>
                <w:sz w:val="24"/>
                <w:highlight w:val="none"/>
                <w:lang w:eastAsia="zh-CN"/>
              </w:rPr>
            </w:pPr>
            <w:r>
              <w:rPr>
                <w:rFonts w:hint="eastAsia" w:ascii="仿宋" w:hAnsi="仿宋" w:eastAsia="仿宋" w:cs="宋体"/>
                <w:color w:val="auto"/>
                <w:kern w:val="0"/>
                <w:sz w:val="24"/>
                <w:highlight w:val="none"/>
                <w:lang w:eastAsia="zh-CN"/>
              </w:rPr>
              <w:t>开办类项目-迁建信息化设备迁移集成项目</w:t>
            </w:r>
          </w:p>
        </w:tc>
        <w:tc>
          <w:tcPr>
            <w:tcW w:w="665" w:type="pct"/>
            <w:shd w:val="clear" w:color="000000" w:fill="FFFFFF"/>
            <w:vAlign w:val="center"/>
          </w:tcPr>
          <w:p w14:paraId="0A6A105E">
            <w:pPr>
              <w:spacing w:line="360" w:lineRule="auto"/>
              <w:contextualSpacing/>
              <w:jc w:val="center"/>
              <w:rPr>
                <w:rFonts w:ascii="仿宋" w:hAnsi="仿宋" w:eastAsia="仿宋"/>
                <w:color w:val="auto"/>
                <w:sz w:val="24"/>
                <w:highlight w:val="none"/>
              </w:rPr>
            </w:pPr>
            <w:r>
              <w:rPr>
                <w:rFonts w:hint="eastAsia" w:ascii="仿宋" w:hAnsi="仿宋" w:eastAsia="仿宋"/>
                <w:color w:val="auto"/>
                <w:sz w:val="24"/>
                <w:highlight w:val="none"/>
              </w:rPr>
              <w:t>1项</w:t>
            </w:r>
          </w:p>
        </w:tc>
        <w:tc>
          <w:tcPr>
            <w:tcW w:w="1277" w:type="pct"/>
            <w:shd w:val="clear" w:color="000000" w:fill="FFFFFF"/>
            <w:vAlign w:val="center"/>
          </w:tcPr>
          <w:p w14:paraId="269B1354">
            <w:pPr>
              <w:spacing w:line="360" w:lineRule="auto"/>
              <w:contextualSpacing/>
              <w:jc w:val="center"/>
              <w:rPr>
                <w:color w:val="auto"/>
                <w:highlight w:val="none"/>
              </w:rPr>
            </w:pPr>
            <w:r>
              <w:rPr>
                <w:rFonts w:hint="eastAsia" w:ascii="仿宋" w:hAnsi="仿宋" w:eastAsia="仿宋"/>
                <w:color w:val="auto"/>
                <w:sz w:val="24"/>
                <w:highlight w:val="none"/>
              </w:rPr>
              <w:t>否</w:t>
            </w:r>
          </w:p>
        </w:tc>
      </w:tr>
    </w:tbl>
    <w:p w14:paraId="2EB5EC4B">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057D9BCD">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北京市疾病预防控制中心（以下简称“中心”）迁建项目是落实“‘十四五’时期健康北京建设规划”、“四个中心”、“健康北京”、“非首都功能疏解”等国家战略的有力举措，是解决现址发展空间严重不足、基础设施陈旧老化、不适应未来发展需要的根本途径。</w:t>
      </w:r>
    </w:p>
    <w:p w14:paraId="5F2BD899">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前期中心申报新址迁建配套信息化建设项目，通过信息化建设项目满足中心新址对于网络、园区公共安全等信息化基础设施的配套需求以及实验室全流程管理的业务需求。该项目建设方案既统筹申报新增设备，又充分考虑利旧设备，充分整合现有资源，避免重复建设，因此需将现有办公区域的信息化系统、网络资源、安全管理及其相关硬件设备迁移至新址，确保疾控中心业务连续性与数据安全，保障新址顺利启用。</w:t>
      </w:r>
    </w:p>
    <w:p w14:paraId="7424433D">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中心现有自有办公用房分为南院、北院、东院、西院四院区，南院位于东城区和平里中街16号，北院位于北京市东城区和平里中街39号，东院位于北京市朝阳区南三里屯35号院，西院位于北京市西城区新街口东光胡同5号(西院区），</w:t>
      </w:r>
      <w:r>
        <w:rPr>
          <w:rFonts w:hint="eastAsia" w:ascii="仿宋" w:hAnsi="仿宋" w:eastAsia="仿宋"/>
          <w:color w:val="auto"/>
          <w:sz w:val="24"/>
          <w:highlight w:val="none"/>
        </w:rPr>
        <w:t>总占地面积25104.76平方米，建筑面积51380平方米</w:t>
      </w:r>
      <w:r>
        <w:rPr>
          <w:rFonts w:hint="eastAsia" w:ascii="仿宋" w:hAnsi="仿宋" w:eastAsia="仿宋"/>
          <w:color w:val="auto"/>
          <w:sz w:val="24"/>
          <w:highlight w:val="none"/>
          <w:lang w:val="en-US" w:eastAsia="zh-CN"/>
        </w:rPr>
        <w:t>。目前在南院、东院分别有两处机房，楼层汇聚交换机、考勤设备、视频会议终端、无线网AP等信息化设备在四个院区均有部署。</w:t>
      </w:r>
    </w:p>
    <w:p w14:paraId="2AF7D8F8">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中心新址位于通州区宋庄镇双埠头工业园区，建设用地80400平方米，建设总规模124500平方米</w:t>
      </w:r>
      <w:r>
        <w:rPr>
          <w:rFonts w:hint="eastAsia" w:ascii="仿宋" w:hAnsi="仿宋" w:eastAsia="仿宋"/>
          <w:color w:val="auto"/>
          <w:sz w:val="24"/>
          <w:highlight w:val="none"/>
        </w:rPr>
        <w:t>（地上8.52万平方米，地下3.93万平方米）</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包括9栋地上4层地下2层建筑物，建成后市疾控中心现址不保留。市疾控中心新址楼宇布局如下图，A1、A2、B2为办公、教学、应急指挥类用房，B1为健康教育馆，A3、A4、B3、B4、B5为实验室。中心新址建设规模较现址增加7.8万平方米，主要增加了实验用房等核心功能用房面积，健康教育体验中心、菌毒种库、应急物资储备库等业务、保障用房面积，以及按公共设施配建指标增加了车位、人防面积。</w:t>
      </w:r>
    </w:p>
    <w:p w14:paraId="6F6430E6">
      <w:pPr>
        <w:spacing w:line="360" w:lineRule="auto"/>
        <w:ind w:firstLine="480" w:firstLineChars="200"/>
        <w:contextualSpacing/>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因为已经申报并获得审批的新址迁建信息化建设项目中，为满足“保基本”的原则，只申报一部分新增设备，还有网络和网络安全设备、服务器及存储设备、本地系统、视频会议系统、终端设备等大量现有资产需随业务整体迁移，以保证现有业务在新址启用、旧址关停后正常开展和稳定运行。</w:t>
      </w:r>
    </w:p>
    <w:p w14:paraId="4A65D914">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我中心已有11个业务信息系统部署在政务云上，另有5个信息系统计划与新址启用后迁移至政务云，除此之外还有本地部署的68套软件及系统，其中涵盖中心网站网站系统正式环境及测试环境、样本库、冰箱监控软件、国家版正版化软件、北京版正化软、视频会议会控、考勤机软件、杀毒软件、主机入侵EDR软件、数据分类分级软件、基线配置软件、等保测评工具软件、能效分析软件、日志监控软件、主机防泄露软件、传染病预警前置软件、财务软件、预算管理软件、物资管理软件、疫苗管理软件、数据转换软件、R软件、基因分析软件、网盘软件、网页防篡改、现有二级以下系统生产测试环境等关键业务模块，需要在本次迁移中完成系统及数据迁移。</w:t>
      </w:r>
    </w:p>
    <w:p w14:paraId="0DAA4693">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迁移过程中需要保证中心网站、全市医疗机构和疾控部门登录传染病疫情直报网的SSL VPN以及保证全市二级以上民营机构68家的前置软件网络联通的IPSEC VPN等实际业务连续不中断。</w:t>
      </w:r>
    </w:p>
    <w:p w14:paraId="24A3EF36">
      <w:pPr>
        <w:spacing w:line="360" w:lineRule="auto"/>
        <w:ind w:firstLine="480" w:firstLineChars="200"/>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原旧址机房网络拓扑现状如下：</w:t>
      </w:r>
    </w:p>
    <w:p w14:paraId="4E2E8F25">
      <w:pPr>
        <w:spacing w:line="360" w:lineRule="auto"/>
        <w:ind w:firstLine="0" w:firstLineChars="0"/>
        <w:contextualSpacing/>
        <w:rPr>
          <w:rFonts w:hint="default" w:ascii="仿宋" w:hAnsi="仿宋" w:eastAsia="仿宋"/>
          <w:color w:val="auto"/>
          <w:sz w:val="24"/>
          <w:highlight w:val="none"/>
          <w:lang w:val="en-US" w:eastAsia="zh-CN"/>
        </w:rPr>
      </w:pPr>
      <w:r>
        <w:rPr>
          <w:color w:val="auto"/>
          <w:highlight w:val="none"/>
        </w:rPr>
        <w:drawing>
          <wp:inline distT="0" distB="0" distL="0" distR="0">
            <wp:extent cx="5264785" cy="3602990"/>
            <wp:effectExtent l="0" t="0" r="1905" b="4445"/>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264785" cy="3602990"/>
                    </a:xfrm>
                    <a:prstGeom prst="rect">
                      <a:avLst/>
                    </a:prstGeom>
                    <a:ln>
                      <a:noFill/>
                    </a:ln>
                  </pic:spPr>
                </pic:pic>
              </a:graphicData>
            </a:graphic>
          </wp:inline>
        </w:drawing>
      </w:r>
    </w:p>
    <w:p w14:paraId="383C251F">
      <w:pPr>
        <w:spacing w:line="360" w:lineRule="auto"/>
        <w:ind w:firstLine="480" w:firstLineChars="200"/>
        <w:contextualSpacing/>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中心网站的现有部署环境如下：</w:t>
      </w:r>
    </w:p>
    <w:tbl>
      <w:tblPr>
        <w:tblStyle w:val="62"/>
        <w:tblW w:w="4998" w:type="pct"/>
        <w:tblInd w:w="0" w:type="dxa"/>
        <w:tblLayout w:type="autofit"/>
        <w:tblCellMar>
          <w:top w:w="0" w:type="dxa"/>
          <w:left w:w="108" w:type="dxa"/>
          <w:bottom w:w="0" w:type="dxa"/>
          <w:right w:w="108" w:type="dxa"/>
        </w:tblCellMar>
      </w:tblPr>
      <w:tblGrid>
        <w:gridCol w:w="1163"/>
        <w:gridCol w:w="1675"/>
        <w:gridCol w:w="1179"/>
        <w:gridCol w:w="3404"/>
        <w:gridCol w:w="1104"/>
      </w:tblGrid>
      <w:tr w14:paraId="1888DBF8">
        <w:tblPrEx>
          <w:tblCellMar>
            <w:top w:w="0" w:type="dxa"/>
            <w:left w:w="108" w:type="dxa"/>
            <w:bottom w:w="0" w:type="dxa"/>
            <w:right w:w="108" w:type="dxa"/>
          </w:tblCellMar>
        </w:tblPrEx>
        <w:trPr>
          <w:trHeight w:val="480" w:hRule="atLeast"/>
        </w:trPr>
        <w:tc>
          <w:tcPr>
            <w:tcW w:w="682"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6120B309">
            <w:pPr>
              <w:widowControl/>
              <w:spacing w:line="240" w:lineRule="auto"/>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rPr>
              <w:t>系统名称</w:t>
            </w:r>
          </w:p>
        </w:tc>
        <w:tc>
          <w:tcPr>
            <w:tcW w:w="982"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7DB68AC4">
            <w:pPr>
              <w:widowControl/>
              <w:spacing w:line="240" w:lineRule="auto"/>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产品名称</w:t>
            </w:r>
          </w:p>
        </w:tc>
        <w:tc>
          <w:tcPr>
            <w:tcW w:w="691"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5D77F345">
            <w:pPr>
              <w:widowControl/>
              <w:spacing w:line="240" w:lineRule="auto"/>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rPr>
              <w:t>原品牌</w:t>
            </w:r>
          </w:p>
        </w:tc>
        <w:tc>
          <w:tcPr>
            <w:tcW w:w="1996"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6908543B">
            <w:pPr>
              <w:widowControl/>
              <w:spacing w:line="240" w:lineRule="auto"/>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rPr>
              <w:t>原配置</w:t>
            </w:r>
          </w:p>
        </w:tc>
        <w:tc>
          <w:tcPr>
            <w:tcW w:w="647"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5009343E">
            <w:pPr>
              <w:widowControl/>
              <w:spacing w:line="240" w:lineRule="auto"/>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rPr>
              <w:t>原数量</w:t>
            </w:r>
          </w:p>
        </w:tc>
      </w:tr>
      <w:tr w14:paraId="75CEE9F4">
        <w:tblPrEx>
          <w:tblCellMar>
            <w:top w:w="0" w:type="dxa"/>
            <w:left w:w="108" w:type="dxa"/>
            <w:bottom w:w="0" w:type="dxa"/>
            <w:right w:w="108" w:type="dxa"/>
          </w:tblCellMar>
        </w:tblPrEx>
        <w:trPr>
          <w:trHeight w:val="480" w:hRule="atLeast"/>
        </w:trPr>
        <w:tc>
          <w:tcPr>
            <w:tcW w:w="682" w:type="pct"/>
            <w:vMerge w:val="restart"/>
            <w:tcBorders>
              <w:top w:val="single" w:color="000000" w:sz="4" w:space="0"/>
              <w:left w:val="single" w:color="000000" w:sz="4" w:space="0"/>
              <w:right w:val="single" w:color="000000" w:sz="4" w:space="0"/>
            </w:tcBorders>
            <w:shd w:val="clear" w:color="auto" w:fill="auto"/>
            <w:vAlign w:val="center"/>
          </w:tcPr>
          <w:p w14:paraId="36A0F37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rPr>
              <w:t>北京市疾控中心门户网站系统</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ABF6">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物理服务器1</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4067D">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戴尔</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F4C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CPU：Intel Xeon gold 5215 2.5Ghz</w:t>
            </w:r>
          </w:p>
          <w:p w14:paraId="363FCA1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内存：64G</w:t>
            </w:r>
          </w:p>
          <w:p w14:paraId="74DC5AF6">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存储1200G</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3D34">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4E48DD3F">
        <w:tblPrEx>
          <w:tblCellMar>
            <w:top w:w="0" w:type="dxa"/>
            <w:left w:w="108" w:type="dxa"/>
            <w:bottom w:w="0" w:type="dxa"/>
            <w:right w:w="108" w:type="dxa"/>
          </w:tblCellMar>
        </w:tblPrEx>
        <w:trPr>
          <w:trHeight w:val="480" w:hRule="atLeast"/>
        </w:trPr>
        <w:tc>
          <w:tcPr>
            <w:tcW w:w="682" w:type="pct"/>
            <w:vMerge w:val="continue"/>
            <w:tcBorders>
              <w:left w:val="single" w:color="000000" w:sz="4" w:space="0"/>
              <w:right w:val="single" w:color="000000" w:sz="4" w:space="0"/>
            </w:tcBorders>
            <w:shd w:val="clear" w:color="auto" w:fill="auto"/>
            <w:vAlign w:val="center"/>
          </w:tcPr>
          <w:p w14:paraId="36FED75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E2B7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物理服务器2</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2458">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H3c</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2957">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 Intel Xeon silver 4310 2.1Ghz</w:t>
            </w:r>
          </w:p>
          <w:p w14:paraId="12FA20E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内存:64G</w:t>
            </w:r>
          </w:p>
          <w:p w14:paraId="04CD855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存储1200G</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19DB5">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1E7AA996">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37BEF94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064A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3</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7F2C">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戴尔</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854A">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CPU:Intel Xeon E5504 2.0Ghz</w:t>
            </w:r>
          </w:p>
          <w:p w14:paraId="17544A6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内存:64G</w:t>
            </w:r>
          </w:p>
          <w:p w14:paraId="2BA3995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存储560G</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33A6">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75A0D039">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6AEA18DE">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543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lang w:val="en-US"/>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4</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8F23">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H3c</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B08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 Intel Xeon sliver 4310 2.1Ghz</w:t>
            </w:r>
          </w:p>
          <w:p w14:paraId="31EAC692">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 64GB硬盘:560GB</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7AAE4">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5EF9DB57">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2A5878A1">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02A2">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5</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81170">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戴尔</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0B18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CPU:Intel Xeon E5620 2.4Ghz</w:t>
            </w:r>
          </w:p>
          <w:p w14:paraId="32034D1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内存:48G 存储3800G</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87544">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6807382D">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38FA917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E8A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6</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B7E0">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华为</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7CB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 Intel gold 6240 2.6Ghz</w:t>
            </w:r>
          </w:p>
          <w:p w14:paraId="2CD9FB2A">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 192GB硬盘:1920GB</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6440">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5119536E">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157CE2CD">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kern w:val="0"/>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641FE">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7</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C1A9">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H3c</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307E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CPU:Intel Xeon gold 6240 2.6Ghz</w:t>
            </w:r>
          </w:p>
          <w:p w14:paraId="4E4E4C2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 64GB 硬盘:1200GB</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893C">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2987FF8B">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2D9D294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4917">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rPr>
              <w:t>物理服务器</w:t>
            </w:r>
            <w:r>
              <w:rPr>
                <w:rFonts w:hint="eastAsia" w:ascii="仿宋" w:hAnsi="仿宋" w:eastAsia="仿宋" w:cs="仿宋"/>
                <w:color w:val="auto"/>
                <w:kern w:val="0"/>
                <w:sz w:val="21"/>
                <w:szCs w:val="21"/>
                <w:highlight w:val="none"/>
                <w:lang w:val="en-US" w:eastAsia="zh-CN"/>
              </w:rPr>
              <w:t xml:space="preserve"> 8</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99109">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戴尔</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9FB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CPU:intel Xeon E5-2603 v3 1.6GHz</w:t>
            </w:r>
          </w:p>
          <w:p w14:paraId="53D396CE">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内存：16Gb</w:t>
            </w:r>
          </w:p>
          <w:p w14:paraId="77A0F64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硬盘：1Tb</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A1F6">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7E02D75D">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054AD6D7">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eastAsia="zh-CN"/>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5D0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操作系统</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05F6">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windows</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D264">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server2019</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6E5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8</w:t>
            </w:r>
          </w:p>
        </w:tc>
      </w:tr>
      <w:tr w14:paraId="13EA9C10">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4507191A">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vMerge w:val="restart"/>
            <w:tcBorders>
              <w:top w:val="single" w:color="000000" w:sz="4" w:space="0"/>
              <w:left w:val="single" w:color="000000" w:sz="4" w:space="0"/>
              <w:right w:val="single" w:color="000000" w:sz="4" w:space="0"/>
            </w:tcBorders>
            <w:shd w:val="clear" w:color="auto" w:fill="auto"/>
            <w:vAlign w:val="center"/>
          </w:tcPr>
          <w:p w14:paraId="1E7A60A7">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中间件</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39B0">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tomcat</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E49AB">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v9.0.108</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CAB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4</w:t>
            </w:r>
          </w:p>
        </w:tc>
      </w:tr>
      <w:tr w14:paraId="709B07D7">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3EEA9B4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vMerge w:val="continue"/>
            <w:tcBorders>
              <w:left w:val="single" w:color="000000" w:sz="4" w:space="0"/>
              <w:bottom w:val="single" w:color="000000" w:sz="4" w:space="0"/>
              <w:right w:val="single" w:color="000000" w:sz="4" w:space="0"/>
            </w:tcBorders>
            <w:shd w:val="clear" w:color="auto" w:fill="auto"/>
            <w:vAlign w:val="center"/>
          </w:tcPr>
          <w:p w14:paraId="1943B19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lang w:val="en-US" w:eastAsia="zh-CN"/>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BAC0">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nginx</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F7719">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v1.23.1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E6A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p>
        </w:tc>
      </w:tr>
      <w:tr w14:paraId="35D7E133">
        <w:tblPrEx>
          <w:tblCellMar>
            <w:top w:w="0" w:type="dxa"/>
            <w:left w:w="108" w:type="dxa"/>
            <w:bottom w:w="0" w:type="dxa"/>
            <w:right w:w="108" w:type="dxa"/>
          </w:tblCellMar>
        </w:tblPrEx>
        <w:trPr>
          <w:trHeight w:val="280" w:hRule="atLeast"/>
        </w:trPr>
        <w:tc>
          <w:tcPr>
            <w:tcW w:w="682" w:type="pct"/>
            <w:vMerge w:val="continue"/>
            <w:tcBorders>
              <w:left w:val="single" w:color="000000" w:sz="4" w:space="0"/>
              <w:right w:val="single" w:color="000000" w:sz="4" w:space="0"/>
            </w:tcBorders>
            <w:shd w:val="clear" w:color="auto" w:fill="auto"/>
            <w:vAlign w:val="center"/>
          </w:tcPr>
          <w:p w14:paraId="6FFEB7F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ACCA">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数据库</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13886">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mysql</w:t>
            </w:r>
          </w:p>
        </w:tc>
        <w:tc>
          <w:tcPr>
            <w:tcW w:w="1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1022">
            <w:pPr>
              <w:keepNext w:val="0"/>
              <w:keepLines w:val="0"/>
              <w:pageBreakBefore w:val="0"/>
              <w:kinsoku/>
              <w:wordWrap/>
              <w:overflowPunct/>
              <w:topLinePunct w:val="0"/>
              <w:autoSpaceDE/>
              <w:autoSpaceDN/>
              <w:bidi w:val="0"/>
              <w:adjustRightInd/>
              <w:snapToGrid w:val="0"/>
              <w:spacing w:after="0" w:line="24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v8.5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D4FF">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p>
        </w:tc>
      </w:tr>
    </w:tbl>
    <w:p w14:paraId="485AF235">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1680A63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5FD3334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w:t>
      </w:r>
      <w:r>
        <w:rPr>
          <w:rFonts w:hint="eastAsia" w:ascii="仿宋" w:hAnsi="仿宋" w:eastAsia="仿宋" w:cs="仿宋"/>
          <w:bCs/>
          <w:color w:val="auto"/>
          <w:sz w:val="24"/>
          <w:highlight w:val="none"/>
          <w:lang w:val="en-US" w:eastAsia="zh-CN"/>
        </w:rPr>
        <w:t>交付</w:t>
      </w:r>
      <w:r>
        <w:rPr>
          <w:rFonts w:hint="eastAsia" w:ascii="仿宋" w:hAnsi="仿宋" w:eastAsia="仿宋" w:cs="仿宋"/>
          <w:bCs/>
          <w:color w:val="auto"/>
          <w:sz w:val="24"/>
          <w:highlight w:val="none"/>
        </w:rPr>
        <w:t>时间：合同签订之日起，本项目建设周期为</w:t>
      </w:r>
      <w:r>
        <w:rPr>
          <w:rFonts w:hint="eastAsia" w:ascii="仿宋" w:hAnsi="仿宋" w:eastAsia="仿宋" w:cs="仿宋"/>
          <w:bCs/>
          <w:color w:val="auto"/>
          <w:sz w:val="24"/>
          <w:highlight w:val="none"/>
          <w:lang w:val="en-US" w:eastAsia="zh-CN"/>
        </w:rPr>
        <w:t>90</w:t>
      </w:r>
      <w:r>
        <w:rPr>
          <w:rFonts w:hint="eastAsia" w:ascii="仿宋" w:hAnsi="仿宋" w:eastAsia="仿宋" w:cs="仿宋"/>
          <w:bCs/>
          <w:color w:val="auto"/>
          <w:sz w:val="24"/>
          <w:highlight w:val="none"/>
        </w:rPr>
        <w:t>个日历日交付完成。</w:t>
      </w:r>
    </w:p>
    <w:p w14:paraId="7B3B3ADB">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w:t>
      </w:r>
      <w:r>
        <w:rPr>
          <w:rFonts w:hint="eastAsia" w:ascii="仿宋" w:hAnsi="仿宋" w:eastAsia="仿宋" w:cs="仿宋"/>
          <w:bCs/>
          <w:color w:val="auto"/>
          <w:sz w:val="24"/>
          <w:highlight w:val="none"/>
          <w:lang w:val="en-US" w:eastAsia="zh-CN"/>
        </w:rPr>
        <w:t>交付</w:t>
      </w:r>
      <w:r>
        <w:rPr>
          <w:rFonts w:hint="eastAsia" w:ascii="仿宋" w:hAnsi="仿宋" w:eastAsia="仿宋" w:cs="仿宋"/>
          <w:bCs/>
          <w:color w:val="auto"/>
          <w:sz w:val="24"/>
          <w:highlight w:val="none"/>
        </w:rPr>
        <w:t>地点：</w:t>
      </w:r>
      <w:r>
        <w:rPr>
          <w:rFonts w:hint="eastAsia" w:ascii="仿宋" w:hAnsi="仿宋" w:eastAsia="仿宋" w:cs="仿宋"/>
          <w:bCs/>
          <w:color w:val="auto"/>
          <w:sz w:val="24"/>
          <w:highlight w:val="none"/>
          <w:lang w:val="en-US" w:eastAsia="zh-CN"/>
        </w:rPr>
        <w:t>北京市疾病预防控制中心指定地点</w:t>
      </w:r>
      <w:r>
        <w:rPr>
          <w:rFonts w:hint="eastAsia" w:ascii="仿宋" w:hAnsi="仿宋" w:eastAsia="仿宋" w:cs="仿宋"/>
          <w:bCs/>
          <w:color w:val="auto"/>
          <w:sz w:val="24"/>
          <w:highlight w:val="none"/>
        </w:rPr>
        <w:t>。</w:t>
      </w:r>
    </w:p>
    <w:p w14:paraId="7FBABCD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6717635">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详见第六章拟签订的合同文本。</w:t>
      </w:r>
    </w:p>
    <w:p w14:paraId="3A83D41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5EA3CAE5">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投标人应确保所有货物均按照相关标准（《关于印发〈商品包装政府采购需求标准（试行）〉、〈快递包装政府采购需求标准（试行）〉的通知》（财办库﹝2020﹞123号））进行妥善包装，以防止在运输和存储过程中受到损坏。包装材料需环保、可回收，并符合国家对包装物的环保要求。运输过程中，投标人应负责货物的安全，确保按时、无损地送达指定地点</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详细内容如下：</w:t>
      </w:r>
    </w:p>
    <w:p w14:paraId="6234193C">
      <w:pPr>
        <w:snapToGrid w:val="0"/>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搬迁环境调查与运输规划：搬迁线路现场勘查、电梯/通道/坡道承载力核查、作业区域划分（打包区、暂存区、装卸区）、双备选行车路线、高峰期运输管控；</w:t>
      </w:r>
    </w:p>
    <w:p w14:paraId="2C5B523B">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场地保护：新旧机房地面、墙面、门、电梯防护措施；</w:t>
      </w:r>
    </w:p>
    <w:p w14:paraId="5E6999F1">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车辆要求：箱式货车带自动升降平台，备用车辆，UPS 电池独立运输，车厢抗震防护，车辆行驶速度限制；</w:t>
      </w:r>
    </w:p>
    <w:p w14:paraId="05007D3C">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分级包装规范：普通 IT 设备、5U 以上重型设备、大屏显示设备、小件设备、UPS 设备木箱 + 减震托盘包装要求；</w:t>
      </w:r>
    </w:p>
    <w:p w14:paraId="4FAA88F0">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下架</w:t>
      </w:r>
      <w:r>
        <w:rPr>
          <w:rFonts w:hint="eastAsia" w:ascii="仿宋" w:hAnsi="仿宋" w:eastAsia="仿宋"/>
          <w:color w:val="auto"/>
          <w:sz w:val="24"/>
          <w:highlight w:val="none"/>
        </w:rPr>
        <w:noBreakHyphen/>
      </w:r>
      <w:r>
        <w:rPr>
          <w:rFonts w:hint="eastAsia" w:ascii="仿宋" w:hAnsi="仿宋" w:eastAsia="仿宋"/>
          <w:color w:val="auto"/>
          <w:sz w:val="24"/>
          <w:highlight w:val="none"/>
        </w:rPr>
        <w:t>装车</w:t>
      </w:r>
      <w:r>
        <w:rPr>
          <w:rFonts w:hint="eastAsia" w:ascii="仿宋" w:hAnsi="仿宋" w:eastAsia="仿宋"/>
          <w:color w:val="auto"/>
          <w:sz w:val="24"/>
          <w:highlight w:val="none"/>
        </w:rPr>
        <w:noBreakHyphen/>
      </w:r>
      <w:r>
        <w:rPr>
          <w:rFonts w:hint="eastAsia" w:ascii="仿宋" w:hAnsi="仿宋" w:eastAsia="仿宋"/>
          <w:color w:val="auto"/>
          <w:sz w:val="24"/>
          <w:highlight w:val="none"/>
        </w:rPr>
        <w:t>卸车</w:t>
      </w:r>
      <w:r>
        <w:rPr>
          <w:rFonts w:hint="eastAsia" w:ascii="仿宋" w:hAnsi="仿宋" w:eastAsia="仿宋"/>
          <w:color w:val="auto"/>
          <w:sz w:val="24"/>
          <w:highlight w:val="none"/>
        </w:rPr>
        <w:noBreakHyphen/>
      </w:r>
      <w:r>
        <w:rPr>
          <w:rFonts w:hint="eastAsia" w:ascii="仿宋" w:hAnsi="仿宋" w:eastAsia="仿宋"/>
          <w:color w:val="auto"/>
          <w:sz w:val="24"/>
          <w:highlight w:val="none"/>
        </w:rPr>
        <w:t>上架</w:t>
      </w:r>
      <w:r>
        <w:rPr>
          <w:rFonts w:hint="eastAsia" w:ascii="仿宋" w:hAnsi="仿宋" w:eastAsia="仿宋"/>
          <w:color w:val="auto"/>
          <w:sz w:val="24"/>
          <w:highlight w:val="none"/>
        </w:rPr>
        <w:noBreakHyphen/>
      </w:r>
      <w:r>
        <w:rPr>
          <w:rFonts w:hint="eastAsia" w:ascii="仿宋" w:hAnsi="仿宋" w:eastAsia="仿宋"/>
          <w:color w:val="auto"/>
          <w:sz w:val="24"/>
          <w:highlight w:val="none"/>
        </w:rPr>
        <w:t>现场清扫全流程物流作业规范；</w:t>
      </w:r>
    </w:p>
    <w:p w14:paraId="6790A3C1">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保险与赔偿：搬迁前按设备残值购买运输保险，运输造成设备损坏按设备残值赔偿。</w:t>
      </w:r>
    </w:p>
    <w:p w14:paraId="62D6D56F">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66F0D4D7">
      <w:pPr>
        <w:keepNext w:val="0"/>
        <w:keepLines w:val="0"/>
        <w:widowControl/>
        <w:numPr>
          <w:ilvl w:val="-1"/>
          <w:numId w:val="0"/>
        </w:numPr>
        <w:suppressLineNumbers w:val="0"/>
        <w:spacing w:before="0" w:beforeAutospacing="0" w:after="0" w:afterAutospacing="0" w:line="360" w:lineRule="auto"/>
        <w:ind w:left="0"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质量保证期：</w:t>
      </w:r>
      <w:r>
        <w:rPr>
          <w:rFonts w:hint="default" w:ascii="仿宋" w:hAnsi="仿宋" w:eastAsia="仿宋" w:cs="仿宋"/>
          <w:bCs/>
          <w:color w:val="auto"/>
          <w:sz w:val="24"/>
          <w:highlight w:val="none"/>
        </w:rPr>
        <w:t>完成机房搬迁</w:t>
      </w:r>
      <w:r>
        <w:rPr>
          <w:rFonts w:hint="eastAsia" w:ascii="仿宋" w:hAnsi="仿宋" w:eastAsia="仿宋" w:cs="仿宋"/>
          <w:bCs/>
          <w:color w:val="auto"/>
          <w:sz w:val="24"/>
          <w:highlight w:val="none"/>
          <w:lang w:val="en-US" w:eastAsia="zh-CN"/>
        </w:rPr>
        <w:t>验收</w:t>
      </w:r>
      <w:r>
        <w:rPr>
          <w:rFonts w:hint="default" w:ascii="仿宋" w:hAnsi="仿宋" w:eastAsia="仿宋" w:cs="仿宋"/>
          <w:bCs/>
          <w:color w:val="auto"/>
          <w:sz w:val="24"/>
          <w:highlight w:val="none"/>
        </w:rPr>
        <w:t>后</w:t>
      </w:r>
      <w:r>
        <w:rPr>
          <w:rFonts w:hint="eastAsia" w:ascii="仿宋" w:hAnsi="仿宋" w:eastAsia="仿宋" w:cs="仿宋"/>
          <w:bCs/>
          <w:color w:val="auto"/>
          <w:sz w:val="24"/>
          <w:highlight w:val="none"/>
          <w:lang w:eastAsia="zh-CN"/>
        </w:rPr>
        <w:t>投标人</w:t>
      </w:r>
      <w:r>
        <w:rPr>
          <w:rFonts w:hint="default" w:ascii="仿宋" w:hAnsi="仿宋" w:eastAsia="仿宋" w:cs="仿宋"/>
          <w:bCs/>
          <w:color w:val="auto"/>
          <w:sz w:val="24"/>
          <w:highlight w:val="none"/>
        </w:rPr>
        <w:t>需根据搬迁</w:t>
      </w:r>
      <w:r>
        <w:rPr>
          <w:rFonts w:hint="default" w:ascii="仿宋" w:hAnsi="仿宋" w:eastAsia="仿宋" w:cs="仿宋"/>
          <w:bCs/>
          <w:color w:val="auto"/>
          <w:sz w:val="24"/>
          <w:highlight w:val="none"/>
          <w:lang w:val="en-US" w:eastAsia="zh-CN"/>
        </w:rPr>
        <w:t>情况</w:t>
      </w:r>
      <w:r>
        <w:rPr>
          <w:rFonts w:hint="default" w:ascii="仿宋" w:hAnsi="仿宋" w:eastAsia="仿宋" w:cs="仿宋"/>
          <w:bCs/>
          <w:color w:val="auto"/>
          <w:sz w:val="24"/>
          <w:highlight w:val="none"/>
        </w:rPr>
        <w:t>配备足够的专业技术人员提供</w:t>
      </w:r>
      <w:r>
        <w:rPr>
          <w:rFonts w:hint="default" w:ascii="仿宋" w:hAnsi="仿宋" w:eastAsia="仿宋" w:cs="仿宋"/>
          <w:bCs/>
          <w:color w:val="auto"/>
          <w:sz w:val="24"/>
          <w:highlight w:val="none"/>
          <w:lang w:val="en-US" w:eastAsia="zh-CN"/>
        </w:rPr>
        <w:t>15天5*8</w:t>
      </w:r>
      <w:r>
        <w:rPr>
          <w:rFonts w:hint="eastAsia" w:ascii="仿宋" w:hAnsi="仿宋" w:eastAsia="仿宋" w:cs="仿宋"/>
          <w:bCs/>
          <w:color w:val="auto"/>
          <w:sz w:val="24"/>
          <w:highlight w:val="none"/>
          <w:lang w:val="en-US" w:eastAsia="zh-CN"/>
        </w:rPr>
        <w:t>h</w:t>
      </w:r>
      <w:r>
        <w:rPr>
          <w:rFonts w:hint="default" w:ascii="仿宋" w:hAnsi="仿宋" w:eastAsia="仿宋" w:cs="仿宋"/>
          <w:bCs/>
          <w:color w:val="auto"/>
          <w:sz w:val="24"/>
          <w:highlight w:val="none"/>
        </w:rPr>
        <w:t>现场保障和值守，处置</w:t>
      </w:r>
      <w:r>
        <w:rPr>
          <w:rFonts w:hint="eastAsia" w:ascii="仿宋" w:hAnsi="仿宋" w:eastAsia="仿宋" w:cs="仿宋"/>
          <w:bCs/>
          <w:color w:val="auto"/>
          <w:sz w:val="24"/>
          <w:highlight w:val="none"/>
          <w:lang w:eastAsia="zh-CN"/>
        </w:rPr>
        <w:t>新址主机房</w:t>
      </w:r>
      <w:r>
        <w:rPr>
          <w:rFonts w:hint="default" w:ascii="仿宋" w:hAnsi="仿宋" w:eastAsia="仿宋" w:cs="仿宋"/>
          <w:bCs/>
          <w:color w:val="auto"/>
          <w:sz w:val="24"/>
          <w:highlight w:val="none"/>
          <w:lang w:val="en-US" w:eastAsia="zh-CN"/>
        </w:rPr>
        <w:t>对接后</w:t>
      </w:r>
      <w:r>
        <w:rPr>
          <w:rFonts w:hint="default" w:ascii="仿宋" w:hAnsi="仿宋" w:eastAsia="仿宋" w:cs="仿宋"/>
          <w:bCs/>
          <w:color w:val="auto"/>
          <w:sz w:val="24"/>
          <w:highlight w:val="none"/>
        </w:rPr>
        <w:t>运行</w:t>
      </w:r>
      <w:r>
        <w:rPr>
          <w:rFonts w:hint="default" w:ascii="仿宋" w:hAnsi="仿宋" w:eastAsia="仿宋" w:cs="仿宋"/>
          <w:bCs/>
          <w:color w:val="auto"/>
          <w:sz w:val="24"/>
          <w:highlight w:val="none"/>
          <w:lang w:val="en-US" w:eastAsia="zh-CN"/>
        </w:rPr>
        <w:t>的</w:t>
      </w:r>
      <w:r>
        <w:rPr>
          <w:rFonts w:hint="default" w:ascii="仿宋" w:hAnsi="仿宋" w:eastAsia="仿宋" w:cs="仿宋"/>
          <w:bCs/>
          <w:color w:val="auto"/>
          <w:sz w:val="24"/>
          <w:highlight w:val="none"/>
        </w:rPr>
        <w:t>技术问题，人员包括：服务器、网络设备、存储设备、虚拟化及</w:t>
      </w:r>
      <w:r>
        <w:rPr>
          <w:rFonts w:hint="default" w:ascii="仿宋" w:hAnsi="仿宋" w:eastAsia="仿宋" w:cs="仿宋"/>
          <w:bCs/>
          <w:color w:val="auto"/>
          <w:sz w:val="24"/>
          <w:highlight w:val="none"/>
          <w:lang w:val="en-US" w:eastAsia="zh-CN"/>
        </w:rPr>
        <w:t>UPS不间断电源</w:t>
      </w:r>
      <w:r>
        <w:rPr>
          <w:rFonts w:hint="default" w:ascii="仿宋" w:hAnsi="仿宋" w:eastAsia="仿宋" w:cs="仿宋"/>
          <w:bCs/>
          <w:color w:val="auto"/>
          <w:sz w:val="24"/>
          <w:highlight w:val="none"/>
        </w:rPr>
        <w:t>等方面的技术工程师。</w:t>
      </w:r>
    </w:p>
    <w:p w14:paraId="0D54ED05">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19EE9B16">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74B90C5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28E4C8DA">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北京市疾控中心</w:t>
      </w:r>
      <w:r>
        <w:rPr>
          <w:rFonts w:hint="eastAsia" w:ascii="仿宋" w:hAnsi="仿宋" w:eastAsia="仿宋"/>
          <w:color w:val="auto"/>
          <w:sz w:val="24"/>
          <w:highlight w:val="none"/>
          <w:lang w:val="en-US" w:eastAsia="zh-CN"/>
        </w:rPr>
        <w:t>四个院区需要搬迁的信息化设备</w:t>
      </w:r>
      <w:r>
        <w:rPr>
          <w:rFonts w:hint="eastAsia" w:ascii="仿宋" w:hAnsi="仿宋" w:eastAsia="仿宋"/>
          <w:color w:val="auto"/>
          <w:sz w:val="24"/>
          <w:highlight w:val="none"/>
        </w:rPr>
        <w:t>，根据市疾控中心的统一规划，搬迁至通州区宋庄镇</w:t>
      </w:r>
      <w:r>
        <w:rPr>
          <w:rFonts w:hint="eastAsia" w:ascii="仿宋" w:hAnsi="仿宋" w:eastAsia="仿宋"/>
          <w:color w:val="auto"/>
          <w:sz w:val="24"/>
          <w:highlight w:val="none"/>
          <w:lang w:val="en-US" w:eastAsia="zh-CN"/>
        </w:rPr>
        <w:t>市疾控中心新址，并实现上架、集成、调试、运行，保证利旧设备在新址可以正常使用</w:t>
      </w:r>
      <w:r>
        <w:rPr>
          <w:rFonts w:hint="eastAsia" w:ascii="仿宋" w:hAnsi="仿宋" w:eastAsia="仿宋"/>
          <w:color w:val="auto"/>
          <w:sz w:val="24"/>
          <w:highlight w:val="none"/>
        </w:rPr>
        <w:t>。</w:t>
      </w:r>
    </w:p>
    <w:p w14:paraId="26A3E0EF">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本次机房搬迁的目标如下：</w:t>
      </w:r>
    </w:p>
    <w:p w14:paraId="68A3E5AE">
      <w:pPr>
        <w:numPr>
          <w:ilvl w:val="0"/>
          <w:numId w:val="0"/>
        </w:numPr>
        <w:spacing w:line="360" w:lineRule="auto"/>
        <w:ind w:firstLine="240" w:firstLineChars="1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将旧机房的</w:t>
      </w:r>
      <w:r>
        <w:rPr>
          <w:rFonts w:hint="eastAsia" w:ascii="仿宋" w:hAnsi="仿宋" w:eastAsia="仿宋"/>
          <w:color w:val="auto"/>
          <w:sz w:val="24"/>
          <w:highlight w:val="none"/>
          <w:lang w:eastAsia="zh-CN"/>
        </w:rPr>
        <w:t>629</w:t>
      </w:r>
      <w:r>
        <w:rPr>
          <w:rFonts w:hint="eastAsia" w:ascii="仿宋" w:hAnsi="仿宋" w:eastAsia="仿宋"/>
          <w:color w:val="auto"/>
          <w:sz w:val="24"/>
          <w:highlight w:val="none"/>
        </w:rPr>
        <w:t>台IT设备及其承载的68套应用软件，通过物理迁移的方法搬迁至</w:t>
      </w:r>
      <w:r>
        <w:rPr>
          <w:rFonts w:hint="eastAsia" w:ascii="仿宋" w:hAnsi="仿宋" w:eastAsia="仿宋"/>
          <w:color w:val="auto"/>
          <w:sz w:val="24"/>
          <w:highlight w:val="none"/>
          <w:lang w:eastAsia="zh-CN"/>
        </w:rPr>
        <w:t>新址主机房，</w:t>
      </w:r>
      <w:r>
        <w:rPr>
          <w:rFonts w:hint="eastAsia" w:ascii="仿宋" w:hAnsi="仿宋" w:eastAsia="仿宋"/>
          <w:color w:val="auto"/>
          <w:sz w:val="24"/>
          <w:highlight w:val="none"/>
          <w:lang w:val="en-US" w:eastAsia="zh-CN"/>
        </w:rPr>
        <w:t>配合与新址网络架构进行融合调试，保证硬件设备及软件网络运行正常</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搬迁后的的网络拓扑如下图：</w:t>
      </w:r>
    </w:p>
    <w:p w14:paraId="49AF6F5E">
      <w:pPr>
        <w:numPr>
          <w:ilvl w:val="-1"/>
          <w:numId w:val="0"/>
        </w:numPr>
        <w:spacing w:line="360" w:lineRule="auto"/>
        <w:ind w:firstLine="0" w:firstLineChars="0"/>
        <w:rPr>
          <w:rFonts w:hint="default" w:ascii="仿宋" w:hAnsi="仿宋" w:eastAsia="仿宋"/>
          <w:color w:val="auto"/>
          <w:sz w:val="24"/>
          <w:highlight w:val="none"/>
          <w:lang w:val="en-US" w:eastAsia="zh-CN"/>
        </w:rPr>
      </w:pPr>
      <w:r>
        <w:rPr>
          <w:rFonts w:hint="default" w:ascii="仿宋" w:hAnsi="仿宋" w:eastAsia="仿宋"/>
          <w:color w:val="auto"/>
          <w:sz w:val="24"/>
          <w:highlight w:val="none"/>
          <w:lang w:val="en-US" w:eastAsia="zh-CN"/>
        </w:rPr>
        <w:drawing>
          <wp:inline distT="0" distB="0" distL="0" distR="0">
            <wp:extent cx="5270500" cy="4107180"/>
            <wp:effectExtent l="0" t="0" r="4445" b="3810"/>
            <wp:docPr id="1028" name="图片 2" descr="微信图片_20261010095400_492_145"/>
            <wp:cNvGraphicFramePr/>
            <a:graphic xmlns:a="http://schemas.openxmlformats.org/drawingml/2006/main">
              <a:graphicData uri="http://schemas.openxmlformats.org/drawingml/2006/picture">
                <pic:pic xmlns:pic="http://schemas.openxmlformats.org/drawingml/2006/picture">
                  <pic:nvPicPr>
                    <pic:cNvPr id="1028" name="图片 2" descr="微信图片_20261010095400_492_145"/>
                    <pic:cNvPicPr/>
                  </pic:nvPicPr>
                  <pic:blipFill>
                    <a:blip r:embed="rId7" cstate="print"/>
                    <a:srcRect/>
                    <a:stretch>
                      <a:fillRect/>
                    </a:stretch>
                  </pic:blipFill>
                  <pic:spPr>
                    <a:xfrm>
                      <a:off x="0" y="0"/>
                      <a:ext cx="5270500" cy="4107180"/>
                    </a:xfrm>
                    <a:prstGeom prst="rect">
                      <a:avLst/>
                    </a:prstGeom>
                  </pic:spPr>
                </pic:pic>
              </a:graphicData>
            </a:graphic>
          </wp:inline>
        </w:drawing>
      </w:r>
    </w:p>
    <w:p w14:paraId="4D48D01D">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(2)对业务连续性要求较高的网站系统，将采用先通过设备租赁方式在</w:t>
      </w:r>
      <w:r>
        <w:rPr>
          <w:rFonts w:hint="eastAsia" w:ascii="仿宋" w:hAnsi="仿宋" w:eastAsia="仿宋"/>
          <w:color w:val="auto"/>
          <w:sz w:val="24"/>
          <w:highlight w:val="none"/>
          <w:lang w:eastAsia="zh-CN"/>
        </w:rPr>
        <w:t>新址主机房</w:t>
      </w:r>
      <w:r>
        <w:rPr>
          <w:rFonts w:hint="eastAsia" w:ascii="仿宋" w:hAnsi="仿宋" w:eastAsia="仿宋"/>
          <w:color w:val="auto"/>
          <w:sz w:val="24"/>
          <w:highlight w:val="none"/>
        </w:rPr>
        <w:t>搭建系统进行逻辑迁移，再进行物理迁移，最后在</w:t>
      </w:r>
      <w:r>
        <w:rPr>
          <w:rFonts w:hint="eastAsia" w:ascii="仿宋" w:hAnsi="仿宋" w:eastAsia="仿宋"/>
          <w:color w:val="auto"/>
          <w:sz w:val="24"/>
          <w:highlight w:val="none"/>
          <w:lang w:eastAsia="zh-CN"/>
        </w:rPr>
        <w:t>新址</w:t>
      </w:r>
      <w:r>
        <w:rPr>
          <w:rFonts w:hint="eastAsia" w:ascii="仿宋" w:hAnsi="仿宋" w:eastAsia="仿宋"/>
          <w:color w:val="auto"/>
          <w:sz w:val="24"/>
          <w:highlight w:val="none"/>
        </w:rPr>
        <w:t>进行回切的方法，以保证业务不中断</w:t>
      </w:r>
      <w:r>
        <w:rPr>
          <w:rFonts w:hint="eastAsia" w:ascii="仿宋" w:hAnsi="仿宋" w:eastAsia="仿宋"/>
          <w:color w:val="auto"/>
          <w:sz w:val="24"/>
          <w:highlight w:val="none"/>
          <w:lang w:eastAsia="zh-CN"/>
        </w:rPr>
        <w:t>，</w:t>
      </w:r>
      <w:r>
        <w:rPr>
          <w:rFonts w:hint="eastAsia" w:ascii="仿宋" w:hAnsi="仿宋" w:eastAsia="仿宋" w:cs="仿宋"/>
          <w:bCs/>
          <w:color w:val="auto"/>
          <w:sz w:val="24"/>
          <w:highlight w:val="none"/>
          <w:lang w:val="en-US" w:eastAsia="zh-CN"/>
        </w:rPr>
        <w:t>全市登录传染病疫情直报网的SSL VPN以及保证全市二级以上民营机构68家的前置软件网络联通的IPSEC VPN等实际业务连续不中断</w:t>
      </w:r>
      <w:r>
        <w:rPr>
          <w:rFonts w:hint="eastAsia" w:ascii="仿宋" w:hAnsi="仿宋" w:eastAsia="仿宋"/>
          <w:color w:val="auto"/>
          <w:sz w:val="24"/>
          <w:highlight w:val="none"/>
        </w:rPr>
        <w:t>。</w:t>
      </w:r>
    </w:p>
    <w:p w14:paraId="1022A94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olor w:val="auto"/>
          <w:sz w:val="24"/>
          <w:highlight w:val="none"/>
        </w:rPr>
        <w:t>(3)确保机房搬迁工作的平稳、有序开展，保障搬迁期间北京疾控中心业务连续性，全面规划与协调</w:t>
      </w:r>
      <w:r>
        <w:rPr>
          <w:rFonts w:hint="eastAsia" w:ascii="仿宋" w:hAnsi="仿宋" w:eastAsia="仿宋"/>
          <w:color w:val="auto"/>
          <w:sz w:val="24"/>
          <w:highlight w:val="none"/>
          <w:lang w:val="en-US" w:eastAsia="zh-CN"/>
        </w:rPr>
        <w:t>北京市疾控中心</w:t>
      </w:r>
      <w:r>
        <w:rPr>
          <w:rFonts w:hint="eastAsia" w:ascii="仿宋" w:hAnsi="仿宋" w:eastAsia="仿宋"/>
          <w:color w:val="auto"/>
          <w:sz w:val="24"/>
          <w:highlight w:val="none"/>
        </w:rPr>
        <w:t>机房搬迁工作，采用分阶段、分批次的策略有序实施机房迁移任务，确保设备拆卸、搬运、运输、重新安装、调试、割接等各环节的紧密衔接与高效执行，确保</w:t>
      </w:r>
      <w:r>
        <w:rPr>
          <w:rFonts w:hint="eastAsia" w:ascii="仿宋" w:hAnsi="仿宋" w:eastAsia="仿宋"/>
          <w:color w:val="auto"/>
          <w:sz w:val="24"/>
          <w:highlight w:val="none"/>
          <w:lang w:val="en-US" w:eastAsia="zh-CN"/>
        </w:rPr>
        <w:t>北京市疾控中心</w:t>
      </w:r>
      <w:r>
        <w:rPr>
          <w:rFonts w:hint="eastAsia" w:ascii="仿宋" w:hAnsi="仿宋" w:eastAsia="仿宋"/>
          <w:color w:val="auto"/>
          <w:sz w:val="24"/>
          <w:highlight w:val="none"/>
        </w:rPr>
        <w:t>搬迁期间两地均能正常办公，最大限度减少对日常业务的影响。</w:t>
      </w:r>
    </w:p>
    <w:p w14:paraId="4DF463B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E3C34A1">
      <w:pPr>
        <w:spacing w:line="360" w:lineRule="auto"/>
        <w:ind w:firstLine="480" w:firstLineChars="200"/>
        <w:rPr>
          <w:rFonts w:hint="eastAsia" w:ascii="仿宋" w:hAnsi="仿宋" w:eastAsia="仿宋" w:cs="Times New Roman"/>
          <w:bCs w:val="0"/>
          <w:color w:val="auto"/>
          <w:sz w:val="24"/>
          <w:highlight w:val="none"/>
        </w:rPr>
      </w:pPr>
      <w:r>
        <w:rPr>
          <w:rFonts w:hint="eastAsia" w:ascii="仿宋" w:hAnsi="仿宋" w:eastAsia="仿宋" w:cs="Times New Roman"/>
          <w:bCs w:val="0"/>
          <w:color w:val="auto"/>
          <w:sz w:val="24"/>
          <w:highlight w:val="none"/>
        </w:rPr>
        <w:t>遇新标准或规范发布，按最新有效的标准和规范执行。</w:t>
      </w:r>
    </w:p>
    <w:p w14:paraId="591AEB6C">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22239-2019 信息安全技术 网络安全等级保护基本要求</w:t>
      </w:r>
    </w:p>
    <w:p w14:paraId="79BB1055">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25058-2019 信息安全技术 网络安全等级保护实施指南</w:t>
      </w:r>
    </w:p>
    <w:p w14:paraId="02578E8A">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20984-2022 信息安全技术 信息安全风险评估规范</w:t>
      </w:r>
    </w:p>
    <w:p w14:paraId="709D1F85">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 46864-2025《数据安全技术 电子产品信息清除技术要求》</w:t>
      </w:r>
    </w:p>
    <w:p w14:paraId="0E45709C">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 50174-2017 数据中心设计规范</w:t>
      </w:r>
    </w:p>
    <w:p w14:paraId="0820DBAE">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2887-2011 计算机场地通用规范</w:t>
      </w:r>
    </w:p>
    <w:p w14:paraId="645D938E">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 50462-2015 数据中心基础设施施工及验收规范</w:t>
      </w:r>
    </w:p>
    <w:p w14:paraId="396D2ECE">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34079.2-2021 基于云计算的电子政务公共平台服务规范 第 2 部分：应用部署和数据迁移</w:t>
      </w:r>
    </w:p>
    <w:p w14:paraId="336C3C24">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20988-2007 信息安全技术 信息系统灾难恢复规范</w:t>
      </w:r>
    </w:p>
    <w:p w14:paraId="6319D173">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18894-2016 电子文件归档与电子档案管理规范</w:t>
      </w:r>
    </w:p>
    <w:p w14:paraId="6DA04726">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29264-2012 信息技术服务 服务分类与代码</w:t>
      </w:r>
    </w:p>
    <w:p w14:paraId="4513B68D">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19001-2016 质量管理体系 要求</w:t>
      </w:r>
    </w:p>
    <w:p w14:paraId="161F6220">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33173-2016 信息技术服务 服务管理</w:t>
      </w:r>
    </w:p>
    <w:p w14:paraId="53892F12">
      <w:pPr>
        <w:spacing w:line="360" w:lineRule="auto"/>
        <w:ind w:firstLine="480" w:firstLineChars="200"/>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GB/T 41479-2022 信息安全技术 数据分类分级指南</w:t>
      </w:r>
    </w:p>
    <w:p w14:paraId="5DC1AC9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Times New Roman"/>
          <w:color w:val="auto"/>
          <w:sz w:val="24"/>
          <w:szCs w:val="24"/>
          <w:highlight w:val="none"/>
        </w:rPr>
        <w:t>GB/T 35273-2020 信息安全技术 个人信息安全规范</w:t>
      </w:r>
    </w:p>
    <w:p w14:paraId="278D0F64">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0A96AFE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3" w:name="_Toc52057404"/>
      <w:bookmarkStart w:id="4" w:name="_Toc55568721"/>
    </w:p>
    <w:bookmarkEnd w:id="3"/>
    <w:bookmarkEnd w:id="4"/>
    <w:p w14:paraId="6DF9979F">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（1）物理及逻辑迁移</w:t>
      </w:r>
    </w:p>
    <w:p w14:paraId="487C771D">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rPr>
      </w:pPr>
      <w:r>
        <w:rPr>
          <w:rFonts w:hint="eastAsia" w:ascii="仿宋" w:hAnsi="仿宋" w:eastAsia="仿宋" w:cs="Times New Roman"/>
          <w:b w:val="0"/>
          <w:bCs w:val="0"/>
          <w:color w:val="auto"/>
          <w:kern w:val="2"/>
          <w:sz w:val="24"/>
          <w:szCs w:val="24"/>
          <w:highlight w:val="none"/>
        </w:rPr>
        <w:t>主要包括如下工作内容：</w:t>
      </w:r>
    </w:p>
    <w:p w14:paraId="3ECA2AA5">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bidi="ar-SA"/>
        </w:rPr>
        <w:t>1）</w:t>
      </w:r>
      <w:r>
        <w:rPr>
          <w:rFonts w:hint="eastAsia" w:ascii="仿宋" w:hAnsi="仿宋" w:eastAsia="仿宋" w:cs="Times New Roman"/>
          <w:b w:val="0"/>
          <w:bCs w:val="0"/>
          <w:color w:val="auto"/>
          <w:kern w:val="2"/>
          <w:sz w:val="24"/>
          <w:szCs w:val="24"/>
          <w:highlight w:val="none"/>
          <w:lang w:val="en-US" w:eastAsia="zh-CN"/>
        </w:rPr>
        <w:t>项目管理工作：制定本次机房搬迁项目管理规范、流程、制度、模板等，从项目启动至迁移完成及收尾工作结束之日止的项目全过程统筹管理，涵盖项目进度管理、质量管理、风险管理、问题管理、文档管理、组织协调管理、资产管理、收尾管理等；</w:t>
      </w:r>
    </w:p>
    <w:p w14:paraId="5F02121F">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2）项目启动：项目启动材料准备：项目组织架构、项目计划、各领域计划（计算1人、存储1人、网络1人、安全1人等）准备，召开项目启动会议，并输出项目启动文档及项目启动会议纪要；</w:t>
      </w:r>
    </w:p>
    <w:p w14:paraId="2F49D7A1">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3）迁移现状调研和需求分析：南院、北院和东院、西院机房环境设备信息、动环监控系统等相关基础设施信息调研及分析、AP点位信息、音视频设备、会议设备、考勤设备、显示设备、UPS的信息调研、新址主机房信息调研包括机房环境、机柜位置、功率、地板承重等信息、会议室、考勤机点位、AP点位等，对68套软件系统基本信息及调研及分析，输出调研分析报告；</w:t>
      </w:r>
    </w:p>
    <w:p w14:paraId="114836C1">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4）迁移方案设计：迁移批次方案制定、网站系统逻辑迁移方案设计、迁移实施方案详细设计、网络割接方案设计、迁移演练和测试方案设计、迁移应急方案制定等；</w:t>
      </w:r>
      <w:r>
        <w:rPr>
          <w:rFonts w:hint="eastAsia" w:ascii="仿宋" w:hAnsi="仿宋" w:eastAsia="仿宋" w:cs="Times New Roman"/>
          <w:color w:val="auto"/>
          <w:sz w:val="24"/>
          <w:szCs w:val="24"/>
          <w:highlight w:val="none"/>
        </w:rPr>
        <w:t>输出搬迁实施方案、设备租赁方案、运输包装方案、辅材耗材采购方案、IPv4/IPv6 双栈改造实施方案；</w:t>
      </w:r>
    </w:p>
    <w:p w14:paraId="631E7B10">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5）迁移准备工作：检查机房环境，物理设备状态、物流路线、人员分工、备品备件等；</w:t>
      </w:r>
    </w:p>
    <w:p w14:paraId="0251C436">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6）迁移收尾：验收文档整理及召开项目验收会。</w:t>
      </w:r>
    </w:p>
    <w:p w14:paraId="07303961">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bCs/>
          <w:color w:val="auto"/>
          <w:kern w:val="2"/>
          <w:sz w:val="24"/>
          <w:szCs w:val="24"/>
          <w:highlight w:val="none"/>
          <w:lang w:val="en-US" w:eastAsia="zh-CN"/>
        </w:rPr>
      </w:pPr>
      <w:r>
        <w:rPr>
          <w:rFonts w:hint="eastAsia" w:ascii="仿宋" w:hAnsi="仿宋" w:eastAsia="仿宋" w:cs="Times New Roman"/>
          <w:b/>
          <w:bCs/>
          <w:color w:val="auto"/>
          <w:kern w:val="2"/>
          <w:sz w:val="24"/>
          <w:szCs w:val="24"/>
          <w:highlight w:val="none"/>
          <w:lang w:val="en-US" w:eastAsia="zh-CN"/>
        </w:rPr>
        <w:t>（2）物流服务</w:t>
      </w:r>
    </w:p>
    <w:p w14:paraId="25659323">
      <w:pPr>
        <w:pStyle w:val="5"/>
        <w:keepNext w:val="0"/>
        <w:keepLines w:val="0"/>
        <w:pageBreakBefore w:val="0"/>
        <w:widowControl/>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rPr>
      </w:pPr>
      <w:r>
        <w:rPr>
          <w:rFonts w:hint="eastAsia" w:ascii="仿宋" w:hAnsi="仿宋" w:eastAsia="仿宋" w:cs="Times New Roman"/>
          <w:b w:val="0"/>
          <w:bCs w:val="0"/>
          <w:color w:val="auto"/>
          <w:kern w:val="2"/>
          <w:sz w:val="24"/>
          <w:szCs w:val="24"/>
          <w:highlight w:val="none"/>
          <w:lang w:val="en-US" w:eastAsia="zh-CN"/>
        </w:rPr>
        <w:t>本项目涉及</w:t>
      </w:r>
      <w:r>
        <w:rPr>
          <w:rFonts w:hint="eastAsia" w:ascii="仿宋" w:hAnsi="仿宋" w:eastAsia="仿宋" w:cs="Times New Roman"/>
          <w:b w:val="0"/>
          <w:bCs w:val="0"/>
          <w:color w:val="auto"/>
          <w:kern w:val="2"/>
          <w:sz w:val="24"/>
          <w:szCs w:val="24"/>
          <w:highlight w:val="none"/>
        </w:rPr>
        <w:t>设备分</w:t>
      </w:r>
      <w:r>
        <w:rPr>
          <w:rFonts w:hint="eastAsia" w:ascii="仿宋" w:hAnsi="仿宋" w:eastAsia="仿宋" w:cs="Times New Roman"/>
          <w:b w:val="0"/>
          <w:bCs w:val="0"/>
          <w:color w:val="auto"/>
          <w:kern w:val="2"/>
          <w:sz w:val="24"/>
          <w:szCs w:val="24"/>
          <w:highlight w:val="none"/>
          <w:lang w:val="en-US" w:eastAsia="zh-CN"/>
        </w:rPr>
        <w:t>不少于</w:t>
      </w:r>
      <w:r>
        <w:rPr>
          <w:rFonts w:hint="eastAsia" w:ascii="仿宋" w:hAnsi="仿宋" w:eastAsia="仿宋" w:cs="Times New Roman"/>
          <w:b w:val="0"/>
          <w:bCs w:val="0"/>
          <w:color w:val="auto"/>
          <w:kern w:val="2"/>
          <w:sz w:val="24"/>
          <w:szCs w:val="24"/>
          <w:highlight w:val="none"/>
        </w:rPr>
        <w:t>4个批次物理搬迁，包括：人工（设备下架、打包、运输、拆包、上架、加电、标签粘贴）、包装材料（含耗材）、设备运输、设备运输保险等。设备拆卸</w:t>
      </w:r>
      <w:r>
        <w:rPr>
          <w:rFonts w:hint="eastAsia" w:ascii="仿宋" w:hAnsi="仿宋" w:eastAsia="仿宋" w:cs="Times New Roman"/>
          <w:b w:val="0"/>
          <w:bCs w:val="0"/>
          <w:color w:val="auto"/>
          <w:kern w:val="2"/>
          <w:sz w:val="24"/>
          <w:szCs w:val="24"/>
          <w:highlight w:val="none"/>
          <w:lang w:eastAsia="zh-CN"/>
        </w:rPr>
        <w:t>：</w:t>
      </w:r>
      <w:r>
        <w:rPr>
          <w:rFonts w:hint="eastAsia" w:ascii="仿宋" w:hAnsi="仿宋" w:eastAsia="仿宋" w:cs="Times New Roman"/>
          <w:b w:val="0"/>
          <w:bCs w:val="0"/>
          <w:color w:val="auto"/>
          <w:kern w:val="2"/>
          <w:sz w:val="24"/>
          <w:szCs w:val="24"/>
          <w:highlight w:val="none"/>
        </w:rPr>
        <w:t>编制迁移工作计划及修订</w:t>
      </w:r>
      <w:r>
        <w:rPr>
          <w:rFonts w:hint="eastAsia" w:ascii="仿宋" w:hAnsi="仿宋" w:eastAsia="仿宋" w:cs="Times New Roman"/>
          <w:b w:val="0"/>
          <w:bCs w:val="0"/>
          <w:color w:val="auto"/>
          <w:kern w:val="2"/>
          <w:sz w:val="24"/>
          <w:szCs w:val="24"/>
          <w:highlight w:val="none"/>
          <w:lang w:eastAsia="zh-CN"/>
        </w:rPr>
        <w:t>、确定各类设备拆除步骤、设备标签</w:t>
      </w:r>
      <w:r>
        <w:rPr>
          <w:rFonts w:hint="eastAsia" w:ascii="仿宋" w:hAnsi="仿宋" w:eastAsia="仿宋" w:cs="Times New Roman"/>
          <w:b w:val="0"/>
          <w:bCs w:val="0"/>
          <w:color w:val="auto"/>
          <w:kern w:val="2"/>
          <w:sz w:val="24"/>
          <w:szCs w:val="24"/>
          <w:highlight w:val="none"/>
          <w:lang w:val="en-US" w:eastAsia="zh-CN"/>
        </w:rPr>
        <w:t>等，迁移</w:t>
      </w:r>
      <w:r>
        <w:rPr>
          <w:rFonts w:hint="eastAsia" w:ascii="仿宋" w:hAnsi="仿宋" w:eastAsia="仿宋" w:cs="Times New Roman"/>
          <w:b w:val="0"/>
          <w:bCs w:val="0"/>
          <w:color w:val="auto"/>
          <w:kern w:val="2"/>
          <w:sz w:val="24"/>
          <w:szCs w:val="24"/>
          <w:highlight w:val="none"/>
        </w:rPr>
        <w:t>设备拆卸</w:t>
      </w:r>
      <w:r>
        <w:rPr>
          <w:rFonts w:hint="eastAsia" w:ascii="仿宋" w:hAnsi="仿宋" w:eastAsia="仿宋" w:cs="Times New Roman"/>
          <w:b w:val="0"/>
          <w:bCs w:val="0"/>
          <w:color w:val="auto"/>
          <w:kern w:val="2"/>
          <w:sz w:val="24"/>
          <w:szCs w:val="24"/>
          <w:highlight w:val="none"/>
          <w:lang w:val="en-US" w:eastAsia="zh-CN"/>
        </w:rPr>
        <w:t>。</w:t>
      </w:r>
    </w:p>
    <w:p w14:paraId="0CD4244E">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eastAsia="zh-CN"/>
        </w:rPr>
      </w:pPr>
      <w:r>
        <w:rPr>
          <w:rFonts w:hint="eastAsia" w:ascii="仿宋" w:hAnsi="仿宋" w:eastAsia="仿宋" w:cs="Times New Roman"/>
          <w:b w:val="0"/>
          <w:bCs w:val="0"/>
          <w:color w:val="auto"/>
          <w:kern w:val="2"/>
          <w:sz w:val="24"/>
          <w:szCs w:val="24"/>
          <w:highlight w:val="none"/>
        </w:rPr>
        <w:t>设备运输</w:t>
      </w:r>
      <w:r>
        <w:rPr>
          <w:rFonts w:hint="eastAsia" w:ascii="仿宋" w:hAnsi="仿宋" w:eastAsia="仿宋" w:cs="Times New Roman"/>
          <w:b w:val="0"/>
          <w:bCs w:val="0"/>
          <w:color w:val="auto"/>
          <w:kern w:val="2"/>
          <w:sz w:val="24"/>
          <w:szCs w:val="24"/>
          <w:highlight w:val="none"/>
          <w:lang w:eastAsia="zh-CN"/>
        </w:rPr>
        <w:t>：</w:t>
      </w:r>
      <w:r>
        <w:rPr>
          <w:rFonts w:hint="eastAsia" w:ascii="仿宋" w:hAnsi="仿宋" w:eastAsia="仿宋" w:cs="Times New Roman"/>
          <w:b w:val="0"/>
          <w:bCs w:val="0"/>
          <w:color w:val="auto"/>
          <w:kern w:val="2"/>
          <w:sz w:val="24"/>
          <w:szCs w:val="24"/>
          <w:highlight w:val="none"/>
          <w:lang w:val="en-US" w:eastAsia="zh-CN"/>
        </w:rPr>
        <w:t>不少于</w:t>
      </w:r>
      <w:r>
        <w:rPr>
          <w:rFonts w:hint="eastAsia" w:ascii="仿宋" w:hAnsi="仿宋" w:eastAsia="仿宋" w:cs="Times New Roman"/>
          <w:b w:val="0"/>
          <w:bCs w:val="0"/>
          <w:color w:val="auto"/>
          <w:kern w:val="2"/>
          <w:sz w:val="24"/>
          <w:szCs w:val="24"/>
          <w:highlight w:val="none"/>
          <w:lang w:eastAsia="zh-CN"/>
        </w:rPr>
        <w:t>4个批次，共计使用</w:t>
      </w:r>
      <w:r>
        <w:rPr>
          <w:rFonts w:hint="eastAsia" w:ascii="仿宋" w:hAnsi="仿宋" w:eastAsia="仿宋" w:cs="Times New Roman"/>
          <w:b w:val="0"/>
          <w:bCs w:val="0"/>
          <w:color w:val="auto"/>
          <w:kern w:val="2"/>
          <w:sz w:val="24"/>
          <w:szCs w:val="24"/>
          <w:highlight w:val="none"/>
          <w:lang w:val="en-US" w:eastAsia="zh-CN"/>
        </w:rPr>
        <w:t>不少于</w:t>
      </w:r>
      <w:r>
        <w:rPr>
          <w:rFonts w:hint="eastAsia" w:ascii="仿宋" w:hAnsi="仿宋" w:eastAsia="仿宋" w:cs="Times New Roman"/>
          <w:b w:val="0"/>
          <w:bCs w:val="0"/>
          <w:color w:val="auto"/>
          <w:kern w:val="2"/>
          <w:sz w:val="24"/>
          <w:szCs w:val="24"/>
          <w:highlight w:val="none"/>
          <w:lang w:eastAsia="zh-CN"/>
        </w:rPr>
        <w:t>2辆4.2米厢式减震货车（自带尾板），</w:t>
      </w:r>
      <w:r>
        <w:rPr>
          <w:rFonts w:hint="eastAsia" w:ascii="仿宋" w:hAnsi="仿宋" w:eastAsia="仿宋" w:cs="Times New Roman"/>
          <w:b w:val="0"/>
          <w:bCs w:val="0"/>
          <w:color w:val="auto"/>
          <w:kern w:val="2"/>
          <w:sz w:val="24"/>
          <w:szCs w:val="24"/>
          <w:highlight w:val="none"/>
          <w:lang w:val="en-US" w:eastAsia="zh-CN"/>
        </w:rPr>
        <w:t>不少于</w:t>
      </w:r>
      <w:r>
        <w:rPr>
          <w:rFonts w:hint="eastAsia" w:ascii="仿宋" w:hAnsi="仿宋" w:eastAsia="仿宋" w:cs="Times New Roman"/>
          <w:b w:val="0"/>
          <w:bCs w:val="0"/>
          <w:color w:val="auto"/>
          <w:kern w:val="2"/>
          <w:sz w:val="24"/>
          <w:szCs w:val="24"/>
          <w:highlight w:val="none"/>
          <w:lang w:eastAsia="zh-CN"/>
        </w:rPr>
        <w:t>5辆7.6米厢式减震货车，</w:t>
      </w:r>
      <w:r>
        <w:rPr>
          <w:rFonts w:hint="eastAsia" w:ascii="仿宋" w:hAnsi="仿宋" w:eastAsia="仿宋" w:cs="Times New Roman"/>
          <w:b w:val="0"/>
          <w:bCs w:val="0"/>
          <w:color w:val="auto"/>
          <w:kern w:val="2"/>
          <w:sz w:val="24"/>
          <w:szCs w:val="24"/>
          <w:highlight w:val="none"/>
          <w:lang w:val="en-US" w:eastAsia="zh-CN"/>
        </w:rPr>
        <w:t>不少于</w:t>
      </w:r>
      <w:r>
        <w:rPr>
          <w:rFonts w:hint="eastAsia" w:ascii="仿宋" w:hAnsi="仿宋" w:eastAsia="仿宋" w:cs="Times New Roman"/>
          <w:b w:val="0"/>
          <w:bCs w:val="0"/>
          <w:color w:val="auto"/>
          <w:kern w:val="2"/>
          <w:sz w:val="24"/>
          <w:szCs w:val="24"/>
          <w:highlight w:val="none"/>
          <w:lang w:eastAsia="zh-CN"/>
        </w:rPr>
        <w:t>2辆3吨叉车（新址旧址共用），</w:t>
      </w:r>
      <w:r>
        <w:rPr>
          <w:rFonts w:hint="eastAsia" w:ascii="仿宋" w:hAnsi="仿宋" w:eastAsia="仿宋" w:cs="Times New Roman"/>
          <w:b w:val="0"/>
          <w:bCs w:val="0"/>
          <w:color w:val="auto"/>
          <w:kern w:val="2"/>
          <w:sz w:val="24"/>
          <w:szCs w:val="24"/>
          <w:highlight w:val="none"/>
          <w:lang w:val="en-US" w:eastAsia="zh-CN"/>
        </w:rPr>
        <w:t>其他院区</w:t>
      </w:r>
      <w:r>
        <w:rPr>
          <w:rFonts w:hint="eastAsia" w:ascii="仿宋" w:hAnsi="仿宋" w:eastAsia="仿宋" w:cs="Times New Roman"/>
          <w:b w:val="0"/>
          <w:bCs w:val="0"/>
          <w:color w:val="auto"/>
          <w:kern w:val="2"/>
          <w:sz w:val="24"/>
          <w:szCs w:val="24"/>
          <w:highlight w:val="none"/>
          <w:lang w:eastAsia="zh-CN"/>
        </w:rPr>
        <w:t>的</w:t>
      </w:r>
      <w:r>
        <w:rPr>
          <w:rFonts w:hint="eastAsia" w:ascii="仿宋" w:hAnsi="仿宋" w:eastAsia="仿宋" w:cs="Times New Roman"/>
          <w:b w:val="0"/>
          <w:bCs w:val="0"/>
          <w:color w:val="auto"/>
          <w:kern w:val="2"/>
          <w:sz w:val="24"/>
          <w:szCs w:val="24"/>
          <w:highlight w:val="none"/>
          <w:lang w:val="en-US" w:eastAsia="zh-CN"/>
        </w:rPr>
        <w:t>利旧设备</w:t>
      </w:r>
      <w:r>
        <w:rPr>
          <w:rFonts w:hint="eastAsia" w:ascii="仿宋" w:hAnsi="仿宋" w:eastAsia="仿宋" w:cs="Times New Roman"/>
          <w:b w:val="0"/>
          <w:bCs w:val="0"/>
          <w:color w:val="auto"/>
          <w:kern w:val="2"/>
          <w:sz w:val="24"/>
          <w:szCs w:val="24"/>
          <w:highlight w:val="none"/>
          <w:lang w:eastAsia="zh-CN"/>
        </w:rPr>
        <w:t>先搬到南院（北京市东城区和平里中街16号南院），从</w:t>
      </w:r>
      <w:r>
        <w:rPr>
          <w:rFonts w:hint="eastAsia" w:ascii="仿宋" w:hAnsi="仿宋" w:eastAsia="仿宋" w:cs="Times New Roman"/>
          <w:b w:val="0"/>
          <w:bCs w:val="0"/>
          <w:color w:val="auto"/>
          <w:kern w:val="2"/>
          <w:sz w:val="24"/>
          <w:szCs w:val="24"/>
          <w:highlight w:val="none"/>
          <w:lang w:val="en-US" w:eastAsia="zh-CN"/>
        </w:rPr>
        <w:t>南院统一</w:t>
      </w:r>
      <w:r>
        <w:rPr>
          <w:rFonts w:hint="eastAsia" w:ascii="仿宋" w:hAnsi="仿宋" w:eastAsia="仿宋" w:cs="Times New Roman"/>
          <w:b w:val="0"/>
          <w:bCs w:val="0"/>
          <w:color w:val="auto"/>
          <w:kern w:val="2"/>
          <w:sz w:val="24"/>
          <w:szCs w:val="24"/>
          <w:highlight w:val="none"/>
          <w:lang w:eastAsia="zh-CN"/>
        </w:rPr>
        <w:t>运输至通州区宋庄镇双埠头工业园区新址，距离约43公里，需电梯保护及地面保护。包含司机、车辆、70个人搬迁人员。</w:t>
      </w:r>
    </w:p>
    <w:p w14:paraId="1712A4CE">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val="0"/>
          <w:bCs w:val="0"/>
          <w:color w:val="auto"/>
          <w:kern w:val="2"/>
          <w:sz w:val="24"/>
          <w:szCs w:val="24"/>
          <w:highlight w:val="none"/>
          <w:lang w:eastAsia="zh-CN"/>
        </w:rPr>
      </w:pPr>
      <w:r>
        <w:rPr>
          <w:rFonts w:hint="eastAsia" w:ascii="仿宋" w:hAnsi="仿宋" w:eastAsia="仿宋" w:cs="Times New Roman"/>
          <w:b w:val="0"/>
          <w:bCs w:val="0"/>
          <w:color w:val="auto"/>
          <w:kern w:val="2"/>
          <w:sz w:val="24"/>
          <w:szCs w:val="24"/>
          <w:highlight w:val="none"/>
          <w:lang w:eastAsia="zh-CN"/>
        </w:rPr>
        <w:t>包装材料：</w:t>
      </w:r>
      <w:r>
        <w:rPr>
          <w:rFonts w:hint="eastAsia" w:ascii="仿宋" w:hAnsi="仿宋" w:eastAsia="仿宋" w:cs="Times New Roman"/>
          <w:b w:val="0"/>
          <w:bCs w:val="0"/>
          <w:color w:val="auto"/>
          <w:kern w:val="2"/>
          <w:sz w:val="24"/>
          <w:szCs w:val="24"/>
          <w:highlight w:val="none"/>
        </w:rPr>
        <w:t>包括珍珠底棉、箱体间隔填充、封箱缠膜）；包装箱根据GB/T 12464-2016 普通木箱 的标准，尺寸：L1200mm x W1000mm x H800mm，包装箱需随设备安置在存放地点；包装箱不存在重复利用的可能性</w:t>
      </w:r>
      <w:r>
        <w:rPr>
          <w:rFonts w:hint="eastAsia" w:ascii="仿宋" w:hAnsi="仿宋" w:eastAsia="仿宋" w:cs="Times New Roman"/>
          <w:b w:val="0"/>
          <w:bCs w:val="0"/>
          <w:color w:val="auto"/>
          <w:kern w:val="2"/>
          <w:sz w:val="24"/>
          <w:szCs w:val="24"/>
          <w:highlight w:val="none"/>
          <w:lang w:eastAsia="zh-CN"/>
        </w:rPr>
        <w:t>。</w:t>
      </w:r>
    </w:p>
    <w:p w14:paraId="27068315">
      <w:pPr>
        <w:pStyle w:val="5"/>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Times New Roman"/>
          <w:b/>
          <w:bCs/>
          <w:color w:val="auto"/>
          <w:kern w:val="2"/>
          <w:sz w:val="24"/>
          <w:szCs w:val="24"/>
          <w:highlight w:val="none"/>
          <w:lang w:val="en-US" w:eastAsia="zh-CN"/>
        </w:rPr>
      </w:pPr>
      <w:r>
        <w:rPr>
          <w:rFonts w:hint="eastAsia" w:ascii="仿宋" w:hAnsi="仿宋" w:eastAsia="仿宋" w:cs="Times New Roman"/>
          <w:b/>
          <w:bCs/>
          <w:color w:val="auto"/>
          <w:kern w:val="2"/>
          <w:sz w:val="24"/>
          <w:szCs w:val="24"/>
          <w:highlight w:val="none"/>
          <w:lang w:val="en-US" w:eastAsia="zh-CN" w:bidi="ar-SA"/>
        </w:rPr>
        <w:t>（3）</w:t>
      </w:r>
      <w:r>
        <w:rPr>
          <w:rFonts w:hint="eastAsia" w:ascii="仿宋" w:hAnsi="仿宋" w:eastAsia="仿宋" w:cs="Times New Roman"/>
          <w:b/>
          <w:bCs/>
          <w:color w:val="auto"/>
          <w:kern w:val="2"/>
          <w:sz w:val="24"/>
          <w:szCs w:val="24"/>
          <w:highlight w:val="none"/>
        </w:rPr>
        <w:t>设备租赁</w:t>
      </w:r>
    </w:p>
    <w:p w14:paraId="58F0D9F3">
      <w:pPr>
        <w:pStyle w:val="5"/>
        <w:keepNext w:val="0"/>
        <w:keepLines w:val="0"/>
        <w:pageBreakBefore w:val="0"/>
        <w:widowControl w:val="0"/>
        <w:kinsoku/>
        <w:wordWrap/>
        <w:overflowPunct/>
        <w:topLinePunct w:val="0"/>
        <w:bidi w:val="0"/>
        <w:snapToGrid/>
        <w:spacing w:line="360" w:lineRule="auto"/>
        <w:textAlignment w:val="auto"/>
        <w:rPr>
          <w:rFonts w:hint="default"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w:t>
      </w:r>
      <w:r>
        <w:rPr>
          <w:rFonts w:hint="eastAsia" w:ascii="仿宋" w:hAnsi="仿宋" w:eastAsia="仿宋" w:cs="Times New Roman"/>
          <w:b w:val="0"/>
          <w:bCs w:val="0"/>
          <w:color w:val="auto"/>
          <w:kern w:val="2"/>
          <w:sz w:val="24"/>
          <w:szCs w:val="24"/>
          <w:highlight w:val="none"/>
        </w:rPr>
        <w:t>网站系统需要进行逻辑迁移，将通过租赁设备的方式在</w:t>
      </w:r>
      <w:r>
        <w:rPr>
          <w:rFonts w:hint="eastAsia" w:ascii="仿宋" w:hAnsi="仿宋" w:eastAsia="仿宋" w:cs="Times New Roman"/>
          <w:b w:val="0"/>
          <w:bCs w:val="0"/>
          <w:color w:val="auto"/>
          <w:kern w:val="2"/>
          <w:sz w:val="24"/>
          <w:szCs w:val="24"/>
          <w:highlight w:val="none"/>
          <w:lang w:eastAsia="zh-CN"/>
        </w:rPr>
        <w:t>新址</w:t>
      </w:r>
      <w:r>
        <w:rPr>
          <w:rFonts w:hint="eastAsia" w:ascii="仿宋" w:hAnsi="仿宋" w:eastAsia="仿宋" w:cs="Times New Roman"/>
          <w:b w:val="0"/>
          <w:bCs w:val="0"/>
          <w:color w:val="auto"/>
          <w:kern w:val="2"/>
          <w:sz w:val="24"/>
          <w:szCs w:val="24"/>
          <w:highlight w:val="none"/>
        </w:rPr>
        <w:t>搭建不低于</w:t>
      </w:r>
      <w:r>
        <w:rPr>
          <w:rFonts w:hint="eastAsia" w:ascii="仿宋" w:hAnsi="仿宋" w:eastAsia="仿宋" w:cs="Times New Roman"/>
          <w:b w:val="0"/>
          <w:bCs w:val="0"/>
          <w:color w:val="auto"/>
          <w:kern w:val="2"/>
          <w:sz w:val="24"/>
          <w:szCs w:val="24"/>
          <w:highlight w:val="none"/>
          <w:lang w:val="en-US" w:eastAsia="zh-CN"/>
        </w:rPr>
        <w:t>原有</w:t>
      </w:r>
      <w:r>
        <w:rPr>
          <w:rFonts w:hint="eastAsia" w:ascii="仿宋" w:hAnsi="仿宋" w:eastAsia="仿宋" w:cs="Times New Roman"/>
          <w:b w:val="0"/>
          <w:bCs w:val="0"/>
          <w:color w:val="auto"/>
          <w:kern w:val="2"/>
          <w:sz w:val="24"/>
          <w:szCs w:val="24"/>
          <w:highlight w:val="none"/>
        </w:rPr>
        <w:t>硬件配置的基础架构平台以进行逻辑迁移和回切，租赁期限为6个月。</w:t>
      </w:r>
      <w:r>
        <w:rPr>
          <w:rFonts w:hint="eastAsia" w:ascii="仿宋" w:hAnsi="仿宋" w:eastAsia="仿宋" w:cs="Times New Roman"/>
          <w:b w:val="0"/>
          <w:bCs w:val="0"/>
          <w:color w:val="auto"/>
          <w:kern w:val="2"/>
          <w:sz w:val="24"/>
          <w:szCs w:val="24"/>
          <w:highlight w:val="none"/>
          <w:lang w:val="en-US" w:eastAsia="zh-CN"/>
        </w:rPr>
        <w:t>投标人应提供承诺函，承诺所提供的租赁设备类型、数量、性能指标不低于下方设备租赁要求，并加盖投标人公章。</w:t>
      </w:r>
    </w:p>
    <w:tbl>
      <w:tblPr>
        <w:tblStyle w:val="62"/>
        <w:tblW w:w="4999" w:type="pct"/>
        <w:tblInd w:w="0" w:type="dxa"/>
        <w:tblLayout w:type="autofit"/>
        <w:tblCellMar>
          <w:top w:w="0" w:type="dxa"/>
          <w:left w:w="108" w:type="dxa"/>
          <w:bottom w:w="0" w:type="dxa"/>
          <w:right w:w="108" w:type="dxa"/>
        </w:tblCellMar>
      </w:tblPr>
      <w:tblGrid>
        <w:gridCol w:w="631"/>
        <w:gridCol w:w="1377"/>
        <w:gridCol w:w="1470"/>
        <w:gridCol w:w="5048"/>
      </w:tblGrid>
      <w:tr w14:paraId="1AB08C3A">
        <w:tblPrEx>
          <w:tblCellMar>
            <w:top w:w="0" w:type="dxa"/>
            <w:left w:w="108" w:type="dxa"/>
            <w:bottom w:w="0" w:type="dxa"/>
            <w:right w:w="108" w:type="dxa"/>
          </w:tblCellMar>
        </w:tblPrEx>
        <w:trPr>
          <w:trHeight w:val="580" w:hRule="atLeast"/>
        </w:trPr>
        <w:tc>
          <w:tcPr>
            <w:tcW w:w="370" w:type="pct"/>
            <w:tcBorders>
              <w:top w:val="single" w:color="auto" w:sz="4" w:space="0"/>
              <w:left w:val="single" w:color="000000" w:sz="4" w:space="0"/>
              <w:bottom w:val="single" w:color="000000" w:sz="4" w:space="0"/>
              <w:right w:val="single" w:color="000000" w:sz="4" w:space="0"/>
              <w:tl2br w:val="nil"/>
            </w:tcBorders>
            <w:shd w:val="clear" w:color="000000" w:fill="FFFFFF"/>
            <w:vAlign w:val="center"/>
          </w:tcPr>
          <w:p w14:paraId="29A2ABBB">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序号</w:t>
            </w:r>
          </w:p>
        </w:tc>
        <w:tc>
          <w:tcPr>
            <w:tcW w:w="807" w:type="pct"/>
            <w:tcBorders>
              <w:top w:val="single" w:color="auto" w:sz="4" w:space="0"/>
              <w:left w:val="single" w:color="000000" w:sz="4" w:space="0"/>
              <w:bottom w:val="single" w:color="000000" w:sz="4" w:space="0"/>
              <w:right w:val="single" w:color="000000" w:sz="4" w:space="0"/>
            </w:tcBorders>
            <w:shd w:val="clear" w:color="000000" w:fill="FFFFFF"/>
            <w:vAlign w:val="center"/>
          </w:tcPr>
          <w:p w14:paraId="45784CD2">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设备分类</w:t>
            </w:r>
          </w:p>
        </w:tc>
        <w:tc>
          <w:tcPr>
            <w:tcW w:w="862" w:type="pct"/>
            <w:tcBorders>
              <w:top w:val="single" w:color="auto" w:sz="4" w:space="0"/>
              <w:left w:val="single" w:color="000000" w:sz="4" w:space="0"/>
              <w:bottom w:val="single" w:color="000000" w:sz="4" w:space="0"/>
              <w:right w:val="single" w:color="000000" w:sz="4" w:space="0"/>
            </w:tcBorders>
            <w:shd w:val="clear" w:color="000000" w:fill="FFFFFF"/>
            <w:vAlign w:val="center"/>
          </w:tcPr>
          <w:p w14:paraId="06B6E9CB">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设备数量</w:t>
            </w:r>
          </w:p>
        </w:tc>
        <w:tc>
          <w:tcPr>
            <w:tcW w:w="2959" w:type="pct"/>
            <w:tcBorders>
              <w:top w:val="single" w:color="auto" w:sz="4" w:space="0"/>
              <w:left w:val="single" w:color="000000" w:sz="4" w:space="0"/>
              <w:bottom w:val="single" w:color="000000" w:sz="4" w:space="0"/>
              <w:right w:val="single" w:color="000000" w:sz="4" w:space="0"/>
            </w:tcBorders>
            <w:shd w:val="clear" w:color="000000" w:fill="FFFFFF"/>
            <w:vAlign w:val="center"/>
          </w:tcPr>
          <w:p w14:paraId="05D5EFCD">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规格要求</w:t>
            </w:r>
          </w:p>
        </w:tc>
      </w:tr>
      <w:tr w14:paraId="415EF7D6">
        <w:tblPrEx>
          <w:tblCellMar>
            <w:top w:w="0" w:type="dxa"/>
            <w:left w:w="108" w:type="dxa"/>
            <w:bottom w:w="0" w:type="dxa"/>
            <w:right w:w="108" w:type="dxa"/>
          </w:tblCellMar>
        </w:tblPrEx>
        <w:trPr>
          <w:trHeight w:val="1270" w:hRule="atLeast"/>
        </w:trPr>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DD42B">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A46CB">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IPS</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CED30">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w:t>
            </w:r>
          </w:p>
        </w:tc>
        <w:tc>
          <w:tcPr>
            <w:tcW w:w="2959" w:type="pct"/>
            <w:tcBorders>
              <w:top w:val="single" w:color="000000" w:sz="4" w:space="0"/>
              <w:left w:val="single" w:color="000000" w:sz="4" w:space="0"/>
              <w:bottom w:val="single" w:color="000000" w:sz="4" w:space="0"/>
              <w:right w:val="single" w:color="000000" w:sz="4" w:space="0"/>
            </w:tcBorders>
            <w:shd w:val="clear" w:color="auto" w:fill="FFFFFF"/>
          </w:tcPr>
          <w:p w14:paraId="6F201F40">
            <w:pP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1、应用层吞吐量10Gbps 到100Gbps 以上</w:t>
            </w:r>
            <w:r>
              <w:rPr>
                <w:rFonts w:hint="eastAsia" w:ascii="仿宋" w:hAnsi="仿宋" w:eastAsia="仿宋" w:cs="仿宋"/>
                <w:color w:val="auto"/>
                <w:kern w:val="0"/>
                <w:szCs w:val="21"/>
                <w:highlight w:val="none"/>
                <w:lang w:eastAsia="zh-CN"/>
              </w:rPr>
              <w:t>。</w:t>
            </w:r>
          </w:p>
          <w:p w14:paraId="367E7625">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2、支持数百万甚至千万级的并发会话</w:t>
            </w:r>
            <w:r>
              <w:rPr>
                <w:rFonts w:hint="eastAsia" w:ascii="仿宋" w:hAnsi="仿宋" w:eastAsia="仿宋" w:cs="仿宋"/>
                <w:color w:val="auto"/>
                <w:kern w:val="0"/>
                <w:szCs w:val="21"/>
                <w:highlight w:val="none"/>
                <w:lang w:eastAsia="zh-CN"/>
              </w:rPr>
              <w:t>。</w:t>
            </w:r>
          </w:p>
          <w:p w14:paraId="1EBC6A36">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3、微秒级延迟，对业务影响最小</w:t>
            </w:r>
            <w:r>
              <w:rPr>
                <w:rFonts w:hint="eastAsia" w:ascii="仿宋" w:hAnsi="仿宋" w:eastAsia="仿宋" w:cs="仿宋"/>
                <w:color w:val="auto"/>
                <w:kern w:val="0"/>
                <w:szCs w:val="21"/>
                <w:highlight w:val="none"/>
                <w:lang w:eastAsia="zh-CN"/>
              </w:rPr>
              <w:t>。</w:t>
            </w:r>
          </w:p>
          <w:p w14:paraId="0DC283A2">
            <w:pP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4、集成最新的漏洞、恶意软件、C&amp;C服务器等情报</w:t>
            </w:r>
          </w:p>
          <w:p w14:paraId="69595CBB">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val="en-US" w:eastAsia="zh-CN"/>
              </w:rPr>
              <w:t>5、</w:t>
            </w:r>
            <w:r>
              <w:rPr>
                <w:rFonts w:hint="eastAsia" w:ascii="仿宋" w:hAnsi="仿宋" w:eastAsia="仿宋" w:cs="仿宋"/>
                <w:color w:val="auto"/>
                <w:kern w:val="0"/>
                <w:szCs w:val="21"/>
                <w:highlight w:val="none"/>
              </w:rPr>
              <w:t>固化4个千兆电口，2个扩展槽，支持扩展千兆端口、万兆光口接口</w:t>
            </w:r>
            <w:r>
              <w:rPr>
                <w:rFonts w:hint="eastAsia" w:ascii="仿宋" w:hAnsi="仿宋" w:eastAsia="仿宋" w:cs="仿宋"/>
                <w:color w:val="auto"/>
                <w:kern w:val="0"/>
                <w:szCs w:val="21"/>
                <w:highlight w:val="none"/>
                <w:lang w:eastAsia="zh-CN"/>
              </w:rPr>
              <w:t>。</w:t>
            </w:r>
          </w:p>
          <w:p w14:paraId="07172813">
            <w:pP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6、</w:t>
            </w:r>
            <w:r>
              <w:rPr>
                <w:rFonts w:hint="eastAsia" w:ascii="仿宋" w:hAnsi="仿宋" w:eastAsia="仿宋" w:cs="仿宋"/>
                <w:color w:val="auto"/>
                <w:kern w:val="0"/>
                <w:szCs w:val="21"/>
                <w:highlight w:val="none"/>
              </w:rPr>
              <w:t>配置2个220V交流电源</w:t>
            </w:r>
            <w:r>
              <w:rPr>
                <w:rFonts w:hint="eastAsia" w:ascii="仿宋" w:hAnsi="仿宋" w:eastAsia="仿宋" w:cs="仿宋"/>
                <w:color w:val="auto"/>
                <w:kern w:val="0"/>
                <w:szCs w:val="21"/>
                <w:highlight w:val="none"/>
                <w:lang w:eastAsia="zh-CN"/>
              </w:rPr>
              <w:t>。</w:t>
            </w:r>
          </w:p>
        </w:tc>
      </w:tr>
      <w:tr w14:paraId="0D89380A">
        <w:tblPrEx>
          <w:tblCellMar>
            <w:top w:w="0" w:type="dxa"/>
            <w:left w:w="108" w:type="dxa"/>
            <w:bottom w:w="0" w:type="dxa"/>
            <w:right w:w="108" w:type="dxa"/>
          </w:tblCellMar>
        </w:tblPrEx>
        <w:trPr>
          <w:trHeight w:val="940" w:hRule="atLeast"/>
        </w:trPr>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E7997">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699FD">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AC</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721E4">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w:t>
            </w:r>
          </w:p>
        </w:tc>
        <w:tc>
          <w:tcPr>
            <w:tcW w:w="2959" w:type="pct"/>
            <w:tcBorders>
              <w:top w:val="single" w:color="000000" w:sz="4" w:space="0"/>
              <w:left w:val="single" w:color="000000" w:sz="4" w:space="0"/>
              <w:bottom w:val="single" w:color="000000" w:sz="4" w:space="0"/>
              <w:right w:val="single" w:color="000000" w:sz="4" w:space="0"/>
            </w:tcBorders>
            <w:shd w:val="clear" w:color="auto" w:fill="FFFFFF"/>
          </w:tcPr>
          <w:p w14:paraId="3C98FCBE">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1、支持5000名以上并发用户</w:t>
            </w:r>
            <w:r>
              <w:rPr>
                <w:rFonts w:hint="eastAsia" w:ascii="仿宋" w:hAnsi="仿宋" w:eastAsia="仿宋" w:cs="仿宋"/>
                <w:color w:val="auto"/>
                <w:kern w:val="0"/>
                <w:szCs w:val="21"/>
                <w:highlight w:val="none"/>
                <w:lang w:eastAsia="zh-CN"/>
              </w:rPr>
              <w:t>。</w:t>
            </w:r>
          </w:p>
          <w:p w14:paraId="5D1041BA">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2、万兆级别处理能力</w:t>
            </w:r>
            <w:r>
              <w:rPr>
                <w:rFonts w:hint="eastAsia" w:ascii="仿宋" w:hAnsi="仿宋" w:eastAsia="仿宋" w:cs="仿宋"/>
                <w:color w:val="auto"/>
                <w:kern w:val="0"/>
                <w:szCs w:val="21"/>
                <w:highlight w:val="none"/>
                <w:lang w:eastAsia="zh-CN"/>
              </w:rPr>
              <w:t>。</w:t>
            </w:r>
          </w:p>
          <w:p w14:paraId="1DDDE372">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3、能精准识别数千种应用</w:t>
            </w:r>
            <w:r>
              <w:rPr>
                <w:rFonts w:hint="eastAsia" w:ascii="仿宋" w:hAnsi="仿宋" w:eastAsia="仿宋" w:cs="仿宋"/>
                <w:color w:val="auto"/>
                <w:kern w:val="0"/>
                <w:szCs w:val="21"/>
                <w:highlight w:val="none"/>
                <w:lang w:eastAsia="zh-CN"/>
              </w:rPr>
              <w:t>。</w:t>
            </w:r>
          </w:p>
          <w:p w14:paraId="22A222FC">
            <w:pP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4、千兆电口6个，千兆光口2个、内存4G，硬盘1T、吞吐量1.5Gb，支持带宽500Mb，每秒新建连接数10000最大并发连接数500000。</w:t>
            </w:r>
          </w:p>
        </w:tc>
      </w:tr>
      <w:tr w14:paraId="15810DC2">
        <w:tblPrEx>
          <w:tblCellMar>
            <w:top w:w="0" w:type="dxa"/>
            <w:left w:w="108" w:type="dxa"/>
            <w:bottom w:w="0" w:type="dxa"/>
            <w:right w:w="108" w:type="dxa"/>
          </w:tblCellMar>
        </w:tblPrEx>
        <w:trPr>
          <w:trHeight w:val="870" w:hRule="atLeast"/>
        </w:trPr>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55FEA">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5E333">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流量探针</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AAF2E">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w:t>
            </w:r>
          </w:p>
        </w:tc>
        <w:tc>
          <w:tcPr>
            <w:tcW w:w="2959" w:type="pct"/>
            <w:tcBorders>
              <w:top w:val="single" w:color="000000" w:sz="4" w:space="0"/>
              <w:left w:val="single" w:color="000000" w:sz="4" w:space="0"/>
              <w:bottom w:val="single" w:color="000000" w:sz="4" w:space="0"/>
              <w:right w:val="single" w:color="000000" w:sz="4" w:space="0"/>
            </w:tcBorders>
            <w:shd w:val="clear" w:color="auto" w:fill="FFFFFF"/>
          </w:tcPr>
          <w:p w14:paraId="2DD281CD">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1、支持 10Gbps, 40Gbps 甚至 100Gbps 的线速流量采集和分析</w:t>
            </w:r>
            <w:r>
              <w:rPr>
                <w:rFonts w:hint="eastAsia" w:ascii="仿宋" w:hAnsi="仿宋" w:eastAsia="仿宋" w:cs="仿宋"/>
                <w:color w:val="auto"/>
                <w:kern w:val="0"/>
                <w:szCs w:val="21"/>
                <w:highlight w:val="none"/>
                <w:lang w:eastAsia="zh-CN"/>
              </w:rPr>
              <w:t>。</w:t>
            </w:r>
          </w:p>
          <w:p w14:paraId="67564B80">
            <w:pP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2、需要足够容量存储历史流量数据，用于回溯分析</w:t>
            </w:r>
            <w:r>
              <w:rPr>
                <w:rFonts w:hint="eastAsia" w:ascii="仿宋" w:hAnsi="仿宋" w:eastAsia="仿宋" w:cs="仿宋"/>
                <w:color w:val="auto"/>
                <w:kern w:val="0"/>
                <w:szCs w:val="21"/>
                <w:highlight w:val="none"/>
                <w:lang w:eastAsia="zh-CN"/>
              </w:rPr>
              <w:t>。</w:t>
            </w:r>
          </w:p>
          <w:p w14:paraId="7C6AD8DC">
            <w:pP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3、固化千兆电口4个，千兆光口4个, 2个扩展槽，支持2个万兆接口，最大电源功耗为150W节能环保。吞吐量为4Gbps，并发连接数为300W，每秒新建连接数为4W，日志可传送至现运行态势感知平台中。</w:t>
            </w:r>
          </w:p>
        </w:tc>
      </w:tr>
      <w:tr w14:paraId="13649DC7">
        <w:tblPrEx>
          <w:tblCellMar>
            <w:top w:w="0" w:type="dxa"/>
            <w:left w:w="108" w:type="dxa"/>
            <w:bottom w:w="0" w:type="dxa"/>
            <w:right w:w="108" w:type="dxa"/>
          </w:tblCellMar>
        </w:tblPrEx>
        <w:trPr>
          <w:trHeight w:val="870" w:hRule="atLeast"/>
        </w:trPr>
        <w:tc>
          <w:tcPr>
            <w:tcW w:w="3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EA2FF">
            <w:pPr>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4</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FD034">
            <w:pP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服务器</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C896B">
            <w:pPr>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8</w:t>
            </w:r>
          </w:p>
        </w:tc>
        <w:tc>
          <w:tcPr>
            <w:tcW w:w="2959" w:type="pct"/>
            <w:tcBorders>
              <w:top w:val="single" w:color="000000" w:sz="4" w:space="0"/>
              <w:left w:val="single" w:color="000000" w:sz="4" w:space="0"/>
              <w:bottom w:val="single" w:color="000000" w:sz="4" w:space="0"/>
              <w:right w:val="single" w:color="000000" w:sz="4" w:space="0"/>
            </w:tcBorders>
            <w:shd w:val="clear" w:color="auto" w:fill="FFFFFF"/>
          </w:tcPr>
          <w:p w14:paraId="6CE92EA3">
            <w:pP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2U、配置2颗5380 2.5GHz2、4*32G、480G SSD*2、1.2T SAS 10K*3、 RAID卡(2G)* 1支持RAID0\1\6\10、双电源、4块千M网卡。</w:t>
            </w:r>
          </w:p>
        </w:tc>
      </w:tr>
    </w:tbl>
    <w:p w14:paraId="4D59D7AF">
      <w:pPr>
        <w:pStyle w:val="5"/>
        <w:spacing w:line="360" w:lineRule="auto"/>
        <w:rPr>
          <w:rFonts w:hint="eastAsia" w:ascii="仿宋" w:hAnsi="仿宋" w:eastAsia="仿宋" w:cs="Times New Roman"/>
          <w:b/>
          <w:bCs/>
          <w:color w:val="auto"/>
          <w:kern w:val="2"/>
          <w:sz w:val="24"/>
          <w:szCs w:val="24"/>
          <w:highlight w:val="none"/>
          <w:lang w:val="en-US" w:eastAsia="zh-CN"/>
        </w:rPr>
      </w:pPr>
      <w:r>
        <w:rPr>
          <w:rFonts w:hint="eastAsia" w:ascii="仿宋" w:hAnsi="仿宋" w:eastAsia="仿宋" w:cs="Times New Roman"/>
          <w:b/>
          <w:bCs/>
          <w:color w:val="auto"/>
          <w:kern w:val="2"/>
          <w:sz w:val="24"/>
          <w:szCs w:val="24"/>
          <w:highlight w:val="none"/>
          <w:lang w:val="en-US" w:eastAsia="zh-CN" w:bidi="ar-SA"/>
        </w:rPr>
        <w:t>（4）</w:t>
      </w:r>
      <w:r>
        <w:rPr>
          <w:rFonts w:hint="eastAsia" w:ascii="仿宋" w:hAnsi="仿宋" w:eastAsia="仿宋" w:cs="Times New Roman"/>
          <w:b/>
          <w:bCs/>
          <w:color w:val="auto"/>
          <w:kern w:val="2"/>
          <w:sz w:val="24"/>
          <w:szCs w:val="24"/>
          <w:highlight w:val="none"/>
          <w:lang w:val="en-US" w:eastAsia="zh-CN"/>
        </w:rPr>
        <w:t>硬件集成</w:t>
      </w:r>
    </w:p>
    <w:p w14:paraId="290740AF">
      <w:pPr>
        <w:pStyle w:val="5"/>
        <w:spacing w:line="360" w:lineRule="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1</w:t>
      </w:r>
      <w:r>
        <w:rPr>
          <w:rFonts w:hint="eastAsia" w:ascii="仿宋" w:hAnsi="仿宋" w:eastAsia="仿宋" w:cs="Times New Roman"/>
          <w:b w:val="0"/>
          <w:bCs w:val="0"/>
          <w:color w:val="auto"/>
          <w:kern w:val="2"/>
          <w:sz w:val="24"/>
          <w:szCs w:val="24"/>
          <w:highlight w:val="none"/>
          <w:lang w:eastAsia="zh-CN"/>
        </w:rPr>
        <w:t>）</w:t>
      </w:r>
      <w:r>
        <w:rPr>
          <w:rFonts w:hint="eastAsia" w:ascii="仿宋" w:hAnsi="仿宋" w:eastAsia="仿宋" w:cs="Times New Roman"/>
          <w:b w:val="0"/>
          <w:bCs w:val="0"/>
          <w:color w:val="auto"/>
          <w:kern w:val="2"/>
          <w:sz w:val="24"/>
          <w:szCs w:val="24"/>
          <w:highlight w:val="none"/>
        </w:rPr>
        <w:t>综合布线及设备集成（含光纤及网线）</w:t>
      </w:r>
      <w:r>
        <w:rPr>
          <w:rFonts w:hint="eastAsia" w:ascii="仿宋" w:hAnsi="仿宋" w:eastAsia="仿宋" w:cs="Times New Roman"/>
          <w:b w:val="0"/>
          <w:bCs w:val="0"/>
          <w:color w:val="auto"/>
          <w:kern w:val="2"/>
          <w:sz w:val="24"/>
          <w:szCs w:val="24"/>
          <w:highlight w:val="none"/>
          <w:lang w:eastAsia="zh-CN"/>
        </w:rPr>
        <w:t>；根据设备的规格和要求，进行设备的安装。这包括调整位置、固定设备、连接电源、网络线缆及打标签等。确保设备安装牢固、稳定，并符合 安全标准。以确保搬迁后设备正常运行，标签内容清晰。</w:t>
      </w:r>
    </w:p>
    <w:p w14:paraId="7FBF1BAD">
      <w:pPr>
        <w:pStyle w:val="5"/>
        <w:spacing w:line="360" w:lineRule="auto"/>
        <w:rPr>
          <w:rFonts w:hint="eastAsia" w:ascii="仿宋" w:hAnsi="仿宋" w:eastAsia="仿宋" w:cs="Times New Roman"/>
          <w:b w:val="0"/>
          <w:bCs w:val="0"/>
          <w:color w:val="auto"/>
          <w:kern w:val="2"/>
          <w:sz w:val="24"/>
          <w:szCs w:val="24"/>
          <w:highlight w:val="none"/>
          <w:lang w:eastAsia="zh-CN"/>
        </w:rPr>
      </w:pPr>
      <w:r>
        <w:rPr>
          <w:rFonts w:hint="eastAsia" w:ascii="仿宋" w:hAnsi="仿宋" w:eastAsia="仿宋" w:cs="Times New Roman"/>
          <w:b w:val="0"/>
          <w:bCs w:val="0"/>
          <w:color w:val="auto"/>
          <w:kern w:val="2"/>
          <w:sz w:val="24"/>
          <w:szCs w:val="24"/>
          <w:highlight w:val="none"/>
          <w:lang w:val="en-US" w:eastAsia="zh-CN"/>
        </w:rPr>
        <w:t>2</w:t>
      </w:r>
      <w:r>
        <w:rPr>
          <w:rFonts w:hint="eastAsia" w:ascii="仿宋" w:hAnsi="仿宋" w:eastAsia="仿宋" w:cs="Times New Roman"/>
          <w:b w:val="0"/>
          <w:bCs w:val="0"/>
          <w:color w:val="auto"/>
          <w:kern w:val="2"/>
          <w:sz w:val="24"/>
          <w:szCs w:val="24"/>
          <w:highlight w:val="none"/>
          <w:lang w:eastAsia="zh-CN"/>
        </w:rPr>
        <w:t>）</w:t>
      </w:r>
      <w:r>
        <w:rPr>
          <w:rFonts w:hint="eastAsia" w:ascii="仿宋" w:hAnsi="仿宋" w:eastAsia="仿宋" w:cs="Times New Roman"/>
          <w:b w:val="0"/>
          <w:bCs w:val="0"/>
          <w:color w:val="auto"/>
          <w:kern w:val="2"/>
          <w:sz w:val="24"/>
          <w:szCs w:val="24"/>
          <w:highlight w:val="none"/>
        </w:rPr>
        <w:t>提供备件替换及原厂返修服务</w:t>
      </w:r>
      <w:r>
        <w:rPr>
          <w:rFonts w:hint="eastAsia" w:ascii="仿宋" w:hAnsi="仿宋" w:eastAsia="仿宋" w:cs="Times New Roman"/>
          <w:b w:val="0"/>
          <w:bCs w:val="0"/>
          <w:color w:val="auto"/>
          <w:kern w:val="2"/>
          <w:sz w:val="24"/>
          <w:szCs w:val="24"/>
          <w:highlight w:val="none"/>
          <w:lang w:eastAsia="zh-CN"/>
        </w:rPr>
        <w:t>，设备迁移旧机房下架原厂上门现场技术支持服务，迁移至新软硬件恢复原厂上门现场技术支持服务；</w:t>
      </w:r>
    </w:p>
    <w:p w14:paraId="51AD0320">
      <w:pPr>
        <w:pStyle w:val="5"/>
        <w:spacing w:line="360" w:lineRule="auto"/>
        <w:rPr>
          <w:rFonts w:hint="eastAsia" w:ascii="仿宋" w:hAnsi="仿宋" w:eastAsia="仿宋" w:cs="Times New Roman"/>
          <w:b w:val="0"/>
          <w:bCs w:val="0"/>
          <w:color w:val="auto"/>
          <w:kern w:val="2"/>
          <w:sz w:val="24"/>
          <w:szCs w:val="24"/>
          <w:highlight w:val="none"/>
          <w:lang w:eastAsia="zh-CN"/>
        </w:rPr>
      </w:pPr>
      <w:r>
        <w:rPr>
          <w:rFonts w:hint="eastAsia" w:ascii="仿宋" w:hAnsi="仿宋" w:eastAsia="仿宋" w:cs="Times New Roman"/>
          <w:b w:val="0"/>
          <w:bCs w:val="0"/>
          <w:color w:val="auto"/>
          <w:kern w:val="2"/>
          <w:sz w:val="24"/>
          <w:szCs w:val="24"/>
          <w:highlight w:val="none"/>
          <w:lang w:val="en-US" w:eastAsia="zh-CN"/>
        </w:rPr>
        <w:t>3</w:t>
      </w:r>
      <w:r>
        <w:rPr>
          <w:rFonts w:hint="eastAsia" w:ascii="仿宋" w:hAnsi="仿宋" w:eastAsia="仿宋" w:cs="Times New Roman"/>
          <w:b w:val="0"/>
          <w:bCs w:val="0"/>
          <w:color w:val="auto"/>
          <w:kern w:val="2"/>
          <w:sz w:val="24"/>
          <w:szCs w:val="24"/>
          <w:highlight w:val="none"/>
          <w:lang w:eastAsia="zh-CN"/>
        </w:rPr>
        <w:t>）根据设备的规格和要求，进行设备的安装。这包括调整位置、固定设备、连接电源和网络线缆等。确保设备安装牢固、稳定，并符合 安全标准。调试及测试：以确保搬迁后设备正常运行，</w:t>
      </w:r>
      <w:r>
        <w:rPr>
          <w:rFonts w:hint="eastAsia" w:ascii="仿宋" w:hAnsi="仿宋" w:eastAsia="仿宋" w:cs="Times New Roman"/>
          <w:b w:val="0"/>
          <w:bCs w:val="0"/>
          <w:color w:val="auto"/>
          <w:kern w:val="2"/>
          <w:sz w:val="24"/>
          <w:szCs w:val="24"/>
          <w:highlight w:val="none"/>
          <w:lang w:val="en-US" w:eastAsia="zh-CN"/>
        </w:rPr>
        <w:t>同时</w:t>
      </w:r>
      <w:r>
        <w:rPr>
          <w:rFonts w:hint="eastAsia" w:ascii="仿宋" w:hAnsi="仿宋" w:eastAsia="仿宋" w:cs="Times New Roman"/>
          <w:b w:val="0"/>
          <w:bCs w:val="0"/>
          <w:color w:val="auto"/>
          <w:kern w:val="2"/>
          <w:sz w:val="24"/>
          <w:szCs w:val="24"/>
          <w:highlight w:val="none"/>
        </w:rPr>
        <w:t>与新址设备融合集成</w:t>
      </w:r>
      <w:r>
        <w:rPr>
          <w:rFonts w:hint="eastAsia" w:ascii="仿宋" w:hAnsi="仿宋" w:eastAsia="仿宋" w:cs="Times New Roman"/>
          <w:b w:val="0"/>
          <w:bCs w:val="0"/>
          <w:color w:val="auto"/>
          <w:kern w:val="2"/>
          <w:sz w:val="24"/>
          <w:szCs w:val="24"/>
          <w:highlight w:val="none"/>
          <w:lang w:eastAsia="zh-CN"/>
        </w:rPr>
        <w:t>；</w:t>
      </w:r>
    </w:p>
    <w:p w14:paraId="3D2BAF12">
      <w:pPr>
        <w:pStyle w:val="5"/>
        <w:spacing w:line="360" w:lineRule="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4</w:t>
      </w:r>
      <w:r>
        <w:rPr>
          <w:rFonts w:hint="eastAsia" w:ascii="仿宋" w:hAnsi="仿宋" w:eastAsia="仿宋" w:cs="Times New Roman"/>
          <w:b w:val="0"/>
          <w:bCs w:val="0"/>
          <w:color w:val="auto"/>
          <w:kern w:val="2"/>
          <w:sz w:val="24"/>
          <w:szCs w:val="24"/>
          <w:highlight w:val="none"/>
          <w:lang w:eastAsia="zh-CN"/>
        </w:rPr>
        <w:t>）</w:t>
      </w:r>
      <w:r>
        <w:rPr>
          <w:rFonts w:hint="eastAsia" w:ascii="仿宋" w:hAnsi="仿宋" w:eastAsia="仿宋" w:cs="Times New Roman"/>
          <w:b w:val="0"/>
          <w:bCs w:val="0"/>
          <w:color w:val="auto"/>
          <w:kern w:val="2"/>
          <w:sz w:val="24"/>
          <w:szCs w:val="24"/>
          <w:highlight w:val="none"/>
          <w:lang w:val="en-US" w:eastAsia="zh-CN"/>
        </w:rPr>
        <w:t>原厂硬件技术专家现场技术支持：拆装指导、配置备份、设备调试、测试、故障处理等；</w:t>
      </w:r>
    </w:p>
    <w:p w14:paraId="249B6CC1">
      <w:pPr>
        <w:pStyle w:val="5"/>
        <w:spacing w:line="360" w:lineRule="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5）原厂软件技术专家现场技术支持：应用系统启动、调试、测试、问题处理等；</w:t>
      </w:r>
    </w:p>
    <w:p w14:paraId="6EC07975">
      <w:pPr>
        <w:pStyle w:val="5"/>
        <w:spacing w:line="360" w:lineRule="auto"/>
        <w:rPr>
          <w:rFonts w:hint="eastAsia" w:ascii="仿宋" w:hAnsi="仿宋" w:eastAsia="仿宋" w:cs="Times New Roman"/>
          <w:b w:val="0"/>
          <w:bCs w:val="0"/>
          <w:color w:val="auto"/>
          <w:kern w:val="2"/>
          <w:sz w:val="24"/>
          <w:szCs w:val="24"/>
          <w:highlight w:val="none"/>
          <w:lang w:val="en-US" w:eastAsia="zh-CN"/>
        </w:rPr>
      </w:pPr>
      <w:r>
        <w:rPr>
          <w:rFonts w:hint="eastAsia" w:ascii="仿宋" w:hAnsi="仿宋" w:eastAsia="仿宋" w:cs="Times New Roman"/>
          <w:b w:val="0"/>
          <w:bCs w:val="0"/>
          <w:color w:val="auto"/>
          <w:kern w:val="2"/>
          <w:sz w:val="24"/>
          <w:szCs w:val="24"/>
          <w:highlight w:val="none"/>
          <w:lang w:val="en-US" w:eastAsia="zh-CN"/>
        </w:rPr>
        <w:t>6）完成搬迁设备 IPv4/IPv6 双栈改造，改造设备规模：300 台网络设备、40 台安全设备、30 台服务器、800 台终端；</w:t>
      </w:r>
    </w:p>
    <w:p w14:paraId="70331C13">
      <w:pPr>
        <w:pStyle w:val="5"/>
        <w:spacing w:line="360" w:lineRule="auto"/>
        <w:rPr>
          <w:rFonts w:hint="eastAsia" w:ascii="仿宋" w:hAnsi="仿宋" w:eastAsia="仿宋" w:cs="Times New Roman"/>
          <w:b/>
          <w:bCs/>
          <w:color w:val="auto"/>
          <w:highlight w:val="none"/>
          <w:lang w:val="en-US" w:eastAsia="zh-CN"/>
        </w:rPr>
      </w:pPr>
      <w:r>
        <w:rPr>
          <w:rFonts w:hint="eastAsia" w:ascii="仿宋" w:hAnsi="仿宋" w:eastAsia="仿宋" w:cs="Times New Roman"/>
          <w:b/>
          <w:bCs/>
          <w:color w:val="auto"/>
          <w:highlight w:val="none"/>
          <w:lang w:eastAsia="zh-CN"/>
        </w:rPr>
        <w:t>（</w:t>
      </w:r>
      <w:r>
        <w:rPr>
          <w:rFonts w:hint="eastAsia" w:ascii="仿宋" w:hAnsi="仿宋" w:eastAsia="仿宋" w:cs="Times New Roman"/>
          <w:b/>
          <w:bCs/>
          <w:color w:val="auto"/>
          <w:highlight w:val="none"/>
          <w:lang w:val="en-US" w:eastAsia="zh-CN"/>
        </w:rPr>
        <w:t>5</w:t>
      </w:r>
      <w:r>
        <w:rPr>
          <w:rFonts w:hint="eastAsia" w:ascii="仿宋" w:hAnsi="仿宋" w:eastAsia="仿宋" w:cs="Times New Roman"/>
          <w:b/>
          <w:bCs/>
          <w:color w:val="auto"/>
          <w:highlight w:val="none"/>
          <w:lang w:eastAsia="zh-CN"/>
        </w:rPr>
        <w:t>）</w:t>
      </w:r>
      <w:r>
        <w:rPr>
          <w:rFonts w:hint="eastAsia" w:ascii="仿宋" w:hAnsi="仿宋" w:eastAsia="仿宋" w:cs="Times New Roman"/>
          <w:b/>
          <w:bCs/>
          <w:color w:val="auto"/>
          <w:highlight w:val="none"/>
        </w:rPr>
        <w:t>本次需要搬迁的设备</w:t>
      </w:r>
      <w:r>
        <w:rPr>
          <w:rFonts w:hint="eastAsia" w:ascii="仿宋" w:hAnsi="仿宋" w:eastAsia="仿宋" w:cs="Times New Roman"/>
          <w:b/>
          <w:bCs/>
          <w:color w:val="auto"/>
          <w:highlight w:val="none"/>
          <w:lang w:val="en-US" w:eastAsia="zh-CN"/>
        </w:rPr>
        <w:t>清单</w:t>
      </w:r>
    </w:p>
    <w:p w14:paraId="4C2F72E2">
      <w:pPr>
        <w:pStyle w:val="5"/>
        <w:spacing w:line="360" w:lineRule="auto"/>
        <w:rPr>
          <w:rFonts w:hint="eastAsia" w:ascii="仿宋" w:hAnsi="仿宋" w:eastAsia="仿宋" w:cs="Times New Roman"/>
          <w:b w:val="0"/>
          <w:bCs w:val="0"/>
          <w:color w:val="auto"/>
          <w:highlight w:val="none"/>
        </w:rPr>
      </w:pPr>
      <w:r>
        <w:rPr>
          <w:rFonts w:hint="eastAsia" w:ascii="仿宋" w:hAnsi="仿宋" w:eastAsia="仿宋" w:cs="Times New Roman"/>
          <w:b w:val="0"/>
          <w:bCs w:val="0"/>
          <w:color w:val="auto"/>
          <w:highlight w:val="none"/>
        </w:rPr>
        <w:t>本次需要搬迁的设备共</w:t>
      </w:r>
      <w:r>
        <w:rPr>
          <w:rFonts w:hint="eastAsia" w:ascii="仿宋" w:hAnsi="仿宋" w:eastAsia="仿宋" w:cs="Times New Roman"/>
          <w:b w:val="0"/>
          <w:bCs w:val="0"/>
          <w:color w:val="auto"/>
          <w:highlight w:val="none"/>
          <w:lang w:val="en-US" w:eastAsia="zh-CN"/>
        </w:rPr>
        <w:t>629</w:t>
      </w:r>
      <w:r>
        <w:rPr>
          <w:rFonts w:hint="eastAsia" w:ascii="仿宋" w:hAnsi="仿宋" w:eastAsia="仿宋" w:cs="Times New Roman"/>
          <w:b w:val="0"/>
          <w:bCs w:val="0"/>
          <w:color w:val="auto"/>
          <w:highlight w:val="none"/>
        </w:rPr>
        <w:t>台，</w:t>
      </w:r>
      <w:r>
        <w:rPr>
          <w:rFonts w:hint="eastAsia" w:ascii="仿宋" w:hAnsi="仿宋" w:eastAsia="仿宋" w:cs="Times New Roman"/>
          <w:b w:val="0"/>
          <w:bCs w:val="0"/>
          <w:color w:val="auto"/>
          <w:highlight w:val="none"/>
          <w:lang w:val="en-US" w:eastAsia="zh-CN"/>
        </w:rPr>
        <w:t>若在实际执行阶段超出需要搬迁设备总数的10%以内，由投标人承担，采购人不再额外支付费用，</w:t>
      </w:r>
      <w:r>
        <w:rPr>
          <w:rFonts w:hint="eastAsia" w:ascii="仿宋" w:hAnsi="仿宋" w:eastAsia="仿宋" w:cs="Times New Roman"/>
          <w:b w:val="0"/>
          <w:bCs w:val="0"/>
          <w:color w:val="auto"/>
          <w:highlight w:val="none"/>
        </w:rPr>
        <w:t>分类统计如下：</w:t>
      </w:r>
    </w:p>
    <w:tbl>
      <w:tblPr>
        <w:tblStyle w:val="62"/>
        <w:tblW w:w="4998" w:type="pct"/>
        <w:tblInd w:w="0" w:type="dxa"/>
        <w:shd w:val="clear" w:color="auto" w:fill="auto"/>
        <w:tblLayout w:type="autofit"/>
        <w:tblCellMar>
          <w:top w:w="0" w:type="dxa"/>
          <w:left w:w="108" w:type="dxa"/>
          <w:bottom w:w="0" w:type="dxa"/>
          <w:right w:w="108" w:type="dxa"/>
        </w:tblCellMar>
      </w:tblPr>
      <w:tblGrid>
        <w:gridCol w:w="1545"/>
        <w:gridCol w:w="3461"/>
        <w:gridCol w:w="3519"/>
      </w:tblGrid>
      <w:tr w14:paraId="643829DC">
        <w:tblPrEx>
          <w:tblCellMar>
            <w:top w:w="0" w:type="dxa"/>
            <w:left w:w="108" w:type="dxa"/>
            <w:bottom w:w="0" w:type="dxa"/>
            <w:right w:w="108" w:type="dxa"/>
          </w:tblCellMar>
        </w:tblPrEx>
        <w:trPr>
          <w:trHeight w:val="153" w:hRule="atLeast"/>
        </w:trPr>
        <w:tc>
          <w:tcPr>
            <w:tcW w:w="906" w:type="pct"/>
            <w:tcBorders>
              <w:top w:val="single" w:color="auto" w:sz="4" w:space="0"/>
              <w:left w:val="single" w:color="auto" w:sz="4" w:space="0"/>
              <w:bottom w:val="single" w:color="auto" w:sz="4" w:space="0"/>
              <w:right w:val="single" w:color="auto" w:sz="4" w:space="0"/>
            </w:tcBorders>
            <w:shd w:val="clear" w:color="auto" w:fill="auto"/>
            <w:vAlign w:val="center"/>
          </w:tcPr>
          <w:p w14:paraId="0F819ECD">
            <w:pPr>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2029" w:type="pct"/>
            <w:tcBorders>
              <w:top w:val="single" w:color="auto" w:sz="4" w:space="0"/>
              <w:left w:val="nil"/>
              <w:bottom w:val="single" w:color="auto" w:sz="4" w:space="0"/>
              <w:right w:val="single" w:color="auto" w:sz="4" w:space="0"/>
            </w:tcBorders>
            <w:shd w:val="clear" w:color="auto" w:fill="auto"/>
            <w:vAlign w:val="center"/>
          </w:tcPr>
          <w:p w14:paraId="12E78A60">
            <w:pPr>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设备分类</w:t>
            </w:r>
          </w:p>
        </w:tc>
        <w:tc>
          <w:tcPr>
            <w:tcW w:w="2063" w:type="pct"/>
            <w:tcBorders>
              <w:top w:val="single" w:color="auto" w:sz="4" w:space="0"/>
              <w:left w:val="nil"/>
              <w:bottom w:val="single" w:color="auto" w:sz="4" w:space="0"/>
              <w:right w:val="single" w:color="auto" w:sz="4" w:space="0"/>
            </w:tcBorders>
            <w:shd w:val="clear" w:color="auto" w:fill="auto"/>
            <w:vAlign w:val="center"/>
          </w:tcPr>
          <w:p w14:paraId="49304E07">
            <w:pPr>
              <w:spacing w:line="360" w:lineRule="auto"/>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设备数量</w:t>
            </w:r>
          </w:p>
        </w:tc>
      </w:tr>
      <w:tr w14:paraId="10EF5463">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06E4F813">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2029" w:type="pct"/>
            <w:tcBorders>
              <w:top w:val="nil"/>
              <w:left w:val="nil"/>
              <w:bottom w:val="single" w:color="auto" w:sz="4" w:space="0"/>
              <w:right w:val="single" w:color="auto" w:sz="4" w:space="0"/>
            </w:tcBorders>
            <w:shd w:val="clear" w:color="auto" w:fill="auto"/>
            <w:vAlign w:val="center"/>
          </w:tcPr>
          <w:p w14:paraId="5DDB9736">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网络设备</w:t>
            </w:r>
          </w:p>
        </w:tc>
        <w:tc>
          <w:tcPr>
            <w:tcW w:w="2063" w:type="pct"/>
            <w:tcBorders>
              <w:top w:val="nil"/>
              <w:left w:val="nil"/>
              <w:bottom w:val="single" w:color="auto" w:sz="4" w:space="0"/>
              <w:right w:val="single" w:color="auto" w:sz="4" w:space="0"/>
            </w:tcBorders>
            <w:shd w:val="clear" w:color="auto" w:fill="auto"/>
          </w:tcPr>
          <w:p w14:paraId="67A94B97">
            <w:pPr>
              <w:spacing w:line="360" w:lineRule="auto"/>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400</w:t>
            </w:r>
          </w:p>
        </w:tc>
      </w:tr>
      <w:tr w14:paraId="5DD5C022">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7008F51C">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2</w:t>
            </w:r>
          </w:p>
        </w:tc>
        <w:tc>
          <w:tcPr>
            <w:tcW w:w="2029" w:type="pct"/>
            <w:tcBorders>
              <w:top w:val="nil"/>
              <w:left w:val="nil"/>
              <w:bottom w:val="single" w:color="auto" w:sz="4" w:space="0"/>
              <w:right w:val="single" w:color="auto" w:sz="4" w:space="0"/>
            </w:tcBorders>
            <w:shd w:val="clear" w:color="auto" w:fill="auto"/>
            <w:vAlign w:val="center"/>
          </w:tcPr>
          <w:p w14:paraId="51296113">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服务器</w:t>
            </w:r>
          </w:p>
        </w:tc>
        <w:tc>
          <w:tcPr>
            <w:tcW w:w="2063" w:type="pct"/>
            <w:tcBorders>
              <w:top w:val="nil"/>
              <w:left w:val="nil"/>
              <w:bottom w:val="single" w:color="auto" w:sz="4" w:space="0"/>
              <w:right w:val="single" w:color="auto" w:sz="4" w:space="0"/>
            </w:tcBorders>
            <w:shd w:val="clear" w:color="auto" w:fill="auto"/>
          </w:tcPr>
          <w:p w14:paraId="2A163883">
            <w:pPr>
              <w:spacing w:line="360" w:lineRule="auto"/>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78</w:t>
            </w:r>
          </w:p>
        </w:tc>
      </w:tr>
      <w:tr w14:paraId="556A73D5">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0EABC084">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3</w:t>
            </w:r>
          </w:p>
        </w:tc>
        <w:tc>
          <w:tcPr>
            <w:tcW w:w="2029" w:type="pct"/>
            <w:tcBorders>
              <w:top w:val="nil"/>
              <w:left w:val="nil"/>
              <w:bottom w:val="single" w:color="auto" w:sz="4" w:space="0"/>
              <w:right w:val="single" w:color="auto" w:sz="4" w:space="0"/>
            </w:tcBorders>
            <w:shd w:val="clear" w:color="auto" w:fill="auto"/>
            <w:vAlign w:val="center"/>
          </w:tcPr>
          <w:p w14:paraId="629E4E06">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安全设备</w:t>
            </w:r>
          </w:p>
        </w:tc>
        <w:tc>
          <w:tcPr>
            <w:tcW w:w="2063" w:type="pct"/>
            <w:tcBorders>
              <w:top w:val="nil"/>
              <w:left w:val="nil"/>
              <w:bottom w:val="single" w:color="auto" w:sz="4" w:space="0"/>
              <w:right w:val="single" w:color="auto" w:sz="4" w:space="0"/>
            </w:tcBorders>
            <w:shd w:val="clear" w:color="auto" w:fill="auto"/>
          </w:tcPr>
          <w:p w14:paraId="366A865C">
            <w:pPr>
              <w:spacing w:line="360" w:lineRule="auto"/>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65</w:t>
            </w:r>
          </w:p>
        </w:tc>
      </w:tr>
      <w:tr w14:paraId="7B7EA65C">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72BCA111">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4</w:t>
            </w:r>
          </w:p>
        </w:tc>
        <w:tc>
          <w:tcPr>
            <w:tcW w:w="2029" w:type="pct"/>
            <w:tcBorders>
              <w:top w:val="nil"/>
              <w:left w:val="nil"/>
              <w:bottom w:val="single" w:color="auto" w:sz="4" w:space="0"/>
              <w:right w:val="single" w:color="auto" w:sz="4" w:space="0"/>
            </w:tcBorders>
            <w:shd w:val="clear" w:color="auto" w:fill="auto"/>
            <w:vAlign w:val="center"/>
          </w:tcPr>
          <w:p w14:paraId="5E26EF7F">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存储设备</w:t>
            </w:r>
          </w:p>
        </w:tc>
        <w:tc>
          <w:tcPr>
            <w:tcW w:w="2063" w:type="pct"/>
            <w:tcBorders>
              <w:top w:val="nil"/>
              <w:left w:val="nil"/>
              <w:bottom w:val="single" w:color="auto" w:sz="4" w:space="0"/>
              <w:right w:val="single" w:color="auto" w:sz="4" w:space="0"/>
            </w:tcBorders>
            <w:shd w:val="clear" w:color="auto" w:fill="auto"/>
          </w:tcPr>
          <w:p w14:paraId="063B85ED">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6</w:t>
            </w:r>
          </w:p>
        </w:tc>
      </w:tr>
      <w:tr w14:paraId="5CB35CEE">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60C22B67">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5</w:t>
            </w:r>
          </w:p>
        </w:tc>
        <w:tc>
          <w:tcPr>
            <w:tcW w:w="2029" w:type="pct"/>
            <w:tcBorders>
              <w:top w:val="nil"/>
              <w:left w:val="nil"/>
              <w:bottom w:val="single" w:color="auto" w:sz="4" w:space="0"/>
              <w:right w:val="single" w:color="auto" w:sz="4" w:space="0"/>
            </w:tcBorders>
            <w:shd w:val="clear" w:color="auto" w:fill="auto"/>
            <w:vAlign w:val="center"/>
          </w:tcPr>
          <w:p w14:paraId="1717C769">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备份设备</w:t>
            </w:r>
          </w:p>
        </w:tc>
        <w:tc>
          <w:tcPr>
            <w:tcW w:w="2063" w:type="pct"/>
            <w:tcBorders>
              <w:top w:val="nil"/>
              <w:left w:val="nil"/>
              <w:bottom w:val="single" w:color="auto" w:sz="4" w:space="0"/>
              <w:right w:val="single" w:color="auto" w:sz="4" w:space="0"/>
            </w:tcBorders>
            <w:shd w:val="clear" w:color="auto" w:fill="auto"/>
          </w:tcPr>
          <w:p w14:paraId="74F1CFFA">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2</w:t>
            </w:r>
          </w:p>
        </w:tc>
      </w:tr>
      <w:tr w14:paraId="7EEB1295">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12AE4FDB">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6</w:t>
            </w:r>
          </w:p>
        </w:tc>
        <w:tc>
          <w:tcPr>
            <w:tcW w:w="2029" w:type="pct"/>
            <w:tcBorders>
              <w:top w:val="nil"/>
              <w:left w:val="nil"/>
              <w:bottom w:val="single" w:color="auto" w:sz="4" w:space="0"/>
              <w:right w:val="single" w:color="auto" w:sz="4" w:space="0"/>
            </w:tcBorders>
            <w:shd w:val="clear" w:color="auto" w:fill="auto"/>
            <w:vAlign w:val="center"/>
          </w:tcPr>
          <w:p w14:paraId="11096CA7">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音频视频设备</w:t>
            </w:r>
          </w:p>
        </w:tc>
        <w:tc>
          <w:tcPr>
            <w:tcW w:w="2063" w:type="pct"/>
            <w:tcBorders>
              <w:top w:val="nil"/>
              <w:left w:val="nil"/>
              <w:bottom w:val="single" w:color="auto" w:sz="4" w:space="0"/>
              <w:right w:val="single" w:color="auto" w:sz="4" w:space="0"/>
            </w:tcBorders>
            <w:shd w:val="clear" w:color="auto" w:fill="auto"/>
          </w:tcPr>
          <w:p w14:paraId="7CC01323">
            <w:pPr>
              <w:spacing w:line="360" w:lineRule="auto"/>
              <w:jc w:val="center"/>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52</w:t>
            </w:r>
          </w:p>
        </w:tc>
      </w:tr>
      <w:tr w14:paraId="53225CB3">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2667ECCD">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7</w:t>
            </w:r>
          </w:p>
        </w:tc>
        <w:tc>
          <w:tcPr>
            <w:tcW w:w="2029" w:type="pct"/>
            <w:tcBorders>
              <w:top w:val="nil"/>
              <w:left w:val="nil"/>
              <w:bottom w:val="single" w:color="auto" w:sz="4" w:space="0"/>
              <w:right w:val="single" w:color="auto" w:sz="4" w:space="0"/>
            </w:tcBorders>
            <w:shd w:val="clear" w:color="auto" w:fill="auto"/>
            <w:vAlign w:val="center"/>
          </w:tcPr>
          <w:p w14:paraId="2C6D19D1">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考勤机</w:t>
            </w:r>
          </w:p>
        </w:tc>
        <w:tc>
          <w:tcPr>
            <w:tcW w:w="2063" w:type="pct"/>
            <w:tcBorders>
              <w:top w:val="nil"/>
              <w:left w:val="nil"/>
              <w:bottom w:val="single" w:color="auto" w:sz="4" w:space="0"/>
              <w:right w:val="single" w:color="auto" w:sz="4" w:space="0"/>
            </w:tcBorders>
            <w:shd w:val="clear" w:color="auto" w:fill="auto"/>
          </w:tcPr>
          <w:p w14:paraId="1CC574F8">
            <w:pPr>
              <w:spacing w:line="360" w:lineRule="auto"/>
              <w:jc w:val="center"/>
              <w:rPr>
                <w:rFonts w:hint="default"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14</w:t>
            </w:r>
          </w:p>
        </w:tc>
      </w:tr>
      <w:tr w14:paraId="764D7290">
        <w:tblPrEx>
          <w:shd w:val="clear" w:color="auto" w:fill="auto"/>
          <w:tblCellMar>
            <w:top w:w="0" w:type="dxa"/>
            <w:left w:w="108" w:type="dxa"/>
            <w:bottom w:w="0" w:type="dxa"/>
            <w:right w:w="108" w:type="dxa"/>
          </w:tblCellMar>
        </w:tblPrEx>
        <w:trPr>
          <w:trHeight w:val="330" w:hRule="atLeast"/>
        </w:trPr>
        <w:tc>
          <w:tcPr>
            <w:tcW w:w="906" w:type="pct"/>
            <w:tcBorders>
              <w:top w:val="nil"/>
              <w:left w:val="single" w:color="auto" w:sz="4" w:space="0"/>
              <w:bottom w:val="single" w:color="auto" w:sz="4" w:space="0"/>
              <w:right w:val="single" w:color="auto" w:sz="4" w:space="0"/>
            </w:tcBorders>
            <w:shd w:val="clear" w:color="auto" w:fill="auto"/>
            <w:noWrap/>
          </w:tcPr>
          <w:p w14:paraId="3818DE7F">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8</w:t>
            </w:r>
          </w:p>
        </w:tc>
        <w:tc>
          <w:tcPr>
            <w:tcW w:w="2029" w:type="pct"/>
            <w:tcBorders>
              <w:top w:val="nil"/>
              <w:left w:val="nil"/>
              <w:bottom w:val="single" w:color="auto" w:sz="4" w:space="0"/>
              <w:right w:val="single" w:color="auto" w:sz="4" w:space="0"/>
            </w:tcBorders>
            <w:shd w:val="clear" w:color="auto" w:fill="auto"/>
            <w:vAlign w:val="center"/>
          </w:tcPr>
          <w:p w14:paraId="13014685">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大屏一体机</w:t>
            </w:r>
          </w:p>
        </w:tc>
        <w:tc>
          <w:tcPr>
            <w:tcW w:w="2063" w:type="pct"/>
            <w:tcBorders>
              <w:top w:val="nil"/>
              <w:left w:val="nil"/>
              <w:bottom w:val="single" w:color="auto" w:sz="4" w:space="0"/>
              <w:right w:val="single" w:color="auto" w:sz="4" w:space="0"/>
            </w:tcBorders>
            <w:shd w:val="clear" w:color="auto" w:fill="auto"/>
          </w:tcPr>
          <w:p w14:paraId="19D4CDCB">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2</w:t>
            </w:r>
          </w:p>
        </w:tc>
      </w:tr>
      <w:tr w14:paraId="1985F952">
        <w:tblPrEx>
          <w:shd w:val="clear" w:color="auto" w:fill="auto"/>
          <w:tblCellMar>
            <w:top w:w="0" w:type="dxa"/>
            <w:left w:w="108" w:type="dxa"/>
            <w:bottom w:w="0" w:type="dxa"/>
            <w:right w:w="108" w:type="dxa"/>
          </w:tblCellMar>
        </w:tblPrEx>
        <w:trPr>
          <w:trHeight w:val="330" w:hRule="atLeast"/>
        </w:trPr>
        <w:tc>
          <w:tcPr>
            <w:tcW w:w="906" w:type="pct"/>
            <w:tcBorders>
              <w:top w:val="single" w:color="auto" w:sz="4" w:space="0"/>
              <w:left w:val="single" w:color="auto" w:sz="4" w:space="0"/>
              <w:bottom w:val="single" w:color="auto" w:sz="4" w:space="0"/>
              <w:right w:val="single" w:color="auto" w:sz="4" w:space="0"/>
            </w:tcBorders>
            <w:shd w:val="clear" w:color="auto" w:fill="auto"/>
            <w:noWrap/>
          </w:tcPr>
          <w:p w14:paraId="095E5CE0">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9</w:t>
            </w:r>
          </w:p>
        </w:tc>
        <w:tc>
          <w:tcPr>
            <w:tcW w:w="2029" w:type="pct"/>
            <w:tcBorders>
              <w:top w:val="single" w:color="auto" w:sz="4" w:space="0"/>
              <w:left w:val="single" w:color="auto" w:sz="4" w:space="0"/>
              <w:bottom w:val="single" w:color="auto" w:sz="4" w:space="0"/>
              <w:right w:val="single" w:color="auto" w:sz="4" w:space="0"/>
            </w:tcBorders>
            <w:shd w:val="clear" w:color="auto" w:fill="auto"/>
            <w:vAlign w:val="center"/>
          </w:tcPr>
          <w:p w14:paraId="59ECD73F">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UPS</w:t>
            </w:r>
          </w:p>
        </w:tc>
        <w:tc>
          <w:tcPr>
            <w:tcW w:w="2063" w:type="pct"/>
            <w:tcBorders>
              <w:top w:val="single" w:color="auto" w:sz="4" w:space="0"/>
              <w:left w:val="single" w:color="auto" w:sz="4" w:space="0"/>
              <w:bottom w:val="single" w:color="auto" w:sz="4" w:space="0"/>
              <w:right w:val="single" w:color="auto" w:sz="4" w:space="0"/>
            </w:tcBorders>
            <w:shd w:val="clear" w:color="auto" w:fill="auto"/>
          </w:tcPr>
          <w:p w14:paraId="2A4F06A5">
            <w:pPr>
              <w:spacing w:line="360" w:lineRule="auto"/>
              <w:jc w:val="center"/>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val="en-US" w:eastAsia="zh-CN"/>
              </w:rPr>
              <w:t>1</w:t>
            </w:r>
          </w:p>
        </w:tc>
      </w:tr>
      <w:tr w14:paraId="641037C2">
        <w:tblPrEx>
          <w:tblCellMar>
            <w:top w:w="0" w:type="dxa"/>
            <w:left w:w="108" w:type="dxa"/>
            <w:bottom w:w="0" w:type="dxa"/>
            <w:right w:w="108" w:type="dxa"/>
          </w:tblCellMar>
        </w:tblPrEx>
        <w:trPr>
          <w:trHeight w:val="408" w:hRule="atLeast"/>
        </w:trPr>
        <w:tc>
          <w:tcPr>
            <w:tcW w:w="906" w:type="pct"/>
            <w:tcBorders>
              <w:top w:val="single" w:color="auto" w:sz="4" w:space="0"/>
              <w:left w:val="single" w:color="auto" w:sz="4" w:space="0"/>
              <w:bottom w:val="single" w:color="auto" w:sz="4" w:space="0"/>
              <w:right w:val="single" w:color="auto" w:sz="4" w:space="0"/>
            </w:tcBorders>
            <w:shd w:val="clear" w:color="auto" w:fill="auto"/>
            <w:noWrap/>
          </w:tcPr>
          <w:p w14:paraId="25475077">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10</w:t>
            </w:r>
          </w:p>
        </w:tc>
        <w:tc>
          <w:tcPr>
            <w:tcW w:w="2029" w:type="pct"/>
            <w:tcBorders>
              <w:top w:val="single" w:color="auto" w:sz="4" w:space="0"/>
              <w:left w:val="single" w:color="auto" w:sz="4" w:space="0"/>
              <w:bottom w:val="single" w:color="auto" w:sz="4" w:space="0"/>
              <w:right w:val="single" w:color="auto" w:sz="4" w:space="0"/>
            </w:tcBorders>
            <w:shd w:val="clear" w:color="auto" w:fill="auto"/>
            <w:vAlign w:val="center"/>
          </w:tcPr>
          <w:p w14:paraId="781BAAC4">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机柜</w:t>
            </w:r>
          </w:p>
        </w:tc>
        <w:tc>
          <w:tcPr>
            <w:tcW w:w="2063" w:type="pct"/>
            <w:tcBorders>
              <w:top w:val="single" w:color="auto" w:sz="4" w:space="0"/>
              <w:left w:val="single" w:color="auto" w:sz="4" w:space="0"/>
              <w:bottom w:val="single" w:color="auto" w:sz="4" w:space="0"/>
              <w:right w:val="single" w:color="auto" w:sz="4" w:space="0"/>
            </w:tcBorders>
            <w:shd w:val="clear" w:color="auto" w:fill="auto"/>
          </w:tcPr>
          <w:p w14:paraId="258388CB">
            <w:pPr>
              <w:spacing w:line="360" w:lineRule="auto"/>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9</w:t>
            </w:r>
          </w:p>
        </w:tc>
      </w:tr>
    </w:tbl>
    <w:p w14:paraId="7BA03C86">
      <w:pPr>
        <w:pStyle w:val="5"/>
        <w:spacing w:line="360" w:lineRule="auto"/>
        <w:rPr>
          <w:rFonts w:hint="eastAsia" w:ascii="仿宋" w:hAnsi="仿宋" w:eastAsia="仿宋" w:cs="Times New Roman"/>
          <w:b w:val="0"/>
          <w:bCs w:val="0"/>
          <w:color w:val="auto"/>
          <w:szCs w:val="24"/>
          <w:highlight w:val="none"/>
        </w:rPr>
      </w:pPr>
      <w:r>
        <w:rPr>
          <w:rFonts w:hint="eastAsia" w:ascii="仿宋" w:hAnsi="仿宋" w:eastAsia="仿宋" w:cs="Times New Roman"/>
          <w:b w:val="0"/>
          <w:bCs w:val="0"/>
          <w:color w:val="auto"/>
          <w:szCs w:val="24"/>
          <w:highlight w:val="none"/>
          <w:lang w:val="en-US" w:eastAsia="zh-CN"/>
        </w:rPr>
        <w:t>迁移设备现状硬件（CPU、内存、硬盘、网卡等）运行正常、操作系统运行正常，迁移前以双方现场验证为准，要求迁移后硬件外观完整无损、设备正常启动、硬件（CPU、内存、硬盘、网卡等）运行正常、操作系统运行正常，与现场验证保持一致，设备集成调试及配合业务测试，保证支持业务设备正常运行。</w:t>
      </w:r>
      <w:r>
        <w:rPr>
          <w:rFonts w:hint="eastAsia" w:ascii="仿宋" w:hAnsi="仿宋" w:eastAsia="仿宋" w:cs="Times New Roman"/>
          <w:b w:val="0"/>
          <w:bCs w:val="0"/>
          <w:color w:val="auto"/>
          <w:szCs w:val="24"/>
          <w:highlight w:val="none"/>
        </w:rPr>
        <w:t>详细设备清单如下：</w:t>
      </w:r>
    </w:p>
    <w:tbl>
      <w:tblPr>
        <w:tblStyle w:val="62"/>
        <w:tblW w:w="8504" w:type="dxa"/>
        <w:tblInd w:w="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1"/>
        <w:gridCol w:w="1373"/>
        <w:gridCol w:w="1120"/>
        <w:gridCol w:w="2090"/>
        <w:gridCol w:w="713"/>
        <w:gridCol w:w="727"/>
        <w:gridCol w:w="1650"/>
      </w:tblGrid>
      <w:tr w14:paraId="47F3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B12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序号</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E1A0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资产名称</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0EE9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品牌及规格型号</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F19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配置情况</w:t>
            </w:r>
            <w:r>
              <w:rPr>
                <w:rFonts w:hint="eastAsia" w:ascii="仿宋" w:hAnsi="仿宋" w:eastAsia="仿宋" w:cs="仿宋"/>
                <w:b/>
                <w:bCs/>
                <w:i w:val="0"/>
                <w:iCs w:val="0"/>
                <w:color w:val="auto"/>
                <w:kern w:val="0"/>
                <w:sz w:val="21"/>
                <w:szCs w:val="21"/>
                <w:highlight w:val="none"/>
                <w:u w:val="none"/>
                <w:lang w:val="en-US" w:eastAsia="zh-CN"/>
              </w:rPr>
              <w:br w:type="textWrapping"/>
            </w:r>
            <w:r>
              <w:rPr>
                <w:rFonts w:hint="eastAsia" w:ascii="仿宋" w:hAnsi="仿宋" w:eastAsia="仿宋" w:cs="仿宋"/>
                <w:b/>
                <w:bCs/>
                <w:i w:val="0"/>
                <w:iCs w:val="0"/>
                <w:color w:val="auto"/>
                <w:kern w:val="0"/>
                <w:sz w:val="21"/>
                <w:szCs w:val="21"/>
                <w:highlight w:val="none"/>
                <w:u w:val="none"/>
                <w:lang w:val="en-US" w:eastAsia="zh-CN"/>
              </w:rPr>
              <w:t>（技术参数、组件）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BE8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单位</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BD0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数量</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AD2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取得日期</w:t>
            </w:r>
          </w:p>
        </w:tc>
      </w:tr>
      <w:tr w14:paraId="0A38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50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一</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BEF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信息化设备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E3049">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8480">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1CBA">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AAEC">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EF4E">
            <w:pPr>
              <w:jc w:val="center"/>
              <w:rPr>
                <w:rFonts w:hint="eastAsia" w:ascii="仿宋" w:hAnsi="仿宋" w:eastAsia="仿宋" w:cs="仿宋"/>
                <w:i w:val="0"/>
                <w:iCs w:val="0"/>
                <w:color w:val="auto"/>
                <w:sz w:val="21"/>
                <w:szCs w:val="21"/>
                <w:highlight w:val="none"/>
                <w:u w:val="none"/>
              </w:rPr>
            </w:pPr>
          </w:p>
        </w:tc>
      </w:tr>
      <w:tr w14:paraId="057D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6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（一）</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4E8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37D24">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BA14">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E370">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72B">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BDB9">
            <w:pPr>
              <w:jc w:val="center"/>
              <w:rPr>
                <w:rFonts w:hint="eastAsia" w:ascii="仿宋" w:hAnsi="仿宋" w:eastAsia="仿宋" w:cs="仿宋"/>
                <w:i w:val="0"/>
                <w:iCs w:val="0"/>
                <w:color w:val="auto"/>
                <w:sz w:val="21"/>
                <w:szCs w:val="21"/>
                <w:highlight w:val="none"/>
                <w:u w:val="none"/>
              </w:rPr>
            </w:pPr>
          </w:p>
        </w:tc>
      </w:tr>
      <w:tr w14:paraId="711B7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F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9F2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AF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C0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2U、12核心数、557G硬盘、64G内存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60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C3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FE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647F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75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CDD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73A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HP DL 580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05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4U、16核心数、273GB硬盘、128G内存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60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6AD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F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2010/4/13</w:t>
            </w:r>
          </w:p>
        </w:tc>
      </w:tr>
      <w:tr w14:paraId="624E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19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F46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9FB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8A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2U、12核心数、557G硬盘、64G内存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8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9BA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5E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0332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A3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6A9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F4A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8A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2U、8核心数、5570GB硬盘、64GB内存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07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40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73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543D2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91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616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5F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0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2U、8核心数、5570GB硬盘、64GB内存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94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1C0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B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1A57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F9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FCF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67A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AA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2U、8核心数、557GB硬盘、16GB内存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1F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48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8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45882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01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548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113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BC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2U、8核心数、557GB硬盘、32GB内存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41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151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C5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4439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3E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1A4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68C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9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2U、4核心数、557GB硬盘、16G内存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1A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5F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FA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19EB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86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60C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C96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5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2U、4核心数、557GB硬盘、16G内存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FB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F6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4C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5CDE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20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901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1B6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36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2U、36核心数、16015GB硬盘、192G内存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A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2F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8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2020/11/12</w:t>
            </w:r>
          </w:p>
        </w:tc>
      </w:tr>
      <w:tr w14:paraId="7C9B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71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2B0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4FB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E5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2U、10核心数、1673GB硬盘、32G内存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A5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358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07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2020/11/12</w:t>
            </w:r>
          </w:p>
        </w:tc>
      </w:tr>
      <w:tr w14:paraId="52F6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75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983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8DC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64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2U、10核心数、2162GB硬盘、32G内存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B5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A97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C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2020/11/12</w:t>
            </w:r>
          </w:p>
        </w:tc>
      </w:tr>
      <w:tr w14:paraId="0481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A9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D97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790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07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2U、18核心数、8749GB硬盘、192G内存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CA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DC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CD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2021/12/3</w:t>
            </w:r>
          </w:p>
        </w:tc>
      </w:tr>
      <w:tr w14:paraId="72E8E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3C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848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C7D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34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2U、18核心数、8749GB硬盘、192G内存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52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B2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F5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2021/12/3</w:t>
            </w:r>
          </w:p>
        </w:tc>
      </w:tr>
      <w:tr w14:paraId="47429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9A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074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68A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浪潮 CS5260H2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F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2U、配置2颗5380 2.5GHz2、4*32G、480G SSD*2、1.2T SAS 10K*3、 RAID卡(2G)* 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F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886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D6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2024/10/8</w:t>
            </w:r>
          </w:p>
        </w:tc>
      </w:tr>
      <w:tr w14:paraId="620E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D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41D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833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B2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2U、32核心数、4917GB硬盘、64G内存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BA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275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AE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0893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E7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A1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2F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D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2U、32核心数、4917GB硬盘、64G内存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E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2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90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7FB6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7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E8C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EEE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2288HVS</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C6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2U、32核心数、4917GB硬盘、64G内存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A4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4E9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E8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1B88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75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80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05F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2288HVS</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39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2U、32核心数、4917GB硬盘、64G内存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6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69B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D3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4E50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7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B0E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017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HP DL 580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6B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4U、16核心数、1296GB硬盘、128G内存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B8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1F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3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2010/4/13</w:t>
            </w:r>
          </w:p>
        </w:tc>
      </w:tr>
      <w:tr w14:paraId="07DE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95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FCC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C4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浪潮 CS5260H2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7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2U、配置C867360*2/32G DDR4*4/480GSSD*2/8T SATA*3/双口25G/8204-2G/800WX2/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94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7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3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2025/8/15</w:t>
            </w:r>
          </w:p>
        </w:tc>
      </w:tr>
      <w:tr w14:paraId="697F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39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11E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710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浪潮 CS5260H2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F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2U;CPU5380*2内存:32G DDR4 3200Mhz*8系统盘:480G SSD*2数据盘:8T SATA*3独立RAID卡双端口万兆网卡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1C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5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70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5E75D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0A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E68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534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浪潮 CS5280H2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B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2U;CPU5380*2内存:32G DDR4 3200Mhz*8系统盘:480G SSD*2数据盘:8T SATA*3独立RAID卡双端口万兆网卡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B4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B9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7B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476A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3B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815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0C3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70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2U、8核心数、556GB硬盘、64GB内存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C1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5F3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A6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2011/1/17</w:t>
            </w:r>
          </w:p>
        </w:tc>
      </w:tr>
      <w:tr w14:paraId="224F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4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EC5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0A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04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F7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D64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E5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2009/9/10</w:t>
            </w:r>
          </w:p>
        </w:tc>
      </w:tr>
      <w:tr w14:paraId="3AC3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DA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079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BC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9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5B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6BD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3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2014/2/17</w:t>
            </w:r>
          </w:p>
        </w:tc>
      </w:tr>
      <w:tr w14:paraId="091A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E5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6F6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33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4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5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99E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12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2011/9/22</w:t>
            </w:r>
          </w:p>
        </w:tc>
      </w:tr>
      <w:tr w14:paraId="05197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4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139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E4D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0F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35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088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8D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2011/9/22</w:t>
            </w:r>
          </w:p>
        </w:tc>
      </w:tr>
      <w:tr w14:paraId="407F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F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C2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36D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8C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A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DD9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21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2011/9/22</w:t>
            </w:r>
          </w:p>
        </w:tc>
      </w:tr>
      <w:tr w14:paraId="01C75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07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8ED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941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38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89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C3D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3C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2011/9/22</w:t>
            </w:r>
          </w:p>
        </w:tc>
      </w:tr>
      <w:tr w14:paraId="3F148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8B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B99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E15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4A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2U、8核心数、2013GB硬盘、16GB内存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B8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627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9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2011/6/28</w:t>
            </w:r>
          </w:p>
        </w:tc>
      </w:tr>
      <w:tr w14:paraId="21F80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EF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ECC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2F8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7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2U、12核心数、515GB硬盘、64G内存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3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746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0D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2013/3/28</w:t>
            </w:r>
          </w:p>
        </w:tc>
      </w:tr>
      <w:tr w14:paraId="3682C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E4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A62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A54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84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2U、16核心数、2322GB硬盘、64G内存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7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769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AD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2013/5/21</w:t>
            </w:r>
          </w:p>
        </w:tc>
      </w:tr>
      <w:tr w14:paraId="4BEE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7C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CF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120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01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2U、32核心数、1674GB硬盘、128G内存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5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C85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31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2013/5/21</w:t>
            </w:r>
          </w:p>
        </w:tc>
      </w:tr>
      <w:tr w14:paraId="2AB12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A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52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24A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4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2U、6核心数、565.6GB硬盘、16GB内存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7B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BAD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D4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2016/3/9</w:t>
            </w:r>
          </w:p>
        </w:tc>
      </w:tr>
      <w:tr w14:paraId="72BBA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F6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D02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1BC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F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2U、6核心数、1114GB硬盘、64GB内存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6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BAF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D0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2016/3/9</w:t>
            </w:r>
          </w:p>
        </w:tc>
      </w:tr>
      <w:tr w14:paraId="08EA0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2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13B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B3B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76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2U、6核心数、1392GB硬盘、64GB内存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D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678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0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2016/3/9</w:t>
            </w:r>
          </w:p>
        </w:tc>
      </w:tr>
      <w:tr w14:paraId="0221C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90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30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5FC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F1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2U、6核心数、1392GB硬盘、64GB内存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93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AEE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6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2016/3/9</w:t>
            </w:r>
          </w:p>
        </w:tc>
      </w:tr>
      <w:tr w14:paraId="7BCE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0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AD8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1A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 730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09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2U、6核心数、1114GB硬盘、64GB内存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C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EC0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C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2016/3/9</w:t>
            </w:r>
          </w:p>
        </w:tc>
      </w:tr>
      <w:tr w14:paraId="36BE6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7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526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9A3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9A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64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748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0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5FA4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BD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B7A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D84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BA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D4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681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1E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6712E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08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3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F5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F7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93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58B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4F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3A523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7D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5F6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6F2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R4900 G5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83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30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54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42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2022/12/15</w:t>
            </w:r>
          </w:p>
        </w:tc>
      </w:tr>
      <w:tr w14:paraId="2B8B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B2B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BA8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847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97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0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A8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06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0B139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4D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EA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E0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4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84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FD7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5D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153A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2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D8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65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E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4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A88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0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06F7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97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9D7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747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CB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6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0DC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89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072A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6D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9D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9A9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AA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5D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9B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2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7A97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4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C01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CD4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R840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7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2U、配置2颗CPU、10核心数、3163G硬盘、32G内存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C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7F6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56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357F4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09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3DF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5C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T640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D34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2U、4核心数、557GB硬盘、16G内存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90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F9C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71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2019/9/5</w:t>
            </w:r>
          </w:p>
        </w:tc>
      </w:tr>
      <w:tr w14:paraId="23E9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0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2B1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D9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F4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A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8E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BE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2021/3/3</w:t>
            </w:r>
          </w:p>
        </w:tc>
      </w:tr>
      <w:tr w14:paraId="14D0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CB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ADB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F8A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F8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0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9F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DB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1EFC9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FC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D6F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742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14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7B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546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37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33E2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9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16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39D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C6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B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3B9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64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14D4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E5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4EA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E33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F1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13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D65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18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151A3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94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3A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15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UN-R4900-G3-8SFF-C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50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2U、配置2颗CPU，主频数2.2GHz，核心数12核，缓存16.5MB,64GB 2933MHz DDR4, 5 块 300GB 10K SAS硬盘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3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297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9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4CE24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6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391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923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FB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E2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73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37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1BE0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01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592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9FD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75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17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06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76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35808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41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A3C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D4A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FA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7C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A4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AF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57219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23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A2D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596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FD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43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C3B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31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09AD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0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323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19C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39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3B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2E4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60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72EC3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7F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0C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8CF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9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EE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D3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6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0BD6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97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CBC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133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6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E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F2C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6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4338D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9E2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97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A53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98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D2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564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B9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3E51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0B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B6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B38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8C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91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E1A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25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5154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4D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B5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10C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26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9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98B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70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121FC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68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37D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92C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F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3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549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00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6E93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ED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E9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B6D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18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3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237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AF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44539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61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80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7BF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D5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6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14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AB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43EA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B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D07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82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UN-R6700-G3-8SFF-C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C7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2U、配置4颗CPU，每颗处理器主频2.5GHz，核数10核，缓存13.75MB, 128GB 2933MHz DDR4,6 块600GB 15Krpm SAS 硬盘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89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BD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4E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2020/11/25</w:t>
            </w:r>
          </w:p>
        </w:tc>
      </w:tr>
      <w:tr w14:paraId="33D6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0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8A6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32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HP DL 580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08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4U、配置2颗8核心数、273GB硬盘、128G内存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6F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02E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1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2010/4/13</w:t>
            </w:r>
          </w:p>
        </w:tc>
      </w:tr>
      <w:tr w14:paraId="080E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1B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234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E92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HP DL 580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C8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4U、配置2颗8核心数、273GB硬盘、128G内存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B7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233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7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2010/4/13</w:t>
            </w:r>
          </w:p>
        </w:tc>
      </w:tr>
      <w:tr w14:paraId="1385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0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81F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C4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浪潮 CS5260H2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9B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2U、配置2颗5380 2.5GHz2、4*32G、480G SSD*2、1.2T SAS 10K*3、 RAID卡(2G)* 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32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1A9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75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2024/9/11</w:t>
            </w:r>
          </w:p>
        </w:tc>
      </w:tr>
      <w:tr w14:paraId="2229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A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87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1F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D6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2U、配置2颗6核心数、1392GB硬盘、64GB内存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88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15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B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2011/2/28</w:t>
            </w:r>
          </w:p>
        </w:tc>
      </w:tr>
      <w:tr w14:paraId="79858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15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180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D6B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25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2U、配置2颗6核心数、1392GB硬盘、64GB内存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5E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9C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7D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2016/3/18</w:t>
            </w:r>
          </w:p>
        </w:tc>
      </w:tr>
      <w:tr w14:paraId="4730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25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E00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服务器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E8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R30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F3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2U、配置2颗6核心数、1392GB硬盘、64GB内存</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2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203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0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2015/10/26</w:t>
            </w:r>
          </w:p>
        </w:tc>
      </w:tr>
      <w:tr w14:paraId="3ED07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9F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（二）</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F58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7982A">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0838">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9724">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D71D">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859C">
            <w:pPr>
              <w:jc w:val="center"/>
              <w:rPr>
                <w:rFonts w:hint="eastAsia" w:ascii="仿宋" w:hAnsi="仿宋" w:eastAsia="仿宋" w:cs="仿宋"/>
                <w:i w:val="0"/>
                <w:iCs w:val="0"/>
                <w:color w:val="auto"/>
                <w:sz w:val="21"/>
                <w:szCs w:val="21"/>
                <w:highlight w:val="none"/>
                <w:u w:val="none"/>
              </w:rPr>
            </w:pPr>
          </w:p>
        </w:tc>
      </w:tr>
      <w:tr w14:paraId="5E2A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BA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FDA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AC控制器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7E2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EWP-WX3510H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E6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 WX3510H无线控制器，32个AP授权</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87B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4E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DF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A9F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BF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9E7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AC控制器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443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EWP-WX3510H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86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 WX3510H无线控制器，32个AP授权</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18E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5F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2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6028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E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B7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AP无线</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5E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EWP-WA6320-SI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EF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内置天线三频八流802.11ax/ac无线接入点T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F71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9C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BA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2024/5/15</w:t>
            </w:r>
          </w:p>
        </w:tc>
      </w:tr>
      <w:tr w14:paraId="0D1A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3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EC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POE接入交换机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39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LS-5130S（26台）</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9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EF7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90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26</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89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2CE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36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48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VPN设备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56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TOP6000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9A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2U、1个配置口(CON)，6千兆电口、双电源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A82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7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82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2022/9/2</w:t>
            </w:r>
          </w:p>
        </w:tc>
      </w:tr>
      <w:tr w14:paraId="41A9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1E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97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放装AP</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0B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EWP-WA6338</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1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内置天线三频八流802.11ax/ac/n无线接入点-FIT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7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86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235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3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9237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C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3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分流交换机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EE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盛科 V530-48T4X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E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1U、48x1GE Base-T 端口,4x10GE SFP+端口，双AC</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2E2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65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C3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05D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83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2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分流交换机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E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盛科 V530-48T4X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96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1U、48x1GE Base-T 端口,4x10GE SFP+端口，双AC</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FB2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3B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29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D361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94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61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DA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ADX3000-TS-XE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7A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2U、个千兆电口4，4个万兆光口，配置冗余交流电源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52B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11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6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2024/9/19</w:t>
            </w:r>
          </w:p>
        </w:tc>
      </w:tr>
      <w:tr w14:paraId="1FBA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7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9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0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L1000-E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60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1U、1个配置口(CON)，2个外置USB host接口，16个千兆以太电口，8个千兆以太光口，2个万兆以太光口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7F4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45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A5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DF2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E0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FD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61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L1000-E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3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1U、1个配置口(CON)，2个外置USB host接口，16个千兆以太电口，8个千兆以太光口，2个万兆以太光口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D6F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09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85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AAC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2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23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573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TAD-82118</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C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2U,6个千兆电口，4个千兆光口,冗余电源,21个扩展槽位，</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0A1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46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95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2022/9/5</w:t>
            </w:r>
          </w:p>
        </w:tc>
      </w:tr>
      <w:tr w14:paraId="0078E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D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22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BE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TAD-82118</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30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2U,6个千兆电口，4个千兆光口,冗余电源,21个扩展槽位，</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C67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32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38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2022/9/2</w:t>
            </w:r>
          </w:p>
        </w:tc>
      </w:tr>
      <w:tr w14:paraId="2D09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09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32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负载均衡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7A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TopApp TAD-82320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BC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2U、6个千兆电口，4个千兆接口SFP插槽;2个扩展插槽;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F6E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4D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EB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3389B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1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4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高密AP</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40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EWP-WA6638i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23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内置天线三频十六流802.11ax/ac/n无线接入点-FIT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6A7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7E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B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C0B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C7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83C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6405A">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5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2A7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A8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65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22DAB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5B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04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54AEF">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21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3AC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DC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D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3C962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11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07A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E8818">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7B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BFE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571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35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3949D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3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FA5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F13F2">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77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4A5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73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14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3BB42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14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4EE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44F42">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B6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C8A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69D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10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7BFE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7D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C83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光电转换器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748AA">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03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1个光口、1个电口、1个电源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126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FA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D2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1972A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79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0DD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光纤交换机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0C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SN3360B</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DD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 xml:space="preserve"> 1U、24口，10AIEC320 C14-C13 10ft/3m PDU线缆*1,B-series16Gb 短波 SFP+模块*24</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7E3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2DE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B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B5D6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C2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E8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光纤交换机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932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SN3360B</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3A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 xml:space="preserve"> 1U、24口，10AIEC320 C14-C13 10ft/3m PDU线缆*1,B-series16Gb 短波 SFP+模块*24</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F43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4E8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64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C6E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BF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7E4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核心交换机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825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LS-Z</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AF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6U、2个主控，交换网板，2个2500W电源，1根QSFP+电缆3m，24端口千兆电，20端口千兆光，48端口万兆光，4个40G光，4个100G光，无线业务板卡1个，1个防火墙板卡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18B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306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CD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5367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43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DF6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核心交换机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496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LS-Z</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C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6U、2个主控，交换网板，2个2500W电源，1根QSFP+电缆3m，24端口千兆电，20端口千兆光，48端口万兆光，4个40G光，4个100G光，无线业务板卡1个，1个防火墙板卡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641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ADA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57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69F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E1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74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04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01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284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E69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A5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9C5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74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366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2C0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E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3C6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ED9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EB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6FF9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B5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C1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73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E7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29F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B45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5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C90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26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DFE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23B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F7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CEF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C7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C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4DF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B1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646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F7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08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EAA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F88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76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21F7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E2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EF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16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LS-5560X-30F-EI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5B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BD6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B9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7C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70C9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5B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4A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A8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S6520X-30QC-EI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88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0A3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892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4B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1E10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6B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8C3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汇聚交换机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907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S6520X-30QC-EI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5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1U、8口千兆电口、双电源、28口万兆光口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7EA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B7F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C0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D68E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B4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52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D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LS-5130S-52S-SI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A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03C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348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43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5567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B6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6F2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53F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LS-5130S-52S-SI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24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3AD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462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8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762E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A6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059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B04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LS-5130S-52S-SI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69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4E6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9A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73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43CA5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568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410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E74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LS-5130S-52S-SI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17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A7B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B82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6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5DBCF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25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4C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88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S10506X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E6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C42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F2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E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5087F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C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61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3B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S10506X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8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9F1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D8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40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1C1FD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1D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6B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03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1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2A4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1C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83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2023/11/13</w:t>
            </w:r>
          </w:p>
        </w:tc>
      </w:tr>
      <w:tr w14:paraId="67F23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FC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8E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7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LS-6520X-30QC-EI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5E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FE7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41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69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2023/11/13</w:t>
            </w:r>
          </w:p>
        </w:tc>
      </w:tr>
      <w:tr w14:paraId="27E73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0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EB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8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S5130S-28P-HPWR-EI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F2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2BA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8F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4F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2023/11/13</w:t>
            </w:r>
          </w:p>
        </w:tc>
      </w:tr>
      <w:tr w14:paraId="086D2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3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8F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5C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31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DBC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4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1F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2020/6/5</w:t>
            </w:r>
          </w:p>
        </w:tc>
      </w:tr>
      <w:tr w14:paraId="5605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6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A9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E0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C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B2C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13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1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2020/6/5</w:t>
            </w:r>
          </w:p>
        </w:tc>
      </w:tr>
      <w:tr w14:paraId="1486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C1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7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87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F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568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B5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BF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2020/6/5</w:t>
            </w:r>
          </w:p>
        </w:tc>
      </w:tr>
      <w:tr w14:paraId="798D5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7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11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AE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3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3B2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C5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7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2020/6/5</w:t>
            </w:r>
          </w:p>
        </w:tc>
      </w:tr>
      <w:tr w14:paraId="7BA47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55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0C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66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S5720-28X-SI-AC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05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427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AF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8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6487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A4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2A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CA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S5130S-52S-EI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8A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570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A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3F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2023/11/13</w:t>
            </w:r>
          </w:p>
        </w:tc>
      </w:tr>
      <w:tr w14:paraId="3DBD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0CE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2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32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8E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320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CE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6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BF04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1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15E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FE5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LS-5560X-30C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8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2E5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2F1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02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F99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51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BC5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B3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49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77F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F5D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3D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94A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0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F91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83E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59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FA1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665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C0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E24C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22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307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586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FE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5B3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61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E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F88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8C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DDC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A4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FC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84F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6B7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F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D3D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1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4D2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877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B4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206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DD8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5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DA0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CF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CBD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E35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8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2AD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11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CE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69FE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EEA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17E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436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24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C3F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A7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D4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4A9D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93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3A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AD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40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324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B4B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0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EB14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CE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3E5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D8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6A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466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36C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0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D2E9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CA8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824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3AB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CD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1BD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A9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7C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8EF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E7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CB0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7D4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E0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7C0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697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AC0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A9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918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477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3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68E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42B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93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B1C3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05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91D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10A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0F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10E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E7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A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6975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1D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AB4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84F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80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F99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814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0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3FC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23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EB5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97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B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7EA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981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5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E95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4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14C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78D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44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0A6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5E3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94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224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F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3E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40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D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83D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8C0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F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2B8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C2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B46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DA3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E8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DB0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57A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A4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263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B4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71C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553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3A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9FC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02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23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6913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82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A47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F3D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AC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A72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FC3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C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7F1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71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646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982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A1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0A2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8C7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08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8560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56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900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E10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8E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43D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A2E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17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396E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17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D1B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64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A1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1A4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AB8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3F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F46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89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828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224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CA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311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73B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E9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54A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5F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CB2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1D7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C5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B79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03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4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A59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C7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32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932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C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490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DB7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26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0E1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C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CB3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A2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DA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8BF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F9D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C8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DAFB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C3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E28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28E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82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EF5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790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17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4DC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94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0B2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589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7D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823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EB1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58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0235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5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D88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783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5A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787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1FB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3A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EE9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37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44C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4B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2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5F7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697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5B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A93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EB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4D0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046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1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55F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B1D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D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FB5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C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A8B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接入交换机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7AB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S5130S-28S-HI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7B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1U、48口千兆电口、双电源、4口万兆光口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E19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94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6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2024/9/19</w:t>
            </w:r>
          </w:p>
        </w:tc>
      </w:tr>
      <w:tr w14:paraId="4215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01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FC9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路由器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15F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华为 AR-1220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BD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1U、1个配置口(CON)4口千兆电口、单电源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345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8CC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32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78AEA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3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6D5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室外AP</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5E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EWP-WA6630X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F5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内置天线三频十流802.11ax/ac/n无线接入点-FIT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AF1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469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C4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9665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1E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E89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无线AP</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F45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EWP-WA6330-FIT</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B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内置天线三频八流802.11ax/ac/n无线接入点-FIT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0A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55B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9</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28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6CF8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F9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（三）</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422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安全设备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55639">
            <w:pPr>
              <w:rPr>
                <w:rFonts w:hint="eastAsia" w:ascii="仿宋" w:hAnsi="仿宋" w:eastAsia="仿宋" w:cs="仿宋"/>
                <w:b/>
                <w:bCs/>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4BBE">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0673">
            <w:pPr>
              <w:rPr>
                <w:rFonts w:hint="eastAsia" w:ascii="仿宋" w:hAnsi="仿宋" w:eastAsia="仿宋" w:cs="仿宋"/>
                <w:b/>
                <w:bCs/>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1906">
            <w:pPr>
              <w:rPr>
                <w:rFonts w:hint="eastAsia" w:ascii="仿宋" w:hAnsi="仿宋" w:eastAsia="仿宋" w:cs="仿宋"/>
                <w:b/>
                <w:bCs/>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5484">
            <w:pPr>
              <w:jc w:val="center"/>
              <w:rPr>
                <w:rFonts w:hint="eastAsia" w:ascii="仿宋" w:hAnsi="仿宋" w:eastAsia="仿宋" w:cs="仿宋"/>
                <w:i w:val="0"/>
                <w:iCs w:val="0"/>
                <w:color w:val="auto"/>
                <w:sz w:val="21"/>
                <w:szCs w:val="21"/>
                <w:highlight w:val="none"/>
                <w:u w:val="none"/>
              </w:rPr>
            </w:pPr>
          </w:p>
        </w:tc>
      </w:tr>
      <w:tr w14:paraId="7593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3F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D3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DDOS防护设备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5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Guard3000-GA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6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1U、1个配置口(CON)，双电源、4千兆电口、4万兆光口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256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4F5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48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7F0E9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AE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E7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DDOS防护设备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B6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Guard3000-GA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8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1U、1个配置口(CON)，双电源、4千兆电口、4万兆光口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0FB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B48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57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4635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85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AB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DDOS检测设备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F6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Probe 3000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5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1U、1个配置口(CON)，双电源、4千兆电口、4万兆光口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1CE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93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6F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1C5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8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9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SecFox日志收集与分析系统</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8E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奇安信 LAR-R33M</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DA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1U、1个配置口(CON)，双电源、4千兆电口、4万兆光口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EA8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3C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C4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2020/6/23</w:t>
            </w:r>
          </w:p>
        </w:tc>
      </w:tr>
      <w:tr w14:paraId="2804B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1E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F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VPN防火墙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DB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TopVPN6000（HG-B20）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8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63B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646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A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105A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1A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6D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VPN防火墙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2E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TopVPN6000（HG-B20）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48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780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B7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94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57E23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4F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69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VPN防火墙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9A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NGFW4000-UF</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73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C97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2C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E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1547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79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87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VPN防火墙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D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6B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F4F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4F1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22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2019/12/2</w:t>
            </w:r>
          </w:p>
        </w:tc>
      </w:tr>
      <w:tr w14:paraId="06842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CE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C6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web防火墙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AB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WAFNX3-CH3000web</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E0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1FA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5F9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41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2020/6/5</w:t>
            </w:r>
          </w:p>
        </w:tc>
      </w:tr>
      <w:tr w14:paraId="2A48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2D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A7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Web应用防火墙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B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WAF3000-GE-X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B0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F09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ADC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93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5B1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2F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ED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安全防护平台</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AA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ESP-H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90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88E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ED8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C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716B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26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8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安全接入网关系统</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19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网神 SecSSL3600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83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750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D69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28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AF2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5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F29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安全审计设备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EB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SASNX3-L2230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EF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60C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6E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7B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w:t>
            </w:r>
          </w:p>
        </w:tc>
      </w:tr>
      <w:tr w14:paraId="2BE8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5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10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安全审计设备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1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SASNX3-L2230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FB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38F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BF2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0B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w:t>
            </w:r>
          </w:p>
        </w:tc>
      </w:tr>
      <w:tr w14:paraId="3883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06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EFC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安全审计系统设备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8D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SASNX3-L2230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09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D59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7BA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5D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2019/9/5</w:t>
            </w:r>
          </w:p>
        </w:tc>
      </w:tr>
      <w:tr w14:paraId="69A2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FF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A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堡垒主机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56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思服迪 LogBase-B4890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B5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2U、1个配置口(CON)，双电源、4千兆电口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83A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867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54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1107D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01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A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堡垒主机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A8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思服迪 LogBase-B4890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C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2U、1个配置口(CON)，双电源、4千兆电口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1B9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F1D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B0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39C1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9E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7C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防篡改</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BE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WAFH-P</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D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2U、1个配置口(CON)，双电源、4千兆电口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2FE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F05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D6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02F0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8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41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FE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网御星云 LA-DT</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B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357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01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FD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13CB7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8B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48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D96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NGFW4000-11F</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7B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20E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196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8E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2015/12/16</w:t>
            </w:r>
          </w:p>
        </w:tc>
      </w:tr>
      <w:tr w14:paraId="7C133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73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DD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60F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A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31C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49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4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A25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75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15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17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21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7B3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F42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3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AFC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5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F7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84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B1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043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631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9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0E1A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82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A2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B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9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DA8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F64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E6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A3A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29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6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E2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18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97B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2C8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46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2BAA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02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AA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87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78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E34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789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16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0BB6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8A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52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DA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F5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97F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CA4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2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2BF99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F9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65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6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D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0D8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431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1D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44F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2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A7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0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E5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278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C0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DB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2020/4/10</w:t>
            </w:r>
          </w:p>
        </w:tc>
      </w:tr>
      <w:tr w14:paraId="34C4C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DE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C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5C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37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633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92B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6C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CCC6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3D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4A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CF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AB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963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766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BF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EC4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59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80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B7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FW1000-TS-E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C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68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21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E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6494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A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51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F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NG-5611-SJ</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46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D84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54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75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2020/4/10</w:t>
            </w:r>
          </w:p>
        </w:tc>
      </w:tr>
      <w:tr w14:paraId="0FF15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6D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B8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03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NG-5611-SJ</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DD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148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5AE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5C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2020/4/10</w:t>
            </w:r>
          </w:p>
        </w:tc>
      </w:tr>
      <w:tr w14:paraId="55F9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19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E6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D2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NGFW4000-UF NG-81112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0D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EA0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07B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CD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2024/4/19</w:t>
            </w:r>
          </w:p>
        </w:tc>
      </w:tr>
      <w:tr w14:paraId="678E2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B6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51D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AF4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NGFW4000-UF-NG-81322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54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2U、双电源、8千兆电口、12万兆光口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2A9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E64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1895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9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92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21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SJJ1546-638181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A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2U、双电源、6千兆电口、4万兆光口、加密卡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4AC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75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CE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2022/9/2</w:t>
            </w:r>
          </w:p>
        </w:tc>
      </w:tr>
      <w:tr w14:paraId="6D01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89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34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CD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SJJ1546-638181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B3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2U、双电源、6千兆电口、4万兆光口、加密卡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95E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BEA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B3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2022/9/2</w:t>
            </w:r>
          </w:p>
        </w:tc>
      </w:tr>
      <w:tr w14:paraId="7E8E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39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23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F3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SJJ1546-638181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06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FAE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896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C9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2022/9/5</w:t>
            </w:r>
          </w:p>
        </w:tc>
      </w:tr>
      <w:tr w14:paraId="0C20F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AD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7A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36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SJJ1546-638181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49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412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BEF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C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2022/9/5</w:t>
            </w:r>
          </w:p>
        </w:tc>
      </w:tr>
      <w:tr w14:paraId="728E2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8C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7E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2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TapVPN 6000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6A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8B4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E2A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7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2F80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D2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46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A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TapVPN 6000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6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0FE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6B6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67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4E2B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4F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67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防火墙系统</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4D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NGFW4000-UF</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EC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2U、双电源、8千兆电口、4万兆光口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0B8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B2B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AC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5E91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C8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E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加密机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C3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北京CA DSVS500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04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2U、1个配置口(CON)，双电源、4千兆电口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480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875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D7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2025/6/6</w:t>
            </w:r>
          </w:p>
        </w:tc>
      </w:tr>
      <w:tr w14:paraId="37EE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C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2D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流量分析探针</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E5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UTSNX3-HD4201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F8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2U、1个配置口(CON)，双电源、8千兆电口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717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567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D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2024/4/19</w:t>
            </w:r>
          </w:p>
        </w:tc>
      </w:tr>
      <w:tr w14:paraId="2E33F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CE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22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全流量分析</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23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SASNX3-HD4101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62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2C1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38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79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4903A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F6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51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日志审计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5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默安 HD-0412-CP</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AB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E4C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45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C4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2022/9/2</w:t>
            </w:r>
          </w:p>
        </w:tc>
      </w:tr>
      <w:tr w14:paraId="0FA1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A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0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入侵防御设备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726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IPS2000-GS-X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06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2U、1个配置口(CON)，双电源、5千兆电口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B5F9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327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77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8DC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26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8D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入侵防御设备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7C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迪普 IPS2000-GS-X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CF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2U、1个配置口(CON)，双电源、5千兆电口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4904">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FD2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4C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D41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C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50</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A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入侵检测设备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9F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NIDSNX3-ND1100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C9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263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5F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51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2020/4/10</w:t>
            </w:r>
          </w:p>
        </w:tc>
      </w:tr>
      <w:tr w14:paraId="69B0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FD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45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入侵检测设备</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98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NIDSNX3-ND1100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D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433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A5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85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2020/4/10</w:t>
            </w:r>
          </w:p>
        </w:tc>
      </w:tr>
      <w:tr w14:paraId="71C8E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E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C4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上网行为管理</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26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NS-ACG1000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4B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849B">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559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21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0E04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2B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53</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63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数据库审计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6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DASNX3-WZ2200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33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D98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924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1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037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05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54</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E9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数据库审计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25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DASNX3-WZ2200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C4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2848">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5A5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7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4A6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F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55</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3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数据库审计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F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DASNX3-WZ2200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C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0A50">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7E3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0B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65D8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24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56</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99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网络密码机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60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百兆</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D3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1U、1个配置口(CON)，单电源、4千兆电口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AD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61C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45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2023/7/3</w:t>
            </w:r>
          </w:p>
        </w:tc>
      </w:tr>
      <w:tr w14:paraId="5AC9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5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57</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F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威胁防护系统</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0C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TACHX3-AC2500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1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204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E52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9C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74F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F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58</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FE7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威胁监测与分析</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47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SASNX3-HD4101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C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51FD">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B5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59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4ED4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E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59</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E0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行为管理审计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33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深信服 AC-1000-B15020-L9</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A4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2U、1个配置口(CON)，双电源、6千兆电口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E09A">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E30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E5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3F1D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3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632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智能安全运营管理平台</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AD7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绿盟 ISOP</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5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2U、双电源、4千兆电口、2万兆光口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605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EE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F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2023/7/25</w:t>
            </w:r>
          </w:p>
        </w:tc>
      </w:tr>
      <w:tr w14:paraId="3776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90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AC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SSLVPN</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A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天融信 TopVPN6000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BE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2U、双电源、6千兆电口、4万兆光口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9C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92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 xml:space="preserve">2 </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68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2025/5/15</w:t>
            </w:r>
          </w:p>
        </w:tc>
      </w:tr>
      <w:tr w14:paraId="3B63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04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（四）</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A8F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21847">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B5F0">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D5A7">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8769">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46DE">
            <w:pPr>
              <w:jc w:val="center"/>
              <w:rPr>
                <w:rFonts w:hint="eastAsia" w:ascii="仿宋" w:hAnsi="仿宋" w:eastAsia="仿宋" w:cs="仿宋"/>
                <w:i w:val="0"/>
                <w:iCs w:val="0"/>
                <w:color w:val="auto"/>
                <w:sz w:val="21"/>
                <w:szCs w:val="21"/>
                <w:highlight w:val="none"/>
                <w:u w:val="none"/>
              </w:rPr>
            </w:pPr>
          </w:p>
        </w:tc>
      </w:tr>
      <w:tr w14:paraId="35A69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8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BAE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F18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CF2206</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C6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2U存储控制器(双控制器，16*3.5/2.5，含4个GE接口、2个10GE接口,)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76A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7E6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B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2021/5/19</w:t>
            </w:r>
          </w:p>
        </w:tc>
      </w:tr>
      <w:tr w14:paraId="1AF0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1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1D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高性能存储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B38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H3C Nimble HF40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2A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 xml:space="preserve"> 6U、双控磁盘阵列，21块 6TB 7200转3.5寸HDD+6块1.92T SSD，6个10Gb主机接口+4个16GbFC主机接口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9251">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479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C1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A23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0C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6DD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网络存储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962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宏杉 MS3000G2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BA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4U、存储控制器单元标准版(双控制器，16*3.5/2.5，含256GB缓存，含6个GE接口、4个10GE接口,)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78EF">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D2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D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57467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AC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F35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网络存储器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41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宇视 VX3060-V2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C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2U存储控制器(双控制器，16*3.5/2.5，含6个GE接口、2个10GE接口,)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64D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3A6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42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85D4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7E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66C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CAD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宏杉 MS2500G2-12E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5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2U存储控制器单元标准版(双控制器，16*3.5/2.5，含256GB缓存，含6个GE接口、4个10GE接口,)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93B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D19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A2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7009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6E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EFB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网络存储设备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13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宏杉 MS2500G2-12E</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42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2U存储控制器单元标准版(双控制器，16*3.5/2.5，含256GB缓存，含6个GE接口、4个10GE接口,)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7EE6">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114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20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A93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F3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C5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备份存储设备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2E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火星舱 MSA-NFA-BJ601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1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2U存储控制器(双控制器，16*3.5/2.5，含6个GE接口、2个10GE接口,)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721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641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E3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402C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8F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72F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备份存储设备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D2B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火星舱 MSA-NFA-BJ601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38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2U存储控制器(双控制器，16*3.5/2.5，含6个GE接口、2个10GE接口,) X1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8525">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754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3E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2020/6/15</w:t>
            </w:r>
          </w:p>
        </w:tc>
      </w:tr>
      <w:tr w14:paraId="7D4F9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5A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（五）</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5FB9">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视频会议设备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8F7C4">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AA98">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A349">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61E2">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CA23">
            <w:pPr>
              <w:jc w:val="center"/>
              <w:rPr>
                <w:rFonts w:hint="eastAsia" w:ascii="仿宋" w:hAnsi="仿宋" w:eastAsia="仿宋" w:cs="仿宋"/>
                <w:i w:val="0"/>
                <w:iCs w:val="0"/>
                <w:color w:val="auto"/>
                <w:sz w:val="21"/>
                <w:szCs w:val="21"/>
                <w:highlight w:val="none"/>
                <w:u w:val="none"/>
              </w:rPr>
            </w:pPr>
          </w:p>
        </w:tc>
      </w:tr>
      <w:tr w14:paraId="6FEE3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82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F1F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9A8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BCS-8300MAD/FS/20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D8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1A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33F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FB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6EA41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32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BCE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FE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C8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91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95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84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4CE8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C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02B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278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F0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5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C9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0C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09FF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EC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7A4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543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64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5D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5B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2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71D4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C7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389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EDB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1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3B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F6F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70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30E8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B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E3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72B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A4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51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AEF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F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08AB5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1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15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会议话筒</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E65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4860D_B/52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F8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话筒主机参数音频输出口1个、电源接口1个、供电口3个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A0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个</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AFA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4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116D6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4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3A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会议系统设备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161BD">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27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设备参数网络接口1个、HDMI输入口2个、HDMI输出口2个、USB接口口2个、麦克口1个、音频接口2个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2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AF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52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2021/3/24</w:t>
            </w:r>
          </w:p>
        </w:tc>
      </w:tr>
      <w:tr w14:paraId="0E7D0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7F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2EB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录播设备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04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CL360SC</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5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录播设备参数video输入口3个、HDMI输出口1个、音频输入口2个、电源口1个、网络接口1个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CF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5DE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ED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1438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1E0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A2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摄像机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93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VPC 600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E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摄像机参数</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电源口1个、网络接口1个、HDMI输出口1个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2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398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3C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7720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4"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7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11</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D1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DD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HUAWEI Box 610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DD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设备参数网络接口5个、HDMI输入口2个、HDMI输出口3个、USB接口口2个、全向麦接口1个、音频接口7个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FF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7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7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2024/10/8</w:t>
            </w:r>
          </w:p>
        </w:tc>
      </w:tr>
      <w:tr w14:paraId="7664B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9A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A2D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7C9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RP200-55A-G2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18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设备参数网络接口5个、HDMI输入口2个、HDMI输出口3个、USB接口口2个、全向麦接口1个、音频接口7个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CE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67A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22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2023/7/8</w:t>
            </w:r>
          </w:p>
        </w:tc>
      </w:tr>
      <w:tr w14:paraId="3445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22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8E6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C6A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RP200-55A-G2</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D6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设备参数网络接口5个、HDMI输入口2个、HDMI输出口3个、USB接口口2个、全向麦接口1个、音频接口7个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A7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55D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E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2023/7/8</w:t>
            </w:r>
          </w:p>
        </w:tc>
      </w:tr>
      <w:tr w14:paraId="1469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67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BBD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701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TE 50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1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设备参数网络接口5个、HDMI输入口2个、HDMI输出口3个、USB接口口2个、全向麦接口1个、音频接口7个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C8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EB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B3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6B34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3F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C42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F44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ZXV10 T800 8MEX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D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设备参数网络接口5个、HDMI输入口2个、HDMI输出口3个、USB接口口2个、全向麦接口1个、音频接口7个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22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A2E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11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498F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53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DAB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数码音频工作站</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DBD46">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0C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数码音频工作站主要参数</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视频多点控制器1台、32位矩阵1台、32位音频处理器1台、视频终端4台、无纸化主机、时序电源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78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F3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0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3E25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A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420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小鱼易连套装</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3A1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ME40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3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小鱼易连参数音频接口4个、HDMI输入口1个、HDMI输出口1个、USB接口2个、电源接口1个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A5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744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EB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2020/11/23</w:t>
            </w:r>
          </w:p>
        </w:tc>
      </w:tr>
      <w:tr w14:paraId="609E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B9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16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一体机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AF7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TS-65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84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会商室一体机</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 xml:space="preserve">1、设备参数：视频控制、音频控制、组合画面 </w:t>
            </w:r>
            <w:r>
              <w:rPr>
                <w:rFonts w:hint="eastAsia" w:ascii="仿宋" w:hAnsi="仿宋" w:eastAsia="仿宋" w:cs="仿宋"/>
                <w:i w:val="0"/>
                <w:iCs w:val="0"/>
                <w:color w:val="auto"/>
                <w:kern w:val="0"/>
                <w:sz w:val="21"/>
                <w:szCs w:val="21"/>
                <w:highlight w:val="none"/>
                <w:u w:val="none"/>
                <w:lang w:val="en-US" w:eastAsia="zh-CN"/>
              </w:rPr>
              <w:br w:type="textWrapping"/>
            </w:r>
            <w:r>
              <w:rPr>
                <w:rFonts w:hint="eastAsia" w:ascii="仿宋" w:hAnsi="仿宋" w:eastAsia="仿宋" w:cs="仿宋"/>
                <w:i w:val="0"/>
                <w:iCs w:val="0"/>
                <w:color w:val="auto"/>
                <w:kern w:val="0"/>
                <w:sz w:val="21"/>
                <w:szCs w:val="21"/>
                <w:highlight w:val="none"/>
                <w:u w:val="none"/>
                <w:lang w:val="en-US" w:eastAsia="zh-CN"/>
              </w:rPr>
              <w:t>2、系统参数：基本信息、界面显示、网络、服务器设置</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A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8BA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22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0ED2F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DA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7E1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一体机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1A3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TS-65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AE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视频室一体机设备参数：电源接口1个、网络接口1个、HDMI视频输入口2个、HDMI视频输出口1个、全向麦克接口1个、音频输入口1个、音频输出口1个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F9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C97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69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0ABD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B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89F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音频处理器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F3B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Q-SYS Core110f</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A8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音频处理器参数音频输入口16个、音频输出口16个、电源口1个、网络接口1个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09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B2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4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2021/12/9</w:t>
            </w:r>
          </w:p>
        </w:tc>
      </w:tr>
      <w:tr w14:paraId="258E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3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EB3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图像综合处理显示系统</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C9B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QT-XSH0297JH-D555HL-MR</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58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图像综合处理显示系统参数屏幕6块、HDMI接口6个、网线接口6个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7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088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DE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11BA5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F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B7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视频会议摄像机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40D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QT-SXJ02971JT</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ED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视频会议摄像机参数电源口1个、网络接口1个、HDMI输出口1个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8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E0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C2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50DE3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41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632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会场MCU</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322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QT-MCU029VP9650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10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会场MCU参数网络接口4个、电源接口2个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D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2DC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90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0FB9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9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819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7D8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QT-HZD029 CloudLink Box300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CE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视频会议终端参数网络接口4个、HDMI输入口2个、HDMI输出口3个、USB接口2个、全向麦接口1个、音频接口4个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70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C5E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7F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353B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5B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2A5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音箱</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F1A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QT-YX02974LE-608H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0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85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EF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88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05589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7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FBF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音箱</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8F8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QT-YX02975 LE-608H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92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86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3EF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E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4274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D6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27</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B0C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音箱</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380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QT-YX02976LE-608H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FE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34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0F8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EC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6543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6A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ED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音箱</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9D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QT-YX02977 LE-608H</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E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F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916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7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30C23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C6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29</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B01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功放</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C3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QT-GF02978 LE-200PI</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BA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86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5E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F3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67BC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33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30</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1DF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功放</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C8B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QT-GF02979LE-200P1</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5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音响参数音频接口2个、电源接口1个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D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41E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1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5B3C4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9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AE3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会议麦克风</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BBA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QT-MKF029ILE-354</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6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会议麦克风参数电源接口1个、音频接收器1个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F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846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EB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2645D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A2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E4D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调音台</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886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QT-TYT029ELS-8FX</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EA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调音台参数音频接口32路、电源口1个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93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83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13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24650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2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070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数字音频处理器</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DA9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QT-CLQ029F LE-P88</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E4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数字音频处理器参数音频输入口16个、音频输出口16个、电源口1个、网络接口1个、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BF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878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4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2092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A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91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时序电源</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535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QT-SXD0298 EN-P9745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2D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时序电源参数32路电源接口、主电源接口1个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79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F5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A9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6069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D2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DE6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时序电源</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2AC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QT-SXD0298EN-P9745</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E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时序电源参数32路电源接口、主电源接口1个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EE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B1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6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2021/11/25</w:t>
            </w:r>
          </w:p>
        </w:tc>
      </w:tr>
      <w:tr w14:paraId="1794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7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（五）</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AAE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机房设备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8E6AA">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C167">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BB39">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36AD7">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1822">
            <w:pPr>
              <w:jc w:val="center"/>
              <w:rPr>
                <w:rFonts w:hint="eastAsia" w:ascii="仿宋" w:hAnsi="仿宋" w:eastAsia="仿宋" w:cs="仿宋"/>
                <w:i w:val="0"/>
                <w:iCs w:val="0"/>
                <w:color w:val="auto"/>
                <w:sz w:val="21"/>
                <w:szCs w:val="21"/>
                <w:highlight w:val="none"/>
                <w:u w:val="none"/>
              </w:rPr>
            </w:pPr>
          </w:p>
        </w:tc>
      </w:tr>
      <w:tr w14:paraId="6A248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58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AE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UPS</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9E5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维帝 APM2 250kVA</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B2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含块PM50-2B模块2个、内置一个800A/4P总BCB、72块蓄电池组、UPS馈出配电柜</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AD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561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F2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2025/8/15</w:t>
            </w:r>
          </w:p>
        </w:tc>
      </w:tr>
      <w:tr w14:paraId="7A98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79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03E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机柜</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F39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42U</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AD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42U</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DD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组</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44D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17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2021/3/10</w:t>
            </w:r>
          </w:p>
        </w:tc>
      </w:tr>
      <w:tr w14:paraId="2664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4F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3</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1C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机柜</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FC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定制</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B0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42U</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0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组</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AF1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F0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2021/12/11</w:t>
            </w:r>
          </w:p>
        </w:tc>
      </w:tr>
      <w:tr w14:paraId="1972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C2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033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机柜</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B71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42U</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69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42U</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D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组</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FC1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D8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0FD59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EF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0BF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机柜</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89C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42U</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3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42U</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B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组</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E8B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B5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2012/11/19</w:t>
            </w:r>
          </w:p>
        </w:tc>
      </w:tr>
      <w:tr w14:paraId="26C5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E6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6</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196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机柜</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1F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DELL 42U</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C5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42U</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B3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组</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B9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60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2023/11/13</w:t>
            </w:r>
          </w:p>
        </w:tc>
      </w:tr>
      <w:tr w14:paraId="33FA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DD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（六）</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172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rPr>
              <w:t>考勤设备</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07AED">
            <w:pPr>
              <w:jc w:val="center"/>
              <w:rPr>
                <w:rFonts w:hint="eastAsia" w:ascii="仿宋" w:hAnsi="仿宋" w:eastAsia="仿宋" w:cs="仿宋"/>
                <w:i w:val="0"/>
                <w:iCs w:val="0"/>
                <w:color w:val="auto"/>
                <w:sz w:val="21"/>
                <w:szCs w:val="21"/>
                <w:highlight w:val="none"/>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657">
            <w:pPr>
              <w:jc w:val="center"/>
              <w:rPr>
                <w:rFonts w:hint="eastAsia" w:ascii="仿宋" w:hAnsi="仿宋" w:eastAsia="仿宋" w:cs="仿宋"/>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492F">
            <w:pPr>
              <w:jc w:val="center"/>
              <w:rPr>
                <w:rFonts w:hint="eastAsia" w:ascii="仿宋" w:hAnsi="仿宋" w:eastAsia="仿宋" w:cs="仿宋"/>
                <w:i w:val="0"/>
                <w:iCs w:val="0"/>
                <w:color w:val="auto"/>
                <w:sz w:val="21"/>
                <w:szCs w:val="21"/>
                <w:highlight w:val="none"/>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7FD4">
            <w:pPr>
              <w:jc w:val="center"/>
              <w:rPr>
                <w:rFonts w:hint="eastAsia" w:ascii="仿宋" w:hAnsi="仿宋" w:eastAsia="仿宋" w:cs="仿宋"/>
                <w:i w:val="0"/>
                <w:iCs w:val="0"/>
                <w:color w:val="auto"/>
                <w:sz w:val="21"/>
                <w:szCs w:val="21"/>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0F69">
            <w:pPr>
              <w:jc w:val="center"/>
              <w:rPr>
                <w:rFonts w:hint="eastAsia" w:ascii="仿宋" w:hAnsi="仿宋" w:eastAsia="仿宋" w:cs="仿宋"/>
                <w:i w:val="0"/>
                <w:iCs w:val="0"/>
                <w:color w:val="auto"/>
                <w:sz w:val="21"/>
                <w:szCs w:val="21"/>
                <w:highlight w:val="none"/>
                <w:u w:val="none"/>
              </w:rPr>
            </w:pPr>
          </w:p>
        </w:tc>
      </w:tr>
      <w:tr w14:paraId="355DD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51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1</w:t>
            </w: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0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考勤机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54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海康威视 iAttendanceV2.2.0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3B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人脸、指纹、卡片 TCP/IP协议、LCD触摸显示屏、考勤设置，可单机进行参数设定，考勤规则，考勤排班，人员管理，导入导出、平台统一管理、配置</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85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F806">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rPr>
              <w:t>14</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8A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rPr>
              <w:t>2024/04/11</w:t>
            </w:r>
          </w:p>
        </w:tc>
      </w:tr>
    </w:tbl>
    <w:p w14:paraId="0C5352BF">
      <w:pPr>
        <w:numPr>
          <w:ilvl w:val="-1"/>
          <w:numId w:val="0"/>
        </w:numPr>
        <w:snapToGrid w:val="0"/>
        <w:spacing w:line="360" w:lineRule="auto"/>
        <w:ind w:left="0" w:leftChars="0"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kern w:val="2"/>
          <w:sz w:val="24"/>
          <w:szCs w:val="24"/>
          <w:highlight w:val="none"/>
          <w:lang w:val="en-US" w:eastAsia="zh-CN" w:bidi="ar-SA"/>
        </w:rPr>
        <w:t>（6）</w:t>
      </w:r>
      <w:r>
        <w:rPr>
          <w:rFonts w:hint="eastAsia" w:ascii="仿宋" w:hAnsi="仿宋" w:eastAsia="仿宋" w:cs="仿宋"/>
          <w:b/>
          <w:bCs w:val="0"/>
          <w:color w:val="auto"/>
          <w:sz w:val="24"/>
          <w:highlight w:val="none"/>
          <w:lang w:val="en-US" w:eastAsia="zh-CN"/>
        </w:rPr>
        <w:t>软件清单</w:t>
      </w:r>
    </w:p>
    <w:p w14:paraId="2863245D">
      <w:pPr>
        <w:numPr>
          <w:ilvl w:val="-1"/>
          <w:numId w:val="0"/>
        </w:numPr>
        <w:snapToGrid w:val="0"/>
        <w:spacing w:line="360" w:lineRule="auto"/>
        <w:ind w:leftChars="0" w:firstLine="480"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rPr>
        <w:t>本次迁移设备共承载68套</w:t>
      </w:r>
      <w:r>
        <w:rPr>
          <w:rFonts w:hint="eastAsia" w:ascii="仿宋" w:hAnsi="仿宋" w:eastAsia="仿宋" w:cs="仿宋"/>
          <w:b w:val="0"/>
          <w:bCs/>
          <w:color w:val="auto"/>
          <w:sz w:val="24"/>
          <w:highlight w:val="none"/>
          <w:lang w:val="en-US" w:eastAsia="zh-CN"/>
        </w:rPr>
        <w:t>软件及</w:t>
      </w:r>
      <w:r>
        <w:rPr>
          <w:rFonts w:hint="eastAsia" w:ascii="仿宋" w:hAnsi="仿宋" w:eastAsia="仿宋" w:cs="仿宋"/>
          <w:b w:val="0"/>
          <w:bCs/>
          <w:color w:val="auto"/>
          <w:sz w:val="24"/>
          <w:highlight w:val="none"/>
        </w:rPr>
        <w:t>系统，其中1套为7*24小时应用，需要通过租赁设备先逻辑迁移待原设备搬迁后再回切的方法，以保障业务连续性。其它67套可中断48小时进行物理搬迁</w:t>
      </w:r>
      <w:r>
        <w:rPr>
          <w:rFonts w:hint="eastAsia" w:ascii="仿宋" w:hAnsi="仿宋" w:eastAsia="仿宋" w:cs="仿宋"/>
          <w:b w:val="0"/>
          <w:bCs/>
          <w:color w:val="auto"/>
          <w:sz w:val="24"/>
          <w:highlight w:val="none"/>
          <w:lang w:eastAsia="zh-CN"/>
        </w:rPr>
        <w:t>，</w:t>
      </w:r>
      <w:r>
        <w:rPr>
          <w:rFonts w:hint="eastAsia" w:ascii="仿宋" w:hAnsi="仿宋" w:eastAsia="仿宋" w:cs="仿宋"/>
          <w:b w:val="0"/>
          <w:bCs/>
          <w:color w:val="auto"/>
          <w:sz w:val="24"/>
          <w:highlight w:val="none"/>
          <w:lang w:val="en-US" w:eastAsia="zh-CN"/>
        </w:rPr>
        <w:t>迁移前可进行系统模块确认，确保迁移前后保持一致</w:t>
      </w:r>
      <w:r>
        <w:rPr>
          <w:rFonts w:hint="eastAsia" w:ascii="仿宋" w:hAnsi="仿宋" w:eastAsia="仿宋" w:cs="仿宋"/>
          <w:b w:val="0"/>
          <w:bCs/>
          <w:color w:val="auto"/>
          <w:sz w:val="24"/>
          <w:highlight w:val="none"/>
        </w:rPr>
        <w:t>。具体的</w:t>
      </w:r>
      <w:r>
        <w:rPr>
          <w:rFonts w:hint="eastAsia" w:ascii="仿宋" w:hAnsi="仿宋" w:eastAsia="仿宋" w:cs="仿宋"/>
          <w:b w:val="0"/>
          <w:bCs/>
          <w:color w:val="auto"/>
          <w:sz w:val="24"/>
          <w:highlight w:val="none"/>
          <w:lang w:val="en-US" w:eastAsia="zh-CN"/>
        </w:rPr>
        <w:t>软件及</w:t>
      </w:r>
      <w:r>
        <w:rPr>
          <w:rFonts w:hint="eastAsia" w:ascii="仿宋" w:hAnsi="仿宋" w:eastAsia="仿宋" w:cs="仿宋"/>
          <w:b w:val="0"/>
          <w:bCs/>
          <w:color w:val="auto"/>
          <w:sz w:val="24"/>
          <w:highlight w:val="none"/>
        </w:rPr>
        <w:t>系统清单如下：</w:t>
      </w:r>
    </w:p>
    <w:tbl>
      <w:tblPr>
        <w:tblStyle w:val="62"/>
        <w:tblW w:w="8522"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11"/>
        <w:gridCol w:w="2170"/>
        <w:gridCol w:w="1739"/>
        <w:gridCol w:w="779"/>
        <w:gridCol w:w="1224"/>
        <w:gridCol w:w="1599"/>
      </w:tblGrid>
      <w:tr w14:paraId="4C3B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011" w:type="dxa"/>
            <w:shd w:val="clear" w:color="auto" w:fill="auto"/>
            <w:vAlign w:val="center"/>
          </w:tcPr>
          <w:p w14:paraId="196C5078">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类别</w:t>
            </w:r>
          </w:p>
        </w:tc>
        <w:tc>
          <w:tcPr>
            <w:tcW w:w="2170" w:type="dxa"/>
            <w:shd w:val="clear" w:color="auto" w:fill="auto"/>
            <w:vAlign w:val="center"/>
          </w:tcPr>
          <w:p w14:paraId="204C46CD">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软件/系统名称</w:t>
            </w:r>
          </w:p>
        </w:tc>
        <w:tc>
          <w:tcPr>
            <w:tcW w:w="1739" w:type="dxa"/>
            <w:shd w:val="clear" w:color="auto" w:fill="auto"/>
            <w:vAlign w:val="center"/>
          </w:tcPr>
          <w:p w14:paraId="3481E236">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lang w:eastAsia="zh-CN"/>
              </w:rPr>
            </w:pPr>
            <w:r>
              <w:rPr>
                <w:rFonts w:hint="eastAsia" w:ascii="仿宋" w:hAnsi="仿宋" w:eastAsia="仿宋" w:cs="仿宋"/>
                <w:b/>
                <w:bCs/>
                <w:color w:val="auto"/>
                <w:kern w:val="0"/>
                <w:sz w:val="21"/>
                <w:szCs w:val="21"/>
                <w:highlight w:val="none"/>
              </w:rPr>
              <w:t>数量</w:t>
            </w:r>
            <w:r>
              <w:rPr>
                <w:rFonts w:hint="eastAsia" w:ascii="仿宋" w:hAnsi="仿宋" w:eastAsia="仿宋" w:cs="仿宋"/>
                <w:b/>
                <w:bCs/>
                <w:color w:val="auto"/>
                <w:kern w:val="0"/>
                <w:sz w:val="21"/>
                <w:szCs w:val="21"/>
                <w:highlight w:val="none"/>
                <w:lang w:eastAsia="zh-CN"/>
              </w:rPr>
              <w:t>（</w:t>
            </w:r>
            <w:r>
              <w:rPr>
                <w:rFonts w:hint="eastAsia" w:ascii="仿宋" w:hAnsi="仿宋" w:eastAsia="仿宋" w:cs="仿宋"/>
                <w:b/>
                <w:bCs/>
                <w:color w:val="auto"/>
                <w:kern w:val="0"/>
                <w:sz w:val="21"/>
                <w:szCs w:val="21"/>
                <w:highlight w:val="none"/>
                <w:lang w:val="en-US" w:eastAsia="zh-CN"/>
              </w:rPr>
              <w:t>含所有业务模块</w:t>
            </w:r>
            <w:r>
              <w:rPr>
                <w:rFonts w:hint="eastAsia" w:ascii="仿宋" w:hAnsi="仿宋" w:eastAsia="仿宋" w:cs="仿宋"/>
                <w:b/>
                <w:bCs/>
                <w:color w:val="auto"/>
                <w:kern w:val="0"/>
                <w:sz w:val="21"/>
                <w:szCs w:val="21"/>
                <w:highlight w:val="none"/>
                <w:lang w:eastAsia="zh-CN"/>
              </w:rPr>
              <w:t>）</w:t>
            </w:r>
          </w:p>
        </w:tc>
        <w:tc>
          <w:tcPr>
            <w:tcW w:w="779" w:type="dxa"/>
            <w:shd w:val="clear" w:color="auto" w:fill="auto"/>
            <w:vAlign w:val="center"/>
          </w:tcPr>
          <w:p w14:paraId="1FBE68E0">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单位</w:t>
            </w:r>
          </w:p>
        </w:tc>
        <w:tc>
          <w:tcPr>
            <w:tcW w:w="1224" w:type="dxa"/>
            <w:shd w:val="clear" w:color="auto" w:fill="auto"/>
            <w:vAlign w:val="center"/>
          </w:tcPr>
          <w:p w14:paraId="003EB5CF">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环境/类型</w:t>
            </w:r>
          </w:p>
        </w:tc>
        <w:tc>
          <w:tcPr>
            <w:tcW w:w="1599" w:type="dxa"/>
            <w:shd w:val="clear" w:color="auto" w:fill="auto"/>
            <w:vAlign w:val="center"/>
          </w:tcPr>
          <w:p w14:paraId="16AB6A4E">
            <w:pPr>
              <w:widowControl/>
              <w:spacing w:line="240" w:lineRule="auto"/>
              <w:ind w:left="0" w:leftChars="0" w:right="0" w:rightChars="0"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313D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011" w:type="dxa"/>
            <w:vMerge w:val="restart"/>
            <w:shd w:val="clear" w:color="auto" w:fill="auto"/>
            <w:vAlign w:val="center"/>
          </w:tcPr>
          <w:p w14:paraId="0D29E68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系统及软件</w:t>
            </w:r>
          </w:p>
        </w:tc>
        <w:tc>
          <w:tcPr>
            <w:tcW w:w="2170" w:type="dxa"/>
            <w:shd w:val="clear" w:color="auto" w:fill="auto"/>
            <w:vAlign w:val="center"/>
          </w:tcPr>
          <w:p w14:paraId="582BB020">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网站系统</w:t>
            </w:r>
          </w:p>
        </w:tc>
        <w:tc>
          <w:tcPr>
            <w:tcW w:w="1739" w:type="dxa"/>
            <w:shd w:val="clear" w:color="auto" w:fill="auto"/>
            <w:vAlign w:val="center"/>
          </w:tcPr>
          <w:p w14:paraId="42EF30F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1AC190D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66DBCBC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vAlign w:val="center"/>
          </w:tcPr>
          <w:p w14:paraId="2275C83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7*24小时不间断</w:t>
            </w:r>
          </w:p>
        </w:tc>
      </w:tr>
      <w:tr w14:paraId="03FA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64430DC8">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0FF2064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现有二级以下系统</w:t>
            </w:r>
          </w:p>
        </w:tc>
        <w:tc>
          <w:tcPr>
            <w:tcW w:w="1739" w:type="dxa"/>
            <w:shd w:val="clear" w:color="auto" w:fill="auto"/>
            <w:vAlign w:val="center"/>
          </w:tcPr>
          <w:p w14:paraId="24BF596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12</w:t>
            </w:r>
          </w:p>
        </w:tc>
        <w:tc>
          <w:tcPr>
            <w:tcW w:w="779" w:type="dxa"/>
            <w:shd w:val="clear" w:color="auto" w:fill="auto"/>
            <w:vAlign w:val="center"/>
          </w:tcPr>
          <w:p w14:paraId="5992AE4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3AE0A94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测试环境</w:t>
            </w:r>
          </w:p>
        </w:tc>
        <w:tc>
          <w:tcPr>
            <w:tcW w:w="1599" w:type="dxa"/>
            <w:shd w:val="clear" w:color="auto" w:fill="auto"/>
            <w:vAlign w:val="center"/>
          </w:tcPr>
          <w:p w14:paraId="76F76FB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　</w:t>
            </w:r>
          </w:p>
        </w:tc>
      </w:tr>
      <w:tr w14:paraId="397D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78838AC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0161339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无纸化办公软件</w:t>
            </w:r>
          </w:p>
        </w:tc>
        <w:tc>
          <w:tcPr>
            <w:tcW w:w="1739" w:type="dxa"/>
            <w:shd w:val="clear" w:color="auto" w:fill="auto"/>
            <w:vAlign w:val="center"/>
          </w:tcPr>
          <w:p w14:paraId="19492C4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53DF79C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107E2F6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2D1CBF6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55A5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1F0B5DCD">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203E8C3">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视频会议会控软件</w:t>
            </w:r>
          </w:p>
        </w:tc>
        <w:tc>
          <w:tcPr>
            <w:tcW w:w="1739" w:type="dxa"/>
            <w:shd w:val="clear" w:color="auto" w:fill="auto"/>
            <w:vAlign w:val="center"/>
          </w:tcPr>
          <w:p w14:paraId="6A514FE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0E4359F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FF6626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18C7DDE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7D5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3F170F8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20F8BEA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考勤机软件</w:t>
            </w:r>
          </w:p>
        </w:tc>
        <w:tc>
          <w:tcPr>
            <w:tcW w:w="1739" w:type="dxa"/>
            <w:shd w:val="clear" w:color="auto" w:fill="auto"/>
            <w:vAlign w:val="center"/>
          </w:tcPr>
          <w:p w14:paraId="689310D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ED8F53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65CB2C0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5CD192C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1D76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73FB3A9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3D507D4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样本库软件</w:t>
            </w:r>
          </w:p>
        </w:tc>
        <w:tc>
          <w:tcPr>
            <w:tcW w:w="1739" w:type="dxa"/>
            <w:shd w:val="clear" w:color="auto" w:fill="auto"/>
            <w:vAlign w:val="center"/>
          </w:tcPr>
          <w:p w14:paraId="154C9643">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5F605AF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56C2873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2748A39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50DD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22B38B4D">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134F0CA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疫苗管理软件</w:t>
            </w:r>
          </w:p>
        </w:tc>
        <w:tc>
          <w:tcPr>
            <w:tcW w:w="1739" w:type="dxa"/>
            <w:shd w:val="clear" w:color="auto" w:fill="auto"/>
            <w:vAlign w:val="center"/>
          </w:tcPr>
          <w:p w14:paraId="3510D01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8DC66E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13C0B1C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4FE100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4E74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8A7EE89">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5343A86">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数据分类分级软件</w:t>
            </w:r>
          </w:p>
        </w:tc>
        <w:tc>
          <w:tcPr>
            <w:tcW w:w="1739" w:type="dxa"/>
            <w:shd w:val="clear" w:color="auto" w:fill="auto"/>
            <w:vAlign w:val="center"/>
          </w:tcPr>
          <w:p w14:paraId="74EA024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B2B88E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56A0B00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61C9E04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533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3E2823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9F8677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数据转换软件</w:t>
            </w:r>
          </w:p>
        </w:tc>
        <w:tc>
          <w:tcPr>
            <w:tcW w:w="1739" w:type="dxa"/>
            <w:shd w:val="clear" w:color="auto" w:fill="auto"/>
            <w:vAlign w:val="center"/>
          </w:tcPr>
          <w:p w14:paraId="6F482A0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4A240C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26F2957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185505C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4040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2A169ED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1242C56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网盘软件</w:t>
            </w:r>
          </w:p>
        </w:tc>
        <w:tc>
          <w:tcPr>
            <w:tcW w:w="1739" w:type="dxa"/>
            <w:shd w:val="clear" w:color="auto" w:fill="auto"/>
            <w:vAlign w:val="center"/>
          </w:tcPr>
          <w:p w14:paraId="4C1BA4B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4CC24D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6A6341E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36D3C51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6C05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F00EADC">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ECDC44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杀毒软件</w:t>
            </w:r>
          </w:p>
        </w:tc>
        <w:tc>
          <w:tcPr>
            <w:tcW w:w="1739" w:type="dxa"/>
            <w:shd w:val="clear" w:color="auto" w:fill="auto"/>
            <w:vAlign w:val="center"/>
          </w:tcPr>
          <w:p w14:paraId="2BCCF2B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064EBBB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04BCA1A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5F2AE2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3646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075916F9">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48592BB3">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主机入侵 EDR 软件</w:t>
            </w:r>
          </w:p>
        </w:tc>
        <w:tc>
          <w:tcPr>
            <w:tcW w:w="1739" w:type="dxa"/>
            <w:shd w:val="clear" w:color="auto" w:fill="auto"/>
            <w:vAlign w:val="center"/>
          </w:tcPr>
          <w:p w14:paraId="6E15919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A89C52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2143338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16D56A1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130D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7E5B37B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384F2A7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基线配置软件</w:t>
            </w:r>
          </w:p>
        </w:tc>
        <w:tc>
          <w:tcPr>
            <w:tcW w:w="1739" w:type="dxa"/>
            <w:shd w:val="clear" w:color="auto" w:fill="auto"/>
            <w:vAlign w:val="center"/>
          </w:tcPr>
          <w:p w14:paraId="36EE058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DC6F70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395F8D8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4D12970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6B8D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59F8F53">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7B853A2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网页防篡改软件</w:t>
            </w:r>
          </w:p>
        </w:tc>
        <w:tc>
          <w:tcPr>
            <w:tcW w:w="1739" w:type="dxa"/>
            <w:shd w:val="clear" w:color="auto" w:fill="auto"/>
            <w:vAlign w:val="center"/>
          </w:tcPr>
          <w:p w14:paraId="208F91E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303CB7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B089E7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5B6BDCA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7B45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2522A52">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6EFA38B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日志监控软件</w:t>
            </w:r>
          </w:p>
        </w:tc>
        <w:tc>
          <w:tcPr>
            <w:tcW w:w="1739" w:type="dxa"/>
            <w:shd w:val="clear" w:color="auto" w:fill="auto"/>
            <w:vAlign w:val="center"/>
          </w:tcPr>
          <w:p w14:paraId="73CAB4E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61BF1A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56FBACF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D3EF61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090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3CCD3186">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16676FC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主机防泄露软件</w:t>
            </w:r>
          </w:p>
        </w:tc>
        <w:tc>
          <w:tcPr>
            <w:tcW w:w="1739" w:type="dxa"/>
            <w:shd w:val="clear" w:color="auto" w:fill="auto"/>
            <w:vAlign w:val="center"/>
          </w:tcPr>
          <w:p w14:paraId="0DE3FB63">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7180C8F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68A08C6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3185D19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0AB2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236E4F3">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2836460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等保测评工具软件</w:t>
            </w:r>
          </w:p>
        </w:tc>
        <w:tc>
          <w:tcPr>
            <w:tcW w:w="1739" w:type="dxa"/>
            <w:shd w:val="clear" w:color="auto" w:fill="auto"/>
            <w:vAlign w:val="center"/>
          </w:tcPr>
          <w:p w14:paraId="04E679B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589CF2B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0A60BAE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74BDC2F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1653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04B7C2A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6510FCB9">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冰箱监控软件</w:t>
            </w:r>
          </w:p>
        </w:tc>
        <w:tc>
          <w:tcPr>
            <w:tcW w:w="1739" w:type="dxa"/>
            <w:shd w:val="clear" w:color="auto" w:fill="auto"/>
            <w:vAlign w:val="center"/>
          </w:tcPr>
          <w:p w14:paraId="7DE93BE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2D5386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92DC61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3F9FAC7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54ED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0889508A">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6480220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动环系统</w:t>
            </w:r>
          </w:p>
        </w:tc>
        <w:tc>
          <w:tcPr>
            <w:tcW w:w="1739" w:type="dxa"/>
            <w:shd w:val="clear" w:color="auto" w:fill="auto"/>
            <w:vAlign w:val="center"/>
          </w:tcPr>
          <w:p w14:paraId="22383D6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40415E8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DEE279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2B6F654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64CF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17A73547">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1C6E1C2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国家版正版化软件</w:t>
            </w:r>
          </w:p>
        </w:tc>
        <w:tc>
          <w:tcPr>
            <w:tcW w:w="1739" w:type="dxa"/>
            <w:shd w:val="clear" w:color="auto" w:fill="auto"/>
            <w:vAlign w:val="center"/>
          </w:tcPr>
          <w:p w14:paraId="24BADEB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0C9D156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22595FC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7809E153">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7B54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4255FD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25BDCE5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北京版正版化软件</w:t>
            </w:r>
          </w:p>
        </w:tc>
        <w:tc>
          <w:tcPr>
            <w:tcW w:w="1739" w:type="dxa"/>
            <w:shd w:val="clear" w:color="auto" w:fill="auto"/>
            <w:vAlign w:val="center"/>
          </w:tcPr>
          <w:p w14:paraId="00D643DB">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7251EAC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1047A98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18C4CA3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022F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F0A5139">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69E2D55D">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R软件</w:t>
            </w:r>
          </w:p>
        </w:tc>
        <w:tc>
          <w:tcPr>
            <w:tcW w:w="1739" w:type="dxa"/>
            <w:shd w:val="clear" w:color="auto" w:fill="auto"/>
            <w:vAlign w:val="center"/>
          </w:tcPr>
          <w:p w14:paraId="6CA3EA8B">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14132C5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0106382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4898978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01E8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C53CA26">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87D1F2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基因分析软件</w:t>
            </w:r>
          </w:p>
        </w:tc>
        <w:tc>
          <w:tcPr>
            <w:tcW w:w="1739" w:type="dxa"/>
            <w:shd w:val="clear" w:color="auto" w:fill="auto"/>
            <w:vAlign w:val="center"/>
          </w:tcPr>
          <w:p w14:paraId="30C820B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181208F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CDAD30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5FB9670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72E0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2B6A9F32">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3E8BBB76">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AI大模型软件</w:t>
            </w:r>
          </w:p>
        </w:tc>
        <w:tc>
          <w:tcPr>
            <w:tcW w:w="1739" w:type="dxa"/>
            <w:shd w:val="clear" w:color="auto" w:fill="auto"/>
            <w:vAlign w:val="center"/>
          </w:tcPr>
          <w:p w14:paraId="6A5BA96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0D7B8523">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3B5023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259F61E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422C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0F39C7F8">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D0CD21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能效分析软件</w:t>
            </w:r>
          </w:p>
        </w:tc>
        <w:tc>
          <w:tcPr>
            <w:tcW w:w="1739" w:type="dxa"/>
            <w:shd w:val="clear" w:color="auto" w:fill="auto"/>
            <w:vAlign w:val="center"/>
          </w:tcPr>
          <w:p w14:paraId="35683D9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418844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0D33C36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43611C0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13CD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28CC22A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5CAC980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传染病预警前置软件</w:t>
            </w:r>
          </w:p>
        </w:tc>
        <w:tc>
          <w:tcPr>
            <w:tcW w:w="1739" w:type="dxa"/>
            <w:shd w:val="clear" w:color="auto" w:fill="auto"/>
            <w:vAlign w:val="center"/>
          </w:tcPr>
          <w:p w14:paraId="502A1AE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396CA4F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444D1DE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A91D1A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3F0B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5087BCC3">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28400D4B">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财务软件</w:t>
            </w:r>
          </w:p>
        </w:tc>
        <w:tc>
          <w:tcPr>
            <w:tcW w:w="1739" w:type="dxa"/>
            <w:shd w:val="clear" w:color="auto" w:fill="auto"/>
            <w:vAlign w:val="center"/>
          </w:tcPr>
          <w:p w14:paraId="053A094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2BCDD714">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2D3C709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03BD77B">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02C1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7321B617">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78D4CDEC">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预算管理软件</w:t>
            </w:r>
          </w:p>
        </w:tc>
        <w:tc>
          <w:tcPr>
            <w:tcW w:w="1739" w:type="dxa"/>
            <w:shd w:val="clear" w:color="auto" w:fill="auto"/>
            <w:vAlign w:val="center"/>
          </w:tcPr>
          <w:p w14:paraId="66AFB32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77952FF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115F739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68D5759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F7A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6DDA2CF0">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7918DDA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物资管理软件</w:t>
            </w:r>
          </w:p>
        </w:tc>
        <w:tc>
          <w:tcPr>
            <w:tcW w:w="1739" w:type="dxa"/>
            <w:shd w:val="clear" w:color="auto" w:fill="auto"/>
            <w:vAlign w:val="center"/>
          </w:tcPr>
          <w:p w14:paraId="4E61E532">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4288CDD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B7B1EA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031689D6">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495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11" w:type="dxa"/>
            <w:vMerge w:val="continue"/>
            <w:shd w:val="clear" w:color="auto" w:fill="auto"/>
            <w:vAlign w:val="center"/>
          </w:tcPr>
          <w:p w14:paraId="77D8ACCA">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7251B33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图书软件</w:t>
            </w:r>
          </w:p>
        </w:tc>
        <w:tc>
          <w:tcPr>
            <w:tcW w:w="1739" w:type="dxa"/>
            <w:shd w:val="clear" w:color="auto" w:fill="auto"/>
            <w:vAlign w:val="center"/>
          </w:tcPr>
          <w:p w14:paraId="2569F96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7337501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5318A7C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noWrap/>
          </w:tcPr>
          <w:p w14:paraId="6B04D9A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2C0E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74ED577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noWrap/>
            <w:vAlign w:val="center"/>
          </w:tcPr>
          <w:p w14:paraId="711D5F02">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CAS</w:t>
            </w:r>
            <w:r>
              <w:rPr>
                <w:rFonts w:hint="eastAsia" w:ascii="仿宋" w:hAnsi="仿宋" w:eastAsia="仿宋" w:cs="仿宋"/>
                <w:b w:val="0"/>
                <w:bCs w:val="0"/>
                <w:color w:val="auto"/>
                <w:kern w:val="0"/>
                <w:sz w:val="21"/>
                <w:szCs w:val="21"/>
                <w:highlight w:val="none"/>
              </w:rPr>
              <w:t>虚拟化及</w:t>
            </w:r>
            <w:r>
              <w:rPr>
                <w:rFonts w:hint="eastAsia" w:ascii="仿宋" w:hAnsi="仿宋" w:eastAsia="仿宋" w:cs="仿宋"/>
                <w:b w:val="0"/>
                <w:bCs w:val="0"/>
                <w:color w:val="auto"/>
                <w:kern w:val="0"/>
                <w:sz w:val="21"/>
                <w:szCs w:val="21"/>
                <w:highlight w:val="none"/>
                <w:lang w:val="en-US" w:eastAsia="zh-CN"/>
              </w:rPr>
              <w:t>CloudOS</w:t>
            </w:r>
            <w:r>
              <w:rPr>
                <w:rFonts w:hint="eastAsia" w:ascii="仿宋" w:hAnsi="仿宋" w:eastAsia="仿宋" w:cs="仿宋"/>
                <w:b w:val="0"/>
                <w:bCs w:val="0"/>
                <w:color w:val="auto"/>
                <w:kern w:val="0"/>
                <w:sz w:val="21"/>
                <w:szCs w:val="21"/>
                <w:highlight w:val="none"/>
              </w:rPr>
              <w:t>虚拟化管理软件--云操作</w:t>
            </w:r>
            <w:r>
              <w:rPr>
                <w:rFonts w:hint="eastAsia" w:ascii="仿宋" w:hAnsi="仿宋" w:eastAsia="仿宋" w:cs="仿宋"/>
                <w:b w:val="0"/>
                <w:bCs w:val="0"/>
                <w:color w:val="auto"/>
                <w:kern w:val="0"/>
                <w:sz w:val="21"/>
                <w:szCs w:val="21"/>
                <w:highlight w:val="none"/>
                <w:lang w:eastAsia="zh-CN"/>
              </w:rPr>
              <w:t>系统</w:t>
            </w:r>
          </w:p>
        </w:tc>
        <w:tc>
          <w:tcPr>
            <w:tcW w:w="1739" w:type="dxa"/>
            <w:shd w:val="clear" w:color="auto" w:fill="auto"/>
            <w:noWrap/>
            <w:vAlign w:val="center"/>
          </w:tcPr>
          <w:p w14:paraId="66B76FAF">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23</w:t>
            </w:r>
          </w:p>
        </w:tc>
        <w:tc>
          <w:tcPr>
            <w:tcW w:w="779" w:type="dxa"/>
            <w:shd w:val="clear" w:color="auto" w:fill="auto"/>
            <w:noWrap/>
            <w:vAlign w:val="center"/>
          </w:tcPr>
          <w:p w14:paraId="4BC6917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7E651BC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noWrap/>
          </w:tcPr>
          <w:p w14:paraId="08C9C753">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6FEE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1B0187BF">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noWrap/>
            <w:vAlign w:val="center"/>
          </w:tcPr>
          <w:p w14:paraId="21231A95">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无线管理软件</w:t>
            </w:r>
          </w:p>
        </w:tc>
        <w:tc>
          <w:tcPr>
            <w:tcW w:w="1739" w:type="dxa"/>
            <w:shd w:val="clear" w:color="auto" w:fill="auto"/>
            <w:noWrap/>
            <w:vAlign w:val="center"/>
          </w:tcPr>
          <w:p w14:paraId="75FACAD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noWrap/>
            <w:vAlign w:val="center"/>
          </w:tcPr>
          <w:p w14:paraId="622F8095">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415606B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noWrap/>
          </w:tcPr>
          <w:p w14:paraId="00479D20">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3258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F2B71C9">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noWrap/>
            <w:vAlign w:val="center"/>
          </w:tcPr>
          <w:p w14:paraId="40E1E69B">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有线管理软件</w:t>
            </w:r>
          </w:p>
        </w:tc>
        <w:tc>
          <w:tcPr>
            <w:tcW w:w="1739" w:type="dxa"/>
            <w:shd w:val="clear" w:color="auto" w:fill="auto"/>
            <w:noWrap/>
            <w:vAlign w:val="center"/>
          </w:tcPr>
          <w:p w14:paraId="05C560C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noWrap/>
            <w:vAlign w:val="center"/>
          </w:tcPr>
          <w:p w14:paraId="326285A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5B9D30D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noWrap/>
          </w:tcPr>
          <w:p w14:paraId="3FCC9507">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3910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53FE4E1">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743A4446">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视频会议软件</w:t>
            </w:r>
          </w:p>
        </w:tc>
        <w:tc>
          <w:tcPr>
            <w:tcW w:w="1739" w:type="dxa"/>
            <w:shd w:val="clear" w:color="auto" w:fill="auto"/>
            <w:vAlign w:val="center"/>
          </w:tcPr>
          <w:p w14:paraId="24EBD35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1C1B2BBA">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2C1E3C2C">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7DB10878">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r w14:paraId="1494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11" w:type="dxa"/>
            <w:vMerge w:val="continue"/>
            <w:shd w:val="clear" w:color="auto" w:fill="auto"/>
            <w:vAlign w:val="center"/>
          </w:tcPr>
          <w:p w14:paraId="4487B074">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p>
        </w:tc>
        <w:tc>
          <w:tcPr>
            <w:tcW w:w="2170" w:type="dxa"/>
            <w:shd w:val="clear" w:color="auto" w:fill="auto"/>
            <w:vAlign w:val="center"/>
          </w:tcPr>
          <w:p w14:paraId="0F9AA93E">
            <w:pPr>
              <w:widowControl/>
              <w:spacing w:line="240" w:lineRule="auto"/>
              <w:ind w:left="0" w:leftChars="0" w:right="0" w:rightChars="0" w:firstLine="0" w:firstLineChars="0"/>
              <w:jc w:val="left"/>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API监测软件</w:t>
            </w:r>
          </w:p>
        </w:tc>
        <w:tc>
          <w:tcPr>
            <w:tcW w:w="1739" w:type="dxa"/>
            <w:shd w:val="clear" w:color="auto" w:fill="auto"/>
            <w:vAlign w:val="center"/>
          </w:tcPr>
          <w:p w14:paraId="6AD66A0D">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1</w:t>
            </w:r>
          </w:p>
        </w:tc>
        <w:tc>
          <w:tcPr>
            <w:tcW w:w="779" w:type="dxa"/>
            <w:shd w:val="clear" w:color="auto" w:fill="auto"/>
            <w:vAlign w:val="center"/>
          </w:tcPr>
          <w:p w14:paraId="69D47CB1">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套</w:t>
            </w:r>
          </w:p>
        </w:tc>
        <w:tc>
          <w:tcPr>
            <w:tcW w:w="1224" w:type="dxa"/>
            <w:shd w:val="clear" w:color="auto" w:fill="auto"/>
            <w:vAlign w:val="center"/>
          </w:tcPr>
          <w:p w14:paraId="02F9CDD9">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正式环境</w:t>
            </w:r>
          </w:p>
        </w:tc>
        <w:tc>
          <w:tcPr>
            <w:tcW w:w="1599" w:type="dxa"/>
            <w:shd w:val="clear" w:color="auto" w:fill="auto"/>
          </w:tcPr>
          <w:p w14:paraId="13CF7E2E">
            <w:pPr>
              <w:widowControl/>
              <w:spacing w:line="240" w:lineRule="auto"/>
              <w:ind w:left="0" w:leftChars="0" w:right="0" w:rightChars="0" w:firstLine="0" w:firstLineChars="0"/>
              <w:jc w:val="center"/>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可中断48小时</w:t>
            </w:r>
          </w:p>
        </w:tc>
      </w:tr>
    </w:tbl>
    <w:p w14:paraId="15EFD9D1">
      <w:pPr>
        <w:numPr>
          <w:ilvl w:val="0"/>
          <w:numId w:val="0"/>
        </w:numPr>
        <w:snapToGrid w:val="0"/>
        <w:spacing w:line="360" w:lineRule="auto"/>
        <w:ind w:leftChars="0"/>
        <w:rPr>
          <w:rFonts w:hint="eastAsia" w:ascii="宋体" w:hAnsi="宋体" w:eastAsia="宋体" w:cs="宋体"/>
          <w:b w:val="0"/>
          <w:bCs w:val="0"/>
          <w:color w:val="auto"/>
          <w:highlight w:val="none"/>
          <w:lang w:val="en-US" w:eastAsia="zh-CN"/>
        </w:rPr>
      </w:pPr>
    </w:p>
    <w:p w14:paraId="27A349A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5AE180C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本项目以安全平稳完成机房搬迁为目标，总体指导原则：业务持续、数据保护优先、先易后难、充分验证。</w:t>
      </w:r>
    </w:p>
    <w:p w14:paraId="408CA81A">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在搬迁工作开始前，先行完成目标数据中心整体位置规划、机柜内设备位置规划、网络环境综合布线并测试验证。</w:t>
      </w:r>
    </w:p>
    <w:p w14:paraId="69279DC7">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在搬迁策略设计、评估选择时，需遵循切实可行、风险最低、平滑过渡和最短停机时间等原则：</w:t>
      </w:r>
    </w:p>
    <w:p w14:paraId="06FD52E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切实可行：整体方案具有实用性、可操作性。</w:t>
      </w:r>
    </w:p>
    <w:p w14:paraId="4DA3D50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风险最小：为达到降低搬迁风险的目的，尽可能简化搬迁方案；对搬迁风险进行充分的估计，制定对策及应急预案，以降低、转移甚至消除风险。</w:t>
      </w:r>
    </w:p>
    <w:p w14:paraId="71A560D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成本最优</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在搬迁过程中，在平稳过渡和经济性上寻求平衡点。</w:t>
      </w:r>
    </w:p>
    <w:p w14:paraId="2EA0732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平滑过渡</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最大限度地满足业务的正常运行，</w:t>
      </w:r>
      <w:r>
        <w:rPr>
          <w:rFonts w:hint="eastAsia" w:ascii="仿宋" w:hAnsi="仿宋" w:eastAsia="仿宋" w:cs="仿宋"/>
          <w:bCs/>
          <w:color w:val="auto"/>
          <w:sz w:val="24"/>
          <w:highlight w:val="none"/>
          <w:lang w:val="en-US" w:eastAsia="zh-CN"/>
        </w:rPr>
        <w:t>方案中体现</w:t>
      </w:r>
      <w:r>
        <w:rPr>
          <w:rFonts w:hint="eastAsia" w:ascii="仿宋" w:hAnsi="仿宋" w:eastAsia="仿宋" w:cs="仿宋"/>
          <w:bCs/>
          <w:color w:val="auto"/>
          <w:sz w:val="24"/>
          <w:highlight w:val="none"/>
        </w:rPr>
        <w:t>RTO增加时间； 保证业务数据在搬迁过程中的安全。减少在搬迁前后对灾备的影响，确保系统在迁移后能够平稳运行。</w:t>
      </w:r>
    </w:p>
    <w:p w14:paraId="453F1E15">
      <w:pPr>
        <w:snapToGrid w:val="0"/>
        <w:spacing w:line="360" w:lineRule="auto"/>
        <w:ind w:firstLine="480" w:firstLineChars="200"/>
        <w:rPr>
          <w:rFonts w:hint="default"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lang w:eastAsia="zh-CN"/>
        </w:rPr>
        <w:t>）</w:t>
      </w:r>
      <w:r>
        <w:rPr>
          <w:rFonts w:hint="eastAsia" w:ascii="仿宋" w:hAnsi="仿宋" w:eastAsia="仿宋" w:cs="仿宋"/>
          <w:bCs/>
          <w:color w:val="auto"/>
          <w:kern w:val="2"/>
          <w:sz w:val="24"/>
          <w:szCs w:val="24"/>
          <w:highlight w:val="none"/>
          <w:lang w:val="en-US" w:eastAsia="zh-CN" w:bidi="ar-SA"/>
        </w:rPr>
        <w:t>方案需要提供迁移顺序，保障安全稳定。</w:t>
      </w:r>
    </w:p>
    <w:p w14:paraId="1E20B870">
      <w:pPr>
        <w:snapToGrid w:val="0"/>
        <w:spacing w:line="360" w:lineRule="auto"/>
        <w:ind w:firstLine="480" w:firstLineChars="200"/>
        <w:rPr>
          <w:rFonts w:hint="default" w:ascii="仿宋" w:hAnsi="仿宋" w:eastAsia="仿宋" w:cs="仿宋"/>
          <w:bCs/>
          <w:color w:val="auto"/>
          <w:sz w:val="24"/>
          <w:highlight w:val="none"/>
          <w:lang w:val="en-US"/>
        </w:rPr>
      </w:pPr>
      <w:r>
        <w:rPr>
          <w:rFonts w:hint="eastAsia" w:ascii="仿宋" w:hAnsi="仿宋" w:eastAsia="仿宋" w:cs="仿宋"/>
          <w:bCs/>
          <w:color w:val="auto"/>
          <w:kern w:val="2"/>
          <w:sz w:val="24"/>
          <w:szCs w:val="24"/>
          <w:highlight w:val="none"/>
          <w:lang w:val="en-US" w:eastAsia="zh-CN" w:bidi="ar-SA"/>
        </w:rPr>
        <w:t>（6）提供迁移前做好环境测试验证、数据备份、迁移演练、备件准备等工作方案内容，降低迁移风险。</w:t>
      </w:r>
    </w:p>
    <w:p w14:paraId="1FD06082">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本次北市疾控中心迁移分为两种类型：</w:t>
      </w:r>
    </w:p>
    <w:p w14:paraId="34F6F4F8">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逻辑迁移——异地系统运行所需的设备准备就绪，异地系统安装配置，本地系统复制数据至异地系统，异地系统启动。异地系统取代本地系统成为生产系统。在此过程中不需要对本地系统进行物理搬迁工作。</w:t>
      </w:r>
    </w:p>
    <w:p w14:paraId="0EFEB39A">
      <w:pPr>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物理搬迁——本地系统停机，本地设备下架打包，设备搬运运输至异地，设备在异地拆包安装，系统在异地启动。</w:t>
      </w:r>
    </w:p>
    <w:p w14:paraId="2E7D7A2A">
      <w:pPr>
        <w:pStyle w:val="5"/>
        <w:spacing w:line="360" w:lineRule="auto"/>
        <w:ind w:firstLineChars="0"/>
        <w:contextualSpacing w:val="0"/>
        <w:rPr>
          <w:rFonts w:ascii="仿宋" w:hAnsi="仿宋" w:eastAsia="仿宋" w:cs="仿宋"/>
          <w:b/>
          <w:bCs/>
          <w:color w:val="auto"/>
          <w:sz w:val="24"/>
          <w:highlight w:val="none"/>
        </w:rPr>
      </w:pPr>
      <w:r>
        <w:rPr>
          <w:rFonts w:hint="eastAsia" w:ascii="仿宋" w:hAnsi="仿宋" w:eastAsia="仿宋" w:cs="仿宋"/>
          <w:bCs/>
          <w:color w:val="auto"/>
          <w:kern w:val="2"/>
          <w:sz w:val="24"/>
          <w:szCs w:val="24"/>
          <w:highlight w:val="none"/>
          <w:lang w:val="en-US" w:eastAsia="zh-CN" w:bidi="ar-SA"/>
        </w:rPr>
        <w:t>本次数据迁移共68套软件系统，其中1套软件系统（7*24小时）不允许业务中断，其余67套软件系统（5*9小时）可中断48小时。根据软件系统RTO要求，采用数据迁移和物理搬迁想结合的迁移方式：需要提供满足需求的迁移方案。</w:t>
      </w:r>
    </w:p>
    <w:p w14:paraId="0F512676">
      <w:pPr>
        <w:pStyle w:val="5"/>
        <w:spacing w:line="360" w:lineRule="auto"/>
        <w:contextualSpacing/>
        <w:rPr>
          <w:color w:val="auto"/>
          <w:highlight w:val="none"/>
        </w:rPr>
      </w:pPr>
    </w:p>
    <w:p w14:paraId="3109050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47AE788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3.1、</w:t>
      </w:r>
      <w:r>
        <w:rPr>
          <w:rFonts w:ascii="仿宋" w:hAnsi="仿宋" w:eastAsia="仿宋"/>
          <w:color w:val="auto"/>
          <w:sz w:val="24"/>
          <w:highlight w:val="none"/>
        </w:rPr>
        <w:t>促进</w:t>
      </w:r>
      <w:r>
        <w:rPr>
          <w:rFonts w:hint="eastAsia" w:ascii="仿宋" w:hAnsi="仿宋" w:eastAsia="仿宋"/>
          <w:color w:val="auto"/>
          <w:sz w:val="24"/>
          <w:highlight w:val="none"/>
        </w:rPr>
        <w:t>中小</w:t>
      </w:r>
      <w:r>
        <w:rPr>
          <w:rFonts w:ascii="仿宋" w:hAnsi="仿宋" w:eastAsia="仿宋"/>
          <w:color w:val="auto"/>
          <w:sz w:val="24"/>
          <w:highlight w:val="none"/>
        </w:rPr>
        <w:t>企业发展政策：</w:t>
      </w:r>
      <w:r>
        <w:rPr>
          <w:rFonts w:hint="eastAsia" w:ascii="仿宋" w:hAnsi="仿宋" w:eastAsia="仿宋"/>
          <w:color w:val="auto"/>
          <w:sz w:val="24"/>
          <w:highlight w:val="none"/>
        </w:rPr>
        <w:t>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92F9E6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5AC7E2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57379F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783BE1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59CF7EA">
      <w:pPr>
        <w:spacing w:line="360" w:lineRule="auto"/>
        <w:ind w:firstLine="480" w:firstLineChars="200"/>
        <w:contextualSpacing/>
        <w:rPr>
          <w:rFonts w:ascii="仿宋" w:hAnsi="仿宋" w:eastAsia="仿宋" w:cs="仿宋"/>
          <w:bCs/>
          <w:color w:val="auto"/>
          <w:sz w:val="24"/>
          <w:highlight w:val="none"/>
        </w:rPr>
      </w:pPr>
      <w:bookmarkStart w:id="5"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6" w:name="OLE_LINK56"/>
      <w:bookmarkStart w:id="7" w:name="OLE_LINK55"/>
      <w:r>
        <w:rPr>
          <w:rFonts w:hint="eastAsia" w:ascii="仿宋" w:hAnsi="仿宋" w:eastAsia="仿宋" w:cs="仿宋"/>
          <w:b/>
          <w:bCs/>
          <w:color w:val="auto"/>
          <w:sz w:val="24"/>
          <w:highlight w:val="none"/>
        </w:rPr>
        <w:t>投标人</w:t>
      </w:r>
      <w:bookmarkEnd w:id="6"/>
      <w:bookmarkEnd w:id="7"/>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5"/>
    </w:p>
    <w:p w14:paraId="58EFCAF9">
      <w:pPr>
        <w:pStyle w:val="5"/>
        <w:spacing w:line="360" w:lineRule="auto"/>
        <w:contextualSpacing/>
        <w:rPr>
          <w:color w:val="auto"/>
          <w:highlight w:val="none"/>
        </w:rPr>
      </w:pPr>
    </w:p>
    <w:p w14:paraId="070ADDD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1657ABA4">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4.</w:t>
      </w:r>
      <w:r>
        <w:rPr>
          <w:rFonts w:hint="eastAsia" w:ascii="仿宋" w:hAnsi="仿宋" w:eastAsia="仿宋" w:cs="仿宋"/>
          <w:b/>
          <w:bCs/>
          <w:color w:val="auto"/>
          <w:sz w:val="24"/>
          <w:highlight w:val="none"/>
          <w:lang w:val="en-US" w:eastAsia="zh-CN"/>
        </w:rPr>
        <w:t>1</w:t>
      </w:r>
      <w:r>
        <w:rPr>
          <w:rFonts w:hint="eastAsia" w:ascii="仿宋" w:hAnsi="仿宋" w:eastAsia="仿宋" w:cs="仿宋"/>
          <w:b/>
          <w:bCs/>
          <w:color w:val="auto"/>
          <w:sz w:val="24"/>
          <w:highlight w:val="none"/>
        </w:rPr>
        <w:t>、安装要求</w:t>
      </w:r>
      <w:r>
        <w:rPr>
          <w:rFonts w:hint="eastAsia" w:ascii="仿宋" w:hAnsi="仿宋" w:eastAsia="仿宋" w:cs="仿宋"/>
          <w:b/>
          <w:bCs/>
          <w:color w:val="auto"/>
          <w:sz w:val="24"/>
          <w:highlight w:val="none"/>
        </w:rPr>
        <w:tab/>
      </w:r>
    </w:p>
    <w:p w14:paraId="23B8B3CA">
      <w:pPr>
        <w:snapToGrid w:val="0"/>
        <w:spacing w:line="360" w:lineRule="auto"/>
        <w:ind w:firstLine="480" w:firstLineChars="200"/>
        <w:rPr>
          <w:rFonts w:ascii="仿宋" w:hAnsi="仿宋" w:eastAsia="仿宋" w:cs="仿宋"/>
          <w:bCs/>
          <w:color w:val="auto"/>
          <w:sz w:val="24"/>
          <w:highlight w:val="none"/>
        </w:rPr>
      </w:pPr>
      <w:bookmarkStart w:id="8" w:name="OLE_LINK203"/>
      <w:bookmarkStart w:id="9" w:name="OLE_LINK202"/>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.1、</w:t>
      </w:r>
      <w:bookmarkEnd w:id="8"/>
      <w:bookmarkEnd w:id="9"/>
      <w:r>
        <w:rPr>
          <w:rFonts w:hint="eastAsia" w:ascii="仿宋" w:hAnsi="仿宋" w:eastAsia="仿宋" w:cs="仿宋"/>
          <w:bCs/>
          <w:color w:val="auto"/>
          <w:sz w:val="24"/>
          <w:highlight w:val="none"/>
        </w:rPr>
        <w:t>投标人发运货物</w:t>
      </w:r>
      <w:r>
        <w:rPr>
          <w:rFonts w:hint="eastAsia" w:ascii="仿宋" w:hAnsi="仿宋" w:eastAsia="仿宋" w:cs="仿宋"/>
          <w:bCs/>
          <w:color w:val="auto"/>
          <w:sz w:val="24"/>
          <w:highlight w:val="none"/>
          <w:lang w:val="en-US" w:eastAsia="zh-CN"/>
        </w:rPr>
        <w:t>到现场后</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现场安装需严格遵守采购人规章制度要求。</w:t>
      </w:r>
    </w:p>
    <w:p w14:paraId="331AF3D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、工作条件：除了在技术规格中另有规定外，投标人提供的一切仪器、设备和系统</w:t>
      </w:r>
      <w:r>
        <w:rPr>
          <w:rFonts w:hint="eastAsia" w:ascii="仿宋" w:hAnsi="仿宋" w:eastAsia="仿宋" w:cs="仿宋"/>
          <w:bCs/>
          <w:color w:val="auto"/>
          <w:sz w:val="24"/>
          <w:highlight w:val="none"/>
          <w:lang w:val="en-US" w:eastAsia="zh-CN"/>
        </w:rPr>
        <w:t>工具</w:t>
      </w:r>
      <w:r>
        <w:rPr>
          <w:rFonts w:hint="eastAsia" w:ascii="仿宋" w:hAnsi="仿宋" w:eastAsia="仿宋" w:cs="仿宋"/>
          <w:bCs/>
          <w:color w:val="auto"/>
          <w:sz w:val="24"/>
          <w:highlight w:val="none"/>
        </w:rPr>
        <w:t>，应符合下列条件：</w:t>
      </w:r>
    </w:p>
    <w:p w14:paraId="4D54082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553E354F">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w:t>
      </w:r>
      <w:r>
        <w:rPr>
          <w:rFonts w:hint="eastAsia" w:ascii="仿宋" w:hAnsi="仿宋" w:eastAsia="仿宋" w:cs="仿宋"/>
          <w:bCs/>
          <w:color w:val="auto"/>
          <w:sz w:val="24"/>
          <w:highlight w:val="none"/>
          <w:lang w:val="en-US" w:eastAsia="zh-CN"/>
        </w:rPr>
        <w:t>及动火</w:t>
      </w:r>
      <w:r>
        <w:rPr>
          <w:rFonts w:hint="eastAsia" w:ascii="仿宋" w:hAnsi="仿宋" w:eastAsia="仿宋" w:cs="仿宋"/>
          <w:bCs/>
          <w:color w:val="auto"/>
          <w:sz w:val="24"/>
          <w:highlight w:val="none"/>
        </w:rPr>
        <w:t>等），投标人应在有关投标文件中加以说明。</w:t>
      </w:r>
    </w:p>
    <w:p w14:paraId="0089B044">
      <w:pPr>
        <w:snapToGrid w:val="0"/>
        <w:spacing w:line="360" w:lineRule="auto"/>
        <w:ind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4.2 团队人员要求</w:t>
      </w:r>
    </w:p>
    <w:p w14:paraId="1F342E05">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w:t>
      </w:r>
      <w:r>
        <w:rPr>
          <w:rFonts w:hint="default" w:ascii="仿宋" w:hAnsi="仿宋" w:eastAsia="仿宋" w:cs="仿宋"/>
          <w:bCs/>
          <w:color w:val="auto"/>
          <w:sz w:val="24"/>
          <w:highlight w:val="none"/>
          <w:lang w:val="en-US" w:eastAsia="zh-CN"/>
        </w:rPr>
        <w:t>需组建结构完善、分工明确的专业技术团队，团队规模不少于</w:t>
      </w:r>
      <w:r>
        <w:rPr>
          <w:rFonts w:hint="eastAsia" w:ascii="仿宋" w:hAnsi="仿宋" w:eastAsia="仿宋" w:cs="仿宋"/>
          <w:bCs/>
          <w:color w:val="auto"/>
          <w:sz w:val="24"/>
          <w:highlight w:val="none"/>
          <w:lang w:val="en-US" w:eastAsia="zh-CN"/>
        </w:rPr>
        <w:t>10</w:t>
      </w:r>
      <w:r>
        <w:rPr>
          <w:rFonts w:hint="default" w:ascii="仿宋" w:hAnsi="仿宋" w:eastAsia="仿宋" w:cs="仿宋"/>
          <w:bCs/>
          <w:color w:val="auto"/>
          <w:sz w:val="24"/>
          <w:highlight w:val="none"/>
          <w:lang w:val="en-US" w:eastAsia="zh-CN"/>
        </w:rPr>
        <w:t>人，岗位配置需与项目服务内容相关，具备类似项目经验。</w:t>
      </w:r>
    </w:p>
    <w:p w14:paraId="5C615EF8">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（1）投标人需配备一名项目经理负责统筹整个项目，需具备有效的信息系统项目管理师（高级）及IITC工信人才评价-系统运维工程师证书（以上证书均需为工信部或人社部门颁发）。</w:t>
      </w:r>
    </w:p>
    <w:p w14:paraId="4F1CBA03">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2）投标人需配备一名技术负责人，与项目经理不可为同一人，技术负责人需具备有效的信息系统项目管理师（高级）、系统规划与管理师（高级）、信息安全工程师（中级）证书（以上证书均需为工信部或人社部门颁发）。</w:t>
      </w:r>
    </w:p>
    <w:p w14:paraId="505F84FA">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（3）除项目经理、技术负责人以外的团队人员</w:t>
      </w:r>
      <w:r>
        <w:rPr>
          <w:rFonts w:hint="eastAsia" w:ascii="仿宋" w:hAnsi="仿宋" w:eastAsia="仿宋" w:cs="仿宋"/>
          <w:bCs/>
          <w:color w:val="auto"/>
          <w:sz w:val="24"/>
          <w:highlight w:val="none"/>
          <w:lang w:val="en-US" w:eastAsia="zh-CN"/>
        </w:rPr>
        <w:t>至少8名</w:t>
      </w:r>
      <w:r>
        <w:rPr>
          <w:rFonts w:hint="default" w:ascii="仿宋" w:hAnsi="仿宋" w:eastAsia="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架构师至少1名，具备有效的系统架构设计师（工信部或人社部门颁发）证书的技术专家；网络技术专家至少1名，具备有效的高级网络工程师（工信部或人社部门颁发）证书；安全技术专家至少1名，具备有效的高级网络信息安全工程师证书（工信部或人社部门颁发）证书；其他成员至少5名，需具备有效的系统规划与管理师（工信部或人社部门颁发）、系统分析师（工信部或人社部门颁发）、网络架构规划设计师（工信部或人社部门颁发）、网络工程师（工信部或人社部门颁发）、注册信息安全工程师（CISP）证书的工程师。</w:t>
      </w:r>
    </w:p>
    <w:p w14:paraId="543993DE">
      <w:pPr>
        <w:snapToGrid w:val="0"/>
        <w:spacing w:line="360" w:lineRule="auto"/>
        <w:ind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4.3保密要求</w:t>
      </w:r>
    </w:p>
    <w:p w14:paraId="02C1B788">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w:t>
      </w:r>
      <w:r>
        <w:rPr>
          <w:rFonts w:hint="default" w:ascii="仿宋" w:hAnsi="仿宋" w:eastAsia="仿宋" w:cs="仿宋"/>
          <w:bCs/>
          <w:color w:val="auto"/>
          <w:sz w:val="24"/>
          <w:highlight w:val="none"/>
          <w:lang w:val="en-US" w:eastAsia="zh-CN"/>
        </w:rPr>
        <w:t>应严格遵守合同规定，执行《中华人民共和国保守国家秘密法》及有关保密的法律法规，选派具有良好职业道德的人员参与本项目工作，教育相关人员恪守职业道德，服从采购人的管理，严格遵守采购人的保密规定和工作制度，承担相应的保密责任。</w:t>
      </w:r>
    </w:p>
    <w:p w14:paraId="53177D9F">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所有参与本项目的实施人员，都</w:t>
      </w:r>
      <w:r>
        <w:rPr>
          <w:rFonts w:hint="eastAsia" w:ascii="仿宋" w:hAnsi="仿宋" w:eastAsia="仿宋" w:cs="仿宋"/>
          <w:bCs/>
          <w:color w:val="auto"/>
          <w:sz w:val="24"/>
          <w:highlight w:val="none"/>
          <w:lang w:val="en-US" w:eastAsia="zh-CN"/>
        </w:rPr>
        <w:t>需</w:t>
      </w:r>
      <w:r>
        <w:rPr>
          <w:rFonts w:hint="default" w:ascii="仿宋" w:hAnsi="仿宋" w:eastAsia="仿宋" w:cs="仿宋"/>
          <w:bCs/>
          <w:color w:val="auto"/>
          <w:sz w:val="24"/>
          <w:highlight w:val="none"/>
          <w:lang w:val="en-US" w:eastAsia="zh-CN"/>
        </w:rPr>
        <w:t>签订《保密承诺书》。</w:t>
      </w:r>
      <w:r>
        <w:rPr>
          <w:rFonts w:hint="eastAsia" w:ascii="仿宋" w:hAnsi="仿宋" w:eastAsia="仿宋" w:cs="仿宋"/>
          <w:bCs/>
          <w:color w:val="auto"/>
          <w:sz w:val="24"/>
          <w:highlight w:val="none"/>
          <w:lang w:val="en-US" w:eastAsia="zh-CN"/>
        </w:rPr>
        <w:t>投标人</w:t>
      </w:r>
      <w:r>
        <w:rPr>
          <w:rFonts w:hint="default" w:ascii="仿宋" w:hAnsi="仿宋" w:eastAsia="仿宋" w:cs="仿宋"/>
          <w:bCs/>
          <w:color w:val="auto"/>
          <w:sz w:val="24"/>
          <w:highlight w:val="none"/>
          <w:lang w:val="en-US" w:eastAsia="zh-CN"/>
        </w:rPr>
        <w:t>要对承诺履行情况负有监督责任，一经发现违反承诺情况，要及时向采购人报告。</w:t>
      </w:r>
    </w:p>
    <w:p w14:paraId="6C34D2EC">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w:t>
      </w:r>
      <w:r>
        <w:rPr>
          <w:rFonts w:hint="default" w:ascii="仿宋" w:hAnsi="仿宋" w:eastAsia="仿宋" w:cs="仿宋"/>
          <w:bCs/>
          <w:color w:val="auto"/>
          <w:sz w:val="24"/>
          <w:highlight w:val="none"/>
          <w:lang w:val="en-US" w:eastAsia="zh-CN"/>
        </w:rPr>
        <w:t>应自觉接受采购人的安全保密监督和管理，如违反安全保密条款，采购人将追究其责任，对重大的泄密事件将移交司法部门追究其法律责任；对</w:t>
      </w:r>
      <w:r>
        <w:rPr>
          <w:rFonts w:hint="eastAsia" w:ascii="仿宋" w:hAnsi="仿宋" w:eastAsia="仿宋" w:cs="仿宋"/>
          <w:bCs/>
          <w:color w:val="auto"/>
          <w:sz w:val="24"/>
          <w:highlight w:val="none"/>
          <w:lang w:val="en-US" w:eastAsia="zh-CN"/>
        </w:rPr>
        <w:t>投标人</w:t>
      </w:r>
      <w:r>
        <w:rPr>
          <w:rFonts w:hint="default" w:ascii="仿宋" w:hAnsi="仿宋" w:eastAsia="仿宋" w:cs="仿宋"/>
          <w:bCs/>
          <w:color w:val="auto"/>
          <w:sz w:val="24"/>
          <w:highlight w:val="none"/>
          <w:lang w:val="en-US" w:eastAsia="zh-CN"/>
        </w:rPr>
        <w:t>泄露项目相关资料，造成伤害的，除依据有关规定追究有关责任人员法律责任外，还将依法承担相应的民事责任。</w:t>
      </w:r>
    </w:p>
    <w:p w14:paraId="50E123A6">
      <w:pPr>
        <w:snapToGrid w:val="0"/>
        <w:spacing w:line="360" w:lineRule="auto"/>
        <w:ind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4.4与相关单位协作要求</w:t>
      </w:r>
    </w:p>
    <w:p w14:paraId="3BE23D7D">
      <w:pPr>
        <w:snapToGrid w:val="0"/>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投标人需</w:t>
      </w:r>
      <w:r>
        <w:rPr>
          <w:rFonts w:hint="default" w:ascii="仿宋" w:hAnsi="仿宋" w:eastAsia="仿宋" w:cs="仿宋"/>
          <w:bCs/>
          <w:color w:val="auto"/>
          <w:sz w:val="24"/>
          <w:highlight w:val="none"/>
          <w:lang w:val="en-US" w:eastAsia="zh-CN"/>
        </w:rPr>
        <w:t>总体统筹搬迁工作有关的产品厂商、技术团队，有效管理及协调相关人员及技术资源，与搬迁相关产品厂商和技术团队紧密合作，保障搬迁工作顺利完成</w:t>
      </w:r>
      <w:r>
        <w:rPr>
          <w:rFonts w:hint="eastAsia" w:ascii="仿宋" w:hAnsi="仿宋" w:eastAsia="仿宋" w:cs="仿宋"/>
          <w:bCs/>
          <w:color w:val="auto"/>
          <w:sz w:val="24"/>
          <w:highlight w:val="none"/>
          <w:lang w:val="en-US" w:eastAsia="zh-CN"/>
        </w:rPr>
        <w:t>。</w:t>
      </w:r>
    </w:p>
    <w:p w14:paraId="5CDD308B">
      <w:pPr>
        <w:snapToGrid w:val="0"/>
        <w:spacing w:line="360" w:lineRule="auto"/>
        <w:ind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4.5搬迁管理系统要求</w:t>
      </w:r>
    </w:p>
    <w:p w14:paraId="57CE3598">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为确保业务连续性和搬迁有序高效，要求投标人在搬迁过程中提供搬迁管理系统，用于搬迁过程管控和进度展示，功能包括：</w:t>
      </w:r>
    </w:p>
    <w:p w14:paraId="0581C4D6">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4.5.1提供搬迁流程创建， 任务描述，任务预期耗时，开始时间，执行顺序, 执行人等信息维护；</w:t>
      </w:r>
    </w:p>
    <w:p w14:paraId="099A0899">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4.5.2搬迁流程的启动, 通过人工/定时发送待办任务提醒, 自动流转搬迁任务；</w:t>
      </w:r>
    </w:p>
    <w:p w14:paraId="2DC7B658">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4.5.3搬迁结束后，自动生成报告；</w:t>
      </w:r>
    </w:p>
    <w:p w14:paraId="22B01266">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4.5.4提供扫码更新设备状态功能；</w:t>
      </w:r>
    </w:p>
    <w:p w14:paraId="6CCFDF66">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4.5.5提供手机端访问入口。</w:t>
      </w:r>
    </w:p>
    <w:p w14:paraId="53BA62C0">
      <w:pPr>
        <w:snapToGrid w:val="0"/>
        <w:spacing w:line="360" w:lineRule="auto"/>
        <w:ind w:firstLine="482" w:firstLineChars="20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4.6交付物要求</w:t>
      </w:r>
    </w:p>
    <w:p w14:paraId="6C2F1D25">
      <w:pPr>
        <w:snapToGrid w:val="0"/>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本项目需要提交的文档包含但不限于以下内容：</w:t>
      </w:r>
    </w:p>
    <w:p w14:paraId="10E87E26">
      <w:pPr>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项目管理</w:t>
      </w:r>
    </w:p>
    <w:tbl>
      <w:tblPr>
        <w:tblStyle w:val="62"/>
        <w:tblW w:w="8827" w:type="dxa"/>
        <w:tblInd w:w="-108" w:type="dxa"/>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Layout w:type="fixed"/>
        <w:tblCellMar>
          <w:top w:w="0" w:type="dxa"/>
          <w:left w:w="108" w:type="dxa"/>
          <w:bottom w:w="0" w:type="dxa"/>
          <w:right w:w="108" w:type="dxa"/>
        </w:tblCellMar>
      </w:tblPr>
      <w:tblGrid>
        <w:gridCol w:w="1906"/>
        <w:gridCol w:w="3216"/>
        <w:gridCol w:w="3705"/>
      </w:tblGrid>
      <w:tr w14:paraId="0DBA7683">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PrEx>
        <w:trPr>
          <w:trHeight w:val="408" w:hRule="exact"/>
        </w:trPr>
        <w:tc>
          <w:tcPr>
            <w:tcW w:w="1906" w:type="dxa"/>
          </w:tcPr>
          <w:p w14:paraId="00BDDD68">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阶段</w:t>
            </w:r>
          </w:p>
        </w:tc>
        <w:tc>
          <w:tcPr>
            <w:tcW w:w="3216" w:type="dxa"/>
          </w:tcPr>
          <w:p w14:paraId="3677AA33">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交付物</w:t>
            </w:r>
          </w:p>
        </w:tc>
        <w:tc>
          <w:tcPr>
            <w:tcW w:w="3705" w:type="dxa"/>
          </w:tcPr>
          <w:p w14:paraId="0D45D44C">
            <w:pPr>
              <w:widowControl/>
              <w:spacing w:line="300" w:lineRule="exact"/>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说明</w:t>
            </w:r>
          </w:p>
        </w:tc>
      </w:tr>
      <w:tr w14:paraId="4F6072C6">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906" w:type="dxa"/>
            <w:vMerge w:val="restart"/>
            <w:vAlign w:val="center"/>
          </w:tcPr>
          <w:p w14:paraId="10D15180">
            <w:pPr>
              <w:widowControl/>
              <w:spacing w:line="300" w:lineRule="exact"/>
              <w:jc w:val="center"/>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项目管理阶段</w:t>
            </w:r>
          </w:p>
        </w:tc>
        <w:tc>
          <w:tcPr>
            <w:tcW w:w="3216" w:type="dxa"/>
          </w:tcPr>
          <w:p w14:paraId="78C05143">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《搬迁总体方案》</w:t>
            </w:r>
          </w:p>
        </w:tc>
        <w:tc>
          <w:tcPr>
            <w:tcW w:w="3705" w:type="dxa"/>
          </w:tcPr>
          <w:p w14:paraId="5934991D">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编写搬迁总体方案</w:t>
            </w:r>
          </w:p>
        </w:tc>
      </w:tr>
      <w:tr w14:paraId="312D2045">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906" w:type="dxa"/>
            <w:vMerge w:val="continue"/>
          </w:tcPr>
          <w:p w14:paraId="42A64423">
            <w:pPr>
              <w:widowControl/>
              <w:spacing w:line="300" w:lineRule="exact"/>
              <w:jc w:val="left"/>
              <w:rPr>
                <w:rFonts w:hint="eastAsia" w:ascii="仿宋" w:hAnsi="仿宋" w:eastAsia="仿宋" w:cs="仿宋"/>
                <w:bCs/>
                <w:color w:val="auto"/>
                <w:kern w:val="2"/>
                <w:sz w:val="24"/>
                <w:highlight w:val="none"/>
              </w:rPr>
            </w:pPr>
          </w:p>
        </w:tc>
        <w:tc>
          <w:tcPr>
            <w:tcW w:w="3216" w:type="dxa"/>
          </w:tcPr>
          <w:p w14:paraId="198B97FF">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《搬迁整体进度计划》</w:t>
            </w:r>
          </w:p>
        </w:tc>
        <w:tc>
          <w:tcPr>
            <w:tcW w:w="3705" w:type="dxa"/>
          </w:tcPr>
          <w:p w14:paraId="0D033213">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编写总体进度计划　</w:t>
            </w:r>
          </w:p>
        </w:tc>
      </w:tr>
    </w:tbl>
    <w:p w14:paraId="1AAEB494">
      <w:pPr>
        <w:spacing w:before="120" w:beforeLines="50" w:line="580" w:lineRule="exact"/>
        <w:rPr>
          <w:rFonts w:hint="eastAsia" w:ascii="仿宋" w:hAnsi="仿宋" w:eastAsia="仿宋" w:cs="仿宋"/>
          <w:bCs/>
          <w:color w:val="auto"/>
          <w:sz w:val="24"/>
          <w:highlight w:val="none"/>
        </w:rPr>
      </w:pPr>
      <w:bookmarkStart w:id="10" w:name="_Toc444202902"/>
      <w:bookmarkStart w:id="11" w:name="_Toc446619302"/>
      <w:bookmarkStart w:id="12" w:name="_Toc448927581"/>
      <w:bookmarkStart w:id="13" w:name="_Toc446631406"/>
      <w:bookmarkStart w:id="14" w:name="_Toc446539352"/>
      <w:r>
        <w:rPr>
          <w:rFonts w:hint="eastAsia" w:ascii="仿宋" w:hAnsi="仿宋" w:eastAsia="仿宋" w:cs="仿宋"/>
          <w:bCs/>
          <w:color w:val="auto"/>
          <w:sz w:val="24"/>
          <w:highlight w:val="none"/>
        </w:rPr>
        <w:t>调研与梳理</w:t>
      </w:r>
      <w:bookmarkEnd w:id="10"/>
      <w:bookmarkEnd w:id="11"/>
      <w:bookmarkEnd w:id="12"/>
      <w:bookmarkEnd w:id="13"/>
      <w:bookmarkEnd w:id="14"/>
      <w:r>
        <w:rPr>
          <w:rFonts w:hint="eastAsia" w:ascii="仿宋" w:hAnsi="仿宋" w:eastAsia="仿宋" w:cs="仿宋"/>
          <w:bCs/>
          <w:color w:val="auto"/>
          <w:sz w:val="24"/>
          <w:highlight w:val="none"/>
        </w:rPr>
        <w:t>阶段</w:t>
      </w:r>
    </w:p>
    <w:tbl>
      <w:tblPr>
        <w:tblStyle w:val="62"/>
        <w:tblW w:w="8815" w:type="dxa"/>
        <w:tblInd w:w="-108" w:type="dxa"/>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Layout w:type="fixed"/>
        <w:tblCellMar>
          <w:top w:w="0" w:type="dxa"/>
          <w:left w:w="108" w:type="dxa"/>
          <w:bottom w:w="0" w:type="dxa"/>
          <w:right w:w="108" w:type="dxa"/>
        </w:tblCellMar>
      </w:tblPr>
      <w:tblGrid>
        <w:gridCol w:w="1872"/>
        <w:gridCol w:w="3318"/>
        <w:gridCol w:w="3625"/>
      </w:tblGrid>
      <w:tr w14:paraId="2B6B9E68">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Align w:val="center"/>
          </w:tcPr>
          <w:p w14:paraId="5B9F314F">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阶段</w:t>
            </w:r>
          </w:p>
        </w:tc>
        <w:tc>
          <w:tcPr>
            <w:tcW w:w="3318" w:type="dxa"/>
            <w:vAlign w:val="center"/>
          </w:tcPr>
          <w:p w14:paraId="3F05694D">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交付物</w:t>
            </w:r>
          </w:p>
        </w:tc>
        <w:tc>
          <w:tcPr>
            <w:tcW w:w="3625" w:type="dxa"/>
            <w:vAlign w:val="center"/>
          </w:tcPr>
          <w:p w14:paraId="2E0C906B">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说明</w:t>
            </w:r>
          </w:p>
        </w:tc>
      </w:tr>
      <w:tr w14:paraId="112CF569">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restart"/>
            <w:vAlign w:val="center"/>
          </w:tcPr>
          <w:p w14:paraId="6C224DD0">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环境调研及关联关系分析阶段</w:t>
            </w:r>
          </w:p>
        </w:tc>
        <w:tc>
          <w:tcPr>
            <w:tcW w:w="3318" w:type="dxa"/>
            <w:vAlign w:val="center"/>
          </w:tcPr>
          <w:p w14:paraId="2075A33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《搬迁设备清单》</w:t>
            </w:r>
          </w:p>
        </w:tc>
        <w:tc>
          <w:tcPr>
            <w:tcW w:w="3625" w:type="dxa"/>
            <w:vAlign w:val="center"/>
          </w:tcPr>
          <w:p w14:paraId="19AE5952">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设备统计　</w:t>
            </w:r>
          </w:p>
        </w:tc>
      </w:tr>
      <w:tr w14:paraId="11A81B7F">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continue"/>
            <w:vAlign w:val="center"/>
          </w:tcPr>
          <w:p w14:paraId="5B0A6E04">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434013CB">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《设备连线规划表》</w:t>
            </w:r>
          </w:p>
        </w:tc>
        <w:tc>
          <w:tcPr>
            <w:tcW w:w="3625" w:type="dxa"/>
            <w:vAlign w:val="center"/>
          </w:tcPr>
          <w:p w14:paraId="224CAC3F">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设备连接统计表或者图</w:t>
            </w:r>
          </w:p>
        </w:tc>
      </w:tr>
      <w:tr w14:paraId="6CF8E94A">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1311" w:hRule="exact"/>
        </w:trPr>
        <w:tc>
          <w:tcPr>
            <w:tcW w:w="1872" w:type="dxa"/>
            <w:vMerge w:val="continue"/>
            <w:vAlign w:val="center"/>
          </w:tcPr>
          <w:p w14:paraId="6458B82C">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349496DF">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《网络设备连线表》</w:t>
            </w:r>
          </w:p>
          <w:p w14:paraId="75AEFA51">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《设备端口信息统计表》</w:t>
            </w:r>
          </w:p>
          <w:p w14:paraId="38016FEE">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《IP信息统计表》</w:t>
            </w:r>
          </w:p>
          <w:p w14:paraId="5E2AC54C">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《拓扑图》</w:t>
            </w:r>
          </w:p>
        </w:tc>
        <w:tc>
          <w:tcPr>
            <w:tcW w:w="3625" w:type="dxa"/>
            <w:vAlign w:val="center"/>
          </w:tcPr>
          <w:p w14:paraId="0371A151">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设备连接统计</w:t>
            </w:r>
          </w:p>
        </w:tc>
      </w:tr>
      <w:tr w14:paraId="23B2BFE7">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continue"/>
            <w:vAlign w:val="center"/>
          </w:tcPr>
          <w:p w14:paraId="70D3941A">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19D3FD1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《设备机柜图纸》</w:t>
            </w:r>
          </w:p>
        </w:tc>
        <w:tc>
          <w:tcPr>
            <w:tcW w:w="3625" w:type="dxa"/>
            <w:vAlign w:val="center"/>
          </w:tcPr>
          <w:p w14:paraId="7D6CAE67">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新老机房上架图</w:t>
            </w:r>
          </w:p>
        </w:tc>
      </w:tr>
      <w:tr w14:paraId="4C646BB7">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continue"/>
            <w:vAlign w:val="center"/>
          </w:tcPr>
          <w:p w14:paraId="12795F26">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3B86089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w:t>
            </w:r>
            <w:r>
              <w:rPr>
                <w:rFonts w:hint="eastAsia" w:ascii="仿宋" w:hAnsi="仿宋" w:eastAsia="仿宋" w:cs="仿宋"/>
                <w:bCs/>
                <w:color w:val="auto"/>
                <w:sz w:val="24"/>
                <w:highlight w:val="none"/>
              </w:rPr>
              <w:t>搬迁设备逻辑关系清单</w:t>
            </w:r>
            <w:r>
              <w:rPr>
                <w:rFonts w:hint="eastAsia" w:ascii="仿宋" w:hAnsi="仿宋" w:eastAsia="仿宋" w:cs="仿宋"/>
                <w:bCs/>
                <w:color w:val="auto"/>
                <w:kern w:val="2"/>
                <w:sz w:val="24"/>
                <w:highlight w:val="none"/>
              </w:rPr>
              <w:t>》</w:t>
            </w:r>
          </w:p>
        </w:tc>
        <w:tc>
          <w:tcPr>
            <w:tcW w:w="3625" w:type="dxa"/>
            <w:vAlign w:val="center"/>
          </w:tcPr>
          <w:p w14:paraId="0CFC0E4B">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业务梳理，应用关联关系说明</w:t>
            </w:r>
          </w:p>
        </w:tc>
      </w:tr>
      <w:tr w14:paraId="69075E06">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continue"/>
            <w:vAlign w:val="center"/>
          </w:tcPr>
          <w:p w14:paraId="416A066E">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6AE91139">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《新办公环境检查报告》</w:t>
            </w:r>
          </w:p>
        </w:tc>
        <w:tc>
          <w:tcPr>
            <w:tcW w:w="3625" w:type="dxa"/>
            <w:vAlign w:val="center"/>
          </w:tcPr>
          <w:p w14:paraId="229E7DA4">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包括环境准备，搬迁路线</w:t>
            </w:r>
          </w:p>
        </w:tc>
      </w:tr>
      <w:tr w14:paraId="50DBEDB0">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exact"/>
        </w:trPr>
        <w:tc>
          <w:tcPr>
            <w:tcW w:w="1872" w:type="dxa"/>
            <w:vMerge w:val="continue"/>
            <w:vAlign w:val="center"/>
          </w:tcPr>
          <w:p w14:paraId="78BDCD61">
            <w:pPr>
              <w:widowControl/>
              <w:spacing w:line="300" w:lineRule="exact"/>
              <w:rPr>
                <w:rFonts w:hint="eastAsia" w:ascii="仿宋" w:hAnsi="仿宋" w:eastAsia="仿宋" w:cs="仿宋"/>
                <w:bCs/>
                <w:color w:val="auto"/>
                <w:kern w:val="2"/>
                <w:sz w:val="24"/>
                <w:highlight w:val="none"/>
              </w:rPr>
            </w:pPr>
          </w:p>
        </w:tc>
        <w:tc>
          <w:tcPr>
            <w:tcW w:w="3318" w:type="dxa"/>
            <w:vAlign w:val="center"/>
          </w:tcPr>
          <w:p w14:paraId="4682C00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《非机房设备安装位置规划》</w:t>
            </w:r>
          </w:p>
        </w:tc>
        <w:tc>
          <w:tcPr>
            <w:tcW w:w="3625" w:type="dxa"/>
            <w:vAlign w:val="center"/>
          </w:tcPr>
          <w:p w14:paraId="5DB973EB">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计划每一设备的安装位置</w:t>
            </w:r>
          </w:p>
        </w:tc>
      </w:tr>
    </w:tbl>
    <w:p w14:paraId="1BD6ADFD">
      <w:pPr>
        <w:spacing w:before="120" w:beforeLines="50" w:line="58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搬迁前准备阶段</w:t>
      </w:r>
    </w:p>
    <w:tbl>
      <w:tblPr>
        <w:tblStyle w:val="62"/>
        <w:tblW w:w="8804" w:type="dxa"/>
        <w:tblInd w:w="-108" w:type="dxa"/>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Layout w:type="fixed"/>
        <w:tblCellMar>
          <w:top w:w="0" w:type="dxa"/>
          <w:left w:w="108" w:type="dxa"/>
          <w:bottom w:w="0" w:type="dxa"/>
          <w:right w:w="108" w:type="dxa"/>
        </w:tblCellMar>
      </w:tblPr>
      <w:tblGrid>
        <w:gridCol w:w="1809"/>
        <w:gridCol w:w="3261"/>
        <w:gridCol w:w="3734"/>
      </w:tblGrid>
      <w:tr w14:paraId="7650DE29">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Align w:val="center"/>
          </w:tcPr>
          <w:p w14:paraId="0DB0A129">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阶段</w:t>
            </w:r>
          </w:p>
        </w:tc>
        <w:tc>
          <w:tcPr>
            <w:tcW w:w="3261" w:type="dxa"/>
            <w:vAlign w:val="center"/>
          </w:tcPr>
          <w:p w14:paraId="588A567A">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交付物</w:t>
            </w:r>
          </w:p>
        </w:tc>
        <w:tc>
          <w:tcPr>
            <w:tcW w:w="3734" w:type="dxa"/>
            <w:vAlign w:val="center"/>
          </w:tcPr>
          <w:p w14:paraId="56D686D1">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说明</w:t>
            </w:r>
          </w:p>
        </w:tc>
      </w:tr>
      <w:tr w14:paraId="0ADA3A1C">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restart"/>
            <w:vAlign w:val="center"/>
          </w:tcPr>
          <w:p w14:paraId="5B99286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搬迁前确认阶段</w:t>
            </w:r>
          </w:p>
        </w:tc>
        <w:tc>
          <w:tcPr>
            <w:tcW w:w="3261" w:type="dxa"/>
            <w:vAlign w:val="center"/>
          </w:tcPr>
          <w:p w14:paraId="22578CA2">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《设备机柜上架图》</w:t>
            </w:r>
          </w:p>
          <w:p w14:paraId="5C3649A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 xml:space="preserve">《标识和标签规划》                    </w:t>
            </w:r>
          </w:p>
        </w:tc>
        <w:tc>
          <w:tcPr>
            <w:tcW w:w="3734" w:type="dxa"/>
            <w:vAlign w:val="center"/>
          </w:tcPr>
          <w:p w14:paraId="63087CEB">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设备上架规划　</w:t>
            </w:r>
          </w:p>
          <w:p w14:paraId="013B61A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设备、环境、线缆标签</w:t>
            </w:r>
          </w:p>
        </w:tc>
      </w:tr>
      <w:tr w14:paraId="249A3642">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69304D03">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1F072EA8">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《培训计划》</w:t>
            </w:r>
          </w:p>
        </w:tc>
        <w:tc>
          <w:tcPr>
            <w:tcW w:w="3734" w:type="dxa"/>
            <w:vAlign w:val="center"/>
          </w:tcPr>
          <w:p w14:paraId="64CBA4D4">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每一批次的培训文档</w:t>
            </w:r>
          </w:p>
        </w:tc>
      </w:tr>
      <w:tr w14:paraId="5A04D1F0">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603C38DF">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5FCFB674">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《搬迁日责任分工计划》</w:t>
            </w:r>
          </w:p>
        </w:tc>
        <w:tc>
          <w:tcPr>
            <w:tcW w:w="3734" w:type="dxa"/>
            <w:vAlign w:val="center"/>
          </w:tcPr>
          <w:p w14:paraId="78A2B5B9">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人员与资源的计划与分工</w:t>
            </w:r>
          </w:p>
        </w:tc>
      </w:tr>
      <w:tr w14:paraId="2957F820">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1DC90C61">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591775E8">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《搬迁日进度计划》</w:t>
            </w:r>
          </w:p>
        </w:tc>
        <w:tc>
          <w:tcPr>
            <w:tcW w:w="3734" w:type="dxa"/>
            <w:vAlign w:val="center"/>
          </w:tcPr>
          <w:p w14:paraId="11161500">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搬迁当天时间计划</w:t>
            </w:r>
          </w:p>
        </w:tc>
      </w:tr>
      <w:tr w14:paraId="0A43ABCE">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24EE6D68">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64D6AED9">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《风险防范计划》</w:t>
            </w:r>
          </w:p>
        </w:tc>
        <w:tc>
          <w:tcPr>
            <w:tcW w:w="3734" w:type="dxa"/>
            <w:vAlign w:val="center"/>
          </w:tcPr>
          <w:p w14:paraId="61498F8A">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搬迁过程风险防范</w:t>
            </w:r>
          </w:p>
        </w:tc>
      </w:tr>
      <w:tr w14:paraId="5DFAF189">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6F9C0156">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652C04F1">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《包装核对表》</w:t>
            </w:r>
          </w:p>
          <w:p w14:paraId="06F32F59">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《装车核对表》</w:t>
            </w:r>
          </w:p>
          <w:p w14:paraId="055C2793">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《下架和上架对照表》</w:t>
            </w:r>
          </w:p>
          <w:p w14:paraId="2909F3E1">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《设备安装指南》</w:t>
            </w:r>
          </w:p>
          <w:p w14:paraId="02BD7FB0">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《搬迁核对表》</w:t>
            </w:r>
          </w:p>
          <w:p w14:paraId="3319CDA0">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《环境检查表》</w:t>
            </w:r>
          </w:p>
        </w:tc>
        <w:tc>
          <w:tcPr>
            <w:tcW w:w="3734" w:type="dxa"/>
            <w:vAlign w:val="center"/>
          </w:tcPr>
          <w:p w14:paraId="5C142EC4">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每一批次搬迁过程文档</w:t>
            </w:r>
          </w:p>
        </w:tc>
      </w:tr>
      <w:tr w14:paraId="1A51F44C">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809" w:type="dxa"/>
            <w:vMerge w:val="continue"/>
            <w:vAlign w:val="center"/>
          </w:tcPr>
          <w:p w14:paraId="6BA42968">
            <w:pPr>
              <w:widowControl/>
              <w:spacing w:line="300" w:lineRule="exact"/>
              <w:rPr>
                <w:rFonts w:hint="eastAsia" w:ascii="仿宋" w:hAnsi="仿宋" w:eastAsia="仿宋" w:cs="仿宋"/>
                <w:bCs/>
                <w:color w:val="auto"/>
                <w:kern w:val="2"/>
                <w:sz w:val="24"/>
                <w:highlight w:val="none"/>
              </w:rPr>
            </w:pPr>
          </w:p>
        </w:tc>
        <w:tc>
          <w:tcPr>
            <w:tcW w:w="3261" w:type="dxa"/>
            <w:vAlign w:val="center"/>
          </w:tcPr>
          <w:p w14:paraId="19E3D4FE">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《设备安装规划》</w:t>
            </w:r>
          </w:p>
        </w:tc>
        <w:tc>
          <w:tcPr>
            <w:tcW w:w="3734" w:type="dxa"/>
            <w:vAlign w:val="center"/>
          </w:tcPr>
          <w:p w14:paraId="1CCD16F8">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系统恢复实现计划</w:t>
            </w:r>
          </w:p>
        </w:tc>
      </w:tr>
    </w:tbl>
    <w:p w14:paraId="2699013B">
      <w:pPr>
        <w:spacing w:before="240" w:beforeLines="100" w:line="58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搬迁阶段</w:t>
      </w:r>
    </w:p>
    <w:tbl>
      <w:tblPr>
        <w:tblStyle w:val="62"/>
        <w:tblW w:w="8792" w:type="dxa"/>
        <w:tblInd w:w="-108" w:type="dxa"/>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Layout w:type="fixed"/>
        <w:tblCellMar>
          <w:top w:w="0" w:type="dxa"/>
          <w:left w:w="108" w:type="dxa"/>
          <w:bottom w:w="0" w:type="dxa"/>
          <w:right w:w="108" w:type="dxa"/>
        </w:tblCellMar>
      </w:tblPr>
      <w:tblGrid>
        <w:gridCol w:w="1747"/>
        <w:gridCol w:w="3295"/>
        <w:gridCol w:w="3750"/>
      </w:tblGrid>
      <w:tr w14:paraId="24944008">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240" w:hRule="atLeast"/>
        </w:trPr>
        <w:tc>
          <w:tcPr>
            <w:tcW w:w="1747" w:type="dxa"/>
            <w:vAlign w:val="center"/>
          </w:tcPr>
          <w:p w14:paraId="28BA98BC">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阶段</w:t>
            </w:r>
          </w:p>
        </w:tc>
        <w:tc>
          <w:tcPr>
            <w:tcW w:w="3295" w:type="dxa"/>
            <w:vAlign w:val="center"/>
          </w:tcPr>
          <w:p w14:paraId="694138D4">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交付物</w:t>
            </w:r>
          </w:p>
        </w:tc>
        <w:tc>
          <w:tcPr>
            <w:tcW w:w="3750" w:type="dxa"/>
            <w:vAlign w:val="center"/>
          </w:tcPr>
          <w:p w14:paraId="1ED81CFB">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说明</w:t>
            </w:r>
          </w:p>
        </w:tc>
      </w:tr>
      <w:tr w14:paraId="099522E7">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1119" w:hRule="atLeast"/>
        </w:trPr>
        <w:tc>
          <w:tcPr>
            <w:tcW w:w="1747" w:type="dxa"/>
            <w:vAlign w:val="center"/>
          </w:tcPr>
          <w:p w14:paraId="6C1B089E">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正式搬迁实施阶段</w:t>
            </w:r>
          </w:p>
        </w:tc>
        <w:tc>
          <w:tcPr>
            <w:tcW w:w="3295" w:type="dxa"/>
            <w:vAlign w:val="center"/>
          </w:tcPr>
          <w:p w14:paraId="2DF321FE">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《第X批搬迁设备设备状态确认清单》</w:t>
            </w:r>
          </w:p>
          <w:p w14:paraId="4A22C55A">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《第X批搬迁分工计划》</w:t>
            </w:r>
          </w:p>
          <w:p w14:paraId="6EB52933">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《第X批次人员签到表》</w:t>
            </w:r>
          </w:p>
          <w:p w14:paraId="34631321">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《第X批搬迁事件进度计划》</w:t>
            </w:r>
          </w:p>
          <w:p w14:paraId="07636888">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《搬迁后业务恢复检查表》</w:t>
            </w:r>
          </w:p>
        </w:tc>
        <w:tc>
          <w:tcPr>
            <w:tcW w:w="3750" w:type="dxa"/>
            <w:vAlign w:val="center"/>
          </w:tcPr>
          <w:p w14:paraId="22A7F4B3">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第X批搬迁</w:t>
            </w:r>
          </w:p>
        </w:tc>
      </w:tr>
    </w:tbl>
    <w:p w14:paraId="3F317C14">
      <w:pPr>
        <w:spacing w:before="240" w:beforeLines="100" w:line="580" w:lineRule="exac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搬迁收尾阶段</w:t>
      </w:r>
    </w:p>
    <w:tbl>
      <w:tblPr>
        <w:tblStyle w:val="62"/>
        <w:tblW w:w="8792" w:type="dxa"/>
        <w:tblInd w:w="-108" w:type="dxa"/>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Layout w:type="fixed"/>
        <w:tblCellMar>
          <w:top w:w="0" w:type="dxa"/>
          <w:left w:w="108" w:type="dxa"/>
          <w:bottom w:w="0" w:type="dxa"/>
          <w:right w:w="108" w:type="dxa"/>
        </w:tblCellMar>
      </w:tblPr>
      <w:tblGrid>
        <w:gridCol w:w="1747"/>
        <w:gridCol w:w="3088"/>
        <w:gridCol w:w="3957"/>
      </w:tblGrid>
      <w:tr w14:paraId="1ABED6B6">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Align w:val="center"/>
          </w:tcPr>
          <w:p w14:paraId="6F8FFDA9">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阶段</w:t>
            </w:r>
          </w:p>
        </w:tc>
        <w:tc>
          <w:tcPr>
            <w:tcW w:w="3088" w:type="dxa"/>
            <w:vAlign w:val="center"/>
          </w:tcPr>
          <w:p w14:paraId="2D36D10D">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交付物</w:t>
            </w:r>
          </w:p>
        </w:tc>
        <w:tc>
          <w:tcPr>
            <w:tcW w:w="3957" w:type="dxa"/>
            <w:vAlign w:val="center"/>
          </w:tcPr>
          <w:p w14:paraId="4DB91B88">
            <w:pPr>
              <w:widowControl/>
              <w:spacing w:line="300" w:lineRule="exact"/>
              <w:jc w:val="center"/>
              <w:rPr>
                <w:rFonts w:hint="eastAsia" w:ascii="仿宋" w:hAnsi="仿宋" w:eastAsia="仿宋" w:cs="仿宋"/>
                <w:b w:val="0"/>
                <w:bCs/>
                <w:color w:val="auto"/>
                <w:kern w:val="2"/>
                <w:sz w:val="24"/>
                <w:highlight w:val="none"/>
              </w:rPr>
            </w:pPr>
            <w:r>
              <w:rPr>
                <w:rFonts w:hint="eastAsia" w:ascii="仿宋" w:hAnsi="仿宋" w:eastAsia="仿宋" w:cs="仿宋"/>
                <w:b w:val="0"/>
                <w:bCs/>
                <w:color w:val="auto"/>
                <w:kern w:val="2"/>
                <w:sz w:val="24"/>
                <w:highlight w:val="none"/>
              </w:rPr>
              <w:t>说明</w:t>
            </w:r>
          </w:p>
        </w:tc>
      </w:tr>
      <w:tr w14:paraId="23EA5EB8">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Merge w:val="restart"/>
            <w:vAlign w:val="center"/>
          </w:tcPr>
          <w:p w14:paraId="6E73E828">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搬迁收尾阶段</w:t>
            </w:r>
          </w:p>
        </w:tc>
        <w:tc>
          <w:tcPr>
            <w:tcW w:w="3088" w:type="dxa"/>
            <w:vAlign w:val="center"/>
          </w:tcPr>
          <w:p w14:paraId="5BEAD5BD">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《备件更换和维护服务单》</w:t>
            </w:r>
          </w:p>
        </w:tc>
        <w:tc>
          <w:tcPr>
            <w:tcW w:w="3957" w:type="dxa"/>
            <w:vAlign w:val="center"/>
          </w:tcPr>
          <w:p w14:paraId="490EFEC6">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搬迁设备应急故障解决</w:t>
            </w:r>
          </w:p>
        </w:tc>
      </w:tr>
      <w:tr w14:paraId="56A3C11F">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Merge w:val="continue"/>
            <w:vAlign w:val="center"/>
          </w:tcPr>
          <w:p w14:paraId="586E45AA">
            <w:pPr>
              <w:widowControl/>
              <w:spacing w:line="300" w:lineRule="exact"/>
              <w:rPr>
                <w:rFonts w:hint="eastAsia" w:ascii="仿宋" w:hAnsi="仿宋" w:eastAsia="仿宋" w:cs="仿宋"/>
                <w:bCs/>
                <w:color w:val="auto"/>
                <w:kern w:val="2"/>
                <w:sz w:val="24"/>
                <w:highlight w:val="none"/>
              </w:rPr>
            </w:pPr>
          </w:p>
        </w:tc>
        <w:tc>
          <w:tcPr>
            <w:tcW w:w="3088" w:type="dxa"/>
            <w:vAlign w:val="center"/>
          </w:tcPr>
          <w:p w14:paraId="68194E32">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w:t>
            </w:r>
            <w:r>
              <w:rPr>
                <w:rFonts w:hint="eastAsia" w:ascii="仿宋" w:hAnsi="仿宋" w:eastAsia="仿宋" w:cs="仿宋"/>
                <w:bCs/>
                <w:color w:val="auto"/>
                <w:sz w:val="24"/>
                <w:highlight w:val="none"/>
              </w:rPr>
              <w:t>搬迁项目总结报告</w:t>
            </w:r>
            <w:r>
              <w:rPr>
                <w:rFonts w:hint="eastAsia" w:ascii="仿宋" w:hAnsi="仿宋" w:eastAsia="仿宋" w:cs="仿宋"/>
                <w:bCs/>
                <w:color w:val="auto"/>
                <w:kern w:val="2"/>
                <w:sz w:val="24"/>
                <w:highlight w:val="none"/>
              </w:rPr>
              <w:t>》</w:t>
            </w:r>
          </w:p>
        </w:tc>
        <w:tc>
          <w:tcPr>
            <w:tcW w:w="3957" w:type="dxa"/>
            <w:vAlign w:val="center"/>
          </w:tcPr>
          <w:p w14:paraId="2D24E0B5">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项目验收</w:t>
            </w:r>
          </w:p>
        </w:tc>
      </w:tr>
      <w:tr w14:paraId="73B913C3">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Merge w:val="continue"/>
            <w:vAlign w:val="center"/>
          </w:tcPr>
          <w:p w14:paraId="151F4D32">
            <w:pPr>
              <w:widowControl/>
              <w:spacing w:line="300" w:lineRule="exact"/>
              <w:rPr>
                <w:rFonts w:hint="eastAsia" w:ascii="仿宋" w:hAnsi="仿宋" w:eastAsia="仿宋" w:cs="仿宋"/>
                <w:bCs/>
                <w:color w:val="auto"/>
                <w:kern w:val="2"/>
                <w:sz w:val="24"/>
                <w:highlight w:val="none"/>
              </w:rPr>
            </w:pPr>
          </w:p>
        </w:tc>
        <w:tc>
          <w:tcPr>
            <w:tcW w:w="3088" w:type="dxa"/>
            <w:vAlign w:val="center"/>
          </w:tcPr>
          <w:p w14:paraId="399261FE">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《机房布局图》</w:t>
            </w:r>
          </w:p>
        </w:tc>
        <w:tc>
          <w:tcPr>
            <w:tcW w:w="3957" w:type="dxa"/>
            <w:vAlign w:val="center"/>
          </w:tcPr>
          <w:p w14:paraId="6AF9DB07">
            <w:pPr>
              <w:widowControl/>
              <w:spacing w:line="300" w:lineRule="exact"/>
              <w:rPr>
                <w:rFonts w:hint="eastAsia" w:ascii="仿宋" w:hAnsi="仿宋" w:eastAsia="仿宋" w:cs="仿宋"/>
                <w:bCs/>
                <w:color w:val="auto"/>
                <w:kern w:val="2"/>
                <w:sz w:val="24"/>
                <w:highlight w:val="none"/>
              </w:rPr>
            </w:pPr>
          </w:p>
        </w:tc>
      </w:tr>
      <w:tr w14:paraId="6225A34B">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Merge w:val="continue"/>
            <w:vAlign w:val="center"/>
          </w:tcPr>
          <w:p w14:paraId="60EDEEB5">
            <w:pPr>
              <w:widowControl/>
              <w:spacing w:line="300" w:lineRule="exact"/>
              <w:rPr>
                <w:rFonts w:hint="eastAsia" w:ascii="仿宋" w:hAnsi="仿宋" w:eastAsia="仿宋" w:cs="仿宋"/>
                <w:bCs/>
                <w:color w:val="auto"/>
                <w:kern w:val="2"/>
                <w:sz w:val="24"/>
                <w:highlight w:val="none"/>
              </w:rPr>
            </w:pPr>
          </w:p>
        </w:tc>
        <w:tc>
          <w:tcPr>
            <w:tcW w:w="3088" w:type="dxa"/>
            <w:vAlign w:val="center"/>
          </w:tcPr>
          <w:p w14:paraId="13F02A2C">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《设备基础信息更新档案》</w:t>
            </w:r>
          </w:p>
        </w:tc>
        <w:tc>
          <w:tcPr>
            <w:tcW w:w="3957" w:type="dxa"/>
            <w:vAlign w:val="center"/>
          </w:tcPr>
          <w:p w14:paraId="07556416">
            <w:pPr>
              <w:widowControl/>
              <w:spacing w:line="300" w:lineRule="exact"/>
              <w:rPr>
                <w:rFonts w:hint="eastAsia" w:ascii="仿宋" w:hAnsi="仿宋" w:eastAsia="仿宋" w:cs="仿宋"/>
                <w:bCs/>
                <w:color w:val="auto"/>
                <w:kern w:val="2"/>
                <w:sz w:val="24"/>
                <w:highlight w:val="none"/>
              </w:rPr>
            </w:pPr>
          </w:p>
        </w:tc>
      </w:tr>
      <w:tr w14:paraId="26D1C86F">
        <w:tblPrEx>
          <w:tblBorders>
            <w:top w:val="single" w:color="000000" w:sz="12" w:space="0"/>
            <w:left w:val="none" w:color="auto" w:sz="0" w:space="0"/>
            <w:bottom w:val="single" w:color="000000" w:sz="12" w:space="0"/>
            <w:right w:val="none" w:color="auto" w:sz="0" w:space="0"/>
            <w:insideH w:val="single" w:color="000000" w:sz="6" w:space="0"/>
            <w:insideV w:val="none" w:color="auto" w:sz="0" w:space="0"/>
          </w:tblBorders>
          <w:tblCellMar>
            <w:top w:w="0" w:type="dxa"/>
            <w:left w:w="108" w:type="dxa"/>
            <w:bottom w:w="0" w:type="dxa"/>
            <w:right w:w="108" w:type="dxa"/>
          </w:tblCellMar>
        </w:tblPrEx>
        <w:trPr>
          <w:trHeight w:val="408" w:hRule="atLeast"/>
        </w:trPr>
        <w:tc>
          <w:tcPr>
            <w:tcW w:w="1747" w:type="dxa"/>
            <w:vMerge w:val="continue"/>
            <w:vAlign w:val="center"/>
          </w:tcPr>
          <w:p w14:paraId="031A29F6">
            <w:pPr>
              <w:widowControl/>
              <w:spacing w:line="300" w:lineRule="exact"/>
              <w:rPr>
                <w:rFonts w:hint="eastAsia" w:ascii="仿宋" w:hAnsi="仿宋" w:eastAsia="仿宋" w:cs="仿宋"/>
                <w:bCs/>
                <w:color w:val="auto"/>
                <w:kern w:val="2"/>
                <w:sz w:val="24"/>
                <w:highlight w:val="none"/>
              </w:rPr>
            </w:pPr>
          </w:p>
        </w:tc>
        <w:tc>
          <w:tcPr>
            <w:tcW w:w="3088" w:type="dxa"/>
            <w:vAlign w:val="center"/>
          </w:tcPr>
          <w:p w14:paraId="06708ECF">
            <w:pPr>
              <w:widowControl/>
              <w:spacing w:line="300" w:lineRule="exact"/>
              <w:rPr>
                <w:rFonts w:hint="eastAsia" w:ascii="仿宋" w:hAnsi="仿宋" w:eastAsia="仿宋" w:cs="仿宋"/>
                <w:bCs/>
                <w:color w:val="auto"/>
                <w:kern w:val="2"/>
                <w:sz w:val="24"/>
                <w:highlight w:val="none"/>
              </w:rPr>
            </w:pPr>
            <w:r>
              <w:rPr>
                <w:rFonts w:hint="eastAsia" w:ascii="仿宋" w:hAnsi="仿宋" w:eastAsia="仿宋" w:cs="仿宋"/>
                <w:bCs/>
                <w:color w:val="auto"/>
                <w:kern w:val="2"/>
                <w:sz w:val="24"/>
                <w:highlight w:val="none"/>
              </w:rPr>
              <w:t>《设备连接信息更新档案》</w:t>
            </w:r>
          </w:p>
        </w:tc>
        <w:tc>
          <w:tcPr>
            <w:tcW w:w="3957" w:type="dxa"/>
            <w:vAlign w:val="center"/>
          </w:tcPr>
          <w:p w14:paraId="126CE16B">
            <w:pPr>
              <w:widowControl/>
              <w:spacing w:line="300" w:lineRule="exact"/>
              <w:rPr>
                <w:rFonts w:hint="eastAsia" w:ascii="仿宋" w:hAnsi="仿宋" w:eastAsia="仿宋" w:cs="仿宋"/>
                <w:bCs/>
                <w:color w:val="auto"/>
                <w:kern w:val="2"/>
                <w:sz w:val="24"/>
                <w:highlight w:val="none"/>
              </w:rPr>
            </w:pPr>
          </w:p>
        </w:tc>
      </w:tr>
    </w:tbl>
    <w:p w14:paraId="0FA194F8">
      <w:pPr>
        <w:spacing w:line="360" w:lineRule="auto"/>
        <w:ind w:firstLine="480" w:firstLineChars="200"/>
        <w:contextualSpacing/>
        <w:rPr>
          <w:rFonts w:hint="eastAsia" w:ascii="仿宋" w:hAnsi="仿宋" w:eastAsia="仿宋" w:cs="仿宋"/>
          <w:bCs/>
          <w:color w:val="auto"/>
          <w:sz w:val="24"/>
          <w:highlight w:val="none"/>
        </w:rPr>
      </w:pPr>
    </w:p>
    <w:p w14:paraId="1E85F3F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403A77D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olor w:val="auto"/>
          <w:sz w:val="24"/>
          <w:highlight w:val="none"/>
        </w:rPr>
        <w:t>无。</w:t>
      </w:r>
    </w:p>
    <w:p w14:paraId="1C145CF0">
      <w:pPr>
        <w:pStyle w:val="5"/>
        <w:spacing w:line="360" w:lineRule="auto"/>
        <w:contextualSpacing/>
        <w:rPr>
          <w:rFonts w:ascii="仿宋" w:hAnsi="仿宋" w:eastAsia="仿宋"/>
          <w:color w:val="auto"/>
          <w:highlight w:val="none"/>
        </w:rPr>
      </w:pPr>
    </w:p>
    <w:p w14:paraId="3B2C0957">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3B84DAEB">
      <w:pPr>
        <w:pStyle w:val="5"/>
        <w:spacing w:line="360" w:lineRule="auto"/>
        <w:contextualSpacing/>
        <w:rPr>
          <w:rFonts w:ascii="仿宋" w:hAnsi="仿宋" w:eastAsia="仿宋" w:cs="仿宋"/>
          <w:bCs/>
          <w:color w:val="auto"/>
          <w:highlight w:val="none"/>
        </w:rPr>
      </w:pPr>
      <w:r>
        <w:rPr>
          <w:rFonts w:hint="eastAsia" w:ascii="仿宋" w:hAnsi="仿宋" w:eastAsia="仿宋" w:cs="仿宋"/>
          <w:bCs/>
          <w:color w:val="auto"/>
          <w:highlight w:val="none"/>
        </w:rPr>
        <w:t>本项目验收以项目</w:t>
      </w:r>
      <w:r>
        <w:rPr>
          <w:rFonts w:hint="eastAsia" w:ascii="仿宋" w:hAnsi="仿宋" w:eastAsia="仿宋" w:cs="仿宋"/>
          <w:bCs/>
          <w:color w:val="auto"/>
          <w:highlight w:val="none"/>
          <w:lang w:val="en-US" w:eastAsia="zh-CN"/>
        </w:rPr>
        <w:t>招标文件</w:t>
      </w:r>
      <w:r>
        <w:rPr>
          <w:rFonts w:hint="eastAsia" w:ascii="仿宋" w:hAnsi="仿宋" w:eastAsia="仿宋" w:cs="仿宋"/>
          <w:bCs/>
          <w:color w:val="auto"/>
          <w:highlight w:val="none"/>
        </w:rPr>
        <w:t>、响应文件、合同书、相关标准和政策法规等作为项目的验收依据，采购人组织进行验收评审。</w:t>
      </w:r>
    </w:p>
    <w:p w14:paraId="5432BD27">
      <w:pPr>
        <w:numPr>
          <w:ilvl w:val="255"/>
          <w:numId w:val="0"/>
        </w:numPr>
        <w:spacing w:line="360" w:lineRule="auto"/>
        <w:ind w:firstLine="482" w:firstLineChars="200"/>
        <w:contextualSpacing/>
        <w:rPr>
          <w:rFonts w:ascii="仿宋" w:hAnsi="仿宋" w:eastAsia="仿宋" w:cs="仿宋"/>
          <w:b/>
          <w:bCs/>
          <w:color w:val="auto"/>
          <w:sz w:val="24"/>
          <w:highlight w:val="none"/>
        </w:rPr>
      </w:pPr>
    </w:p>
    <w:p w14:paraId="338BEC98">
      <w:pPr>
        <w:numPr>
          <w:ilvl w:val="255"/>
          <w:numId w:val="0"/>
        </w:num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40755938">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1、搬迁方案要求</w:t>
      </w:r>
    </w:p>
    <w:p w14:paraId="296B7EA4">
      <w:pPr>
        <w:numPr>
          <w:ilvl w:val="255"/>
          <w:numId w:val="0"/>
        </w:numPr>
        <w:spacing w:line="360" w:lineRule="auto"/>
        <w:ind w:firstLine="480" w:firstLineChars="200"/>
        <w:contextualSpacing/>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应针对本次搬迁项目提供完整的技术方案，包括但不限于物理迁移方案、逻辑迁移方案、IPv6/IPv4双栈运行方案、设备运输包装方案、设备租赁方案、数据保护方案、风险管理及应急方案、迁移管理系统等。方案应充分结合现有网络架构与业务连续性要求，确保搬迁过程安全可控、业务中断时间满足要求。</w:t>
      </w:r>
    </w:p>
    <w:p w14:paraId="7042C501">
      <w:pPr>
        <w:numPr>
          <w:ilvl w:val="255"/>
          <w:numId w:val="0"/>
        </w:numPr>
        <w:spacing w:line="360" w:lineRule="auto"/>
        <w:ind w:firstLine="480" w:firstLineChars="200"/>
        <w:contextualSpacing/>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2、项目管理方案要求</w:t>
      </w:r>
    </w:p>
    <w:p w14:paraId="1B0DBAA4">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投标人应制定完善的项目管理体系，明确组织架构、人员职责及沟通机制，确保搬迁全过程规范有序、高效可控。方案包括但不限于项目计划、里程碑、项目组织、项目质量管理方案、 项目管理的方法论、项目整体管理服务方案。</w:t>
      </w:r>
    </w:p>
    <w:p w14:paraId="5040C379">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3、进度计划要求</w:t>
      </w:r>
    </w:p>
    <w:p w14:paraId="5C67B348">
      <w:pPr>
        <w:numPr>
          <w:ilvl w:val="255"/>
          <w:numId w:val="0"/>
        </w:numPr>
        <w:spacing w:line="360" w:lineRule="auto"/>
        <w:ind w:firstLine="480" w:firstLineChars="200"/>
        <w:contextualSpacing/>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投标人应根据工期，提出详细的实施计划。须对建设工期做实质性响应，科学划分实施过程，说明各个阶段的任务、工作过程和方法，并应详细描述里程碑事件。</w:t>
      </w:r>
    </w:p>
    <w:p w14:paraId="49D5759E">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4、质量保证要求</w:t>
      </w:r>
    </w:p>
    <w:p w14:paraId="5E42FAC2">
      <w:pPr>
        <w:numPr>
          <w:ilvl w:val="255"/>
          <w:numId w:val="0"/>
        </w:numPr>
        <w:spacing w:line="360" w:lineRule="auto"/>
        <w:ind w:firstLine="480" w:firstLineChars="200"/>
        <w:contextualSpacing/>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投标人应根据项目需求、范围，提供质量保证体系，制定实施过程中的质量控制措施，并明确各环节质量控制内容和目标，保证各阶段工作满足采购人对质量的要求。</w:t>
      </w:r>
      <w:r>
        <w:rPr>
          <w:rFonts w:hint="default" w:ascii="仿宋" w:hAnsi="仿宋" w:eastAsia="仿宋" w:cs="仿宋"/>
          <w:bCs/>
          <w:color w:val="auto"/>
          <w:sz w:val="24"/>
          <w:highlight w:val="none"/>
        </w:rPr>
        <w:t>完成机房搬迁</w:t>
      </w:r>
      <w:r>
        <w:rPr>
          <w:rFonts w:hint="eastAsia" w:ascii="仿宋" w:hAnsi="仿宋" w:eastAsia="仿宋" w:cs="仿宋"/>
          <w:bCs/>
          <w:color w:val="auto"/>
          <w:sz w:val="24"/>
          <w:highlight w:val="none"/>
          <w:lang w:val="en-US" w:eastAsia="zh-CN"/>
        </w:rPr>
        <w:t>验收</w:t>
      </w:r>
      <w:r>
        <w:rPr>
          <w:rFonts w:hint="default" w:ascii="仿宋" w:hAnsi="仿宋" w:eastAsia="仿宋" w:cs="仿宋"/>
          <w:bCs/>
          <w:color w:val="auto"/>
          <w:sz w:val="24"/>
          <w:highlight w:val="none"/>
        </w:rPr>
        <w:t>后</w:t>
      </w:r>
      <w:r>
        <w:rPr>
          <w:rFonts w:hint="eastAsia" w:ascii="仿宋" w:hAnsi="仿宋" w:eastAsia="仿宋" w:cs="仿宋"/>
          <w:bCs/>
          <w:color w:val="auto"/>
          <w:sz w:val="24"/>
          <w:highlight w:val="none"/>
          <w:lang w:eastAsia="zh-CN"/>
        </w:rPr>
        <w:t>投标人</w:t>
      </w:r>
      <w:r>
        <w:rPr>
          <w:rFonts w:hint="default" w:ascii="仿宋" w:hAnsi="仿宋" w:eastAsia="仿宋" w:cs="仿宋"/>
          <w:bCs/>
          <w:color w:val="auto"/>
          <w:sz w:val="24"/>
          <w:highlight w:val="none"/>
        </w:rPr>
        <w:t>需根据搬迁</w:t>
      </w:r>
      <w:r>
        <w:rPr>
          <w:rFonts w:hint="default" w:ascii="仿宋" w:hAnsi="仿宋" w:eastAsia="仿宋" w:cs="仿宋"/>
          <w:bCs/>
          <w:color w:val="auto"/>
          <w:sz w:val="24"/>
          <w:highlight w:val="none"/>
          <w:lang w:val="en-US" w:eastAsia="zh-CN"/>
        </w:rPr>
        <w:t>情况</w:t>
      </w:r>
      <w:r>
        <w:rPr>
          <w:rFonts w:hint="default" w:ascii="仿宋" w:hAnsi="仿宋" w:eastAsia="仿宋" w:cs="仿宋"/>
          <w:bCs/>
          <w:color w:val="auto"/>
          <w:sz w:val="24"/>
          <w:highlight w:val="none"/>
        </w:rPr>
        <w:t>配备足够的专业技术人员提供</w:t>
      </w:r>
      <w:r>
        <w:rPr>
          <w:rFonts w:hint="default" w:ascii="仿宋" w:hAnsi="仿宋" w:eastAsia="仿宋" w:cs="仿宋"/>
          <w:bCs/>
          <w:color w:val="auto"/>
          <w:sz w:val="24"/>
          <w:highlight w:val="none"/>
          <w:lang w:val="en-US" w:eastAsia="zh-CN"/>
        </w:rPr>
        <w:t>15天5*8</w:t>
      </w:r>
      <w:r>
        <w:rPr>
          <w:rFonts w:hint="default" w:ascii="仿宋" w:hAnsi="仿宋" w:eastAsia="仿宋" w:cs="仿宋"/>
          <w:bCs/>
          <w:color w:val="auto"/>
          <w:sz w:val="24"/>
          <w:highlight w:val="none"/>
        </w:rPr>
        <w:t>现场保障和值守，处置</w:t>
      </w:r>
      <w:r>
        <w:rPr>
          <w:rFonts w:hint="eastAsia" w:ascii="仿宋" w:hAnsi="仿宋" w:eastAsia="仿宋" w:cs="仿宋"/>
          <w:bCs/>
          <w:color w:val="auto"/>
          <w:sz w:val="24"/>
          <w:highlight w:val="none"/>
          <w:lang w:eastAsia="zh-CN"/>
        </w:rPr>
        <w:t>新址主机房</w:t>
      </w:r>
      <w:r>
        <w:rPr>
          <w:rFonts w:hint="default" w:ascii="仿宋" w:hAnsi="仿宋" w:eastAsia="仿宋" w:cs="仿宋"/>
          <w:bCs/>
          <w:color w:val="auto"/>
          <w:sz w:val="24"/>
          <w:highlight w:val="none"/>
          <w:lang w:val="en-US" w:eastAsia="zh-CN"/>
        </w:rPr>
        <w:t>对接后</w:t>
      </w:r>
      <w:r>
        <w:rPr>
          <w:rFonts w:hint="default" w:ascii="仿宋" w:hAnsi="仿宋" w:eastAsia="仿宋" w:cs="仿宋"/>
          <w:bCs/>
          <w:color w:val="auto"/>
          <w:sz w:val="24"/>
          <w:highlight w:val="none"/>
        </w:rPr>
        <w:t>运行</w:t>
      </w:r>
      <w:r>
        <w:rPr>
          <w:rFonts w:hint="default" w:ascii="仿宋" w:hAnsi="仿宋" w:eastAsia="仿宋" w:cs="仿宋"/>
          <w:bCs/>
          <w:color w:val="auto"/>
          <w:sz w:val="24"/>
          <w:highlight w:val="none"/>
          <w:lang w:val="en-US" w:eastAsia="zh-CN"/>
        </w:rPr>
        <w:t>的</w:t>
      </w:r>
      <w:r>
        <w:rPr>
          <w:rFonts w:hint="default" w:ascii="仿宋" w:hAnsi="仿宋" w:eastAsia="仿宋" w:cs="仿宋"/>
          <w:bCs/>
          <w:color w:val="auto"/>
          <w:sz w:val="24"/>
          <w:highlight w:val="none"/>
        </w:rPr>
        <w:t>技术问题，人员包括：服务器、网络设备、存储设备、虚拟化及</w:t>
      </w:r>
      <w:r>
        <w:rPr>
          <w:rFonts w:hint="default" w:ascii="仿宋" w:hAnsi="仿宋" w:eastAsia="仿宋" w:cs="仿宋"/>
          <w:bCs/>
          <w:color w:val="auto"/>
          <w:sz w:val="24"/>
          <w:highlight w:val="none"/>
          <w:lang w:val="en-US" w:eastAsia="zh-CN"/>
        </w:rPr>
        <w:t>UPS不间断电源</w:t>
      </w:r>
      <w:r>
        <w:rPr>
          <w:rFonts w:hint="default" w:ascii="仿宋" w:hAnsi="仿宋" w:eastAsia="仿宋" w:cs="仿宋"/>
          <w:bCs/>
          <w:color w:val="auto"/>
          <w:sz w:val="24"/>
          <w:highlight w:val="none"/>
        </w:rPr>
        <w:t>等方面的技术工程师。</w:t>
      </w:r>
    </w:p>
    <w:p w14:paraId="5B490518">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5、风险控制要求</w:t>
      </w:r>
    </w:p>
    <w:p w14:paraId="76BF131D">
      <w:pPr>
        <w:numPr>
          <w:ilvl w:val="255"/>
          <w:numId w:val="0"/>
        </w:numPr>
        <w:spacing w:line="360" w:lineRule="auto"/>
        <w:ind w:firstLine="480" w:firstLineChars="200"/>
        <w:contextualSpacing/>
        <w:rPr>
          <w:rFonts w:hint="default" w:ascii="仿宋" w:hAnsi="仿宋" w:eastAsia="仿宋" w:cs="仿宋"/>
          <w:bCs/>
          <w:color w:val="auto"/>
          <w:sz w:val="24"/>
          <w:highlight w:val="none"/>
          <w:lang w:val="en-US" w:eastAsia="zh-CN"/>
        </w:rPr>
      </w:pPr>
      <w:r>
        <w:rPr>
          <w:rFonts w:hint="default" w:ascii="仿宋" w:hAnsi="仿宋" w:eastAsia="仿宋" w:cs="仿宋"/>
          <w:bCs/>
          <w:color w:val="auto"/>
          <w:sz w:val="24"/>
          <w:highlight w:val="none"/>
          <w:lang w:val="en-US" w:eastAsia="zh-CN"/>
        </w:rPr>
        <w:t>投标人需根据项目的特点，</w:t>
      </w:r>
      <w:r>
        <w:rPr>
          <w:rFonts w:hint="eastAsia" w:ascii="仿宋" w:hAnsi="仿宋" w:eastAsia="仿宋" w:cs="仿宋"/>
          <w:bCs/>
          <w:color w:val="auto"/>
          <w:sz w:val="24"/>
          <w:highlight w:val="none"/>
          <w:lang w:val="en-US" w:eastAsia="zh-CN"/>
        </w:rPr>
        <w:t>分析</w:t>
      </w:r>
      <w:r>
        <w:rPr>
          <w:rFonts w:hint="default" w:ascii="仿宋" w:hAnsi="仿宋" w:eastAsia="仿宋" w:cs="仿宋"/>
          <w:bCs/>
          <w:color w:val="auto"/>
          <w:sz w:val="24"/>
          <w:highlight w:val="none"/>
          <w:lang w:val="en-US" w:eastAsia="zh-CN"/>
        </w:rPr>
        <w:t>搬迁项目的重难点</w:t>
      </w:r>
      <w:r>
        <w:rPr>
          <w:rFonts w:hint="eastAsia" w:ascii="仿宋" w:hAnsi="仿宋" w:eastAsia="仿宋" w:cs="仿宋"/>
          <w:bCs/>
          <w:color w:val="auto"/>
          <w:sz w:val="24"/>
          <w:highlight w:val="none"/>
          <w:lang w:val="en-US" w:eastAsia="zh-CN"/>
        </w:rPr>
        <w:t>，</w:t>
      </w:r>
      <w:r>
        <w:rPr>
          <w:rFonts w:hint="default" w:ascii="仿宋" w:hAnsi="仿宋" w:eastAsia="仿宋" w:cs="仿宋"/>
          <w:bCs/>
          <w:color w:val="auto"/>
          <w:sz w:val="24"/>
          <w:highlight w:val="none"/>
          <w:lang w:val="en-US" w:eastAsia="zh-CN"/>
        </w:rPr>
        <w:t>找出项目的风险范围，</w:t>
      </w:r>
      <w:r>
        <w:rPr>
          <w:rFonts w:hint="eastAsia" w:ascii="仿宋" w:hAnsi="仿宋" w:eastAsia="仿宋" w:cs="仿宋"/>
          <w:bCs/>
          <w:color w:val="auto"/>
          <w:sz w:val="24"/>
          <w:highlight w:val="none"/>
          <w:lang w:val="en-US" w:eastAsia="zh-CN"/>
        </w:rPr>
        <w:t>并制定</w:t>
      </w:r>
      <w:r>
        <w:rPr>
          <w:rFonts w:hint="default" w:ascii="仿宋" w:hAnsi="仿宋" w:eastAsia="仿宋" w:cs="仿宋"/>
          <w:bCs/>
          <w:color w:val="auto"/>
          <w:sz w:val="24"/>
          <w:highlight w:val="none"/>
          <w:lang w:val="en-US" w:eastAsia="zh-CN"/>
        </w:rPr>
        <w:t>风险规避对策</w:t>
      </w:r>
      <w:r>
        <w:rPr>
          <w:rFonts w:hint="eastAsia" w:ascii="仿宋" w:hAnsi="仿宋" w:eastAsia="仿宋" w:cs="仿宋"/>
          <w:bCs/>
          <w:color w:val="auto"/>
          <w:sz w:val="24"/>
          <w:highlight w:val="none"/>
          <w:lang w:val="en-US" w:eastAsia="zh-CN"/>
        </w:rPr>
        <w:t>，应全面涵盖可能的风险点，对策具有实际价值、容易落地</w:t>
      </w:r>
      <w:r>
        <w:rPr>
          <w:rFonts w:hint="default" w:ascii="仿宋" w:hAnsi="仿宋" w:eastAsia="仿宋" w:cs="仿宋"/>
          <w:bCs/>
          <w:color w:val="auto"/>
          <w:sz w:val="24"/>
          <w:highlight w:val="none"/>
          <w:lang w:val="en-US" w:eastAsia="zh-CN"/>
        </w:rPr>
        <w:t>。</w:t>
      </w:r>
    </w:p>
    <w:p w14:paraId="0D107D5F">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6、物流保障要求</w:t>
      </w:r>
    </w:p>
    <w:p w14:paraId="5D9A5FD2">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考虑到货物物流运输过程中可能发生的损耗，投标人应制定完善的物流保障方案，明确运输包装、防震措施及应急预案，并明确保险或赔偿机制，确保在运输途中因不可抗力或意外事故造成的设备损坏能得到及时、妥善的赔偿与修复。投标人应通过搬迁管理系统提供全程物流跟踪服务，确保招标人实时可查设备运输状态。</w:t>
      </w:r>
    </w:p>
    <w:p w14:paraId="7CBED917">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7、设备租赁要求</w:t>
      </w:r>
    </w:p>
    <w:p w14:paraId="6ABEF688">
      <w:pPr>
        <w:numPr>
          <w:ilvl w:val="255"/>
          <w:numId w:val="0"/>
        </w:numPr>
        <w:spacing w:line="360" w:lineRule="auto"/>
        <w:ind w:firstLine="480" w:firstLineChars="200"/>
        <w:contextualSpacing/>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网站系统需要通过租赁设备的方式在新址搭建不低于原有硬件配置的基础架构平台以进行逻辑迁移和回切。</w:t>
      </w:r>
    </w:p>
    <w:p w14:paraId="78868693">
      <w:bookmarkStart w:id="15" w:name="_GoBack"/>
      <w:bookmarkEnd w:id="15"/>
    </w:p>
    <w:sectPr>
      <w:footerReference r:id="rId3" w:type="default"/>
      <w:foot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Helvetica Neue">
    <w:altName w:val="Times New Roman"/>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font-weight : 400">
    <w:altName w:val="Noto Serif SC"/>
    <w:panose1 w:val="00000000000000000000"/>
    <w:charset w:val="00"/>
    <w:family w:val="auto"/>
    <w:pitch w:val="default"/>
    <w:sig w:usb0="00000000" w:usb1="00000000" w:usb2="00000000" w:usb3="00000000" w:csb0="00040001" w:csb1="00000000"/>
  </w:font>
  <w:font w:name="Noto Serif CJK JP">
    <w:altName w:val="FFont-Family"/>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바탕">
    <w:altName w:val="FFont-Family"/>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Segoe Print"/>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00" w:csb1="00000000"/>
  </w:font>
  <w:font w:name="黑体g">
    <w:altName w:val="黑体"/>
    <w:panose1 w:val="00000000000000000000"/>
    <w:charset w:val="00"/>
    <w:family w:val="auto"/>
    <w:pitch w:val="default"/>
    <w:sig w:usb0="00000000" w:usb1="00000000" w:usb2="00000000" w:usb3="00000000" w:csb0="0000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B23A">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72813576">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30</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7216;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72813576">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30</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653A2505">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6192;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653A2505">
                    <w:pPr>
                      <w:spacing w:line="280" w:lineRule="exact"/>
                      <w:ind w:left="20"/>
                      <w:jc w:val="left"/>
                      <w:rPr>
                        <w:rFonts w:ascii="宋体"/>
                        <w:sz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A8FB7">
    <w:pPr>
      <w:pStyle w:val="26"/>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887730</wp:posOffset>
              </wp:positionH>
              <wp:positionV relativeFrom="page">
                <wp:posOffset>10193655</wp:posOffset>
              </wp:positionV>
              <wp:extent cx="484505" cy="152400"/>
              <wp:effectExtent l="0" t="0" r="10795" b="0"/>
              <wp:wrapNone/>
              <wp:docPr id="6" name="文本框 6"/>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534DA2E2">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69.9pt;margin-top:802.65pt;height:12pt;width:38.15pt;mso-position-horizontal-relative:page;mso-position-vertical-relative:page;z-index:-251655168;mso-width-relative:page;mso-height-relative:page;" filled="f" stroked="f" coordsize="21600,21600" o:gfxdata="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4MxnTaAAAADQEAAA8AAAAAAAAAAQAgAAAAIgAAAGRycy9kb3ducmV2LnhtbFBL&#10;AQIUABQAAAAIAIdO4kDnum9muwEAAHEDAAAOAAAAAAAAAAEAIAAAACkBAABkcnMvZTJvRG9jLnht&#10;bFBLBQYAAAAABgAGAFkBAABWBQAAAAA=&#10;">
              <v:fill on="f" focussize="0,0"/>
              <v:stroke on="f"/>
              <v:imagedata o:title=""/>
              <o:lock v:ext="edit" aspectratio="f"/>
              <v:textbox inset="0mm,0mm,0mm,0mm">
                <w:txbxContent>
                  <w:p w14:paraId="534DA2E2">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1">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2">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6">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1">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5">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6">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3">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4">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5">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6">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0">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1">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7">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39">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0">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1">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5">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6">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7">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8">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9">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1">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5">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6">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8">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9">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1">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0"/>
  </w:num>
  <w:num w:numId="2">
    <w:abstractNumId w:val="0"/>
  </w:num>
  <w:num w:numId="3">
    <w:abstractNumId w:val="25"/>
  </w:num>
  <w:num w:numId="4">
    <w:abstractNumId w:val="26"/>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8"/>
  </w:num>
  <w:num w:numId="11">
    <w:abstractNumId w:val="3"/>
  </w:num>
  <w:num w:numId="12">
    <w:abstractNumId w:val="8"/>
  </w:num>
  <w:num w:numId="13">
    <w:abstractNumId w:val="4"/>
  </w:num>
  <w:num w:numId="14">
    <w:abstractNumId w:val="10"/>
  </w:num>
  <w:num w:numId="15">
    <w:abstractNumId w:val="29"/>
  </w:num>
  <w:num w:numId="16">
    <w:abstractNumId w:val="14"/>
  </w:num>
  <w:num w:numId="17">
    <w:abstractNumId w:val="19"/>
  </w:num>
  <w:num w:numId="18">
    <w:abstractNumId w:val="9"/>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7"/>
  </w:num>
  <w:num w:numId="28">
    <w:abstractNumId w:val="30"/>
  </w:num>
  <w:num w:numId="29">
    <w:abstractNumId w:val="1"/>
  </w:num>
  <w:num w:numId="30">
    <w:abstractNumId w:val="6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2"/>
  </w:num>
  <w:num w:numId="3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6"/>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46"/>
  </w:num>
  <w:num w:numId="47">
    <w:abstractNumId w:val="15"/>
  </w:num>
  <w:num w:numId="48">
    <w:abstractNumId w:val="56"/>
  </w:num>
  <w:num w:numId="49">
    <w:abstractNumId w:val="33"/>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4"/>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E5D4F"/>
    <w:rsid w:val="000F4D44"/>
    <w:rsid w:val="00103186"/>
    <w:rsid w:val="00223806"/>
    <w:rsid w:val="002C5EC4"/>
    <w:rsid w:val="003574A8"/>
    <w:rsid w:val="00373729"/>
    <w:rsid w:val="003D3221"/>
    <w:rsid w:val="003E3476"/>
    <w:rsid w:val="00467D74"/>
    <w:rsid w:val="004E55A3"/>
    <w:rsid w:val="004F644E"/>
    <w:rsid w:val="00504DC9"/>
    <w:rsid w:val="00515BAC"/>
    <w:rsid w:val="00526B34"/>
    <w:rsid w:val="00627FB1"/>
    <w:rsid w:val="00642188"/>
    <w:rsid w:val="00660C12"/>
    <w:rsid w:val="006F7B9A"/>
    <w:rsid w:val="00741CE8"/>
    <w:rsid w:val="007A21C4"/>
    <w:rsid w:val="00811362"/>
    <w:rsid w:val="009D0FEA"/>
    <w:rsid w:val="00A8355F"/>
    <w:rsid w:val="00B160AD"/>
    <w:rsid w:val="00BE2292"/>
    <w:rsid w:val="00BE493A"/>
    <w:rsid w:val="00D8520B"/>
    <w:rsid w:val="00DF5ADA"/>
    <w:rsid w:val="00EF5F40"/>
    <w:rsid w:val="00F3391C"/>
    <w:rsid w:val="00F92E61"/>
    <w:rsid w:val="426E1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4">
    <w:name w:val="heading 2"/>
    <w:basedOn w:val="1"/>
    <w:next w:val="5"/>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5"/>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uiPriority w:val="1"/>
  </w:style>
  <w:style w:type="table" w:default="1" w:styleId="62">
    <w:name w:val="Normal Table"/>
    <w:semiHidden/>
    <w:unhideWhenUsed/>
    <w:uiPriority w:val="99"/>
    <w:tblPr>
      <w:tblCellMar>
        <w:top w:w="0" w:type="dxa"/>
        <w:left w:w="108" w:type="dxa"/>
        <w:bottom w:w="0" w:type="dxa"/>
        <w:right w:w="108" w:type="dxa"/>
      </w:tblCellMar>
    </w:tblPr>
  </w:style>
  <w:style w:type="paragraph" w:styleId="2">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109"/>
    <w:qFormat/>
    <w:uiPriority w:val="99"/>
    <w:pPr>
      <w:autoSpaceDE w:val="0"/>
      <w:autoSpaceDN w:val="0"/>
      <w:adjustRightInd w:val="0"/>
      <w:ind w:firstLine="420"/>
      <w:jc w:val="left"/>
    </w:pPr>
    <w:rPr>
      <w:rFonts w:ascii="宋体" w:hAnsi="Calibri"/>
      <w:sz w:val="24"/>
      <w:szCs w:val="24"/>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99"/>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3"/>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5"/>
    <w:qFormat/>
    <w:uiPriority w:val="0"/>
    <w:rPr>
      <w:rFonts w:ascii="宋体" w:hAnsi="Calibri" w:eastAsia="宋体" w:cs="Times New Roman"/>
      <w:sz w:val="24"/>
      <w:szCs w:val="24"/>
    </w:rPr>
  </w:style>
  <w:style w:type="character" w:customStyle="1" w:styleId="110">
    <w:name w:val="标题 2 Char1"/>
    <w:link w:val="4"/>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5"/>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5"/>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3"/>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4"/>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3"/>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3"/>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4"/>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3"/>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qFormat/>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2"/>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4"/>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5"/>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864"/>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3"/>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4"/>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5"/>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4"/>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3"/>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4"/>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3"/>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21392</Words>
  <Characters>22086</Characters>
  <Lines>159</Lines>
  <Paragraphs>45</Paragraphs>
  <TotalTime>0</TotalTime>
  <ScaleCrop>false</ScaleCrop>
  <LinksUpToDate>false</LinksUpToDate>
  <CharactersWithSpaces>22101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2026-10-20T07:59:20Z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E2F1C60F886B4EA291130F3ED1B2519B_12</vt:lpwstr>
  </property>
</Properties>
</file>