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C6C73">
      <w:pPr>
        <w:spacing w:line="360" w:lineRule="auto"/>
        <w:jc w:val="center"/>
        <w:outlineLvl w:val="0"/>
        <w:rPr>
          <w:b/>
          <w:sz w:val="36"/>
          <w:szCs w:val="36"/>
          <w:highlight w:val="none"/>
        </w:rPr>
      </w:pPr>
      <w:r>
        <w:rPr>
          <w:b/>
          <w:sz w:val="36"/>
          <w:szCs w:val="36"/>
          <w:highlight w:val="none"/>
        </w:rPr>
        <w:t>采购需求</w:t>
      </w:r>
    </w:p>
    <w:p w14:paraId="344D0104">
      <w:pPr>
        <w:adjustRightInd w:val="0"/>
        <w:spacing w:line="540" w:lineRule="exact"/>
        <w:jc w:val="left"/>
        <w:textAlignment w:val="baseline"/>
        <w:rPr>
          <w:rFonts w:ascii="宋体" w:hAnsi="宋体" w:cs="宋体"/>
          <w:b/>
          <w:sz w:val="24"/>
          <w:highlight w:val="none"/>
        </w:rPr>
      </w:pPr>
      <w:r>
        <w:rPr>
          <w:rFonts w:hint="eastAsia" w:ascii="宋体" w:hAnsi="宋体" w:cs="宋体"/>
          <w:b/>
          <w:sz w:val="24"/>
          <w:highlight w:val="none"/>
        </w:rPr>
        <w:t>一、采购标的</w:t>
      </w:r>
    </w:p>
    <w:p w14:paraId="7BBE116C">
      <w:pPr>
        <w:adjustRightInd w:val="0"/>
        <w:spacing w:line="540" w:lineRule="exact"/>
        <w:jc w:val="left"/>
        <w:textAlignment w:val="baseline"/>
        <w:rPr>
          <w:rFonts w:ascii="宋体" w:hAnsi="宋体" w:cs="宋体"/>
          <w:b/>
          <w:sz w:val="24"/>
          <w:highlight w:val="none"/>
        </w:rPr>
      </w:pPr>
      <w:r>
        <w:rPr>
          <w:rFonts w:hint="eastAsia" w:ascii="宋体" w:hAnsi="宋体" w:cs="宋体"/>
          <w:b/>
          <w:sz w:val="24"/>
          <w:highlight w:val="none"/>
        </w:rPr>
        <w:t>1.采购标的</w:t>
      </w:r>
    </w:p>
    <w:tbl>
      <w:tblPr>
        <w:tblStyle w:val="8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3769"/>
        <w:gridCol w:w="1256"/>
        <w:gridCol w:w="1256"/>
        <w:gridCol w:w="1826"/>
      </w:tblGrid>
      <w:tr w14:paraId="256F1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1215" w:type="dxa"/>
            <w:vAlign w:val="center"/>
          </w:tcPr>
          <w:p w14:paraId="24E54691">
            <w:pPr>
              <w:spacing w:line="400" w:lineRule="exact"/>
              <w:jc w:val="center"/>
              <w:rPr>
                <w:rFonts w:ascii="宋体" w:hAnsi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序号</w:t>
            </w:r>
          </w:p>
        </w:tc>
        <w:tc>
          <w:tcPr>
            <w:tcW w:w="3769" w:type="dxa"/>
            <w:vAlign w:val="center"/>
          </w:tcPr>
          <w:p w14:paraId="265AC491">
            <w:pPr>
              <w:spacing w:line="400" w:lineRule="exact"/>
              <w:jc w:val="center"/>
              <w:rPr>
                <w:rFonts w:ascii="宋体" w:hAnsi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服务名称</w:t>
            </w:r>
          </w:p>
        </w:tc>
        <w:tc>
          <w:tcPr>
            <w:tcW w:w="1256" w:type="dxa"/>
            <w:vAlign w:val="center"/>
          </w:tcPr>
          <w:p w14:paraId="77CFF4C3">
            <w:pPr>
              <w:spacing w:line="400" w:lineRule="exact"/>
              <w:jc w:val="center"/>
              <w:rPr>
                <w:rFonts w:ascii="宋体" w:hAnsi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数量</w:t>
            </w:r>
          </w:p>
        </w:tc>
        <w:tc>
          <w:tcPr>
            <w:tcW w:w="1256" w:type="dxa"/>
            <w:vAlign w:val="center"/>
          </w:tcPr>
          <w:p w14:paraId="5DA0C11E">
            <w:pPr>
              <w:spacing w:line="400" w:lineRule="exact"/>
              <w:jc w:val="center"/>
              <w:rPr>
                <w:rFonts w:ascii="宋体" w:hAnsi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>单位</w:t>
            </w:r>
          </w:p>
        </w:tc>
        <w:tc>
          <w:tcPr>
            <w:tcW w:w="1826" w:type="dxa"/>
            <w:vAlign w:val="center"/>
          </w:tcPr>
          <w:p w14:paraId="378B9FC0">
            <w:pPr>
              <w:spacing w:line="400" w:lineRule="exact"/>
              <w:jc w:val="center"/>
              <w:rPr>
                <w:rFonts w:ascii="宋体" w:hAnsi="宋体" w:cs="宋体"/>
                <w:b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sz w:val="24"/>
                <w:highlight w:val="none"/>
              </w:rPr>
              <w:t xml:space="preserve">备注          </w:t>
            </w:r>
          </w:p>
        </w:tc>
      </w:tr>
      <w:tr w14:paraId="770A0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8" w:hRule="atLeast"/>
        </w:trPr>
        <w:tc>
          <w:tcPr>
            <w:tcW w:w="1215" w:type="dxa"/>
            <w:vAlign w:val="center"/>
          </w:tcPr>
          <w:p w14:paraId="69FEA734">
            <w:pPr>
              <w:spacing w:line="540" w:lineRule="exact"/>
              <w:jc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1</w:t>
            </w:r>
          </w:p>
        </w:tc>
        <w:tc>
          <w:tcPr>
            <w:tcW w:w="3769" w:type="dxa"/>
            <w:vAlign w:val="center"/>
          </w:tcPr>
          <w:p w14:paraId="465F0935">
            <w:pPr>
              <w:spacing w:line="400" w:lineRule="exact"/>
              <w:jc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北京市监狱管理局清河分局柳林监狱2026-2027年度物业服务采购项目</w:t>
            </w:r>
          </w:p>
        </w:tc>
        <w:tc>
          <w:tcPr>
            <w:tcW w:w="1256" w:type="dxa"/>
            <w:vAlign w:val="center"/>
          </w:tcPr>
          <w:p w14:paraId="3191A324">
            <w:pPr>
              <w:spacing w:line="400" w:lineRule="exact"/>
              <w:jc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1</w:t>
            </w:r>
          </w:p>
        </w:tc>
        <w:tc>
          <w:tcPr>
            <w:tcW w:w="1256" w:type="dxa"/>
            <w:vAlign w:val="center"/>
          </w:tcPr>
          <w:p w14:paraId="6302C8F4">
            <w:pPr>
              <w:spacing w:line="400" w:lineRule="exact"/>
              <w:jc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项</w:t>
            </w:r>
          </w:p>
        </w:tc>
        <w:tc>
          <w:tcPr>
            <w:tcW w:w="1826" w:type="dxa"/>
            <w:vAlign w:val="center"/>
          </w:tcPr>
          <w:p w14:paraId="4D6F3FC3">
            <w:pPr>
              <w:spacing w:line="400" w:lineRule="exact"/>
              <w:jc w:val="center"/>
              <w:rPr>
                <w:rFonts w:ascii="宋体" w:hAnsi="宋体" w:cs="宋体"/>
                <w:sz w:val="24"/>
                <w:highlight w:val="none"/>
              </w:rPr>
            </w:pPr>
          </w:p>
        </w:tc>
      </w:tr>
    </w:tbl>
    <w:p w14:paraId="6742ED2D">
      <w:pPr>
        <w:adjustRightInd w:val="0"/>
        <w:spacing w:line="540" w:lineRule="exact"/>
        <w:jc w:val="left"/>
        <w:textAlignment w:val="baseline"/>
        <w:rPr>
          <w:rFonts w:ascii="宋体" w:hAnsi="宋体" w:cs="宋体"/>
          <w:b/>
          <w:sz w:val="24"/>
          <w:highlight w:val="none"/>
        </w:rPr>
      </w:pPr>
      <w:r>
        <w:rPr>
          <w:rFonts w:hint="eastAsia" w:ascii="宋体" w:hAnsi="宋体" w:cs="宋体"/>
          <w:b/>
          <w:sz w:val="24"/>
          <w:highlight w:val="none"/>
        </w:rPr>
        <w:t>2.主要内容：</w:t>
      </w:r>
    </w:p>
    <w:p w14:paraId="393A3F72">
      <w:pPr>
        <w:adjustRightInd w:val="0"/>
        <w:spacing w:line="540" w:lineRule="exact"/>
        <w:ind w:left="48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2.1项目服务范围</w:t>
      </w:r>
    </w:p>
    <w:p w14:paraId="7948B2C1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北京市监狱管理局清河分局柳林监狱办公楼、备勤楼、体能馆、会议室、候见室等室内及柳林监狱四至内、监管区围墙外区域的物业管理；狱内、外基础设施及电路维修；化粪清掏；垃圾清运；临时性物资转运服务等。</w:t>
      </w:r>
    </w:p>
    <w:p w14:paraId="0EC48FAE">
      <w:pPr>
        <w:adjustRightInd w:val="0"/>
        <w:spacing w:line="540" w:lineRule="exact"/>
        <w:ind w:left="48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2.2项目基本情况</w:t>
      </w:r>
    </w:p>
    <w:p w14:paraId="6DB7C56F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北京市监狱管理局清河分局柳林监狱位于天津市宁河区清河农场，柳林监狱狱外办公楼、备勤楼、体能馆及候见室建筑面积总计8350 平方米，水泥路面、花砖路面、停车场（棚）等硬化面积15000 平方米，绿化养护面积 89000 平方米；柴油发电机一台、配电室一处。</w:t>
      </w:r>
    </w:p>
    <w:p w14:paraId="7EE6F9EA">
      <w:pPr>
        <w:adjustRightInd w:val="0"/>
        <w:spacing w:line="540" w:lineRule="exact"/>
        <w:ind w:left="48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2.3投标单位的须知</w:t>
      </w:r>
    </w:p>
    <w:p w14:paraId="04B1FF9C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（1）中标人须遵守国家法律法规，遵守柳林监狱相关工作管理制度，服从监狱统一管理，无条件接受采购人对工作质量、工作效果等方面的监督、检查和考核。</w:t>
      </w:r>
    </w:p>
    <w:p w14:paraId="451703B2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（2）中标人承担经营场所范围内的独立法律责任。</w:t>
      </w:r>
    </w:p>
    <w:p w14:paraId="685FCA5C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（3）物业服务工作由中标人负责，不得外包、转让。</w:t>
      </w:r>
    </w:p>
    <w:p w14:paraId="12FBE29B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（4）中标人自主经营、自负盈亏，所有管理工作人员由中标人自行招聘和管理，伙食、各项待遇、保险等由中标人自行安排，经费自理；工作人员体检、伤残疾病等费用均由中标人自理。</w:t>
      </w:r>
    </w:p>
    <w:p w14:paraId="0ACC0A3B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（5）采购人无偿为中标人提供物业服务办公场所，水、电由采购人提供保障。</w:t>
      </w:r>
    </w:p>
    <w:p w14:paraId="5D3A2FE4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（6）清理杂草、绿化养护、维修维护等服务所需设备工具和保洁、消杀所需设备由中标人自行配备，服务期满后由中标人自行处置，保洁、消杀（防疫、灭蚊虫）所需低值易耗工具、用品由采购人提供。</w:t>
      </w:r>
    </w:p>
    <w:p w14:paraId="4B3BC116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（7）绿化养护用化肥、农药费用由中标人承担。</w:t>
      </w:r>
    </w:p>
    <w:p w14:paraId="211128B3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（8）防疫防护用品和防疫用消毒液等消耗品（医用酒精、84消毒液等）由采购人提供。</w:t>
      </w:r>
    </w:p>
    <w:p w14:paraId="75D93A2E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（9）垃圾清运：生活垃圾主要集中在民警办公区、驻监武警区、狱内封闭区，每周产生生活垃圾约200桶（240L/桶），生活垃圾分类归集、分类运输和分类处理，每周一、三、五各一次，节假日按</w:t>
      </w: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采购人</w:t>
      </w:r>
      <w:r>
        <w:rPr>
          <w:rFonts w:hint="eastAsia" w:ascii="宋体" w:hAnsi="宋体" w:cs="宋体"/>
          <w:bCs/>
          <w:sz w:val="24"/>
          <w:highlight w:val="none"/>
        </w:rPr>
        <w:t>需求，及时清运至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指定地点</w:t>
      </w:r>
      <w:r>
        <w:rPr>
          <w:rFonts w:hint="eastAsia" w:ascii="宋体" w:hAnsi="宋体" w:cs="宋体"/>
          <w:bCs/>
          <w:sz w:val="24"/>
          <w:highlight w:val="none"/>
        </w:rPr>
        <w:t>进行处理。</w:t>
      </w:r>
    </w:p>
    <w:p w14:paraId="4640CBCF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（10）中标人用于物业管理服务的办公设备、办公用品由中标人自行配备，费用自理。</w:t>
      </w:r>
    </w:p>
    <w:p w14:paraId="2A18873B">
      <w:pPr>
        <w:adjustRightInd w:val="0"/>
        <w:spacing w:line="540" w:lineRule="exact"/>
        <w:ind w:firstLine="480" w:firstLineChars="200"/>
        <w:jc w:val="left"/>
        <w:textAlignment w:val="baseline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（11）遇节假日、特殊活动，中标人需提供挂灯笼、摆花等服务，灯笼、彩灯由采购方提供，鲜花由中标人提供。中标人应满足采购方提出的规模和数量。</w:t>
      </w:r>
    </w:p>
    <w:p w14:paraId="23AC2C2E">
      <w:pPr>
        <w:numPr>
          <w:ilvl w:val="0"/>
          <w:numId w:val="1"/>
        </w:numPr>
        <w:adjustRightInd w:val="0"/>
        <w:spacing w:line="540" w:lineRule="exact"/>
        <w:ind w:firstLine="480" w:firstLineChars="200"/>
        <w:jc w:val="left"/>
        <w:textAlignment w:val="baseline"/>
        <w:rPr>
          <w:rFonts w:hint="eastAsia" w:ascii="宋体" w:hAnsi="宋体" w:cs="宋体"/>
          <w:bCs/>
          <w:sz w:val="24"/>
          <w:highlight w:val="none"/>
          <w:lang w:eastAsia="zh-CN"/>
        </w:rPr>
      </w:pPr>
      <w:r>
        <w:rPr>
          <w:rFonts w:hint="eastAsia" w:ascii="宋体" w:hAnsi="宋体" w:cs="宋体"/>
          <w:bCs/>
          <w:sz w:val="24"/>
          <w:highlight w:val="none"/>
        </w:rPr>
        <w:t>遇节假日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及</w:t>
      </w:r>
      <w:r>
        <w:rPr>
          <w:rFonts w:hint="eastAsia" w:ascii="宋体" w:hAnsi="宋体" w:cs="宋体"/>
          <w:bCs/>
          <w:sz w:val="24"/>
          <w:highlight w:val="none"/>
        </w:rPr>
        <w:t>特殊活动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（如春节、国庆、重大会议等）</w:t>
      </w:r>
      <w:r>
        <w:rPr>
          <w:rFonts w:hint="eastAsia" w:ascii="宋体" w:hAnsi="宋体" w:cs="宋体"/>
          <w:bCs/>
          <w:sz w:val="24"/>
          <w:highlight w:val="none"/>
        </w:rPr>
        <w:t>，中标人需提供挂灯笼、摆花等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氛围布置</w:t>
      </w:r>
      <w:r>
        <w:rPr>
          <w:rFonts w:hint="eastAsia" w:ascii="宋体" w:hAnsi="宋体" w:cs="宋体"/>
          <w:bCs/>
          <w:sz w:val="24"/>
          <w:highlight w:val="none"/>
        </w:rPr>
        <w:t>服务，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并满足以下需求：</w:t>
      </w:r>
    </w:p>
    <w:p w14:paraId="14F4D922">
      <w:pPr>
        <w:numPr>
          <w:ilvl w:val="0"/>
          <w:numId w:val="2"/>
        </w:numPr>
        <w:adjustRightInd w:val="0"/>
        <w:spacing w:line="540" w:lineRule="exact"/>
        <w:jc w:val="left"/>
        <w:textAlignment w:val="baseline"/>
        <w:rPr>
          <w:rFonts w:hint="eastAsia" w:ascii="宋体" w:hAnsi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物料责任与金额：灯笼、彩灯、鲜花等由中标人提供（费用含在总报价中，不再另行增项）。</w:t>
      </w:r>
    </w:p>
    <w:p w14:paraId="56A64F86">
      <w:pPr>
        <w:numPr>
          <w:ilvl w:val="0"/>
          <w:numId w:val="2"/>
        </w:numPr>
        <w:adjustRightInd w:val="0"/>
        <w:spacing w:line="540" w:lineRule="exact"/>
        <w:jc w:val="left"/>
        <w:textAlignment w:val="baseline"/>
        <w:rPr>
          <w:rFonts w:hint="eastAsia" w:ascii="宋体" w:hAnsi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规模与数量：中标人需按采购方要求执行，帮规节日摆花不少于50盆，挂灯笼不少于30个，具体以采购方通知为准。</w:t>
      </w:r>
    </w:p>
    <w:p w14:paraId="00A1C878">
      <w:pPr>
        <w:numPr>
          <w:ilvl w:val="0"/>
          <w:numId w:val="2"/>
        </w:numPr>
        <w:adjustRightInd w:val="0"/>
        <w:spacing w:line="540" w:lineRule="exact"/>
        <w:ind w:firstLine="0" w:firstLineChars="0"/>
        <w:jc w:val="left"/>
        <w:textAlignment w:val="baseline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具体要求：鲜花须保证华姿饱满、无枯萎，布置造型符合节日氛围；灯笼悬挂需牢固、整齐、对称。中标人负责免费安装、日常维护（浇水、保洁）及活动结束后的拆除清场。</w:t>
      </w:r>
    </w:p>
    <w:p w14:paraId="4EE2FC0D">
      <w:pPr>
        <w:pStyle w:val="2"/>
        <w:ind w:firstLine="422"/>
        <w:jc w:val="both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eastAsia="宋体" w:cs="宋体"/>
          <w:bCs/>
          <w:kern w:val="2"/>
          <w:sz w:val="24"/>
          <w:szCs w:val="24"/>
          <w:highlight w:val="none"/>
        </w:rPr>
        <w:t>二、商务要求</w:t>
      </w:r>
    </w:p>
    <w:p w14:paraId="6CA9B454">
      <w:pPr>
        <w:spacing w:line="360" w:lineRule="auto"/>
        <w:ind w:firstLine="472" w:firstLineChars="196"/>
        <w:contextualSpacing/>
        <w:rPr>
          <w:rFonts w:ascii="宋体" w:hAnsi="宋体" w:cs="宋体"/>
          <w:b/>
          <w:sz w:val="24"/>
          <w:szCs w:val="21"/>
          <w:highlight w:val="none"/>
        </w:rPr>
      </w:pPr>
      <w:r>
        <w:rPr>
          <w:rFonts w:ascii="宋体" w:hAnsi="宋体" w:cs="宋体"/>
          <w:b/>
          <w:sz w:val="24"/>
          <w:szCs w:val="21"/>
          <w:highlight w:val="none"/>
        </w:rPr>
        <w:t xml:space="preserve">1. </w:t>
      </w:r>
      <w:r>
        <w:rPr>
          <w:rFonts w:hint="eastAsia" w:ascii="宋体" w:hAnsi="宋体" w:cs="宋体"/>
          <w:b/>
          <w:sz w:val="24"/>
          <w:szCs w:val="21"/>
          <w:highlight w:val="none"/>
        </w:rPr>
        <w:t>物业服务实施期限和地点</w:t>
      </w:r>
    </w:p>
    <w:p w14:paraId="29F736AE">
      <w:pPr>
        <w:pStyle w:val="3"/>
        <w:spacing w:line="360" w:lineRule="auto"/>
        <w:ind w:firstLine="480" w:firstLineChars="200"/>
        <w:rPr>
          <w:rFonts w:ascii="宋体" w:hAnsi="宋体" w:cs="宋体"/>
          <w:sz w:val="24"/>
          <w:szCs w:val="21"/>
          <w:highlight w:val="none"/>
        </w:rPr>
      </w:pPr>
      <w:r>
        <w:rPr>
          <w:rFonts w:ascii="宋体" w:hAnsi="宋体" w:cs="宋体"/>
          <w:sz w:val="24"/>
          <w:szCs w:val="21"/>
          <w:highlight w:val="none"/>
        </w:rPr>
        <w:t>1.1服务期限为一年，即：2026年12月1日-2027年11月30日。</w:t>
      </w:r>
    </w:p>
    <w:p w14:paraId="1F3D887E">
      <w:pPr>
        <w:spacing w:line="360" w:lineRule="auto"/>
        <w:ind w:firstLine="480" w:firstLineChars="200"/>
        <w:rPr>
          <w:rFonts w:ascii="宋体" w:hAnsi="宋体" w:cs="宋体"/>
          <w:b/>
          <w:sz w:val="24"/>
          <w:szCs w:val="21"/>
          <w:highlight w:val="none"/>
        </w:rPr>
      </w:pPr>
      <w:r>
        <w:rPr>
          <w:rFonts w:ascii="宋体" w:hAnsi="宋体" w:cs="宋体"/>
          <w:bCs/>
          <w:sz w:val="24"/>
          <w:szCs w:val="21"/>
          <w:highlight w:val="none"/>
        </w:rPr>
        <w:t>1.2服务地点：</w:t>
      </w:r>
      <w:r>
        <w:rPr>
          <w:rFonts w:hint="eastAsia" w:ascii="宋体" w:hAnsi="宋体" w:cs="宋体"/>
          <w:sz w:val="24"/>
          <w:szCs w:val="21"/>
          <w:highlight w:val="none"/>
        </w:rPr>
        <w:t>天津市滨海新区清河农场</w:t>
      </w:r>
      <w:r>
        <w:rPr>
          <w:rFonts w:hint="eastAsia" w:ascii="宋体" w:hAnsi="宋体" w:cs="宋体"/>
          <w:sz w:val="24"/>
          <w:highlight w:val="none"/>
        </w:rPr>
        <w:t>柳林监狱</w:t>
      </w:r>
      <w:r>
        <w:rPr>
          <w:rFonts w:ascii="宋体" w:hAnsi="宋体" w:cs="宋体"/>
          <w:sz w:val="24"/>
          <w:szCs w:val="21"/>
          <w:highlight w:val="none"/>
        </w:rPr>
        <w:t>。</w:t>
      </w:r>
    </w:p>
    <w:p w14:paraId="0075B94B">
      <w:pPr>
        <w:spacing w:line="360" w:lineRule="auto"/>
        <w:ind w:firstLine="472" w:firstLineChars="196"/>
        <w:contextualSpacing/>
        <w:rPr>
          <w:rFonts w:ascii="宋体" w:hAnsi="宋体" w:cs="宋体"/>
          <w:b/>
          <w:sz w:val="24"/>
          <w:szCs w:val="21"/>
          <w:highlight w:val="none"/>
        </w:rPr>
      </w:pPr>
      <w:r>
        <w:rPr>
          <w:rFonts w:ascii="宋体" w:hAnsi="宋体" w:cs="宋体"/>
          <w:b/>
          <w:sz w:val="24"/>
          <w:szCs w:val="21"/>
          <w:highlight w:val="none"/>
        </w:rPr>
        <w:t xml:space="preserve">2. </w:t>
      </w:r>
      <w:r>
        <w:rPr>
          <w:rFonts w:hint="eastAsia" w:ascii="宋体" w:hAnsi="宋体" w:cs="宋体"/>
          <w:b/>
          <w:sz w:val="24"/>
          <w:szCs w:val="21"/>
          <w:highlight w:val="none"/>
        </w:rPr>
        <w:t>付款条件（进度和方式）</w:t>
      </w:r>
    </w:p>
    <w:p w14:paraId="246573DA">
      <w:pPr>
        <w:spacing w:line="360" w:lineRule="auto"/>
        <w:ind w:firstLine="42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2.1费用支付方式：本服务项目实行按月结算、按月支付。每月为一个结算周期，甲方按月支付当期服务费用。</w:t>
      </w:r>
    </w:p>
    <w:p w14:paraId="4E939DB9">
      <w:pPr>
        <w:spacing w:line="360" w:lineRule="auto"/>
        <w:ind w:firstLine="42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2.2每次结算前，甲乙双方需对该部分费用进行共同确认，确认完毕后乙方开具等额物业服务发票，甲方支付该部分服务费用。（服务人员餐饮费为每人每月600元，每月交到甲方财务部门，方可结算此部分服务费用）</w:t>
      </w:r>
    </w:p>
    <w:p w14:paraId="40BD1094">
      <w:pPr>
        <w:spacing w:line="360" w:lineRule="auto"/>
        <w:ind w:firstLine="420"/>
        <w:rPr>
          <w:sz w:val="24"/>
          <w:highlight w:val="none"/>
        </w:rPr>
      </w:pPr>
      <w:r>
        <w:rPr>
          <w:rFonts w:hint="eastAsia"/>
          <w:sz w:val="24"/>
          <w:highlight w:val="none"/>
        </w:rPr>
        <w:t>2.3银行转账的方式向乙方支付费用。</w:t>
      </w:r>
    </w:p>
    <w:p w14:paraId="44E4C34B">
      <w:pPr>
        <w:adjustRightInd w:val="0"/>
        <w:spacing w:line="540" w:lineRule="exact"/>
        <w:jc w:val="left"/>
        <w:textAlignment w:val="baseline"/>
        <w:rPr>
          <w:rFonts w:ascii="黑体" w:hAnsi="黑体" w:eastAsia="黑体" w:cs="宋体"/>
          <w:b/>
          <w:sz w:val="24"/>
          <w:highlight w:val="none"/>
        </w:rPr>
      </w:pPr>
      <w:r>
        <w:rPr>
          <w:rFonts w:hint="eastAsia" w:ascii="黑体" w:hAnsi="黑体" w:eastAsia="黑体" w:cs="宋体"/>
          <w:sz w:val="24"/>
          <w:highlight w:val="none"/>
        </w:rPr>
        <w:t>三、技术要求</w:t>
      </w:r>
    </w:p>
    <w:p w14:paraId="506EB2EA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1.指导思想</w:t>
      </w:r>
    </w:p>
    <w:p w14:paraId="6773C625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1.1以勤俭节约、提供优质服务为宗旨，以规范管理为手段，以实现人、财、物的最佳结合为目标，按照物业管理的自身规律，采取有效的形式，实施全方位统一的管理，健全制度，规范动作，以最小的投入，实现最佳的管理目标，努力创造一个文明、安全、高效、舒适、和谐的工作环境。</w:t>
      </w:r>
    </w:p>
    <w:p w14:paraId="20F4CEF6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1.2依据国家物业管理优秀示范楼宇的相关标准，制定和实施物业管理服务计划。</w:t>
      </w:r>
    </w:p>
    <w:p w14:paraId="6703A197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1.3建立健全各项管理制度，建立良好的工作秩序，保证服务质量。</w:t>
      </w:r>
    </w:p>
    <w:p w14:paraId="1AAB3A44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1.4制定专业岗位培训计划，有具体的落实措施和考核方法，保证服务人员持证上岗。</w:t>
      </w:r>
    </w:p>
    <w:p w14:paraId="2A7BF8A1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1.5保全和管理好物业管理档案资料。</w:t>
      </w:r>
    </w:p>
    <w:p w14:paraId="7A51A6C5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1.6定期征求采购人意见，针对提出的问题及时整改，不断提高物业服务水平。</w:t>
      </w:r>
    </w:p>
    <w:p w14:paraId="12331C45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1.7建立应对各种公共突发事件的应急处理机制，一旦发生突发性事件，能随时启动应急处理预案。</w:t>
      </w:r>
    </w:p>
    <w:p w14:paraId="67D744F5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(1)制定突发事件综合处置预案</w:t>
      </w:r>
    </w:p>
    <w:p w14:paraId="51AA0E98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(2)制定重要活动后勤保障应急预案</w:t>
      </w:r>
    </w:p>
    <w:p w14:paraId="1D71CE1B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(3)制定雨雪强风极端天气应急预案</w:t>
      </w:r>
    </w:p>
    <w:p w14:paraId="4DAEE3CD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(4)制定突发公共事件应急预案</w:t>
      </w:r>
    </w:p>
    <w:p w14:paraId="650CB773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(5)制定重大故障应急预案</w:t>
      </w:r>
    </w:p>
    <w:p w14:paraId="7EAF2DF1">
      <w:pPr>
        <w:adjustRightInd w:val="0"/>
        <w:spacing w:line="540" w:lineRule="exact"/>
        <w:ind w:firstLine="480" w:firstLineChars="200"/>
        <w:jc w:val="left"/>
        <w:textAlignment w:val="baseline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(6)制定专项应预案（包括火灾、防汛、停电、跑水等）</w:t>
      </w:r>
    </w:p>
    <w:p w14:paraId="57D87129">
      <w:pPr>
        <w:adjustRightInd w:val="0"/>
        <w:spacing w:line="540" w:lineRule="exact"/>
        <w:ind w:firstLine="480" w:firstLineChars="200"/>
        <w:jc w:val="left"/>
        <w:textAlignment w:val="baseline"/>
        <w:rPr>
          <w:rFonts w:hint="eastAsia" w:ascii="宋体" w:hAnsi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1.8根据本项目物业服务需求，分析需求重点，明确物业服务重点、难点并提出解决措施，制定项目整体管理思路，确定项目组织架构，制定项目日常管理机制及服务保障机制。</w:t>
      </w:r>
    </w:p>
    <w:p w14:paraId="642413F2">
      <w:pPr>
        <w:numPr>
          <w:ilvl w:val="0"/>
          <w:numId w:val="3"/>
        </w:numPr>
        <w:adjustRightInd w:val="0"/>
        <w:spacing w:line="540" w:lineRule="exact"/>
        <w:ind w:firstLine="480" w:firstLineChars="200"/>
        <w:jc w:val="left"/>
        <w:textAlignment w:val="baseline"/>
        <w:rPr>
          <w:rFonts w:hint="eastAsia" w:ascii="宋体" w:hAnsi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分析物业需求特点</w:t>
      </w:r>
    </w:p>
    <w:p w14:paraId="3DD8D7E1">
      <w:pPr>
        <w:numPr>
          <w:ilvl w:val="0"/>
          <w:numId w:val="3"/>
        </w:numPr>
        <w:adjustRightInd w:val="0"/>
        <w:spacing w:line="540" w:lineRule="exact"/>
        <w:ind w:firstLine="480" w:firstLineChars="200"/>
        <w:jc w:val="left"/>
        <w:textAlignment w:val="baseline"/>
        <w:rPr>
          <w:rFonts w:hint="eastAsia" w:ascii="宋体" w:hAnsi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明确物业服务重点、难点，并提出解决措施</w:t>
      </w:r>
    </w:p>
    <w:p w14:paraId="5F0A8C9B">
      <w:pPr>
        <w:numPr>
          <w:ilvl w:val="0"/>
          <w:numId w:val="3"/>
        </w:numPr>
        <w:adjustRightInd w:val="0"/>
        <w:spacing w:line="540" w:lineRule="exact"/>
        <w:ind w:firstLine="480" w:firstLineChars="200"/>
        <w:jc w:val="left"/>
        <w:textAlignment w:val="baseline"/>
        <w:rPr>
          <w:rFonts w:hint="eastAsia" w:ascii="宋体" w:hAnsi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制定项目整体管理思路</w:t>
      </w:r>
    </w:p>
    <w:p w14:paraId="33B0EE4F">
      <w:pPr>
        <w:numPr>
          <w:ilvl w:val="0"/>
          <w:numId w:val="3"/>
        </w:numPr>
        <w:adjustRightInd w:val="0"/>
        <w:spacing w:line="540" w:lineRule="exact"/>
        <w:ind w:firstLine="480" w:firstLineChars="200"/>
        <w:jc w:val="left"/>
        <w:textAlignment w:val="baseline"/>
        <w:rPr>
          <w:rFonts w:hint="eastAsia" w:ascii="宋体" w:hAnsi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确定项目组织架构</w:t>
      </w:r>
    </w:p>
    <w:p w14:paraId="6FC949BA">
      <w:pPr>
        <w:numPr>
          <w:ilvl w:val="0"/>
          <w:numId w:val="3"/>
        </w:numPr>
        <w:adjustRightInd w:val="0"/>
        <w:spacing w:line="540" w:lineRule="exact"/>
        <w:ind w:firstLine="480" w:firstLineChars="200"/>
        <w:jc w:val="left"/>
        <w:textAlignment w:val="baseline"/>
        <w:rPr>
          <w:rFonts w:hint="eastAsia" w:ascii="宋体" w:hAnsi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指定项目日常管理运作模式</w:t>
      </w:r>
    </w:p>
    <w:p w14:paraId="54E150D4">
      <w:pPr>
        <w:numPr>
          <w:ilvl w:val="0"/>
          <w:numId w:val="3"/>
        </w:numPr>
        <w:adjustRightInd w:val="0"/>
        <w:spacing w:line="540" w:lineRule="exact"/>
        <w:ind w:firstLine="480" w:firstLineChars="200"/>
        <w:jc w:val="left"/>
        <w:textAlignment w:val="baseline"/>
        <w:rPr>
          <w:rFonts w:hint="eastAsia" w:ascii="宋体" w:hAnsi="宋体" w:cs="宋体"/>
          <w:bCs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bCs/>
          <w:sz w:val="24"/>
          <w:highlight w:val="none"/>
          <w:lang w:val="en-US" w:eastAsia="zh-CN"/>
        </w:rPr>
        <w:t>制定服务保障机制</w:t>
      </w:r>
    </w:p>
    <w:p w14:paraId="45FF54B7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2.编制本项目的物业管理方案，并制定组建物业管理服务机构</w:t>
      </w:r>
    </w:p>
    <w:p w14:paraId="62AA7FDF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2.1组织实施物业管理服务有效的工作计划；</w:t>
      </w:r>
    </w:p>
    <w:p w14:paraId="5E78A7FD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2.2物业人员须彬彬有礼，听从命令，服从指挥。服务时统一着装上岗,衣着得体、整齐、干净，佩戴胸牌。</w:t>
      </w:r>
    </w:p>
    <w:p w14:paraId="483CF4C8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2.3卫生保洁</w:t>
      </w:r>
    </w:p>
    <w:p w14:paraId="081E297D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卫生保洁指保持公共区域内的环境清洁而进行的日常管理工作。有健全的保洁制度，清洁卫生实行责任制，有明确的分工和责任范围。保洁耗材必须使用环保物品。发生突发公共卫生事件时，迅速组织人员对公共设备设施及环境进行通风、清洗和消毒，维持正常的工作生活秩序。</w:t>
      </w:r>
    </w:p>
    <w:p w14:paraId="06011031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人员要求：</w:t>
      </w:r>
    </w:p>
    <w:p w14:paraId="3B548545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(1)指定办公室、会客室、备勤楼和会议室的卫生保洁的服务人员：女性，身体健康；履历无不良记录，无不良嗜好；录用前，必须经过背调；上岗前，必须经过专业培训，具有保密和服务意识。</w:t>
      </w:r>
    </w:p>
    <w:p w14:paraId="07D84AA8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(2)公共区域保洁人员：身体健康；履历无不良记录，无不良嗜好；录用前，必须经过背调。</w:t>
      </w:r>
    </w:p>
    <w:p w14:paraId="1B76C589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保洁要求：</w:t>
      </w:r>
    </w:p>
    <w:p w14:paraId="5769D2A6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办公区室内保洁。每日保证室内环境、家具、用品、设施、花木等清洁、整洁、光亮，无尘土，花草植物茂盛。地面光亮，无水迹、污渍。地毯、地面无杂物、无卷边开裂，清洗及时。及时、准确完成领导交办的事务性工作。刑务中心等会议室使用后，及时清理，随时保持室内整洁、温度适宜、正常运行。</w:t>
      </w:r>
    </w:p>
    <w:p w14:paraId="5CD74D39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大厅、公共楼道、公共区域及篮球馆、健身房、台球室等活动中心的卫生保洁，地面光亮，无水迹、污渍。地毯、地面无杂物、无卷边开裂，清洗及时。楼梯、走廊、标示牌、门牌、通风窗口、地角线、墙面、柱子、顶板无尘、无污渍，有明显安全标志。沙发、垃圾桶摆放整齐，外观洁净，桶内垃圾不得超过容积的1/2。</w:t>
      </w:r>
    </w:p>
    <w:p w14:paraId="4AEF1138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大厅天花板无尘埃。玻璃、门窗无尘、无污渍、水迹、裂痕。大厅入口地台、梯级、墙壁表面、所有玻璃门窗及楼内各种设施(含消防设施)无尘土，墙面光亮、无水迹、污渍．楼内无苍蝇、蚊虫、蟑螂、老鼠等虫害。</w:t>
      </w:r>
    </w:p>
    <w:p w14:paraId="69CD7CEA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灯饰、壁挂和其他饰物无尘土、损坏、整洁干净。灯具清洁目视无灰尘、挂件不丢失，绝缘性不降低。</w:t>
      </w:r>
    </w:p>
    <w:p w14:paraId="74318BFB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定期对地毯进行清洗清洗后，光洁、松软、纹路清晰，对可乐、茶水、油污、口香糖随时清洁，无卫生死点。</w:t>
      </w:r>
    </w:p>
    <w:p w14:paraId="0AC5CDBD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公共卫生间保洁。设立每日多次巡视制度，楼层卫生间每日保洁两次;会议室边卫生间在会议室使用时,设专人保洁。及时补充手纸、洗手液。卫生间内无异味，无蚊蝇，保持空气清新。便池无尘、无污、无杂物，小便池内香球及时更换。门窗隔板无尘、无污、无杂物。玻璃、镜面明亮无水迹。墩布间干净、整洁、无杂物、无座椅,无私人物品,物品码放整齐、不囤积。洗手池、龙头、弯管、马桶座、盖及水箱无尘、无污、无杂物,电镀明亮。地面墙角无尘、无污、无杂物、无蛛网，无水迹。设备(烘手器、灯、开关、暖气、通风口、门锁)无尘、无污、空气清新、无异味。</w:t>
      </w:r>
    </w:p>
    <w:p w14:paraId="1DDB215C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指定办公室卫生间每天保洁一次。卫生间内无异味，无蚊蝇，保持空气清新。便池无尘、无污、无杂物。门窗隔板无尘、无污、无杂物。玻璃、镜面明亮无水迹。地面墙角无尘、无污、无杂物、无蛛网，无水迹。洗手池、龙头、弯管、马桶座、盖及水箱无尘、无污、无杂物,电镀明亮。</w:t>
      </w:r>
    </w:p>
    <w:p w14:paraId="4BCDBDC6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设备(烘手器、灯、开关、暖气、通风口、门锁)无尘、无污、空气清新、无异味。桶内垃圾不得超过1/2，立即清理。空气清新、无异味。</w:t>
      </w:r>
    </w:p>
    <w:p w14:paraId="79204D01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监狱二门每月集中保洁一次。AB门大厅及进出监通道地面光亮，无污渍。走廊、墙面、柱子、栏杆、扶手、顶板无尘、无污渍，玻璃、门窗无尘、无污渍、水迹、裂痕。</w:t>
      </w:r>
    </w:p>
    <w:p w14:paraId="4F4D9B8D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办公区室外保洁。洁净无杂物,巡视清扫,没有卫生死角,配合施工人员搞好施工场地卫生。保洁重点是烟头、废纸等杂物，随时捡拾。垃圾清运及时，垃圾站消毒，无蚊蝇滋生。积水积雪及时清理，地面无积水、积雪，符合门前三包要求。</w:t>
      </w:r>
      <w:r>
        <w:rPr>
          <w:rFonts w:hint="eastAsia" w:ascii="宋体" w:hAnsi="宋体" w:cs="宋体"/>
          <w:sz w:val="24"/>
          <w:highlight w:val="none"/>
        </w:rPr>
        <w:t>雨季对建筑物楼顶防水层进行树叶等杂物及时进行清理，对地下排水通道及时进行杂物清理，确保排水畅通，不堵塞。</w:t>
      </w:r>
    </w:p>
    <w:p w14:paraId="7E5622C1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2.4绿化养护管理</w:t>
      </w:r>
    </w:p>
    <w:p w14:paraId="32C27D6A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人员要求：</w:t>
      </w:r>
    </w:p>
    <w:p w14:paraId="05A4DF0A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技术员：具有一定专业技能，身体健康，履历无不良记录，无不良嗜好；绿化工：身体健康，无不良记录，无不良嗜好，吃苦耐劳，能够承担绿化养护体力劳动。</w:t>
      </w:r>
    </w:p>
    <w:p w14:paraId="4107E970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养护要求：</w:t>
      </w:r>
    </w:p>
    <w:p w14:paraId="50296755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花草树木生长正常，修剪及时，叶面干净，具有光泽，无积尘，无枯枝败叶，无病虫害，无杂草；盆器及托盘完好干净，托盘无积土。绿地设施及硬质景观完好无损。植物群落完整，层次丰富，黄土不外露，有整体的观赏效果。植物季相分明，生长茂盛；草坪保持平整，高度不超过10厘米，草屑及时清理；乔木修剪科学合理，剪口光滑整齐，树冠完整美观，无徒长枝、下垂枝、枯枝，内膛不乱，通风透光；绿篱修剪整齐有型，保持观赏面枝叶丰满。花灌木花后修剪及时，无残花；绿地内立视应无明显杂草，土壤疏松通透；草皮无病斑，植物枝叶无虫害咬口、排泄物、无悬挂或依附在植物上的虫茧、休眠虫体及越冬虫蛹；绿地内无垃圾，乔木无树挂；绿地无破坏、践踏及随意占用现象；已有树木死亡率控制在5%以内；现有草坪（含冷季型和暖季型）合理绿期内斑秃控制在5%以内。</w:t>
      </w:r>
    </w:p>
    <w:p w14:paraId="1B9EAB37">
      <w:pPr>
        <w:pStyle w:val="27"/>
        <w:spacing w:line="520" w:lineRule="exact"/>
        <w:ind w:firstLine="480"/>
        <w:rPr>
          <w:rFonts w:ascii="宋体" w:hAnsi="宋体" w:cs="宋体"/>
          <w:bCs/>
          <w:sz w:val="24"/>
          <w:szCs w:val="24"/>
          <w:highlight w:val="none"/>
        </w:rPr>
      </w:pPr>
      <w:r>
        <w:rPr>
          <w:rFonts w:hint="eastAsia" w:ascii="宋体" w:hAnsi="宋体" w:cs="宋体"/>
          <w:bCs/>
          <w:sz w:val="24"/>
          <w:szCs w:val="24"/>
          <w:highlight w:val="none"/>
        </w:rPr>
        <w:t>杂草及积雪清理。监狱四至区域内，监管区围墙以外区域清理及防火打草，负责每年冬春防火清理及其它季节杂草清理工作；监狱至五科派出所道路两侧杂草及路面积雪视情况及时清理。</w:t>
      </w:r>
    </w:p>
    <w:p w14:paraId="4F441B50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2.5基础设施巡检维修维护及值守管理</w:t>
      </w:r>
    </w:p>
    <w:p w14:paraId="4F4E7522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人员要求：需提供电工及维修工7人，</w:t>
      </w:r>
      <w:r>
        <w:rPr>
          <w:rFonts w:hint="eastAsia" w:ascii="宋体" w:hAnsi="宋体" w:cs="宋体"/>
          <w:sz w:val="24"/>
          <w:highlight w:val="none"/>
        </w:rPr>
        <w:t>人员应相对固定，能够严格执行我单位各种制度，提供24小时值班服务，节假日值班后可被安排合理倒休。</w:t>
      </w:r>
      <w:r>
        <w:rPr>
          <w:rFonts w:hint="eastAsia" w:ascii="宋体" w:hAnsi="宋体" w:cs="宋体"/>
          <w:bCs/>
          <w:sz w:val="24"/>
          <w:highlight w:val="none"/>
        </w:rPr>
        <w:t>身体健康，履历无不良记录，无不良嗜好，其中至少有电工4人需持有高低压电工证，维修工至少有1人持焊接与热切割作业操作证，具有水暖工职业资格证、地下有限空间监护作业证、高空作业证人员优先。</w:t>
      </w:r>
    </w:p>
    <w:p w14:paraId="569019B4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(1)基础设施日常巡检维修和管理。</w:t>
      </w:r>
    </w:p>
    <w:p w14:paraId="60AEAEF4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基础设施日常巡检维修是指为保持狱内、外建筑用房、公共区域原有完好等级及配套设施、设备等能够正常使用，进行日常修复小损小坏等房屋维护管理工作。定期做好楼内各种共用设施和附属建筑物、构筑物的巡查工作发现问题及时做出处置。</w:t>
      </w:r>
      <w:r>
        <w:rPr>
          <w:rFonts w:hint="eastAsia" w:ascii="宋体" w:hAnsi="宋体" w:cs="宋体"/>
          <w:spacing w:val="-4"/>
          <w:sz w:val="24"/>
          <w:highlight w:val="none"/>
        </w:rPr>
        <w:t>做好楼内上下水道的疏通和院内道路</w:t>
      </w:r>
      <w:r>
        <w:rPr>
          <w:rFonts w:hint="eastAsia" w:ascii="宋体" w:hAnsi="宋体" w:cs="宋体"/>
          <w:sz w:val="24"/>
          <w:highlight w:val="none"/>
        </w:rPr>
        <w:t>的维护工作。爱护基础设施，未经委托方批准，不得对用房结构、设施等进行变动。及时完成各项零星维修任务，合格率100%，一般维修任务不得超过24小时。</w:t>
      </w:r>
    </w:p>
    <w:p w14:paraId="33372445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(2)供电系统运行管理</w:t>
      </w:r>
    </w:p>
    <w:p w14:paraId="23BC071A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供电设备维修维护是指为保证全楼供电系统正常运行，对低压电器设备、电线电缆、电气照明装置等设备进行日常管理和维修养护。熟悉发电机性能，做好日常维护管理，能熟练掌握发电机启动工作，停电时能迅速及时启动正常运转。严格执行配电室24小时2人值班制度，熟练掌握配电室各项操作流程，认真填写值班记录，抄写电流负载及电度表计量读数，在停送电过程中认真执行各种规章制度，正确地进行倒闸操作。要求所有人员持证上岗，严格遵守规章制度，按照规定对供电设备定期维护，认真巡视设备运行情况，发现异常和故障隐患要及时上报，正确果断的处置，并做好记录，记录完整、真实。严格执行用电安全规范，确保用电安全，认真做好交接班。配电室内保持整洁、通风、照明设施完好。各楼层配电柜、配电盘每周定期检查维修。加强日常维护检修,保证办公楼内外使用的照明、指示灯具线路、开关完好。各种电气开关、插座、照明灯具及时检修更换。对消防系统设备配置的电器及其他电器、电源要经常检测、保证紧急情况下设备的正常使用。设备出现故障时,维修人员10分钟内到达现场,设备维修合格率达到100％,一般性维修不过夜。</w:t>
      </w:r>
    </w:p>
    <w:p w14:paraId="27FC8B91">
      <w:pPr>
        <w:adjustRightInd w:val="0"/>
        <w:spacing w:line="540" w:lineRule="exact"/>
        <w:ind w:firstLine="360" w:firstLineChars="150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2.6化粪清掏</w:t>
      </w:r>
    </w:p>
    <w:p w14:paraId="1C7115A4">
      <w:pPr>
        <w:adjustRightInd w:val="0"/>
        <w:spacing w:line="540" w:lineRule="exact"/>
        <w:ind w:firstLine="360" w:firstLineChars="150"/>
        <w:textAlignment w:val="baseline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负责污水、雨水管道的疏通，狱内、狱外、武警食堂下水化粪池、积水坑的清掏、清运。至少两个月清掏一次，保证作业安全，重大节日前必须巡查。保证及时有效、无遗撒并有详细的操作规程。做好清掏记录，制定紧急突发情况预案，并有效组织实施。保证设施、环境、工作场地的清洁卫生,整洁美观。</w:t>
      </w:r>
    </w:p>
    <w:p w14:paraId="0AA7BF1F">
      <w:pPr>
        <w:adjustRightInd w:val="0"/>
        <w:spacing w:line="540" w:lineRule="exact"/>
        <w:ind w:firstLine="360" w:firstLineChars="150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2.7 垃圾清运工作</w:t>
      </w:r>
    </w:p>
    <w:p w14:paraId="1AB9FD7B">
      <w:pPr>
        <w:adjustRightInd w:val="0"/>
        <w:spacing w:line="540" w:lineRule="exact"/>
        <w:ind w:firstLine="360" w:firstLineChars="150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要有专业的团队负责垃圾的清理、转运工作。按照垃圾分类标准，实现分类收纳、分类运输和分类处理，大约每周产生垃圾200桶（240L）左右，清运至采购人指定地点。垃圾车进入监狱各垃圾站进行垃圾清理、转运工作，如因特殊原因（封闭式管控等），可由双方协商地点进行转运。一般垃圾、其他垃圾、厨余垃圾每天清运，有害垃圾做好登记，达到一定数量定期清运。</w:t>
      </w:r>
    </w:p>
    <w:p w14:paraId="616E7CB3">
      <w:pPr>
        <w:adjustRightInd w:val="0"/>
        <w:spacing w:line="540" w:lineRule="exact"/>
        <w:ind w:firstLine="360" w:firstLineChars="150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8.物资装卸转运等临时性工作</w:t>
      </w:r>
    </w:p>
    <w:p w14:paraId="6F4C0907">
      <w:pPr>
        <w:adjustRightInd w:val="0"/>
        <w:spacing w:line="540" w:lineRule="exact"/>
        <w:ind w:firstLine="360" w:firstLineChars="150"/>
        <w:textAlignment w:val="baseline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t>协助采购人完成物资装卸转运等临时交办的工作（费用含在总款项内，不另支付）。</w:t>
      </w:r>
    </w:p>
    <w:p w14:paraId="7D127F46">
      <w:pPr>
        <w:adjustRightInd w:val="0"/>
        <w:spacing w:line="540" w:lineRule="exact"/>
        <w:ind w:firstLine="360" w:firstLineChars="150"/>
        <w:textAlignment w:val="baseline"/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9.</w:t>
      </w:r>
      <w:r>
        <w:rPr>
          <w:rFonts w:hint="eastAsia" w:ascii="宋体" w:hAnsi="宋体" w:cs="宋体"/>
          <w:sz w:val="24"/>
          <w:highlight w:val="none"/>
        </w:rPr>
        <w:t xml:space="preserve"> 严格遵守各项工作要求，造成严重后果的由中标方承担相应责任。</w:t>
      </w:r>
    </w:p>
    <w:p w14:paraId="737AE0D8">
      <w:pPr>
        <w:adjustRightInd w:val="0"/>
        <w:spacing w:line="540" w:lineRule="exact"/>
        <w:jc w:val="left"/>
        <w:textAlignment w:val="baseline"/>
        <w:rPr>
          <w:rFonts w:ascii="宋体" w:hAnsi="宋体" w:cs="宋体"/>
          <w:b/>
          <w:sz w:val="24"/>
          <w:highlight w:val="none"/>
        </w:rPr>
      </w:pPr>
      <w:r>
        <w:rPr>
          <w:rFonts w:hint="eastAsia" w:ascii="宋体" w:hAnsi="宋体" w:cs="宋体"/>
          <w:b/>
          <w:sz w:val="24"/>
          <w:highlight w:val="none"/>
        </w:rPr>
        <w:t>四、售后服务及培训要求</w:t>
      </w:r>
    </w:p>
    <w:p w14:paraId="4857F8F3">
      <w:pPr>
        <w:adjustRightInd w:val="0"/>
        <w:spacing w:line="540" w:lineRule="exact"/>
        <w:ind w:firstLine="480" w:firstLineChars="200"/>
        <w:jc w:val="left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各专业相关人员持有效证件上岗，并配合采购人对突发事件、公共场所卫生及法律知识、防疫、消防、安全生产等相关知识内容的培训。</w:t>
      </w:r>
    </w:p>
    <w:p w14:paraId="031C8EAE">
      <w:pPr>
        <w:jc w:val="left"/>
        <w:rPr>
          <w:b/>
          <w:sz w:val="36"/>
          <w:szCs w:val="36"/>
          <w:highlight w:val="none"/>
        </w:rPr>
      </w:pPr>
    </w:p>
    <w:p w14:paraId="73B3CA04">
      <w:pPr>
        <w:adjustRightInd w:val="0"/>
        <w:spacing w:line="540" w:lineRule="exact"/>
        <w:jc w:val="left"/>
        <w:textAlignment w:val="baseline"/>
        <w:rPr>
          <w:rFonts w:ascii="宋体" w:hAnsi="宋体" w:cs="宋体"/>
          <w:b/>
          <w:sz w:val="24"/>
          <w:highlight w:val="none"/>
        </w:rPr>
      </w:pPr>
      <w:r>
        <w:rPr>
          <w:rFonts w:hint="eastAsia" w:ascii="宋体" w:hAnsi="宋体" w:cs="宋体"/>
          <w:b/>
          <w:sz w:val="24"/>
          <w:highlight w:val="none"/>
        </w:rPr>
        <w:t>五、政策性采购需求</w:t>
      </w:r>
    </w:p>
    <w:p w14:paraId="513CEFE5">
      <w:pPr>
        <w:spacing w:line="360" w:lineRule="auto"/>
        <w:ind w:firstLine="480" w:firstLineChars="200"/>
        <w:rPr>
          <w:rFonts w:ascii="宋体" w:hAnsi="宋体"/>
          <w:sz w:val="24"/>
          <w:highlight w:val="none"/>
        </w:rPr>
      </w:pPr>
      <w:r>
        <w:rPr>
          <w:rFonts w:ascii="宋体" w:hAnsi="宋体"/>
          <w:sz w:val="24"/>
          <w:highlight w:val="none"/>
        </w:rPr>
        <w:t>1</w:t>
      </w:r>
      <w:r>
        <w:rPr>
          <w:rFonts w:hint="eastAsia" w:ascii="宋体" w:hAnsi="宋体"/>
          <w:sz w:val="24"/>
          <w:highlight w:val="none"/>
        </w:rPr>
        <w:t>．为在项目中充分落实《政府采购法》规定的“政府采购应当有助于实现国家的经济和社会发展政策目标”等相关要求，以项目为载体推动北京市环境社会治理(ESG)体系高质量发展，请供应商提供在本项目中落实ESG理念的工作措施。</w:t>
      </w:r>
    </w:p>
    <w:p w14:paraId="3687796C">
      <w:pPr>
        <w:adjustRightInd w:val="0"/>
        <w:spacing w:line="540" w:lineRule="exact"/>
        <w:ind w:firstLine="360" w:firstLineChars="150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ascii="宋体" w:hAnsi="宋体" w:cs="宋体"/>
          <w:bCs/>
          <w:sz w:val="24"/>
          <w:highlight w:val="none"/>
        </w:rPr>
        <w:t>2</w:t>
      </w:r>
      <w:r>
        <w:rPr>
          <w:rFonts w:hint="eastAsia" w:ascii="宋体" w:hAnsi="宋体" w:cs="宋体"/>
          <w:bCs/>
          <w:sz w:val="24"/>
          <w:highlight w:val="none"/>
        </w:rPr>
        <w:t>．落实《北京市公共场所室内温度控制导则（试行）》（京发改〔2022〕1673号）关于公共建筑和空间的室内温度控制相关要求。</w:t>
      </w:r>
    </w:p>
    <w:p w14:paraId="4599656C">
      <w:pPr>
        <w:adjustRightInd w:val="0"/>
        <w:spacing w:line="540" w:lineRule="exact"/>
        <w:ind w:firstLine="360" w:firstLineChars="150"/>
        <w:textAlignment w:val="baseline"/>
        <w:rPr>
          <w:rFonts w:ascii="宋体" w:hAnsi="宋体" w:cs="宋体"/>
          <w:bCs/>
          <w:sz w:val="24"/>
          <w:highlight w:val="none"/>
        </w:rPr>
      </w:pPr>
      <w:r>
        <w:rPr>
          <w:rFonts w:ascii="宋体" w:hAnsi="宋体" w:cs="宋体"/>
          <w:bCs/>
          <w:sz w:val="24"/>
          <w:highlight w:val="none"/>
        </w:rPr>
        <w:t>3</w:t>
      </w:r>
      <w:r>
        <w:rPr>
          <w:rFonts w:hint="eastAsia" w:ascii="宋体" w:hAnsi="宋体" w:cs="宋体"/>
          <w:bCs/>
          <w:sz w:val="24"/>
          <w:highlight w:val="none"/>
        </w:rPr>
        <w:t>．照明系统建议落实《北京市党政机关、国有企事业单位办公建筑外观照明强化节能导则(试行)》(京发改〔2022〕88号）</w:t>
      </w:r>
      <w:r>
        <w:rPr>
          <w:rFonts w:ascii="宋体" w:hAnsi="宋体" w:cs="宋体"/>
          <w:bCs/>
          <w:sz w:val="24"/>
          <w:highlight w:val="none"/>
        </w:rPr>
        <w:t>。</w:t>
      </w:r>
    </w:p>
    <w:p w14:paraId="1B7AB82D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38BBD">
    <w:pPr>
      <w:widowControl w:val="0"/>
      <w:snapToGrid w:val="0"/>
      <w:jc w:val="left"/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4" name="矩形 41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64C680F">
                          <w:pPr>
                            <w:widowControl w:val="0"/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t>81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XW5UtAAAAAFAQAADwAAAAAAAAABACAAAAAiAAAAZHJzL2Rvd25yZXYueG1s&#10;UEsBAhQAFAAAAAgAh07iQNVejY3HAQAAoAMAAA4AAAAAAAAAAQAgAAAAHw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64C680F">
                    <w:pPr>
                      <w:widowControl w:val="0"/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t>81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28541"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E051BB"/>
    <w:multiLevelType w:val="singleLevel"/>
    <w:tmpl w:val="6AE051BB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6AE054A9"/>
    <w:multiLevelType w:val="singleLevel"/>
    <w:tmpl w:val="6AE054A9"/>
    <w:lvl w:ilvl="0" w:tentative="0">
      <w:start w:val="11"/>
      <w:numFmt w:val="decimal"/>
      <w:suff w:val="nothing"/>
      <w:lvlText w:val="（%1）"/>
      <w:lvlJc w:val="left"/>
    </w:lvl>
  </w:abstractNum>
  <w:abstractNum w:abstractNumId="2">
    <w:nsid w:val="6AE05532"/>
    <w:multiLevelType w:val="singleLevel"/>
    <w:tmpl w:val="6AE0553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341A4"/>
    <w:rsid w:val="193341A4"/>
    <w:rsid w:val="337315F0"/>
    <w:rsid w:val="3A2A6DA3"/>
    <w:rsid w:val="68257895"/>
    <w:rsid w:val="6E120394"/>
    <w:rsid w:val="724E0762"/>
    <w:rsid w:val="76BE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hAnsi="Arial" w:eastAsia="黑体" w:cs="Times New Roman"/>
      <w:b/>
      <w:kern w:val="0"/>
      <w:sz w:val="30"/>
      <w:szCs w:val="20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99"/>
    <w:pPr>
      <w:jc w:val="left"/>
    </w:pPr>
  </w:style>
  <w:style w:type="paragraph" w:styleId="4">
    <w:name w:val="Salutation"/>
    <w:next w:val="1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 w:line="360" w:lineRule="auto"/>
      <w:ind w:left="0" w:right="0"/>
      <w:jc w:val="both"/>
    </w:pPr>
    <w:rPr>
      <w:rFonts w:hint="default" w:ascii="Times New Roman" w:hAnsi="Times New Roman" w:eastAsia="仿宋" w:cs="Times New Roman"/>
      <w:kern w:val="2"/>
      <w:sz w:val="24"/>
      <w:szCs w:val="24"/>
      <w:lang w:val="en-US" w:eastAsia="zh-CN" w:bidi="ar"/>
    </w:rPr>
  </w:style>
  <w:style w:type="paragraph" w:styleId="5">
    <w:name w:val="Body Text"/>
    <w:qFormat/>
    <w:uiPriority w:val="0"/>
    <w:pPr>
      <w:widowControl w:val="0"/>
      <w:tabs>
        <w:tab w:val="left" w:pos="567"/>
      </w:tabs>
      <w:spacing w:before="120" w:line="22" w:lineRule="atLeast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paragraph" w:styleId="6">
    <w:name w:val="Body Text Indent"/>
    <w:next w:val="1"/>
    <w:qFormat/>
    <w:uiPriority w:val="0"/>
    <w:pPr>
      <w:widowControl w:val="0"/>
      <w:spacing w:line="360" w:lineRule="auto"/>
      <w:ind w:firstLine="57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7">
    <w:name w:val="Body Text First Indent 2"/>
    <w:qFormat/>
    <w:uiPriority w:val="0"/>
    <w:pPr>
      <w:widowControl w:val="0"/>
      <w:spacing w:after="120" w:line="480" w:lineRule="exact"/>
      <w:ind w:left="420" w:leftChars="200" w:firstLine="420" w:firstLineChars="200"/>
      <w:jc w:val="both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  <w:style w:type="table" w:styleId="9">
    <w:name w:val="Table Grid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">
    <w:name w:val="annotation reference"/>
    <w:qFormat/>
    <w:uiPriority w:val="99"/>
    <w:rPr>
      <w:sz w:val="21"/>
      <w:szCs w:val="21"/>
    </w:rPr>
  </w:style>
  <w:style w:type="paragraph" w:styleId="12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">
    <w:name w:val="font212"/>
    <w:qFormat/>
    <w:uiPriority w:val="0"/>
    <w:rPr>
      <w:rFonts w:ascii="宋体" w:hAnsi="宋体" w:eastAsia="宋体" w:cs="宋体"/>
      <w:color w:val="E0C070"/>
      <w:sz w:val="68"/>
      <w:szCs w:val="68"/>
      <w:u w:val="none"/>
    </w:rPr>
  </w:style>
  <w:style w:type="character" w:customStyle="1" w:styleId="14">
    <w:name w:val="font221"/>
    <w:qFormat/>
    <w:uiPriority w:val="0"/>
    <w:rPr>
      <w:rFonts w:ascii="宋体" w:hAnsi="宋体" w:eastAsia="宋体" w:cs="宋体"/>
      <w:color w:val="F0B050"/>
      <w:sz w:val="68"/>
      <w:szCs w:val="68"/>
      <w:u w:val="none"/>
    </w:rPr>
  </w:style>
  <w:style w:type="character" w:customStyle="1" w:styleId="15">
    <w:name w:val="font231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16">
    <w:name w:val="font191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7">
    <w:name w:val="font201"/>
    <w:qFormat/>
    <w:uiPriority w:val="0"/>
    <w:rPr>
      <w:rFonts w:hint="default" w:ascii="Arial" w:hAnsi="Arial" w:cs="Arial"/>
      <w:color w:val="000000"/>
      <w:sz w:val="15"/>
      <w:szCs w:val="15"/>
      <w:u w:val="none"/>
    </w:rPr>
  </w:style>
  <w:style w:type="character" w:customStyle="1" w:styleId="18">
    <w:name w:val="font341"/>
    <w:qFormat/>
    <w:uiPriority w:val="0"/>
    <w:rPr>
      <w:rFonts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9">
    <w:name w:val="font301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20">
    <w:name w:val="font291"/>
    <w:qFormat/>
    <w:uiPriority w:val="0"/>
    <w:rPr>
      <w:rFonts w:hint="default" w:ascii="Arial" w:hAnsi="Arial" w:cs="Arial"/>
      <w:color w:val="000000"/>
      <w:sz w:val="16"/>
      <w:szCs w:val="16"/>
      <w:u w:val="none"/>
    </w:rPr>
  </w:style>
  <w:style w:type="character" w:customStyle="1" w:styleId="21">
    <w:name w:val="font331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22">
    <w:name w:val="font351"/>
    <w:qFormat/>
    <w:uiPriority w:val="0"/>
    <w:rPr>
      <w:rFonts w:ascii="宋体" w:hAnsi="宋体" w:eastAsia="宋体" w:cs="宋体"/>
      <w:b/>
      <w:bCs/>
      <w:color w:val="000000"/>
      <w:sz w:val="26"/>
      <w:szCs w:val="26"/>
      <w:u w:val="none"/>
    </w:rPr>
  </w:style>
  <w:style w:type="character" w:customStyle="1" w:styleId="23">
    <w:name w:val="font37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24">
    <w:name w:val="font381"/>
    <w:qFormat/>
    <w:uiPriority w:val="0"/>
    <w:rPr>
      <w:rFonts w:ascii="宋体" w:hAnsi="宋体" w:eastAsia="宋体" w:cs="宋体"/>
      <w:b/>
      <w:bCs/>
      <w:color w:val="000000"/>
      <w:sz w:val="30"/>
      <w:szCs w:val="30"/>
      <w:u w:val="none"/>
    </w:rPr>
  </w:style>
  <w:style w:type="character" w:customStyle="1" w:styleId="25">
    <w:name w:val="font422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paragraph" w:customStyle="1" w:styleId="26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paragraph" w:customStyle="1" w:styleId="27">
    <w:name w:val="列表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4813</Words>
  <Characters>4994</Characters>
  <Lines>0</Lines>
  <Paragraphs>0</Paragraphs>
  <TotalTime>0</TotalTime>
  <ScaleCrop>false</ScaleCrop>
  <LinksUpToDate>false</LinksUpToDate>
  <CharactersWithSpaces>5029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2026-06-29T02:11:00Z</dcterms:created>
  <dc:creator>栋</dc:creator>
  <cp:lastModifiedBy>栋</cp:lastModifiedBy>
  <dcterms:modified xsi:type="dcterms:W3CDTF">2026-10-28T09:20:48Z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000CA6074A9E4212A8F6B56BAAE86944_11</vt:lpwstr>
  </property>
  <property fmtid="{D5CDD505-2E9C-101B-9397-08002B2CF9AE}" pid="4" name="KSOTemplateDocerSaveRecord">
    <vt:lpwstr>eyJoZGlkIjoiOTU5MTdjOGU3ZmY4YzIwMmE0NTgwNDBkMTdmMjJiYTUiLCJ1c2VySWQiOiI0NTA3NDAzODYifQ==</vt:lpwstr>
  </property>
</Properties>
</file>