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F1718">
      <w:pPr>
        <w:spacing w:beforeLines="-2147483648" w:afterLines="-2147483648" w:line="360" w:lineRule="auto"/>
        <w:jc w:val="center"/>
        <w:outlineLvl w:val="0"/>
        <w:rPr>
          <w:rFonts w:hint="default"/>
          <w:b/>
          <w:sz w:val="36"/>
          <w:szCs w:val="36"/>
          <w:highlight w:val="none"/>
        </w:rPr>
      </w:pPr>
      <w:r>
        <w:rPr>
          <w:rFonts w:hint="default"/>
          <w:b/>
          <w:sz w:val="36"/>
          <w:szCs w:val="36"/>
          <w:highlight w:val="none"/>
        </w:rPr>
        <w:t>采购需求</w:t>
      </w:r>
    </w:p>
    <w:p w14:paraId="02339A12">
      <w:pPr>
        <w:widowControl/>
        <w:snapToGrid w:val="0"/>
        <w:spacing w:beforeLines="-2147483648" w:afterLines="-2147483648" w:line="360" w:lineRule="auto"/>
        <w:ind w:firstLine="482" w:firstLineChars="200"/>
        <w:jc w:val="left"/>
        <w:rPr>
          <w:rFonts w:hint="default" w:ascii="仿宋" w:hAnsi="仿宋" w:eastAsia="仿宋" w:cs="仿宋"/>
          <w:b/>
          <w:sz w:val="24"/>
          <w:highlight w:val="none"/>
        </w:rPr>
      </w:pPr>
      <w:r>
        <w:rPr>
          <w:rFonts w:hint="eastAsia" w:ascii="仿宋" w:hAnsi="仿宋" w:eastAsia="仿宋" w:cs="仿宋"/>
          <w:b/>
          <w:sz w:val="24"/>
          <w:highlight w:val="none"/>
        </w:rPr>
        <w:t>一、采购标的</w:t>
      </w:r>
    </w:p>
    <w:p w14:paraId="0E2B0CA7">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（一）采购标的</w:t>
      </w:r>
    </w:p>
    <w:tbl>
      <w:tblPr>
        <w:tblStyle w:val="5"/>
        <w:tblW w:w="79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3448"/>
        <w:gridCol w:w="855"/>
        <w:gridCol w:w="855"/>
        <w:gridCol w:w="2174"/>
      </w:tblGrid>
      <w:tr w14:paraId="3C94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5" w:type="dxa"/>
            <w:vAlign w:val="center"/>
          </w:tcPr>
          <w:p w14:paraId="66E283F3">
            <w:pPr>
              <w:widowControl/>
              <w:spacing w:beforeLines="-2147483648" w:afterLines="-2147483648"/>
              <w:jc w:val="center"/>
              <w:rPr>
                <w:rFonts w:hint="default" w:ascii="仿宋" w:hAnsi="仿宋" w:eastAsia="仿宋" w:cs="宋体"/>
                <w:kern w:val="0"/>
                <w:sz w:val="24"/>
                <w:highlight w:val="none"/>
              </w:rPr>
            </w:pPr>
            <w:r>
              <w:rPr>
                <w:rFonts w:hint="eastAsia" w:ascii="仿宋" w:hAnsi="仿宋" w:eastAsia="仿宋" w:cs="宋体"/>
                <w:kern w:val="0"/>
                <w:sz w:val="24"/>
                <w:highlight w:val="none"/>
              </w:rPr>
              <w:t>包号</w:t>
            </w:r>
          </w:p>
        </w:tc>
        <w:tc>
          <w:tcPr>
            <w:tcW w:w="3448" w:type="dxa"/>
            <w:vAlign w:val="center"/>
          </w:tcPr>
          <w:p w14:paraId="7142EBD3">
            <w:pPr>
              <w:widowControl/>
              <w:spacing w:beforeLines="-2147483648" w:afterLines="-2147483648"/>
              <w:jc w:val="center"/>
              <w:rPr>
                <w:rFonts w:hint="default" w:ascii="仿宋" w:hAnsi="仿宋" w:eastAsia="仿宋" w:cs="宋体"/>
                <w:kern w:val="0"/>
                <w:sz w:val="24"/>
                <w:highlight w:val="none"/>
              </w:rPr>
            </w:pPr>
            <w:r>
              <w:rPr>
                <w:rFonts w:hint="eastAsia" w:ascii="仿宋" w:hAnsi="仿宋" w:eastAsia="仿宋" w:cs="宋体"/>
                <w:kern w:val="0"/>
                <w:sz w:val="24"/>
                <w:highlight w:val="none"/>
              </w:rPr>
              <w:t>标的名称</w:t>
            </w:r>
          </w:p>
        </w:tc>
        <w:tc>
          <w:tcPr>
            <w:tcW w:w="855" w:type="dxa"/>
            <w:vAlign w:val="center"/>
          </w:tcPr>
          <w:p w14:paraId="38E239C9">
            <w:pPr>
              <w:snapToGrid w:val="0"/>
              <w:spacing w:beforeLines="-2147483648" w:afterLines="-2147483648" w:line="360" w:lineRule="auto"/>
              <w:jc w:val="center"/>
              <w:rPr>
                <w:rFonts w:hint="default" w:ascii="仿宋" w:hAnsi="仿宋" w:eastAsia="仿宋" w:cs="仿宋"/>
                <w:bCs/>
                <w:sz w:val="24"/>
                <w:highlight w:val="none"/>
              </w:rPr>
            </w:pPr>
            <w:r>
              <w:rPr>
                <w:rFonts w:hint="eastAsia" w:ascii="仿宋" w:hAnsi="仿宋" w:eastAsia="仿宋" w:cs="仿宋"/>
                <w:bCs/>
                <w:sz w:val="24"/>
                <w:highlight w:val="none"/>
              </w:rPr>
              <w:t>数量</w:t>
            </w:r>
          </w:p>
        </w:tc>
        <w:tc>
          <w:tcPr>
            <w:tcW w:w="855" w:type="dxa"/>
            <w:vAlign w:val="center"/>
          </w:tcPr>
          <w:p w14:paraId="53AAC9FE">
            <w:pPr>
              <w:snapToGrid w:val="0"/>
              <w:spacing w:beforeLines="-2147483648" w:afterLines="-2147483648" w:line="360" w:lineRule="auto"/>
              <w:jc w:val="center"/>
              <w:rPr>
                <w:rFonts w:hint="default" w:ascii="仿宋" w:hAnsi="仿宋" w:eastAsia="仿宋" w:cs="仿宋"/>
                <w:bCs/>
                <w:sz w:val="24"/>
                <w:highlight w:val="none"/>
              </w:rPr>
            </w:pPr>
            <w:r>
              <w:rPr>
                <w:rFonts w:hint="eastAsia" w:ascii="仿宋" w:hAnsi="仿宋" w:eastAsia="仿宋" w:cs="仿宋"/>
                <w:bCs/>
                <w:sz w:val="24"/>
                <w:highlight w:val="none"/>
              </w:rPr>
              <w:t>单位</w:t>
            </w:r>
          </w:p>
        </w:tc>
        <w:tc>
          <w:tcPr>
            <w:tcW w:w="2174" w:type="dxa"/>
            <w:vAlign w:val="center"/>
          </w:tcPr>
          <w:p w14:paraId="0005B9D0">
            <w:pPr>
              <w:widowControl/>
              <w:spacing w:beforeLines="-2147483648" w:afterLines="-2147483648"/>
              <w:jc w:val="center"/>
              <w:rPr>
                <w:rFonts w:hint="default" w:ascii="仿宋" w:hAnsi="仿宋" w:eastAsia="仿宋" w:cs="宋体"/>
                <w:kern w:val="0"/>
                <w:sz w:val="24"/>
                <w:highlight w:val="none"/>
              </w:rPr>
            </w:pPr>
            <w:r>
              <w:rPr>
                <w:rFonts w:hint="eastAsia" w:ascii="仿宋" w:hAnsi="仿宋" w:eastAsia="仿宋" w:cs="宋体"/>
                <w:kern w:val="0"/>
                <w:sz w:val="24"/>
                <w:highlight w:val="none"/>
              </w:rPr>
              <w:t>是否接受进口产品</w:t>
            </w:r>
          </w:p>
        </w:tc>
      </w:tr>
      <w:tr w14:paraId="2895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655" w:type="dxa"/>
            <w:noWrap/>
            <w:vAlign w:val="center"/>
          </w:tcPr>
          <w:p w14:paraId="5EF45D21">
            <w:pPr>
              <w:widowControl/>
              <w:spacing w:beforeLines="-2147483648" w:afterLines="-2147483648"/>
              <w:jc w:val="center"/>
              <w:rPr>
                <w:rFonts w:hint="default" w:ascii="仿宋" w:hAnsi="仿宋" w:eastAsia="仿宋" w:cs="宋体"/>
                <w:kern w:val="0"/>
                <w:sz w:val="24"/>
                <w:highlight w:val="none"/>
              </w:rPr>
            </w:pPr>
            <w:r>
              <w:rPr>
                <w:rFonts w:hint="eastAsia" w:ascii="仿宋" w:hAnsi="仿宋" w:eastAsia="仿宋" w:cs="仿宋"/>
                <w:bCs/>
                <w:szCs w:val="21"/>
                <w:highlight w:val="none"/>
              </w:rPr>
              <w:t>1</w:t>
            </w:r>
          </w:p>
        </w:tc>
        <w:tc>
          <w:tcPr>
            <w:tcW w:w="3448" w:type="dxa"/>
            <w:vAlign w:val="center"/>
          </w:tcPr>
          <w:p w14:paraId="04A64711">
            <w:pPr>
              <w:widowControl/>
              <w:spacing w:beforeLines="-2147483648" w:afterLines="-2147483648"/>
              <w:jc w:val="center"/>
              <w:rPr>
                <w:rFonts w:hint="default" w:ascii="仿宋" w:hAnsi="仿宋" w:eastAsia="仿宋" w:cs="宋体"/>
                <w:kern w:val="0"/>
                <w:sz w:val="24"/>
                <w:highlight w:val="none"/>
              </w:rPr>
            </w:pPr>
            <w:r>
              <w:rPr>
                <w:rFonts w:hint="eastAsia" w:ascii="仿宋" w:hAnsi="仿宋" w:eastAsia="仿宋" w:cs="仿宋"/>
                <w:bCs/>
                <w:szCs w:val="21"/>
                <w:highlight w:val="none"/>
              </w:rPr>
              <w:t>超融合一体机</w:t>
            </w:r>
          </w:p>
        </w:tc>
        <w:tc>
          <w:tcPr>
            <w:tcW w:w="855" w:type="dxa"/>
            <w:vAlign w:val="center"/>
          </w:tcPr>
          <w:p w14:paraId="371681D1">
            <w:pPr>
              <w:spacing w:beforeLines="-2147483648" w:afterLines="-2147483648"/>
              <w:jc w:val="center"/>
              <w:rPr>
                <w:rFonts w:hint="default" w:ascii="仿宋" w:hAnsi="仿宋" w:eastAsia="仿宋" w:cs="宋体"/>
                <w:kern w:val="0"/>
                <w:sz w:val="24"/>
                <w:highlight w:val="none"/>
              </w:rPr>
            </w:pPr>
            <w:r>
              <w:rPr>
                <w:rFonts w:hint="default" w:ascii="仿宋" w:hAnsi="仿宋" w:eastAsia="仿宋" w:cs="仿宋"/>
                <w:bCs/>
                <w:szCs w:val="21"/>
                <w:highlight w:val="none"/>
              </w:rPr>
              <w:t>3</w:t>
            </w:r>
          </w:p>
        </w:tc>
        <w:tc>
          <w:tcPr>
            <w:tcW w:w="855" w:type="dxa"/>
            <w:noWrap/>
            <w:vAlign w:val="center"/>
          </w:tcPr>
          <w:p w14:paraId="635C6A85">
            <w:pPr>
              <w:spacing w:beforeLines="-2147483648" w:afterLines="-2147483648"/>
              <w:jc w:val="center"/>
              <w:rPr>
                <w:rFonts w:hint="default" w:ascii="仿宋" w:hAnsi="仿宋" w:eastAsia="仿宋" w:cs="宋体"/>
                <w:kern w:val="0"/>
                <w:sz w:val="24"/>
                <w:highlight w:val="none"/>
              </w:rPr>
            </w:pPr>
            <w:r>
              <w:rPr>
                <w:rFonts w:hint="eastAsia" w:ascii="仿宋" w:hAnsi="仿宋" w:eastAsia="仿宋" w:cs="仿宋"/>
                <w:bCs/>
                <w:szCs w:val="21"/>
                <w:highlight w:val="none"/>
              </w:rPr>
              <w:t>台</w:t>
            </w:r>
          </w:p>
        </w:tc>
        <w:tc>
          <w:tcPr>
            <w:tcW w:w="2174" w:type="dxa"/>
            <w:vAlign w:val="center"/>
          </w:tcPr>
          <w:p w14:paraId="236475AD">
            <w:pPr>
              <w:widowControl/>
              <w:spacing w:beforeLines="-2147483648" w:afterLines="-2147483648"/>
              <w:jc w:val="center"/>
              <w:rPr>
                <w:rFonts w:hint="default" w:ascii="仿宋" w:hAnsi="仿宋" w:eastAsia="仿宋" w:cs="宋体"/>
                <w:kern w:val="0"/>
                <w:sz w:val="24"/>
                <w:highlight w:val="none"/>
              </w:rPr>
            </w:pPr>
            <w:r>
              <w:rPr>
                <w:rFonts w:hint="default" w:ascii="仿宋" w:hAnsi="仿宋" w:eastAsia="仿宋" w:cs="宋体"/>
                <w:kern w:val="0"/>
                <w:sz w:val="24"/>
                <w:highlight w:val="none"/>
              </w:rPr>
              <w:t>否</w:t>
            </w:r>
          </w:p>
        </w:tc>
      </w:tr>
    </w:tbl>
    <w:p w14:paraId="78EF935B">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（二）项目背景/项目概述</w:t>
      </w:r>
    </w:p>
    <w:p w14:paraId="617BE75E">
      <w:pPr>
        <w:snapToGrid w:val="0"/>
        <w:spacing w:beforeLines="-2147483648" w:afterLines="-2147483648" w:line="360" w:lineRule="auto"/>
        <w:ind w:firstLine="480" w:firstLineChars="200"/>
        <w:rPr>
          <w:rFonts w:hint="eastAsia" w:ascii="仿宋" w:hAnsi="仿宋" w:eastAsia="仿宋" w:cs="仿宋"/>
          <w:bCs/>
          <w:sz w:val="24"/>
          <w:highlight w:val="none"/>
        </w:rPr>
      </w:pPr>
      <w:r>
        <w:rPr>
          <w:rFonts w:hint="eastAsia" w:ascii="仿宋" w:hAnsi="仿宋" w:eastAsia="仿宋" w:cs="仿宋"/>
          <w:bCs/>
          <w:sz w:val="24"/>
          <w:highlight w:val="none"/>
        </w:rPr>
        <w:t>近年来我院数据总量快速增长，新增数据因云上存储空间不足无法入库，现有网络环境存在两大问题：一是海量原始数据跨端传输慢，影响业务所调用分析，难以发挥数据价值；二是数据传输存在安全隐患，云服务租用成本持续攀升，现有配置难以承载大规模数据处理应用，制约平台效能。据此，</w:t>
      </w:r>
      <w:r>
        <w:rPr>
          <w:rFonts w:hint="eastAsia" w:ascii="仿宋" w:hAnsi="仿宋" w:eastAsia="仿宋" w:cs="仿宋"/>
          <w:bCs/>
          <w:sz w:val="24"/>
          <w:highlight w:val="none"/>
          <w:lang w:eastAsia="zh-CN"/>
        </w:rPr>
        <w:t>特</w:t>
      </w:r>
      <w:r>
        <w:rPr>
          <w:rFonts w:hint="eastAsia" w:ascii="仿宋" w:hAnsi="仿宋" w:eastAsia="仿宋" w:cs="仿宋"/>
          <w:bCs/>
          <w:sz w:val="24"/>
          <w:highlight w:val="none"/>
        </w:rPr>
        <w:t>采购基于互联网环境下的规划大数据IT资源</w:t>
      </w:r>
      <w:r>
        <w:rPr>
          <w:rFonts w:hint="eastAsia" w:ascii="仿宋" w:hAnsi="仿宋" w:eastAsia="仿宋" w:cs="仿宋"/>
          <w:bCs/>
          <w:sz w:val="24"/>
          <w:highlight w:val="none"/>
          <w:lang w:eastAsia="zh-CN"/>
        </w:rPr>
        <w:t>，</w:t>
      </w:r>
      <w:r>
        <w:rPr>
          <w:rFonts w:hint="eastAsia" w:ascii="仿宋" w:hAnsi="仿宋" w:eastAsia="仿宋" w:cs="仿宋"/>
          <w:bCs/>
          <w:sz w:val="24"/>
          <w:highlight w:val="none"/>
        </w:rPr>
        <w:t>完成本地化部署。</w:t>
      </w:r>
    </w:p>
    <w:p w14:paraId="317BDB00">
      <w:pPr>
        <w:snapToGrid w:val="0"/>
        <w:spacing w:beforeLines="-2147483648" w:afterLines="-2147483648" w:line="360" w:lineRule="auto"/>
        <w:ind w:firstLine="482" w:firstLineChars="200"/>
        <w:rPr>
          <w:rFonts w:hint="default" w:ascii="仿宋" w:hAnsi="仿宋" w:eastAsia="仿宋" w:cs="仿宋"/>
          <w:b/>
          <w:bCs/>
          <w:sz w:val="24"/>
          <w:highlight w:val="none"/>
        </w:rPr>
      </w:pPr>
      <w:r>
        <w:rPr>
          <w:rFonts w:hint="eastAsia" w:ascii="仿宋" w:hAnsi="仿宋" w:eastAsia="仿宋" w:cs="仿宋"/>
          <w:b/>
          <w:bCs/>
          <w:sz w:val="24"/>
          <w:highlight w:val="none"/>
        </w:rPr>
        <w:t>二、商务要求</w:t>
      </w:r>
    </w:p>
    <w:p w14:paraId="2ADF3459">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（一</w:t>
      </w:r>
      <w:bookmarkStart w:id="0" w:name="_GoBack"/>
      <w:bookmarkEnd w:id="0"/>
      <w:r>
        <w:rPr>
          <w:rFonts w:hint="eastAsia" w:ascii="仿宋" w:hAnsi="仿宋" w:eastAsia="仿宋" w:cs="仿宋"/>
          <w:bCs/>
          <w:sz w:val="24"/>
          <w:highlight w:val="none"/>
        </w:rPr>
        <w:t>）交付（实施）的时间（期限）和地点（范围）</w:t>
      </w:r>
    </w:p>
    <w:p w14:paraId="6C4A0DCF">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1、交付时间：整个项目需在签订合同1个月内按照</w:t>
      </w:r>
      <w:r>
        <w:rPr>
          <w:rFonts w:hint="eastAsia" w:ascii="仿宋" w:hAnsi="仿宋" w:eastAsia="仿宋" w:cs="仿宋"/>
          <w:bCs/>
          <w:sz w:val="24"/>
          <w:highlight w:val="none"/>
          <w:lang w:eastAsia="zh-CN"/>
        </w:rPr>
        <w:t>采购人</w:t>
      </w:r>
      <w:r>
        <w:rPr>
          <w:rFonts w:hint="eastAsia" w:ascii="仿宋" w:hAnsi="仿宋" w:eastAsia="仿宋" w:cs="仿宋"/>
          <w:bCs/>
          <w:sz w:val="24"/>
          <w:highlight w:val="none"/>
        </w:rPr>
        <w:t>的技术和功能要求进行完整交付。</w:t>
      </w:r>
    </w:p>
    <w:p w14:paraId="0F10E7A9">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2、交付地点：</w:t>
      </w:r>
    </w:p>
    <w:p w14:paraId="01351E05">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（二）付款条件（进度和方式）</w:t>
      </w:r>
    </w:p>
    <w:p w14:paraId="5F59611C">
      <w:pPr>
        <w:snapToGrid w:val="0"/>
        <w:spacing w:beforeLines="-2147483648" w:afterLines="-2147483648" w:line="360" w:lineRule="auto"/>
        <w:ind w:firstLine="480" w:firstLineChars="200"/>
        <w:rPr>
          <w:rFonts w:hint="default" w:ascii="仿宋" w:hAnsi="仿宋" w:eastAsia="仿宋" w:cs="仿宋"/>
          <w:bCs/>
          <w:kern w:val="2"/>
          <w:sz w:val="24"/>
          <w:szCs w:val="24"/>
          <w:highlight w:val="none"/>
          <w:lang w:bidi="ar-SA"/>
        </w:rPr>
      </w:pPr>
      <w:r>
        <w:rPr>
          <w:rFonts w:hint="eastAsia" w:ascii="仿宋" w:hAnsi="仿宋" w:eastAsia="仿宋" w:cs="仿宋"/>
          <w:bCs/>
          <w:kern w:val="2"/>
          <w:sz w:val="24"/>
          <w:szCs w:val="24"/>
          <w:highlight w:val="none"/>
          <w:lang w:eastAsia="zh-CN" w:bidi="ar-SA"/>
        </w:rPr>
        <w:t>合同签订</w:t>
      </w:r>
      <w:r>
        <w:rPr>
          <w:rFonts w:hint="default" w:ascii="仿宋" w:hAnsi="仿宋" w:eastAsia="仿宋" w:cs="仿宋"/>
          <w:bCs/>
          <w:kern w:val="2"/>
          <w:sz w:val="24"/>
          <w:szCs w:val="24"/>
          <w:highlight w:val="none"/>
          <w:lang w:bidi="ar-SA"/>
        </w:rPr>
        <w:t>后，采购人预付合同总价款的50%，采购人支付该笔款项前，中标人需向采购人提供同等金额的增值税专用发票；</w:t>
      </w:r>
    </w:p>
    <w:p w14:paraId="20F32DD1">
      <w:pPr>
        <w:widowControl w:val="0"/>
        <w:bidi w:val="0"/>
        <w:spacing w:beforeLines="-2147483648" w:afterLines="-2147483648" w:line="360" w:lineRule="auto"/>
        <w:ind w:firstLine="480" w:firstLineChars="200"/>
        <w:jc w:val="both"/>
        <w:rPr>
          <w:rFonts w:hint="eastAsia" w:ascii="Times New Roman" w:hAnsi="Times New Roman" w:eastAsia="宋体" w:cs="Times New Roman"/>
          <w:highlight w:val="none"/>
          <w:lang w:eastAsia="zh-CN"/>
        </w:rPr>
      </w:pPr>
      <w:r>
        <w:rPr>
          <w:rFonts w:hint="eastAsia" w:ascii="仿宋" w:hAnsi="仿宋" w:eastAsia="仿宋" w:cs="仿宋"/>
          <w:bCs/>
          <w:kern w:val="2"/>
          <w:sz w:val="24"/>
          <w:szCs w:val="24"/>
          <w:highlight w:val="none"/>
          <w:lang w:bidi="ar-SA"/>
        </w:rPr>
        <w:t>中标人把全部货物发送至采购人指定地点，经采购人验收后</w:t>
      </w:r>
      <w:r>
        <w:rPr>
          <w:rFonts w:hint="eastAsia" w:ascii="仿宋" w:hAnsi="仿宋" w:eastAsia="仿宋" w:cs="仿宋"/>
          <w:bCs/>
          <w:kern w:val="2"/>
          <w:sz w:val="24"/>
          <w:szCs w:val="24"/>
          <w:highlight w:val="none"/>
          <w:lang w:eastAsia="zh-CN" w:bidi="ar-SA"/>
        </w:rPr>
        <w:t>，</w:t>
      </w:r>
      <w:r>
        <w:rPr>
          <w:rFonts w:hint="eastAsia" w:ascii="仿宋" w:hAnsi="仿宋" w:eastAsia="仿宋" w:cs="仿宋"/>
          <w:bCs/>
          <w:kern w:val="2"/>
          <w:sz w:val="24"/>
          <w:szCs w:val="24"/>
          <w:highlight w:val="none"/>
          <w:lang w:bidi="ar-SA"/>
        </w:rPr>
        <w:t>采购人支付合同款的50%，</w:t>
      </w:r>
      <w:r>
        <w:rPr>
          <w:rFonts w:hint="default" w:ascii="仿宋" w:hAnsi="仿宋" w:eastAsia="仿宋" w:cs="仿宋"/>
          <w:bCs/>
          <w:kern w:val="2"/>
          <w:sz w:val="24"/>
          <w:szCs w:val="24"/>
          <w:highlight w:val="none"/>
          <w:lang w:bidi="ar-SA"/>
        </w:rPr>
        <w:t>采购人支付该笔款项前，中标人需向采购人提供同等金额的增值税专用发票；</w:t>
      </w:r>
    </w:p>
    <w:p w14:paraId="1F3D42EB">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（三）包装和运输</w:t>
      </w:r>
    </w:p>
    <w:p w14:paraId="3CB28DD8">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投标产品的包装应符合《财政部等三部门联合印发商品包装和快递包装政府采购需求标准（试行）》（财办库〔2020〕123号）的规定。</w:t>
      </w:r>
    </w:p>
    <w:p w14:paraId="5C9C594F">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（四）售后服务（质保期）</w:t>
      </w:r>
    </w:p>
    <w:p w14:paraId="4236D9DA">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1、服务网络标准：所投设备的原厂需在项目运行地点有服务能力。</w:t>
      </w:r>
    </w:p>
    <w:p w14:paraId="55B51D6D">
      <w:pPr>
        <w:snapToGrid w:val="0"/>
        <w:spacing w:beforeLines="-2147483648" w:afterLines="-2147483648" w:line="360" w:lineRule="auto"/>
        <w:ind w:firstLine="480" w:firstLineChars="200"/>
        <w:rPr>
          <w:rFonts w:hint="default" w:ascii="仿宋" w:hAnsi="仿宋" w:eastAsia="仿宋" w:cs="仿宋"/>
          <w:b/>
          <w:bCs/>
          <w:sz w:val="24"/>
          <w:highlight w:val="none"/>
        </w:rPr>
      </w:pPr>
      <w:r>
        <w:rPr>
          <w:rFonts w:hint="eastAsia" w:ascii="仿宋" w:hAnsi="仿宋" w:eastAsia="仿宋" w:cs="仿宋"/>
          <w:bCs/>
          <w:sz w:val="24"/>
          <w:highlight w:val="none"/>
        </w:rPr>
        <w:t>2、集成标准：符合国家及行业等相关建设标准，同时还应满足国家相关的法律法规。方案中应体现高性能、高标准、高安全和技术先进性。</w:t>
      </w:r>
    </w:p>
    <w:p w14:paraId="537F4921">
      <w:pPr>
        <w:snapToGrid w:val="0"/>
        <w:spacing w:beforeLines="-2147483648" w:afterLines="-2147483648" w:line="360" w:lineRule="auto"/>
        <w:ind w:firstLine="482" w:firstLineChars="200"/>
        <w:rPr>
          <w:rFonts w:hint="default" w:ascii="仿宋" w:hAnsi="仿宋" w:eastAsia="仿宋" w:cs="仿宋"/>
          <w:b/>
          <w:bCs/>
          <w:sz w:val="24"/>
          <w:highlight w:val="none"/>
        </w:rPr>
      </w:pPr>
      <w:r>
        <w:rPr>
          <w:rFonts w:hint="eastAsia" w:ascii="仿宋" w:hAnsi="仿宋" w:eastAsia="仿宋" w:cs="仿宋"/>
          <w:b/>
          <w:bCs/>
          <w:sz w:val="24"/>
          <w:highlight w:val="none"/>
        </w:rPr>
        <w:t>三、技术要求</w:t>
      </w:r>
    </w:p>
    <w:p w14:paraId="0462AC40">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（一）基本要求</w:t>
      </w:r>
    </w:p>
    <w:p w14:paraId="54437457">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1、采购标的需实现的功能或者目标</w:t>
      </w:r>
    </w:p>
    <w:p w14:paraId="1BE75DD4">
      <w:pPr>
        <w:snapToGrid w:val="0"/>
        <w:spacing w:beforeLines="-2147483648" w:afterLines="-2147483648" w:line="360" w:lineRule="auto"/>
        <w:ind w:firstLine="480" w:firstLineChars="200"/>
        <w:rPr>
          <w:rFonts w:hint="eastAsia" w:ascii="仿宋" w:hAnsi="仿宋" w:eastAsia="仿宋" w:cs="Times New Roman"/>
          <w:sz w:val="24"/>
          <w:highlight w:val="none"/>
        </w:rPr>
      </w:pPr>
      <w:r>
        <w:rPr>
          <w:rFonts w:hint="eastAsia" w:ascii="仿宋" w:hAnsi="仿宋" w:eastAsia="仿宋" w:cs="Times New Roman"/>
          <w:sz w:val="24"/>
          <w:highlight w:val="none"/>
        </w:rPr>
        <w:t>本项目采购 3 台超融合一体机，建设一体化虚拟化基础平台，整合计算、存储、网络虚拟化资源，替代传统服务器 + 独立存储架构，为本单位业务系统、虚拟机业务、数据存储提供稳定、高效、可靠的底层 IT 基础设施支撑。</w:t>
      </w:r>
    </w:p>
    <w:p w14:paraId="2112A179">
      <w:pPr>
        <w:snapToGrid w:val="0"/>
        <w:spacing w:beforeLines="-2147483648" w:afterLines="-2147483648" w:line="360" w:lineRule="auto"/>
        <w:ind w:firstLine="480" w:firstLineChars="200"/>
        <w:rPr>
          <w:rFonts w:hint="eastAsia" w:ascii="仿宋" w:hAnsi="仿宋" w:eastAsia="仿宋" w:cs="Times New Roman"/>
          <w:sz w:val="24"/>
          <w:highlight w:val="none"/>
        </w:rPr>
      </w:pPr>
      <w:r>
        <w:rPr>
          <w:rFonts w:hint="eastAsia" w:ascii="仿宋" w:hAnsi="仿宋" w:eastAsia="仿宋" w:cs="Times New Roman"/>
          <w:sz w:val="24"/>
          <w:highlight w:val="none"/>
        </w:rPr>
        <w:t>(1)资源整合目标：通过超融合架构，将 3 台一体机的计算、存储、网络资源池化，实现资源统一调度、统一管理，支持虚拟机快速部署、弹性分配 CPU、内存、存储资源，提升硬件资源利用率，降低运维复杂度。</w:t>
      </w:r>
    </w:p>
    <w:p w14:paraId="20EE632B">
      <w:pPr>
        <w:snapToGrid w:val="0"/>
        <w:spacing w:beforeLines="-2147483648" w:afterLines="-2147483648" w:line="360" w:lineRule="auto"/>
        <w:ind w:firstLine="480" w:firstLineChars="200"/>
        <w:rPr>
          <w:rFonts w:hint="eastAsia" w:ascii="仿宋" w:hAnsi="仿宋" w:eastAsia="仿宋" w:cs="Times New Roman"/>
          <w:sz w:val="24"/>
          <w:highlight w:val="none"/>
        </w:rPr>
      </w:pPr>
      <w:r>
        <w:rPr>
          <w:rFonts w:hint="eastAsia" w:ascii="仿宋" w:hAnsi="仿宋" w:eastAsia="仿宋" w:cs="Times New Roman"/>
          <w:sz w:val="24"/>
          <w:highlight w:val="none"/>
        </w:rPr>
        <w:t>(2)业务高可用目标：平台具备故障自愈能力，单台节点硬件故障时，业务虚拟机自动漂移，保障业务连续运行；支持数据多副本机制，避免数据丢失，满足单位核心业务运行可靠性要求。</w:t>
      </w:r>
    </w:p>
    <w:p w14:paraId="3ABA1CE0">
      <w:pPr>
        <w:snapToGrid w:val="0"/>
        <w:spacing w:beforeLines="-2147483648" w:afterLines="-2147483648" w:line="360" w:lineRule="auto"/>
        <w:ind w:firstLine="480" w:firstLineChars="200"/>
        <w:rPr>
          <w:rFonts w:hint="eastAsia" w:ascii="仿宋" w:hAnsi="仿宋" w:eastAsia="仿宋" w:cs="Times New Roman"/>
          <w:sz w:val="24"/>
          <w:highlight w:val="none"/>
        </w:rPr>
      </w:pPr>
      <w:r>
        <w:rPr>
          <w:rFonts w:hint="eastAsia" w:ascii="仿宋" w:hAnsi="仿宋" w:eastAsia="仿宋" w:cs="Times New Roman"/>
          <w:sz w:val="24"/>
          <w:highlight w:val="none"/>
        </w:rPr>
        <w:t>(3)数据存储与安全目标：实现业务数据集中存储管理，支持数据快照、备份、恢复能力；满足网络安全、数据安全相关规范要求，具备权限管控、日志审计能力，保障业务数据安全。</w:t>
      </w:r>
    </w:p>
    <w:p w14:paraId="615440D4">
      <w:pPr>
        <w:snapToGrid w:val="0"/>
        <w:spacing w:beforeLines="-2147483648" w:afterLines="-2147483648" w:line="360" w:lineRule="auto"/>
        <w:ind w:firstLine="480" w:firstLineChars="200"/>
        <w:rPr>
          <w:rFonts w:hint="eastAsia" w:ascii="仿宋" w:hAnsi="仿宋" w:eastAsia="仿宋" w:cs="Times New Roman"/>
          <w:sz w:val="24"/>
          <w:highlight w:val="none"/>
        </w:rPr>
      </w:pPr>
      <w:r>
        <w:rPr>
          <w:rFonts w:hint="eastAsia" w:ascii="仿宋" w:hAnsi="仿宋" w:eastAsia="仿宋" w:cs="Times New Roman"/>
          <w:sz w:val="24"/>
          <w:highlight w:val="none"/>
        </w:rPr>
        <w:t>(4)运维管理目标：提供统一可视化管理界面，实现对计算节点、存储、虚拟机、告警、性能监控集中运维管理，简化日常运维工作，降低运维成本。</w:t>
      </w:r>
    </w:p>
    <w:p w14:paraId="6428B012">
      <w:pPr>
        <w:snapToGrid w:val="0"/>
        <w:spacing w:beforeLines="-2147483648" w:afterLines="-2147483648" w:line="360" w:lineRule="auto"/>
        <w:ind w:firstLine="480" w:firstLineChars="200"/>
        <w:rPr>
          <w:rFonts w:hint="eastAsia" w:ascii="仿宋" w:hAnsi="仿宋" w:eastAsia="仿宋" w:cs="Times New Roman"/>
          <w:sz w:val="24"/>
          <w:highlight w:val="none"/>
        </w:rPr>
      </w:pPr>
      <w:r>
        <w:rPr>
          <w:rFonts w:hint="eastAsia" w:ascii="仿宋" w:hAnsi="仿宋" w:eastAsia="仿宋" w:cs="Times New Roman"/>
          <w:sz w:val="24"/>
          <w:highlight w:val="none"/>
        </w:rPr>
        <w:t>(5)扩展兼容目标：平台架构支持后续横向扩容，可新增节点平滑扩展计算与存储能力；兼容现有业务操作系统，保障现有业务平滑迁移部署。</w:t>
      </w:r>
    </w:p>
    <w:p w14:paraId="2A278A9A">
      <w:pPr>
        <w:snapToGrid w:val="0"/>
        <w:spacing w:beforeLines="-2147483648" w:afterLines="-2147483648" w:line="360" w:lineRule="auto"/>
        <w:ind w:firstLine="480" w:firstLineChars="200"/>
        <w:rPr>
          <w:rFonts w:hint="default" w:ascii="仿宋" w:hAnsi="仿宋" w:eastAsia="仿宋" w:cs="Times New Roman"/>
          <w:sz w:val="24"/>
          <w:highlight w:val="none"/>
        </w:rPr>
      </w:pPr>
      <w:r>
        <w:rPr>
          <w:rFonts w:hint="eastAsia" w:ascii="仿宋" w:hAnsi="仿宋" w:eastAsia="仿宋" w:cs="Times New Roman"/>
          <w:sz w:val="24"/>
          <w:highlight w:val="none"/>
        </w:rPr>
        <w:t>总体建设目标：建成一套稳定可靠、易于运维、可平滑扩展的虚拟化基础设施平台，满足当前业务承载需求，兼顾未来业务增长，保障单位业务系统安全、稳定、持续运行。</w:t>
      </w:r>
    </w:p>
    <w:p w14:paraId="600E66E5">
      <w:pPr>
        <w:numPr>
          <w:ilvl w:val="0"/>
          <w:numId w:val="1"/>
        </w:numPr>
        <w:snapToGrid w:val="0"/>
        <w:spacing w:beforeLines="-2147483648" w:afterLines="-2147483648" w:line="360" w:lineRule="auto"/>
        <w:ind w:firstLine="480" w:firstLineChars="200"/>
        <w:rPr>
          <w:rFonts w:hint="eastAsia" w:ascii="仿宋" w:hAnsi="仿宋" w:eastAsia="仿宋" w:cs="仿宋"/>
          <w:bCs/>
          <w:sz w:val="24"/>
          <w:highlight w:val="none"/>
        </w:rPr>
      </w:pPr>
      <w:r>
        <w:rPr>
          <w:rFonts w:hint="eastAsia" w:ascii="仿宋" w:hAnsi="仿宋" w:eastAsia="仿宋" w:cs="仿宋"/>
          <w:bCs/>
          <w:sz w:val="24"/>
          <w:highlight w:val="none"/>
        </w:rPr>
        <w:t>需执行的国家相关标准、行业标准、地方标准或者其他标准、规范</w:t>
      </w:r>
    </w:p>
    <w:p w14:paraId="16DDBCC4">
      <w:pPr>
        <w:numPr>
          <w:ilvl w:val="0"/>
          <w:numId w:val="0"/>
        </w:num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default" w:ascii="仿宋" w:hAnsi="仿宋" w:eastAsia="仿宋" w:cs="仿宋"/>
          <w:bCs/>
          <w:sz w:val="24"/>
          <w:highlight w:val="none"/>
        </w:rPr>
        <w:t>符合国家相关要求及规定</w:t>
      </w:r>
    </w:p>
    <w:p w14:paraId="0F13651C">
      <w:pPr>
        <w:snapToGrid w:val="0"/>
        <w:spacing w:beforeLines="-2147483648" w:afterLines="-2147483648" w:line="360" w:lineRule="auto"/>
        <w:ind w:firstLine="480" w:firstLineChars="200"/>
        <w:rPr>
          <w:rFonts w:hint="eastAsia" w:ascii="仿宋" w:hAnsi="仿宋" w:eastAsia="仿宋" w:cs="仿宋"/>
          <w:bCs/>
          <w:sz w:val="24"/>
          <w:highlight w:val="none"/>
        </w:rPr>
      </w:pPr>
      <w:r>
        <w:rPr>
          <w:rFonts w:hint="eastAsia" w:ascii="仿宋" w:hAnsi="仿宋" w:eastAsia="仿宋" w:cs="仿宋"/>
          <w:bCs/>
          <w:sz w:val="24"/>
          <w:highlight w:val="none"/>
        </w:rPr>
        <w:t>GB/T 45399‑2025《信息技术 云计算 超融合系统通用技术要求》</w:t>
      </w:r>
    </w:p>
    <w:p w14:paraId="19E4790F">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GB/T 32399‑2024《信息技术 云计算 参考架构》</w:t>
      </w:r>
    </w:p>
    <w:p w14:paraId="1A9F9042">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（二）服务内容及要求/货物技术要求</w:t>
      </w:r>
    </w:p>
    <w:p w14:paraId="008B278D">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1、采购标的需满足的性能、材料、结构、外观、质量、安全、技术规格、物理特性等要求：</w:t>
      </w:r>
    </w:p>
    <w:p w14:paraId="13C55991">
      <w:pPr>
        <w:keepNext/>
        <w:keepLines/>
        <w:tabs>
          <w:tab w:val="left" w:pos="5812"/>
        </w:tabs>
        <w:spacing w:beforeLines="-2147483648" w:afterLines="-2147483648" w:line="540" w:lineRule="exact"/>
        <w:outlineLvl w:val="2"/>
        <w:rPr>
          <w:rFonts w:hint="eastAsia" w:ascii="仿宋" w:hAnsi="仿宋" w:eastAsia="仿宋" w:cs="仿宋"/>
          <w:b/>
          <w:bCs/>
          <w:sz w:val="24"/>
          <w:highlight w:val="none"/>
        </w:rPr>
      </w:pPr>
      <w:r>
        <w:rPr>
          <w:rFonts w:hint="eastAsia" w:ascii="仿宋" w:hAnsi="仿宋" w:eastAsia="仿宋" w:cs="仿宋"/>
          <w:b/>
          <w:bCs/>
          <w:sz w:val="24"/>
          <w:highlight w:val="none"/>
        </w:rPr>
        <w:t>1.</w:t>
      </w:r>
      <w:r>
        <w:rPr>
          <w:rFonts w:hint="default" w:ascii="仿宋" w:hAnsi="仿宋" w:eastAsia="仿宋" w:cs="仿宋"/>
          <w:b/>
          <w:bCs/>
          <w:sz w:val="24"/>
          <w:highlight w:val="none"/>
        </w:rPr>
        <w:t>1</w:t>
      </w:r>
      <w:r>
        <w:rPr>
          <w:rFonts w:hint="eastAsia" w:ascii="仿宋" w:hAnsi="仿宋" w:eastAsia="仿宋" w:cs="仿宋"/>
          <w:b/>
          <w:bCs/>
          <w:sz w:val="24"/>
          <w:highlight w:val="none"/>
        </w:rPr>
        <w:t>、通用超融合一体机</w:t>
      </w:r>
    </w:p>
    <w:p w14:paraId="6050385C">
      <w:pPr>
        <w:widowControl w:val="0"/>
        <w:tabs>
          <w:tab w:val="left" w:pos="567"/>
        </w:tabs>
        <w:spacing w:before="120" w:line="22" w:lineRule="atLeast"/>
        <w:jc w:val="both"/>
        <w:rPr>
          <w:rFonts w:ascii="宋体" w:hAnsi="宋体" w:eastAsia="宋体" w:cs="Times New Roman"/>
          <w:kern w:val="2"/>
          <w:sz w:val="24"/>
          <w:szCs w:val="24"/>
          <w:highlight w:val="none"/>
          <w:lang w:val="en-US" w:eastAsia="zh-CN" w:bidi="ar-SA"/>
        </w:rPr>
      </w:pPr>
    </w:p>
    <w:tbl>
      <w:tblPr>
        <w:tblStyle w:val="5"/>
        <w:tblW w:w="8306" w:type="dxa"/>
        <w:tblInd w:w="0" w:type="dxa"/>
        <w:tblLayout w:type="fixed"/>
        <w:tblCellMar>
          <w:top w:w="0" w:type="dxa"/>
          <w:left w:w="108" w:type="dxa"/>
          <w:bottom w:w="0" w:type="dxa"/>
          <w:right w:w="108" w:type="dxa"/>
        </w:tblCellMar>
      </w:tblPr>
      <w:tblGrid>
        <w:gridCol w:w="697"/>
        <w:gridCol w:w="457"/>
        <w:gridCol w:w="1179"/>
        <w:gridCol w:w="1419"/>
        <w:gridCol w:w="4097"/>
        <w:gridCol w:w="457"/>
      </w:tblGrid>
      <w:tr w14:paraId="64933F88">
        <w:tblPrEx>
          <w:tblCellMar>
            <w:top w:w="0" w:type="dxa"/>
            <w:left w:w="108" w:type="dxa"/>
            <w:bottom w:w="0" w:type="dxa"/>
            <w:right w:w="108" w:type="dxa"/>
          </w:tblCellMar>
        </w:tblPrEx>
        <w:trPr>
          <w:trHeight w:val="270" w:hRule="atLeast"/>
        </w:trPr>
        <w:tc>
          <w:tcPr>
            <w:tcW w:w="697" w:type="dxa"/>
            <w:tcBorders>
              <w:top w:val="single" w:color="auto" w:sz="8" w:space="0"/>
              <w:left w:val="single" w:color="auto" w:sz="8" w:space="0"/>
              <w:bottom w:val="single" w:color="auto" w:sz="4" w:space="0"/>
              <w:right w:val="single" w:color="auto" w:sz="4" w:space="0"/>
            </w:tcBorders>
            <w:shd w:val="clear" w:color="auto" w:fill="auto"/>
            <w:noWrap/>
            <w:vAlign w:val="center"/>
          </w:tcPr>
          <w:p w14:paraId="2BF2CF1F">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序号</w:t>
            </w:r>
          </w:p>
        </w:tc>
        <w:tc>
          <w:tcPr>
            <w:tcW w:w="457" w:type="dxa"/>
            <w:tcBorders>
              <w:top w:val="single" w:color="auto" w:sz="8" w:space="0"/>
              <w:left w:val="nil"/>
              <w:bottom w:val="single" w:color="auto" w:sz="4" w:space="0"/>
              <w:right w:val="single" w:color="auto" w:sz="4" w:space="0"/>
            </w:tcBorders>
            <w:shd w:val="clear" w:color="auto" w:fill="auto"/>
            <w:vAlign w:val="center"/>
          </w:tcPr>
          <w:p w14:paraId="14A80F81">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重要性</w:t>
            </w:r>
          </w:p>
        </w:tc>
        <w:tc>
          <w:tcPr>
            <w:tcW w:w="2598" w:type="dxa"/>
            <w:gridSpan w:val="2"/>
            <w:tcBorders>
              <w:top w:val="single" w:color="auto" w:sz="8" w:space="0"/>
              <w:left w:val="nil"/>
              <w:bottom w:val="single" w:color="auto" w:sz="4" w:space="0"/>
              <w:right w:val="single" w:color="auto" w:sz="4" w:space="0"/>
            </w:tcBorders>
            <w:shd w:val="clear" w:color="auto" w:fill="auto"/>
            <w:vAlign w:val="center"/>
          </w:tcPr>
          <w:p w14:paraId="1BFDDAFF">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指标项</w:t>
            </w:r>
          </w:p>
        </w:tc>
        <w:tc>
          <w:tcPr>
            <w:tcW w:w="4097" w:type="dxa"/>
            <w:tcBorders>
              <w:top w:val="single" w:color="auto" w:sz="8" w:space="0"/>
              <w:left w:val="nil"/>
              <w:bottom w:val="single" w:color="auto" w:sz="4" w:space="0"/>
              <w:right w:val="single" w:color="auto" w:sz="4" w:space="0"/>
            </w:tcBorders>
            <w:shd w:val="clear" w:color="auto" w:fill="auto"/>
            <w:vAlign w:val="center"/>
          </w:tcPr>
          <w:p w14:paraId="05051466">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技术要求</w:t>
            </w:r>
          </w:p>
        </w:tc>
        <w:tc>
          <w:tcPr>
            <w:tcW w:w="457" w:type="dxa"/>
            <w:tcBorders>
              <w:top w:val="single" w:color="auto" w:sz="8" w:space="0"/>
              <w:left w:val="nil"/>
              <w:bottom w:val="single" w:color="auto" w:sz="4" w:space="0"/>
              <w:right w:val="single" w:color="auto" w:sz="8" w:space="0"/>
            </w:tcBorders>
            <w:shd w:val="clear" w:color="auto" w:fill="auto"/>
            <w:vAlign w:val="center"/>
          </w:tcPr>
          <w:p w14:paraId="4C290671">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证明文件</w:t>
            </w:r>
          </w:p>
        </w:tc>
      </w:tr>
      <w:tr w14:paraId="42957B3B">
        <w:tblPrEx>
          <w:tblCellMar>
            <w:top w:w="0" w:type="dxa"/>
            <w:left w:w="108" w:type="dxa"/>
            <w:bottom w:w="0" w:type="dxa"/>
            <w:right w:w="108" w:type="dxa"/>
          </w:tblCellMar>
        </w:tblPrEx>
        <w:trPr>
          <w:trHeight w:val="270" w:hRule="atLeast"/>
        </w:trPr>
        <w:tc>
          <w:tcPr>
            <w:tcW w:w="697" w:type="dxa"/>
            <w:tcBorders>
              <w:top w:val="single" w:color="auto" w:sz="8" w:space="0"/>
              <w:left w:val="single" w:color="auto" w:sz="8" w:space="0"/>
              <w:bottom w:val="single" w:color="auto" w:sz="4" w:space="0"/>
              <w:right w:val="single" w:color="auto" w:sz="4" w:space="0"/>
            </w:tcBorders>
            <w:shd w:val="clear" w:color="auto" w:fill="auto"/>
            <w:noWrap/>
            <w:vAlign w:val="center"/>
          </w:tcPr>
          <w:p w14:paraId="40C61A73">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1</w:t>
            </w:r>
          </w:p>
        </w:tc>
        <w:tc>
          <w:tcPr>
            <w:tcW w:w="457" w:type="dxa"/>
            <w:tcBorders>
              <w:top w:val="single" w:color="auto" w:sz="8" w:space="0"/>
              <w:left w:val="nil"/>
              <w:bottom w:val="single" w:color="auto" w:sz="4" w:space="0"/>
              <w:right w:val="single" w:color="auto" w:sz="4" w:space="0"/>
            </w:tcBorders>
            <w:shd w:val="clear" w:color="auto" w:fill="auto"/>
            <w:vAlign w:val="center"/>
          </w:tcPr>
          <w:p w14:paraId="68F39D61">
            <w:pPr>
              <w:widowControl/>
              <w:spacing w:beforeLines="-2147483648" w:afterLines="-2147483648"/>
              <w:jc w:val="center"/>
              <w:rPr>
                <w:rFonts w:hint="eastAsia"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vMerge w:val="restart"/>
            <w:tcBorders>
              <w:top w:val="single" w:color="auto" w:sz="8" w:space="0"/>
              <w:left w:val="nil"/>
              <w:right w:val="single" w:color="auto" w:sz="4" w:space="0"/>
            </w:tcBorders>
            <w:shd w:val="clear" w:color="auto" w:fill="auto"/>
            <w:vAlign w:val="center"/>
          </w:tcPr>
          <w:p w14:paraId="17E8476E">
            <w:pPr>
              <w:widowControl/>
              <w:spacing w:beforeLines="-2147483648" w:afterLines="-2147483648"/>
              <w:jc w:val="center"/>
              <w:rPr>
                <w:rFonts w:hint="eastAsia" w:ascii="仿宋" w:hAnsi="仿宋" w:eastAsia="仿宋" w:cs="仿宋"/>
                <w:bCs/>
                <w:sz w:val="24"/>
                <w:highlight w:val="none"/>
                <w:lang w:eastAsia="zh-CN"/>
              </w:rPr>
            </w:pPr>
            <w:r>
              <w:rPr>
                <w:rFonts w:hint="eastAsia" w:ascii="仿宋" w:hAnsi="仿宋" w:eastAsia="仿宋" w:cs="仿宋"/>
                <w:bCs/>
                <w:sz w:val="24"/>
                <w:highlight w:val="none"/>
                <w:lang w:eastAsia="zh-CN"/>
              </w:rPr>
              <w:t>基础指标要求</w:t>
            </w:r>
          </w:p>
        </w:tc>
        <w:tc>
          <w:tcPr>
            <w:tcW w:w="4097" w:type="dxa"/>
            <w:tcBorders>
              <w:top w:val="single" w:color="auto" w:sz="8" w:space="0"/>
              <w:left w:val="nil"/>
              <w:bottom w:val="single" w:color="auto" w:sz="4" w:space="0"/>
              <w:right w:val="single" w:color="auto" w:sz="4" w:space="0"/>
            </w:tcBorders>
            <w:shd w:val="clear" w:color="auto" w:fill="auto"/>
            <w:vAlign w:val="center"/>
          </w:tcPr>
          <w:p w14:paraId="5AA03F27">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rPr>
              <w:t>投标人承诺所投产品符合财政部、工信部发布的《通用服务器政府采购需求标准（2023年版）》(财库〔2023〕33号》中所有*指标要求，提供加盖投标人公章的承诺函</w:t>
            </w:r>
            <w:r>
              <w:rPr>
                <w:rFonts w:hint="eastAsia" w:ascii="仿宋" w:hAnsi="仿宋" w:eastAsia="仿宋" w:cs="仿宋"/>
                <w:bCs/>
                <w:sz w:val="24"/>
                <w:highlight w:val="none"/>
                <w:lang w:eastAsia="zh-CN"/>
              </w:rPr>
              <w:t>。</w:t>
            </w:r>
          </w:p>
        </w:tc>
        <w:tc>
          <w:tcPr>
            <w:tcW w:w="457" w:type="dxa"/>
            <w:tcBorders>
              <w:top w:val="single" w:color="auto" w:sz="8" w:space="0"/>
              <w:left w:val="nil"/>
              <w:bottom w:val="single" w:color="auto" w:sz="4" w:space="0"/>
              <w:right w:val="single" w:color="auto" w:sz="8" w:space="0"/>
            </w:tcBorders>
            <w:shd w:val="clear" w:color="auto" w:fill="auto"/>
            <w:vAlign w:val="center"/>
          </w:tcPr>
          <w:p w14:paraId="22B20EE0">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eastAsia="zh-CN"/>
              </w:rPr>
              <w:t>是</w:t>
            </w:r>
          </w:p>
        </w:tc>
      </w:tr>
      <w:tr w14:paraId="7CD058B7">
        <w:tblPrEx>
          <w:tblCellMar>
            <w:top w:w="0" w:type="dxa"/>
            <w:left w:w="108" w:type="dxa"/>
            <w:bottom w:w="0" w:type="dxa"/>
            <w:right w:w="108" w:type="dxa"/>
          </w:tblCellMar>
        </w:tblPrEx>
        <w:trPr>
          <w:trHeight w:val="270" w:hRule="atLeast"/>
        </w:trPr>
        <w:tc>
          <w:tcPr>
            <w:tcW w:w="697" w:type="dxa"/>
            <w:tcBorders>
              <w:top w:val="single" w:color="auto" w:sz="8" w:space="0"/>
              <w:left w:val="single" w:color="auto" w:sz="8" w:space="0"/>
              <w:bottom w:val="single" w:color="auto" w:sz="4" w:space="0"/>
              <w:right w:val="single" w:color="auto" w:sz="4" w:space="0"/>
            </w:tcBorders>
            <w:shd w:val="clear" w:color="auto" w:fill="auto"/>
            <w:noWrap/>
            <w:vAlign w:val="center"/>
          </w:tcPr>
          <w:p w14:paraId="1B7786E1">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2</w:t>
            </w:r>
          </w:p>
        </w:tc>
        <w:tc>
          <w:tcPr>
            <w:tcW w:w="457" w:type="dxa"/>
            <w:tcBorders>
              <w:top w:val="single" w:color="auto" w:sz="8" w:space="0"/>
              <w:left w:val="nil"/>
              <w:bottom w:val="single" w:color="auto" w:sz="4" w:space="0"/>
              <w:right w:val="single" w:color="auto" w:sz="4" w:space="0"/>
            </w:tcBorders>
            <w:shd w:val="clear" w:color="auto" w:fill="auto"/>
            <w:vAlign w:val="center"/>
          </w:tcPr>
          <w:p w14:paraId="430B26B0">
            <w:pPr>
              <w:widowControl/>
              <w:spacing w:beforeLines="-2147483648" w:afterLines="-2147483648"/>
              <w:jc w:val="center"/>
              <w:rPr>
                <w:rFonts w:hint="eastAsia"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vMerge w:val="continue"/>
            <w:tcBorders>
              <w:left w:val="nil"/>
              <w:right w:val="single" w:color="auto" w:sz="4" w:space="0"/>
            </w:tcBorders>
            <w:shd w:val="clear" w:color="auto" w:fill="auto"/>
            <w:vAlign w:val="center"/>
          </w:tcPr>
          <w:p w14:paraId="4E14C618">
            <w:pPr>
              <w:widowControl/>
              <w:spacing w:beforeLines="-2147483648" w:afterLines="-2147483648"/>
              <w:jc w:val="center"/>
              <w:rPr>
                <w:rFonts w:hint="eastAsia" w:ascii="仿宋" w:hAnsi="仿宋" w:eastAsia="仿宋" w:cs="仿宋"/>
                <w:bCs/>
                <w:sz w:val="24"/>
                <w:highlight w:val="none"/>
              </w:rPr>
            </w:pPr>
          </w:p>
        </w:tc>
        <w:tc>
          <w:tcPr>
            <w:tcW w:w="4097" w:type="dxa"/>
            <w:tcBorders>
              <w:top w:val="single" w:color="auto" w:sz="8" w:space="0"/>
              <w:left w:val="nil"/>
              <w:bottom w:val="single" w:color="auto" w:sz="4" w:space="0"/>
              <w:right w:val="single" w:color="auto" w:sz="4" w:space="0"/>
            </w:tcBorders>
            <w:shd w:val="clear" w:color="auto" w:fill="auto"/>
            <w:vAlign w:val="center"/>
          </w:tcPr>
          <w:p w14:paraId="7DB07CAA">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val="en-US" w:eastAsia="zh-CN"/>
              </w:rPr>
              <w:t>投标人须提供所投服务器的CPU和操作系统的安全可靠测评结果公告截图。</w:t>
            </w:r>
          </w:p>
        </w:tc>
        <w:tc>
          <w:tcPr>
            <w:tcW w:w="457" w:type="dxa"/>
            <w:tcBorders>
              <w:top w:val="single" w:color="auto" w:sz="8" w:space="0"/>
              <w:left w:val="nil"/>
              <w:bottom w:val="single" w:color="auto" w:sz="4" w:space="0"/>
              <w:right w:val="single" w:color="auto" w:sz="8" w:space="0"/>
            </w:tcBorders>
            <w:shd w:val="clear" w:color="auto" w:fill="auto"/>
            <w:vAlign w:val="center"/>
          </w:tcPr>
          <w:p w14:paraId="3AA8FB36">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eastAsia="zh-CN"/>
              </w:rPr>
              <w:t>是</w:t>
            </w:r>
          </w:p>
        </w:tc>
      </w:tr>
      <w:tr w14:paraId="078A2C0D">
        <w:tblPrEx>
          <w:tblCellMar>
            <w:top w:w="0" w:type="dxa"/>
            <w:left w:w="108" w:type="dxa"/>
            <w:bottom w:w="0" w:type="dxa"/>
            <w:right w:w="108" w:type="dxa"/>
          </w:tblCellMar>
        </w:tblPrEx>
        <w:trPr>
          <w:trHeight w:val="270" w:hRule="atLeast"/>
        </w:trPr>
        <w:tc>
          <w:tcPr>
            <w:tcW w:w="697" w:type="dxa"/>
            <w:tcBorders>
              <w:top w:val="single" w:color="auto" w:sz="8" w:space="0"/>
              <w:left w:val="single" w:color="auto" w:sz="8" w:space="0"/>
              <w:bottom w:val="single" w:color="auto" w:sz="4" w:space="0"/>
              <w:right w:val="single" w:color="auto" w:sz="4" w:space="0"/>
            </w:tcBorders>
            <w:shd w:val="clear" w:color="auto" w:fill="auto"/>
            <w:noWrap/>
            <w:vAlign w:val="center"/>
          </w:tcPr>
          <w:p w14:paraId="31F45530">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3</w:t>
            </w:r>
          </w:p>
        </w:tc>
        <w:tc>
          <w:tcPr>
            <w:tcW w:w="457" w:type="dxa"/>
            <w:tcBorders>
              <w:top w:val="single" w:color="auto" w:sz="8" w:space="0"/>
              <w:left w:val="nil"/>
              <w:bottom w:val="single" w:color="auto" w:sz="4" w:space="0"/>
              <w:right w:val="single" w:color="auto" w:sz="4" w:space="0"/>
            </w:tcBorders>
            <w:shd w:val="clear" w:color="auto" w:fill="auto"/>
            <w:vAlign w:val="center"/>
          </w:tcPr>
          <w:p w14:paraId="5A22E54D">
            <w:pPr>
              <w:widowControl/>
              <w:spacing w:beforeLines="-2147483648" w:afterLines="-2147483648"/>
              <w:jc w:val="center"/>
              <w:rPr>
                <w:rFonts w:hint="eastAsia"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vMerge w:val="continue"/>
            <w:tcBorders>
              <w:left w:val="nil"/>
              <w:right w:val="single" w:color="auto" w:sz="4" w:space="0"/>
            </w:tcBorders>
            <w:shd w:val="clear" w:color="auto" w:fill="auto"/>
            <w:vAlign w:val="center"/>
          </w:tcPr>
          <w:p w14:paraId="7EFDF01F">
            <w:pPr>
              <w:widowControl/>
              <w:spacing w:beforeLines="-2147483648" w:afterLines="-2147483648"/>
              <w:jc w:val="center"/>
              <w:rPr>
                <w:rFonts w:hint="eastAsia" w:ascii="仿宋" w:hAnsi="仿宋" w:eastAsia="仿宋" w:cs="仿宋"/>
                <w:bCs/>
                <w:sz w:val="24"/>
                <w:highlight w:val="none"/>
              </w:rPr>
            </w:pPr>
          </w:p>
        </w:tc>
        <w:tc>
          <w:tcPr>
            <w:tcW w:w="4097" w:type="dxa"/>
            <w:tcBorders>
              <w:top w:val="single" w:color="auto" w:sz="8" w:space="0"/>
              <w:left w:val="nil"/>
              <w:bottom w:val="single" w:color="auto" w:sz="4" w:space="0"/>
              <w:right w:val="single" w:color="auto" w:sz="4" w:space="0"/>
            </w:tcBorders>
            <w:shd w:val="clear" w:color="auto" w:fill="auto"/>
            <w:vAlign w:val="center"/>
          </w:tcPr>
          <w:p w14:paraId="32E1CE18">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val="en-US" w:eastAsia="zh-CN"/>
              </w:rPr>
              <w:t>供应商给出CPU 信息，包含 CPU 型号、物理核心数、主频、末级缓存容量、线程数、热设计功耗及支持内存的最高速率、通道数和位宽。</w:t>
            </w:r>
          </w:p>
        </w:tc>
        <w:tc>
          <w:tcPr>
            <w:tcW w:w="457" w:type="dxa"/>
            <w:tcBorders>
              <w:top w:val="single" w:color="auto" w:sz="8" w:space="0"/>
              <w:left w:val="nil"/>
              <w:bottom w:val="single" w:color="auto" w:sz="4" w:space="0"/>
              <w:right w:val="single" w:color="auto" w:sz="8" w:space="0"/>
            </w:tcBorders>
            <w:shd w:val="clear" w:color="auto" w:fill="auto"/>
            <w:vAlign w:val="center"/>
          </w:tcPr>
          <w:p w14:paraId="3F0CB2A1">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eastAsia="zh-CN"/>
              </w:rPr>
              <w:t>否</w:t>
            </w:r>
          </w:p>
        </w:tc>
      </w:tr>
      <w:tr w14:paraId="1BAD4C0B">
        <w:tblPrEx>
          <w:tblCellMar>
            <w:top w:w="0" w:type="dxa"/>
            <w:left w:w="108" w:type="dxa"/>
            <w:bottom w:w="0" w:type="dxa"/>
            <w:right w:w="108" w:type="dxa"/>
          </w:tblCellMar>
        </w:tblPrEx>
        <w:trPr>
          <w:trHeight w:val="270" w:hRule="atLeast"/>
        </w:trPr>
        <w:tc>
          <w:tcPr>
            <w:tcW w:w="697" w:type="dxa"/>
            <w:tcBorders>
              <w:top w:val="single" w:color="auto" w:sz="8" w:space="0"/>
              <w:left w:val="single" w:color="auto" w:sz="8" w:space="0"/>
              <w:bottom w:val="single" w:color="auto" w:sz="4" w:space="0"/>
              <w:right w:val="single" w:color="auto" w:sz="4" w:space="0"/>
            </w:tcBorders>
            <w:shd w:val="clear" w:color="auto" w:fill="auto"/>
            <w:noWrap/>
            <w:vAlign w:val="center"/>
          </w:tcPr>
          <w:p w14:paraId="4BDB33EC">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4</w:t>
            </w:r>
          </w:p>
        </w:tc>
        <w:tc>
          <w:tcPr>
            <w:tcW w:w="457" w:type="dxa"/>
            <w:tcBorders>
              <w:top w:val="single" w:color="auto" w:sz="8" w:space="0"/>
              <w:left w:val="nil"/>
              <w:bottom w:val="single" w:color="auto" w:sz="4" w:space="0"/>
              <w:right w:val="single" w:color="auto" w:sz="4" w:space="0"/>
            </w:tcBorders>
            <w:shd w:val="clear" w:color="auto" w:fill="auto"/>
            <w:vAlign w:val="center"/>
          </w:tcPr>
          <w:p w14:paraId="27857D3A">
            <w:pPr>
              <w:widowControl/>
              <w:spacing w:beforeLines="-2147483648" w:afterLines="-2147483648"/>
              <w:jc w:val="center"/>
              <w:rPr>
                <w:rFonts w:hint="eastAsia"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vMerge w:val="continue"/>
            <w:tcBorders>
              <w:left w:val="nil"/>
              <w:right w:val="single" w:color="auto" w:sz="4" w:space="0"/>
            </w:tcBorders>
            <w:shd w:val="clear" w:color="auto" w:fill="auto"/>
            <w:vAlign w:val="center"/>
          </w:tcPr>
          <w:p w14:paraId="674A5D63">
            <w:pPr>
              <w:widowControl/>
              <w:spacing w:beforeLines="-2147483648" w:afterLines="-2147483648"/>
              <w:jc w:val="center"/>
              <w:rPr>
                <w:rFonts w:hint="eastAsia" w:ascii="仿宋" w:hAnsi="仿宋" w:eastAsia="仿宋" w:cs="仿宋"/>
                <w:bCs/>
                <w:sz w:val="24"/>
                <w:highlight w:val="none"/>
              </w:rPr>
            </w:pPr>
          </w:p>
        </w:tc>
        <w:tc>
          <w:tcPr>
            <w:tcW w:w="4097" w:type="dxa"/>
            <w:tcBorders>
              <w:top w:val="single" w:color="auto" w:sz="8" w:space="0"/>
              <w:left w:val="nil"/>
              <w:bottom w:val="single" w:color="auto" w:sz="4" w:space="0"/>
              <w:right w:val="single" w:color="auto" w:sz="4" w:space="0"/>
            </w:tcBorders>
            <w:shd w:val="clear" w:color="auto" w:fill="auto"/>
            <w:vAlign w:val="center"/>
          </w:tcPr>
          <w:p w14:paraId="4D339E72">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val="en-US" w:eastAsia="zh-CN"/>
              </w:rPr>
              <w:t>供应商给出主板支持的CPU 和内存的型号数量。</w:t>
            </w:r>
          </w:p>
        </w:tc>
        <w:tc>
          <w:tcPr>
            <w:tcW w:w="457" w:type="dxa"/>
            <w:tcBorders>
              <w:top w:val="single" w:color="auto" w:sz="8" w:space="0"/>
              <w:left w:val="nil"/>
              <w:bottom w:val="single" w:color="auto" w:sz="4" w:space="0"/>
              <w:right w:val="single" w:color="auto" w:sz="8" w:space="0"/>
            </w:tcBorders>
            <w:shd w:val="clear" w:color="auto" w:fill="auto"/>
            <w:vAlign w:val="center"/>
          </w:tcPr>
          <w:p w14:paraId="3B1E2328">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eastAsia="zh-CN"/>
              </w:rPr>
              <w:t>否</w:t>
            </w:r>
          </w:p>
        </w:tc>
      </w:tr>
      <w:tr w14:paraId="22E76235">
        <w:tblPrEx>
          <w:tblCellMar>
            <w:top w:w="0" w:type="dxa"/>
            <w:left w:w="108" w:type="dxa"/>
            <w:bottom w:w="0" w:type="dxa"/>
            <w:right w:w="108" w:type="dxa"/>
          </w:tblCellMar>
        </w:tblPrEx>
        <w:trPr>
          <w:trHeight w:val="270" w:hRule="atLeast"/>
        </w:trPr>
        <w:tc>
          <w:tcPr>
            <w:tcW w:w="697" w:type="dxa"/>
            <w:tcBorders>
              <w:top w:val="single" w:color="auto" w:sz="8" w:space="0"/>
              <w:left w:val="single" w:color="auto" w:sz="8" w:space="0"/>
              <w:bottom w:val="single" w:color="auto" w:sz="4" w:space="0"/>
              <w:right w:val="single" w:color="auto" w:sz="4" w:space="0"/>
            </w:tcBorders>
            <w:shd w:val="clear" w:color="auto" w:fill="auto"/>
            <w:noWrap/>
            <w:vAlign w:val="center"/>
          </w:tcPr>
          <w:p w14:paraId="0CB6DEA5">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5</w:t>
            </w:r>
          </w:p>
        </w:tc>
        <w:tc>
          <w:tcPr>
            <w:tcW w:w="457" w:type="dxa"/>
            <w:tcBorders>
              <w:top w:val="single" w:color="auto" w:sz="8" w:space="0"/>
              <w:left w:val="nil"/>
              <w:bottom w:val="single" w:color="auto" w:sz="4" w:space="0"/>
              <w:right w:val="single" w:color="auto" w:sz="4" w:space="0"/>
            </w:tcBorders>
            <w:shd w:val="clear" w:color="auto" w:fill="auto"/>
            <w:vAlign w:val="center"/>
          </w:tcPr>
          <w:p w14:paraId="41C09E2C">
            <w:pPr>
              <w:widowControl/>
              <w:spacing w:beforeLines="-2147483648" w:afterLines="-2147483648"/>
              <w:jc w:val="center"/>
              <w:rPr>
                <w:rFonts w:hint="eastAsia"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vMerge w:val="continue"/>
            <w:tcBorders>
              <w:left w:val="nil"/>
              <w:right w:val="single" w:color="auto" w:sz="4" w:space="0"/>
            </w:tcBorders>
            <w:shd w:val="clear" w:color="auto" w:fill="auto"/>
            <w:vAlign w:val="center"/>
          </w:tcPr>
          <w:p w14:paraId="2792D2E3">
            <w:pPr>
              <w:widowControl/>
              <w:spacing w:beforeLines="-2147483648" w:afterLines="-2147483648"/>
              <w:jc w:val="center"/>
              <w:rPr>
                <w:rFonts w:hint="eastAsia" w:ascii="仿宋" w:hAnsi="仿宋" w:eastAsia="仿宋" w:cs="仿宋"/>
                <w:bCs/>
                <w:sz w:val="24"/>
                <w:highlight w:val="none"/>
              </w:rPr>
            </w:pPr>
          </w:p>
        </w:tc>
        <w:tc>
          <w:tcPr>
            <w:tcW w:w="4097" w:type="dxa"/>
            <w:tcBorders>
              <w:top w:val="single" w:color="auto" w:sz="8" w:space="0"/>
              <w:left w:val="nil"/>
              <w:bottom w:val="single" w:color="auto" w:sz="4" w:space="0"/>
              <w:right w:val="single" w:color="auto" w:sz="4" w:space="0"/>
            </w:tcBorders>
            <w:shd w:val="clear" w:color="auto" w:fill="auto"/>
            <w:vAlign w:val="center"/>
          </w:tcPr>
          <w:p w14:paraId="0BAE4D5C">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val="en-US" w:eastAsia="zh-CN"/>
              </w:rPr>
              <w:t>供应商给出服务器支持硬磁盘和固态盘类型及规格。</w:t>
            </w:r>
          </w:p>
        </w:tc>
        <w:tc>
          <w:tcPr>
            <w:tcW w:w="457" w:type="dxa"/>
            <w:tcBorders>
              <w:top w:val="single" w:color="auto" w:sz="8" w:space="0"/>
              <w:left w:val="nil"/>
              <w:bottom w:val="single" w:color="auto" w:sz="4" w:space="0"/>
              <w:right w:val="single" w:color="auto" w:sz="8" w:space="0"/>
            </w:tcBorders>
            <w:shd w:val="clear" w:color="auto" w:fill="auto"/>
            <w:vAlign w:val="center"/>
          </w:tcPr>
          <w:p w14:paraId="62A3CC55">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eastAsia="zh-CN"/>
              </w:rPr>
              <w:t>否</w:t>
            </w:r>
          </w:p>
        </w:tc>
      </w:tr>
      <w:tr w14:paraId="14EF0C96">
        <w:tblPrEx>
          <w:tblCellMar>
            <w:top w:w="0" w:type="dxa"/>
            <w:left w:w="108" w:type="dxa"/>
            <w:bottom w:w="0" w:type="dxa"/>
            <w:right w:w="108" w:type="dxa"/>
          </w:tblCellMar>
        </w:tblPrEx>
        <w:trPr>
          <w:trHeight w:val="270" w:hRule="atLeast"/>
        </w:trPr>
        <w:tc>
          <w:tcPr>
            <w:tcW w:w="697" w:type="dxa"/>
            <w:tcBorders>
              <w:top w:val="single" w:color="auto" w:sz="8" w:space="0"/>
              <w:left w:val="single" w:color="auto" w:sz="8" w:space="0"/>
              <w:bottom w:val="single" w:color="auto" w:sz="4" w:space="0"/>
              <w:right w:val="single" w:color="auto" w:sz="4" w:space="0"/>
            </w:tcBorders>
            <w:shd w:val="clear" w:color="auto" w:fill="auto"/>
            <w:noWrap/>
            <w:vAlign w:val="center"/>
          </w:tcPr>
          <w:p w14:paraId="775A3FA2">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6</w:t>
            </w:r>
          </w:p>
        </w:tc>
        <w:tc>
          <w:tcPr>
            <w:tcW w:w="457" w:type="dxa"/>
            <w:tcBorders>
              <w:top w:val="single" w:color="auto" w:sz="8" w:space="0"/>
              <w:left w:val="nil"/>
              <w:bottom w:val="single" w:color="auto" w:sz="4" w:space="0"/>
              <w:right w:val="single" w:color="auto" w:sz="4" w:space="0"/>
            </w:tcBorders>
            <w:shd w:val="clear" w:color="auto" w:fill="auto"/>
            <w:vAlign w:val="center"/>
          </w:tcPr>
          <w:p w14:paraId="3C7471D0">
            <w:pPr>
              <w:widowControl/>
              <w:spacing w:beforeLines="-2147483648" w:afterLines="-2147483648"/>
              <w:jc w:val="center"/>
              <w:rPr>
                <w:rFonts w:hint="eastAsia"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vMerge w:val="continue"/>
            <w:tcBorders>
              <w:left w:val="nil"/>
              <w:right w:val="single" w:color="auto" w:sz="4" w:space="0"/>
            </w:tcBorders>
            <w:shd w:val="clear" w:color="auto" w:fill="auto"/>
            <w:vAlign w:val="center"/>
          </w:tcPr>
          <w:p w14:paraId="1EF522F8">
            <w:pPr>
              <w:widowControl/>
              <w:spacing w:beforeLines="-2147483648" w:afterLines="-2147483648"/>
              <w:jc w:val="center"/>
              <w:rPr>
                <w:rFonts w:hint="eastAsia" w:ascii="仿宋" w:hAnsi="仿宋" w:eastAsia="仿宋" w:cs="仿宋"/>
                <w:bCs/>
                <w:sz w:val="24"/>
                <w:highlight w:val="none"/>
              </w:rPr>
            </w:pPr>
          </w:p>
        </w:tc>
        <w:tc>
          <w:tcPr>
            <w:tcW w:w="4097" w:type="dxa"/>
            <w:tcBorders>
              <w:top w:val="single" w:color="auto" w:sz="8" w:space="0"/>
              <w:left w:val="nil"/>
              <w:bottom w:val="single" w:color="auto" w:sz="4" w:space="0"/>
              <w:right w:val="single" w:color="auto" w:sz="4" w:space="0"/>
            </w:tcBorders>
            <w:shd w:val="clear" w:color="auto" w:fill="auto"/>
            <w:vAlign w:val="center"/>
          </w:tcPr>
          <w:p w14:paraId="308F60E6">
            <w:pPr>
              <w:widowControl/>
              <w:spacing w:beforeLines="-2147483648" w:afterLines="-2147483648"/>
              <w:jc w:val="left"/>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供应商给出产品尺寸；</w:t>
            </w:r>
          </w:p>
          <w:p w14:paraId="048A1AF4">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val="en-US" w:eastAsia="zh-CN"/>
              </w:rPr>
              <w:t>设计应遵循标准化、系列化的要求；机箱的内部结构符合通用部件的安装需要。</w:t>
            </w:r>
          </w:p>
        </w:tc>
        <w:tc>
          <w:tcPr>
            <w:tcW w:w="457" w:type="dxa"/>
            <w:tcBorders>
              <w:top w:val="single" w:color="auto" w:sz="8" w:space="0"/>
              <w:left w:val="nil"/>
              <w:bottom w:val="single" w:color="auto" w:sz="4" w:space="0"/>
              <w:right w:val="single" w:color="auto" w:sz="8" w:space="0"/>
            </w:tcBorders>
            <w:shd w:val="clear" w:color="auto" w:fill="auto"/>
            <w:vAlign w:val="center"/>
          </w:tcPr>
          <w:p w14:paraId="26DD06BA">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eastAsia="zh-CN"/>
              </w:rPr>
              <w:t>否</w:t>
            </w:r>
          </w:p>
        </w:tc>
      </w:tr>
      <w:tr w14:paraId="22993B4C">
        <w:tblPrEx>
          <w:tblCellMar>
            <w:top w:w="0" w:type="dxa"/>
            <w:left w:w="108" w:type="dxa"/>
            <w:bottom w:w="0" w:type="dxa"/>
            <w:right w:w="108" w:type="dxa"/>
          </w:tblCellMar>
        </w:tblPrEx>
        <w:trPr>
          <w:trHeight w:val="270" w:hRule="atLeast"/>
        </w:trPr>
        <w:tc>
          <w:tcPr>
            <w:tcW w:w="697" w:type="dxa"/>
            <w:tcBorders>
              <w:top w:val="single" w:color="auto" w:sz="8" w:space="0"/>
              <w:left w:val="single" w:color="auto" w:sz="8" w:space="0"/>
              <w:bottom w:val="single" w:color="auto" w:sz="4" w:space="0"/>
              <w:right w:val="single" w:color="auto" w:sz="4" w:space="0"/>
            </w:tcBorders>
            <w:shd w:val="clear" w:color="auto" w:fill="auto"/>
            <w:noWrap/>
            <w:vAlign w:val="center"/>
          </w:tcPr>
          <w:p w14:paraId="75C782BF">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7</w:t>
            </w:r>
          </w:p>
        </w:tc>
        <w:tc>
          <w:tcPr>
            <w:tcW w:w="457" w:type="dxa"/>
            <w:tcBorders>
              <w:top w:val="single" w:color="auto" w:sz="8" w:space="0"/>
              <w:left w:val="nil"/>
              <w:bottom w:val="single" w:color="auto" w:sz="4" w:space="0"/>
              <w:right w:val="single" w:color="auto" w:sz="4" w:space="0"/>
            </w:tcBorders>
            <w:shd w:val="clear" w:color="auto" w:fill="auto"/>
            <w:vAlign w:val="center"/>
          </w:tcPr>
          <w:p w14:paraId="36261A1A">
            <w:pPr>
              <w:widowControl/>
              <w:spacing w:beforeLines="-2147483648" w:afterLines="-2147483648"/>
              <w:jc w:val="center"/>
              <w:rPr>
                <w:rFonts w:hint="eastAsia"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vMerge w:val="continue"/>
            <w:tcBorders>
              <w:left w:val="nil"/>
              <w:right w:val="single" w:color="auto" w:sz="4" w:space="0"/>
            </w:tcBorders>
            <w:shd w:val="clear" w:color="auto" w:fill="auto"/>
            <w:vAlign w:val="center"/>
          </w:tcPr>
          <w:p w14:paraId="14CCBE4E">
            <w:pPr>
              <w:widowControl/>
              <w:spacing w:beforeLines="-2147483648" w:afterLines="-2147483648"/>
              <w:jc w:val="center"/>
              <w:rPr>
                <w:rFonts w:hint="eastAsia" w:ascii="仿宋" w:hAnsi="仿宋" w:eastAsia="仿宋" w:cs="仿宋"/>
                <w:bCs/>
                <w:sz w:val="24"/>
                <w:highlight w:val="none"/>
              </w:rPr>
            </w:pPr>
          </w:p>
        </w:tc>
        <w:tc>
          <w:tcPr>
            <w:tcW w:w="4097" w:type="dxa"/>
            <w:tcBorders>
              <w:top w:val="single" w:color="auto" w:sz="8" w:space="0"/>
              <w:left w:val="nil"/>
              <w:bottom w:val="single" w:color="auto" w:sz="4" w:space="0"/>
              <w:right w:val="single" w:color="auto" w:sz="4" w:space="0"/>
            </w:tcBorders>
            <w:shd w:val="clear" w:color="auto" w:fill="auto"/>
            <w:vAlign w:val="center"/>
          </w:tcPr>
          <w:p w14:paraId="3CD0A510">
            <w:pPr>
              <w:widowControl/>
              <w:spacing w:beforeLines="-2147483648" w:afterLines="-2147483648"/>
              <w:ind w:firstLine="0" w:firstLineChars="0"/>
              <w:jc w:val="left"/>
              <w:rPr>
                <w:rFonts w:hint="eastAsia" w:ascii="仿宋" w:hAnsi="仿宋" w:eastAsia="仿宋" w:cs="仿宋"/>
                <w:bCs/>
                <w:sz w:val="24"/>
                <w:highlight w:val="none"/>
              </w:rPr>
            </w:pPr>
            <w:r>
              <w:rPr>
                <w:rFonts w:hint="eastAsia" w:ascii="仿宋" w:hAnsi="仿宋" w:eastAsia="仿宋" w:cs="仿宋"/>
                <w:bCs/>
                <w:kern w:val="2"/>
                <w:sz w:val="24"/>
                <w:szCs w:val="24"/>
                <w:highlight w:val="none"/>
                <w:lang w:val="en-US" w:eastAsia="zh-CN" w:bidi="ar-SA"/>
              </w:rPr>
              <w:t>供应商给出导轨尺寸、安装方式等信息。</w:t>
            </w:r>
          </w:p>
        </w:tc>
        <w:tc>
          <w:tcPr>
            <w:tcW w:w="457" w:type="dxa"/>
            <w:tcBorders>
              <w:top w:val="single" w:color="auto" w:sz="8" w:space="0"/>
              <w:left w:val="nil"/>
              <w:bottom w:val="single" w:color="auto" w:sz="4" w:space="0"/>
              <w:right w:val="single" w:color="auto" w:sz="8" w:space="0"/>
            </w:tcBorders>
            <w:shd w:val="clear" w:color="auto" w:fill="auto"/>
            <w:vAlign w:val="center"/>
          </w:tcPr>
          <w:p w14:paraId="1BAEC8AD">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eastAsia="zh-CN"/>
              </w:rPr>
              <w:t>否</w:t>
            </w:r>
          </w:p>
        </w:tc>
      </w:tr>
      <w:tr w14:paraId="17CC6E06">
        <w:tblPrEx>
          <w:tblCellMar>
            <w:top w:w="0" w:type="dxa"/>
            <w:left w:w="108" w:type="dxa"/>
            <w:bottom w:w="0" w:type="dxa"/>
            <w:right w:w="108" w:type="dxa"/>
          </w:tblCellMar>
        </w:tblPrEx>
        <w:trPr>
          <w:trHeight w:val="270" w:hRule="atLeast"/>
        </w:trPr>
        <w:tc>
          <w:tcPr>
            <w:tcW w:w="697" w:type="dxa"/>
            <w:tcBorders>
              <w:top w:val="single" w:color="auto" w:sz="8" w:space="0"/>
              <w:left w:val="single" w:color="auto" w:sz="8" w:space="0"/>
              <w:bottom w:val="single" w:color="auto" w:sz="4" w:space="0"/>
              <w:right w:val="single" w:color="auto" w:sz="4" w:space="0"/>
            </w:tcBorders>
            <w:shd w:val="clear" w:color="auto" w:fill="auto"/>
            <w:noWrap/>
            <w:vAlign w:val="center"/>
          </w:tcPr>
          <w:p w14:paraId="743C2DB6">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8</w:t>
            </w:r>
          </w:p>
        </w:tc>
        <w:tc>
          <w:tcPr>
            <w:tcW w:w="457" w:type="dxa"/>
            <w:tcBorders>
              <w:top w:val="single" w:color="auto" w:sz="8" w:space="0"/>
              <w:left w:val="nil"/>
              <w:bottom w:val="single" w:color="auto" w:sz="4" w:space="0"/>
              <w:right w:val="single" w:color="auto" w:sz="4" w:space="0"/>
            </w:tcBorders>
            <w:shd w:val="clear" w:color="auto" w:fill="auto"/>
            <w:vAlign w:val="center"/>
          </w:tcPr>
          <w:p w14:paraId="71CB4583">
            <w:pPr>
              <w:widowControl/>
              <w:spacing w:beforeLines="-2147483648" w:afterLines="-2147483648"/>
              <w:jc w:val="center"/>
              <w:rPr>
                <w:rFonts w:hint="eastAsia"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vMerge w:val="continue"/>
            <w:tcBorders>
              <w:left w:val="nil"/>
              <w:right w:val="single" w:color="auto" w:sz="4" w:space="0"/>
            </w:tcBorders>
            <w:shd w:val="clear" w:color="auto" w:fill="auto"/>
            <w:vAlign w:val="center"/>
          </w:tcPr>
          <w:p w14:paraId="26F94AD4">
            <w:pPr>
              <w:widowControl/>
              <w:spacing w:beforeLines="-2147483648" w:afterLines="-2147483648"/>
              <w:jc w:val="center"/>
              <w:rPr>
                <w:rFonts w:hint="eastAsia" w:ascii="仿宋" w:hAnsi="仿宋" w:eastAsia="仿宋" w:cs="仿宋"/>
                <w:bCs/>
                <w:sz w:val="24"/>
                <w:highlight w:val="none"/>
              </w:rPr>
            </w:pPr>
          </w:p>
        </w:tc>
        <w:tc>
          <w:tcPr>
            <w:tcW w:w="4097" w:type="dxa"/>
            <w:tcBorders>
              <w:top w:val="single" w:color="auto" w:sz="8" w:space="0"/>
              <w:left w:val="nil"/>
              <w:bottom w:val="single" w:color="auto" w:sz="4" w:space="0"/>
              <w:right w:val="single" w:color="auto" w:sz="4" w:space="0"/>
            </w:tcBorders>
            <w:shd w:val="clear" w:color="auto" w:fill="auto"/>
            <w:vAlign w:val="center"/>
          </w:tcPr>
          <w:p w14:paraId="77980F07">
            <w:pPr>
              <w:widowControl/>
              <w:spacing w:beforeLines="-2147483648" w:afterLines="-2147483648"/>
              <w:ind w:firstLine="0" w:firstLineChars="0"/>
              <w:jc w:val="left"/>
              <w:rPr>
                <w:rFonts w:hint="eastAsia" w:ascii="仿宋" w:hAnsi="仿宋" w:eastAsia="仿宋" w:cs="仿宋"/>
                <w:bCs/>
                <w:sz w:val="24"/>
                <w:highlight w:val="none"/>
              </w:rPr>
            </w:pPr>
            <w:r>
              <w:rPr>
                <w:rFonts w:hint="eastAsia" w:ascii="仿宋" w:hAnsi="仿宋" w:eastAsia="仿宋" w:cs="仿宋"/>
                <w:bCs/>
                <w:sz w:val="24"/>
                <w:highlight w:val="none"/>
                <w:lang w:val="en-US" w:eastAsia="zh-CN"/>
              </w:rPr>
              <w:t>供应商给出CPU 个数与机柜高度。</w:t>
            </w:r>
          </w:p>
        </w:tc>
        <w:tc>
          <w:tcPr>
            <w:tcW w:w="457" w:type="dxa"/>
            <w:tcBorders>
              <w:top w:val="single" w:color="auto" w:sz="8" w:space="0"/>
              <w:left w:val="nil"/>
              <w:bottom w:val="single" w:color="auto" w:sz="4" w:space="0"/>
              <w:right w:val="single" w:color="auto" w:sz="8" w:space="0"/>
            </w:tcBorders>
            <w:shd w:val="clear" w:color="auto" w:fill="auto"/>
            <w:vAlign w:val="center"/>
          </w:tcPr>
          <w:p w14:paraId="6CE1F541">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eastAsia="zh-CN"/>
              </w:rPr>
              <w:t>否</w:t>
            </w:r>
          </w:p>
        </w:tc>
      </w:tr>
      <w:tr w14:paraId="500C9EA6">
        <w:tblPrEx>
          <w:tblCellMar>
            <w:top w:w="0" w:type="dxa"/>
            <w:left w:w="108" w:type="dxa"/>
            <w:bottom w:w="0" w:type="dxa"/>
            <w:right w:w="108" w:type="dxa"/>
          </w:tblCellMar>
        </w:tblPrEx>
        <w:trPr>
          <w:trHeight w:val="270" w:hRule="atLeast"/>
        </w:trPr>
        <w:tc>
          <w:tcPr>
            <w:tcW w:w="697" w:type="dxa"/>
            <w:tcBorders>
              <w:top w:val="single" w:color="auto" w:sz="8" w:space="0"/>
              <w:left w:val="single" w:color="auto" w:sz="8" w:space="0"/>
              <w:bottom w:val="single" w:color="auto" w:sz="4" w:space="0"/>
              <w:right w:val="single" w:color="auto" w:sz="4" w:space="0"/>
            </w:tcBorders>
            <w:shd w:val="clear" w:color="auto" w:fill="auto"/>
            <w:noWrap/>
            <w:vAlign w:val="center"/>
          </w:tcPr>
          <w:p w14:paraId="73092EE1">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9</w:t>
            </w:r>
          </w:p>
        </w:tc>
        <w:tc>
          <w:tcPr>
            <w:tcW w:w="457" w:type="dxa"/>
            <w:tcBorders>
              <w:top w:val="single" w:color="auto" w:sz="8" w:space="0"/>
              <w:left w:val="nil"/>
              <w:bottom w:val="single" w:color="auto" w:sz="4" w:space="0"/>
              <w:right w:val="single" w:color="auto" w:sz="4" w:space="0"/>
            </w:tcBorders>
            <w:shd w:val="clear" w:color="auto" w:fill="auto"/>
            <w:vAlign w:val="center"/>
          </w:tcPr>
          <w:p w14:paraId="08AE5EA7">
            <w:pPr>
              <w:widowControl/>
              <w:spacing w:beforeLines="-2147483648" w:afterLines="-2147483648"/>
              <w:jc w:val="center"/>
              <w:rPr>
                <w:rFonts w:hint="eastAsia"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vMerge w:val="continue"/>
            <w:tcBorders>
              <w:left w:val="nil"/>
              <w:right w:val="single" w:color="auto" w:sz="4" w:space="0"/>
            </w:tcBorders>
            <w:shd w:val="clear" w:color="auto" w:fill="auto"/>
            <w:vAlign w:val="center"/>
          </w:tcPr>
          <w:p w14:paraId="48A30B03">
            <w:pPr>
              <w:widowControl/>
              <w:spacing w:beforeLines="-2147483648" w:afterLines="-2147483648"/>
              <w:jc w:val="center"/>
              <w:rPr>
                <w:rFonts w:hint="eastAsia" w:ascii="仿宋" w:hAnsi="仿宋" w:eastAsia="仿宋" w:cs="仿宋"/>
                <w:bCs/>
                <w:sz w:val="24"/>
                <w:highlight w:val="none"/>
              </w:rPr>
            </w:pPr>
          </w:p>
        </w:tc>
        <w:tc>
          <w:tcPr>
            <w:tcW w:w="4097" w:type="dxa"/>
            <w:tcBorders>
              <w:top w:val="single" w:color="auto" w:sz="8" w:space="0"/>
              <w:left w:val="nil"/>
              <w:bottom w:val="single" w:color="auto" w:sz="4" w:space="0"/>
              <w:right w:val="single" w:color="auto" w:sz="4" w:space="0"/>
            </w:tcBorders>
            <w:shd w:val="clear" w:color="auto" w:fill="auto"/>
            <w:vAlign w:val="center"/>
          </w:tcPr>
          <w:p w14:paraId="49C74C2E">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val="en-US" w:eastAsia="zh-CN"/>
              </w:rPr>
              <w:t>供应商给出长度、高度和深度。</w:t>
            </w:r>
          </w:p>
        </w:tc>
        <w:tc>
          <w:tcPr>
            <w:tcW w:w="457" w:type="dxa"/>
            <w:tcBorders>
              <w:top w:val="single" w:color="auto" w:sz="8" w:space="0"/>
              <w:left w:val="nil"/>
              <w:bottom w:val="single" w:color="auto" w:sz="4" w:space="0"/>
              <w:right w:val="single" w:color="auto" w:sz="8" w:space="0"/>
            </w:tcBorders>
            <w:shd w:val="clear" w:color="auto" w:fill="auto"/>
            <w:vAlign w:val="center"/>
          </w:tcPr>
          <w:p w14:paraId="0DC30C9C">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eastAsia="zh-CN"/>
              </w:rPr>
              <w:t>否</w:t>
            </w:r>
          </w:p>
        </w:tc>
      </w:tr>
      <w:tr w14:paraId="49CD1C2A">
        <w:tblPrEx>
          <w:tblCellMar>
            <w:top w:w="0" w:type="dxa"/>
            <w:left w:w="108" w:type="dxa"/>
            <w:bottom w:w="0" w:type="dxa"/>
            <w:right w:w="108" w:type="dxa"/>
          </w:tblCellMar>
        </w:tblPrEx>
        <w:trPr>
          <w:trHeight w:val="270" w:hRule="atLeast"/>
        </w:trPr>
        <w:tc>
          <w:tcPr>
            <w:tcW w:w="697" w:type="dxa"/>
            <w:tcBorders>
              <w:top w:val="single" w:color="auto" w:sz="8" w:space="0"/>
              <w:left w:val="single" w:color="auto" w:sz="8" w:space="0"/>
              <w:bottom w:val="single" w:color="auto" w:sz="4" w:space="0"/>
              <w:right w:val="single" w:color="auto" w:sz="4" w:space="0"/>
            </w:tcBorders>
            <w:shd w:val="clear" w:color="auto" w:fill="auto"/>
            <w:noWrap/>
            <w:vAlign w:val="center"/>
          </w:tcPr>
          <w:p w14:paraId="236B47BA">
            <w:pPr>
              <w:widowControl/>
              <w:spacing w:beforeLines="-2147483648" w:afterLines="-2147483648"/>
              <w:jc w:val="center"/>
              <w:rPr>
                <w:rFonts w:hint="default"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10</w:t>
            </w:r>
          </w:p>
        </w:tc>
        <w:tc>
          <w:tcPr>
            <w:tcW w:w="457" w:type="dxa"/>
            <w:tcBorders>
              <w:top w:val="single" w:color="auto" w:sz="8" w:space="0"/>
              <w:left w:val="nil"/>
              <w:bottom w:val="single" w:color="auto" w:sz="4" w:space="0"/>
              <w:right w:val="single" w:color="auto" w:sz="4" w:space="0"/>
            </w:tcBorders>
            <w:shd w:val="clear" w:color="auto" w:fill="auto"/>
            <w:vAlign w:val="center"/>
          </w:tcPr>
          <w:p w14:paraId="57FD21F3">
            <w:pPr>
              <w:widowControl/>
              <w:spacing w:beforeLines="-2147483648" w:afterLines="-2147483648"/>
              <w:jc w:val="center"/>
              <w:rPr>
                <w:rFonts w:hint="eastAsia"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vMerge w:val="continue"/>
            <w:tcBorders>
              <w:left w:val="nil"/>
              <w:bottom w:val="single" w:color="auto" w:sz="4" w:space="0"/>
              <w:right w:val="single" w:color="auto" w:sz="4" w:space="0"/>
            </w:tcBorders>
            <w:shd w:val="clear" w:color="auto" w:fill="auto"/>
            <w:vAlign w:val="center"/>
          </w:tcPr>
          <w:p w14:paraId="3CDDFF0F">
            <w:pPr>
              <w:widowControl/>
              <w:spacing w:beforeLines="-2147483648" w:afterLines="-2147483648"/>
              <w:jc w:val="center"/>
              <w:rPr>
                <w:rFonts w:hint="eastAsia" w:ascii="仿宋" w:hAnsi="仿宋" w:eastAsia="仿宋" w:cs="仿宋"/>
                <w:bCs/>
                <w:sz w:val="24"/>
                <w:highlight w:val="none"/>
              </w:rPr>
            </w:pPr>
          </w:p>
        </w:tc>
        <w:tc>
          <w:tcPr>
            <w:tcW w:w="4097" w:type="dxa"/>
            <w:tcBorders>
              <w:top w:val="single" w:color="auto" w:sz="8" w:space="0"/>
              <w:left w:val="nil"/>
              <w:bottom w:val="single" w:color="auto" w:sz="4" w:space="0"/>
              <w:right w:val="single" w:color="auto" w:sz="4" w:space="0"/>
            </w:tcBorders>
            <w:shd w:val="clear" w:color="auto" w:fill="auto"/>
            <w:vAlign w:val="center"/>
          </w:tcPr>
          <w:p w14:paraId="28E9AF5A">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rPr>
              <w:t>投标人承诺所投产品符合财政部、工信部发布的《通用服务器政府采购需求标准（2023年版）》(财库〔2023〕33号》中所有*指标要求，提供加盖投标人公章的承诺函</w:t>
            </w:r>
            <w:r>
              <w:rPr>
                <w:rFonts w:hint="eastAsia" w:ascii="仿宋" w:hAnsi="仿宋" w:eastAsia="仿宋" w:cs="仿宋"/>
                <w:bCs/>
                <w:sz w:val="24"/>
                <w:highlight w:val="none"/>
                <w:lang w:eastAsia="zh-CN"/>
              </w:rPr>
              <w:t>。</w:t>
            </w:r>
          </w:p>
        </w:tc>
        <w:tc>
          <w:tcPr>
            <w:tcW w:w="457" w:type="dxa"/>
            <w:tcBorders>
              <w:top w:val="single" w:color="auto" w:sz="8" w:space="0"/>
              <w:left w:val="nil"/>
              <w:bottom w:val="single" w:color="auto" w:sz="4" w:space="0"/>
              <w:right w:val="single" w:color="auto" w:sz="8" w:space="0"/>
            </w:tcBorders>
            <w:shd w:val="clear" w:color="auto" w:fill="auto"/>
            <w:vAlign w:val="center"/>
          </w:tcPr>
          <w:p w14:paraId="70C2D6F6">
            <w:pPr>
              <w:widowControl/>
              <w:spacing w:beforeLines="-2147483648" w:afterLines="-2147483648"/>
              <w:jc w:val="left"/>
              <w:rPr>
                <w:rFonts w:hint="eastAsia" w:ascii="仿宋" w:hAnsi="仿宋" w:eastAsia="仿宋" w:cs="仿宋"/>
                <w:bCs/>
                <w:sz w:val="24"/>
                <w:highlight w:val="none"/>
              </w:rPr>
            </w:pPr>
            <w:r>
              <w:rPr>
                <w:rFonts w:hint="eastAsia" w:ascii="仿宋" w:hAnsi="仿宋" w:eastAsia="仿宋" w:cs="仿宋"/>
                <w:bCs/>
                <w:sz w:val="24"/>
                <w:highlight w:val="none"/>
                <w:lang w:eastAsia="zh-CN"/>
              </w:rPr>
              <w:t>是</w:t>
            </w:r>
          </w:p>
        </w:tc>
      </w:tr>
      <w:tr w14:paraId="62B9814B">
        <w:tblPrEx>
          <w:tblCellMar>
            <w:top w:w="0" w:type="dxa"/>
            <w:left w:w="108" w:type="dxa"/>
            <w:bottom w:w="0" w:type="dxa"/>
            <w:right w:w="108" w:type="dxa"/>
          </w:tblCellMar>
        </w:tblPrEx>
        <w:trPr>
          <w:trHeight w:val="27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08922D15">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rPr>
              <w:t>1</w:t>
            </w:r>
            <w:r>
              <w:rPr>
                <w:rFonts w:hint="eastAsia" w:ascii="仿宋" w:hAnsi="仿宋" w:eastAsia="仿宋" w:cs="仿宋"/>
                <w:bCs/>
                <w:sz w:val="24"/>
                <w:highlight w:val="none"/>
                <w:lang w:val="en-US" w:eastAsia="zh-CN"/>
              </w:rPr>
              <w:t>1</w:t>
            </w:r>
          </w:p>
        </w:tc>
        <w:tc>
          <w:tcPr>
            <w:tcW w:w="457" w:type="dxa"/>
            <w:tcBorders>
              <w:top w:val="nil"/>
              <w:left w:val="nil"/>
              <w:bottom w:val="single" w:color="auto" w:sz="4" w:space="0"/>
              <w:right w:val="single" w:color="auto" w:sz="4" w:space="0"/>
            </w:tcBorders>
            <w:shd w:val="clear" w:color="auto" w:fill="auto"/>
            <w:noWrap/>
            <w:vAlign w:val="center"/>
          </w:tcPr>
          <w:p w14:paraId="37B2BDEC">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tcBorders>
              <w:top w:val="single" w:color="auto" w:sz="4" w:space="0"/>
              <w:left w:val="nil"/>
              <w:bottom w:val="single" w:color="auto" w:sz="4" w:space="0"/>
              <w:right w:val="single" w:color="auto" w:sz="4" w:space="0"/>
            </w:tcBorders>
            <w:shd w:val="clear" w:color="auto" w:fill="auto"/>
            <w:vAlign w:val="center"/>
          </w:tcPr>
          <w:p w14:paraId="4AF140D3">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数量（台/套）</w:t>
            </w:r>
          </w:p>
        </w:tc>
        <w:tc>
          <w:tcPr>
            <w:tcW w:w="4097" w:type="dxa"/>
            <w:tcBorders>
              <w:top w:val="nil"/>
              <w:left w:val="nil"/>
              <w:bottom w:val="single" w:color="auto" w:sz="4" w:space="0"/>
              <w:right w:val="single" w:color="auto" w:sz="4" w:space="0"/>
            </w:tcBorders>
            <w:shd w:val="clear" w:color="auto" w:fill="auto"/>
            <w:vAlign w:val="center"/>
          </w:tcPr>
          <w:p w14:paraId="48B1551C">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1套（≥3节点）</w:t>
            </w:r>
          </w:p>
        </w:tc>
        <w:tc>
          <w:tcPr>
            <w:tcW w:w="457" w:type="dxa"/>
            <w:tcBorders>
              <w:top w:val="nil"/>
              <w:left w:val="nil"/>
              <w:bottom w:val="single" w:color="auto" w:sz="4" w:space="0"/>
              <w:right w:val="single" w:color="auto" w:sz="8" w:space="0"/>
            </w:tcBorders>
            <w:shd w:val="clear" w:color="auto" w:fill="auto"/>
            <w:vAlign w:val="center"/>
          </w:tcPr>
          <w:p w14:paraId="1DD2DE45">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否</w:t>
            </w:r>
          </w:p>
        </w:tc>
      </w:tr>
      <w:tr w14:paraId="211C327D">
        <w:tblPrEx>
          <w:tblCellMar>
            <w:top w:w="0" w:type="dxa"/>
            <w:left w:w="108" w:type="dxa"/>
            <w:bottom w:w="0" w:type="dxa"/>
            <w:right w:w="108" w:type="dxa"/>
          </w:tblCellMar>
        </w:tblPrEx>
        <w:trPr>
          <w:trHeight w:val="48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342F6BB4">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1</w:t>
            </w:r>
            <w:r>
              <w:rPr>
                <w:rFonts w:hint="eastAsia" w:ascii="仿宋" w:hAnsi="仿宋" w:eastAsia="仿宋" w:cs="仿宋"/>
                <w:bCs/>
                <w:sz w:val="24"/>
                <w:highlight w:val="none"/>
              </w:rPr>
              <w:t>2</w:t>
            </w:r>
          </w:p>
        </w:tc>
        <w:tc>
          <w:tcPr>
            <w:tcW w:w="457" w:type="dxa"/>
            <w:tcBorders>
              <w:top w:val="nil"/>
              <w:left w:val="nil"/>
              <w:bottom w:val="single" w:color="auto" w:sz="4" w:space="0"/>
              <w:right w:val="single" w:color="auto" w:sz="4" w:space="0"/>
            </w:tcBorders>
            <w:shd w:val="clear" w:color="auto" w:fill="auto"/>
            <w:noWrap/>
            <w:vAlign w:val="center"/>
          </w:tcPr>
          <w:p w14:paraId="7AAE5AED">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AA9A09">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节点总体要求</w:t>
            </w:r>
          </w:p>
        </w:tc>
        <w:tc>
          <w:tcPr>
            <w:tcW w:w="4097" w:type="dxa"/>
            <w:tcBorders>
              <w:top w:val="nil"/>
              <w:left w:val="nil"/>
              <w:bottom w:val="single" w:color="auto" w:sz="4" w:space="0"/>
              <w:right w:val="single" w:color="auto" w:sz="4" w:space="0"/>
            </w:tcBorders>
            <w:shd w:val="clear" w:color="auto" w:fill="auto"/>
            <w:vAlign w:val="center"/>
          </w:tcPr>
          <w:p w14:paraId="293CE2E3">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适用于通用机房环境，支持标准机柜；</w:t>
            </w:r>
            <w:r>
              <w:rPr>
                <w:rFonts w:hint="eastAsia" w:ascii="仿宋" w:hAnsi="仿宋" w:eastAsia="仿宋" w:cs="仿宋"/>
                <w:bCs/>
                <w:sz w:val="24"/>
                <w:highlight w:val="none"/>
              </w:rPr>
              <w:br w:type="textWrapping"/>
            </w:r>
            <w:r>
              <w:rPr>
                <w:rFonts w:hint="eastAsia" w:ascii="仿宋" w:hAnsi="仿宋" w:eastAsia="仿宋" w:cs="仿宋"/>
                <w:bCs/>
                <w:sz w:val="24"/>
                <w:highlight w:val="none"/>
              </w:rPr>
              <w:t>节点CPU应当符合安全可靠测评要求</w:t>
            </w:r>
            <w:r>
              <w:rPr>
                <w:rFonts w:hint="eastAsia" w:ascii="仿宋" w:hAnsi="仿宋" w:eastAsia="仿宋" w:cs="仿宋"/>
                <w:bCs/>
                <w:sz w:val="24"/>
                <w:highlight w:val="none"/>
                <w:lang w:eastAsia="zh-CN"/>
              </w:rPr>
              <w:t>。</w:t>
            </w:r>
          </w:p>
        </w:tc>
        <w:tc>
          <w:tcPr>
            <w:tcW w:w="457" w:type="dxa"/>
            <w:tcBorders>
              <w:top w:val="nil"/>
              <w:left w:val="nil"/>
              <w:bottom w:val="single" w:color="auto" w:sz="4" w:space="0"/>
              <w:right w:val="single" w:color="auto" w:sz="8" w:space="0"/>
            </w:tcBorders>
            <w:shd w:val="clear" w:color="auto" w:fill="auto"/>
            <w:vAlign w:val="center"/>
          </w:tcPr>
          <w:p w14:paraId="0EA0D399">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否</w:t>
            </w:r>
          </w:p>
        </w:tc>
      </w:tr>
      <w:tr w14:paraId="74ABC453">
        <w:tblPrEx>
          <w:tblCellMar>
            <w:top w:w="0" w:type="dxa"/>
            <w:left w:w="108" w:type="dxa"/>
            <w:bottom w:w="0" w:type="dxa"/>
            <w:right w:w="108" w:type="dxa"/>
          </w:tblCellMar>
        </w:tblPrEx>
        <w:trPr>
          <w:trHeight w:val="72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68FE2F03">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1</w:t>
            </w:r>
            <w:r>
              <w:rPr>
                <w:rFonts w:hint="eastAsia" w:ascii="仿宋" w:hAnsi="仿宋" w:eastAsia="仿宋" w:cs="仿宋"/>
                <w:bCs/>
                <w:sz w:val="24"/>
                <w:highlight w:val="none"/>
              </w:rPr>
              <w:t>3</w:t>
            </w:r>
          </w:p>
        </w:tc>
        <w:tc>
          <w:tcPr>
            <w:tcW w:w="457" w:type="dxa"/>
            <w:tcBorders>
              <w:top w:val="nil"/>
              <w:left w:val="nil"/>
              <w:bottom w:val="single" w:color="auto" w:sz="4" w:space="0"/>
              <w:right w:val="single" w:color="auto" w:sz="4" w:space="0"/>
            </w:tcBorders>
            <w:shd w:val="clear" w:color="auto" w:fill="auto"/>
            <w:noWrap/>
            <w:vAlign w:val="center"/>
          </w:tcPr>
          <w:p w14:paraId="44D9ED94">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vMerge w:val="continue"/>
            <w:tcBorders>
              <w:top w:val="nil"/>
              <w:left w:val="nil"/>
              <w:bottom w:val="single" w:color="auto" w:sz="4" w:space="0"/>
              <w:right w:val="single" w:color="auto" w:sz="4" w:space="0"/>
            </w:tcBorders>
            <w:vAlign w:val="center"/>
          </w:tcPr>
          <w:p w14:paraId="10C0A4B0">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6AC73B57">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投标产品所配备的CPU（中央处理器）支持TEE可信执行环境，实现虚拟机在内存读写时的自动加解密功能。提供投标产品所配备的CPU（中央处理器）具有上述密码技术特性的证明材料 （加盖公章）</w:t>
            </w:r>
            <w:r>
              <w:rPr>
                <w:rFonts w:hint="eastAsia" w:eastAsia="宋体"/>
                <w:highlight w:val="none"/>
                <w:lang w:eastAsia="zh-CN"/>
              </w:rPr>
              <w:t>。</w:t>
            </w:r>
          </w:p>
        </w:tc>
        <w:tc>
          <w:tcPr>
            <w:tcW w:w="457" w:type="dxa"/>
            <w:tcBorders>
              <w:top w:val="nil"/>
              <w:left w:val="nil"/>
              <w:bottom w:val="single" w:color="auto" w:sz="4" w:space="0"/>
              <w:right w:val="single" w:color="auto" w:sz="8" w:space="0"/>
            </w:tcBorders>
            <w:shd w:val="clear" w:color="auto" w:fill="auto"/>
            <w:vAlign w:val="center"/>
          </w:tcPr>
          <w:p w14:paraId="59F048F2">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是</w:t>
            </w:r>
          </w:p>
        </w:tc>
      </w:tr>
      <w:tr w14:paraId="6B3B23EB">
        <w:tblPrEx>
          <w:tblCellMar>
            <w:top w:w="0" w:type="dxa"/>
            <w:left w:w="108" w:type="dxa"/>
            <w:bottom w:w="0" w:type="dxa"/>
            <w:right w:w="108" w:type="dxa"/>
          </w:tblCellMar>
        </w:tblPrEx>
        <w:trPr>
          <w:trHeight w:val="96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75C5D19D">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1</w:t>
            </w:r>
            <w:r>
              <w:rPr>
                <w:rFonts w:hint="eastAsia" w:ascii="仿宋" w:hAnsi="仿宋" w:eastAsia="仿宋" w:cs="仿宋"/>
                <w:bCs/>
                <w:sz w:val="24"/>
                <w:highlight w:val="none"/>
              </w:rPr>
              <w:t>4</w:t>
            </w:r>
          </w:p>
        </w:tc>
        <w:tc>
          <w:tcPr>
            <w:tcW w:w="457" w:type="dxa"/>
            <w:tcBorders>
              <w:top w:val="nil"/>
              <w:left w:val="nil"/>
              <w:bottom w:val="single" w:color="auto" w:sz="4" w:space="0"/>
              <w:right w:val="single" w:color="auto" w:sz="4" w:space="0"/>
            </w:tcBorders>
            <w:shd w:val="clear" w:color="auto" w:fill="auto"/>
            <w:noWrap/>
            <w:vAlign w:val="center"/>
          </w:tcPr>
          <w:p w14:paraId="3C469440">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w:t>
            </w:r>
          </w:p>
        </w:tc>
        <w:tc>
          <w:tcPr>
            <w:tcW w:w="2598" w:type="dxa"/>
            <w:gridSpan w:val="2"/>
            <w:tcBorders>
              <w:top w:val="single" w:color="auto" w:sz="4" w:space="0"/>
              <w:left w:val="nil"/>
              <w:bottom w:val="single" w:color="auto" w:sz="4" w:space="0"/>
              <w:right w:val="single" w:color="auto" w:sz="4" w:space="0"/>
            </w:tcBorders>
            <w:shd w:val="clear" w:color="auto" w:fill="auto"/>
            <w:vAlign w:val="center"/>
          </w:tcPr>
          <w:p w14:paraId="4EFC65D0">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单节点基础配置要求</w:t>
            </w:r>
          </w:p>
        </w:tc>
        <w:tc>
          <w:tcPr>
            <w:tcW w:w="4097" w:type="dxa"/>
            <w:tcBorders>
              <w:top w:val="nil"/>
              <w:left w:val="nil"/>
              <w:bottom w:val="single" w:color="auto" w:sz="4" w:space="0"/>
              <w:right w:val="single" w:color="auto" w:sz="4" w:space="0"/>
            </w:tcBorders>
            <w:shd w:val="clear" w:color="auto" w:fill="auto"/>
            <w:vAlign w:val="center"/>
          </w:tcPr>
          <w:p w14:paraId="2FCECF59">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2U机架式设备；配置≥2颗处理器，单颗处理器核心数≥32核，主频≥2.5GHz,三级缓存≥64MB；配置≥512GB DDR5内存；配置独立RAID卡；配置≥2块480G SSD硬盘；配置≥2块7.68T SSD硬盘；配置≥1块1.92T NVMe SSD硬盘；配置≥9块16T SATA硬盘；配置≥2块双口万兆网卡（含多模模块）；配置≥4个千兆网络端口（RJ45）；配置冗余电源；配置导轨</w:t>
            </w:r>
            <w:r>
              <w:rPr>
                <w:rFonts w:hint="eastAsia" w:ascii="仿宋" w:hAnsi="仿宋" w:eastAsia="仿宋" w:cs="仿宋"/>
                <w:bCs/>
                <w:sz w:val="24"/>
                <w:highlight w:val="none"/>
                <w:lang w:eastAsia="zh-CN"/>
              </w:rPr>
              <w:t>。</w:t>
            </w:r>
          </w:p>
        </w:tc>
        <w:tc>
          <w:tcPr>
            <w:tcW w:w="457" w:type="dxa"/>
            <w:tcBorders>
              <w:top w:val="nil"/>
              <w:left w:val="nil"/>
              <w:bottom w:val="single" w:color="auto" w:sz="4" w:space="0"/>
              <w:right w:val="single" w:color="auto" w:sz="8" w:space="0"/>
            </w:tcBorders>
            <w:shd w:val="clear" w:color="auto" w:fill="auto"/>
            <w:vAlign w:val="center"/>
          </w:tcPr>
          <w:p w14:paraId="6919AC17">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否</w:t>
            </w:r>
          </w:p>
        </w:tc>
      </w:tr>
      <w:tr w14:paraId="00F3577F">
        <w:tblPrEx>
          <w:tblCellMar>
            <w:top w:w="0" w:type="dxa"/>
            <w:left w:w="108" w:type="dxa"/>
            <w:bottom w:w="0" w:type="dxa"/>
            <w:right w:w="108" w:type="dxa"/>
          </w:tblCellMar>
        </w:tblPrEx>
        <w:trPr>
          <w:trHeight w:val="695"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3187F8A2">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1</w:t>
            </w:r>
            <w:r>
              <w:rPr>
                <w:rFonts w:hint="eastAsia" w:ascii="仿宋" w:hAnsi="仿宋" w:eastAsia="仿宋" w:cs="仿宋"/>
                <w:bCs/>
                <w:sz w:val="24"/>
                <w:highlight w:val="none"/>
              </w:rPr>
              <w:t>5</w:t>
            </w:r>
          </w:p>
        </w:tc>
        <w:tc>
          <w:tcPr>
            <w:tcW w:w="457" w:type="dxa"/>
            <w:tcBorders>
              <w:top w:val="nil"/>
              <w:left w:val="nil"/>
              <w:bottom w:val="single" w:color="auto" w:sz="4" w:space="0"/>
              <w:right w:val="single" w:color="auto" w:sz="4" w:space="0"/>
            </w:tcBorders>
            <w:shd w:val="clear" w:color="auto" w:fill="auto"/>
            <w:noWrap/>
            <w:vAlign w:val="center"/>
          </w:tcPr>
          <w:p w14:paraId="345685DF">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w:t>
            </w:r>
          </w:p>
        </w:tc>
        <w:tc>
          <w:tcPr>
            <w:tcW w:w="1179" w:type="dxa"/>
            <w:vMerge w:val="restart"/>
            <w:tcBorders>
              <w:top w:val="nil"/>
              <w:left w:val="single" w:color="auto" w:sz="4" w:space="0"/>
              <w:bottom w:val="single" w:color="auto" w:sz="4" w:space="0"/>
              <w:right w:val="single" w:color="auto" w:sz="4" w:space="0"/>
            </w:tcBorders>
            <w:shd w:val="clear" w:color="auto" w:fill="auto"/>
            <w:vAlign w:val="center"/>
          </w:tcPr>
          <w:p w14:paraId="28A95AF8">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硬件要求</w:t>
            </w:r>
          </w:p>
        </w:tc>
        <w:tc>
          <w:tcPr>
            <w:tcW w:w="1419" w:type="dxa"/>
            <w:tcBorders>
              <w:top w:val="nil"/>
              <w:left w:val="nil"/>
              <w:bottom w:val="single" w:color="auto" w:sz="4" w:space="0"/>
              <w:right w:val="single" w:color="auto" w:sz="4" w:space="0"/>
            </w:tcBorders>
            <w:shd w:val="clear" w:color="auto" w:fill="auto"/>
            <w:vAlign w:val="center"/>
          </w:tcPr>
          <w:p w14:paraId="66F3331E">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处理器</w:t>
            </w:r>
          </w:p>
        </w:tc>
        <w:tc>
          <w:tcPr>
            <w:tcW w:w="4097" w:type="dxa"/>
            <w:tcBorders>
              <w:top w:val="nil"/>
              <w:left w:val="nil"/>
              <w:bottom w:val="single" w:color="auto" w:sz="4" w:space="0"/>
              <w:right w:val="single" w:color="auto" w:sz="4" w:space="0"/>
            </w:tcBorders>
            <w:shd w:val="clear" w:color="auto" w:fill="auto"/>
            <w:vAlign w:val="center"/>
          </w:tcPr>
          <w:p w14:paraId="1F449D43">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产品所配备的CPU（中央处理器）需支持且配置超线程技术，提供设备技术承诺函</w:t>
            </w:r>
            <w:r>
              <w:rPr>
                <w:rFonts w:hint="eastAsia" w:ascii="仿宋" w:hAnsi="仿宋" w:eastAsia="仿宋" w:cs="仿宋"/>
                <w:bCs/>
                <w:sz w:val="24"/>
                <w:highlight w:val="none"/>
                <w:lang w:eastAsia="zh-CN"/>
              </w:rPr>
              <w:t>，加盖公章。</w:t>
            </w:r>
          </w:p>
        </w:tc>
        <w:tc>
          <w:tcPr>
            <w:tcW w:w="457" w:type="dxa"/>
            <w:tcBorders>
              <w:top w:val="nil"/>
              <w:left w:val="nil"/>
              <w:bottom w:val="single" w:color="auto" w:sz="4" w:space="0"/>
              <w:right w:val="single" w:color="auto" w:sz="8" w:space="0"/>
            </w:tcBorders>
            <w:shd w:val="clear" w:color="auto" w:fill="auto"/>
            <w:vAlign w:val="center"/>
          </w:tcPr>
          <w:p w14:paraId="3EE725A2">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是</w:t>
            </w:r>
          </w:p>
        </w:tc>
      </w:tr>
      <w:tr w14:paraId="6ED85254">
        <w:tblPrEx>
          <w:tblCellMar>
            <w:top w:w="0" w:type="dxa"/>
            <w:left w:w="108" w:type="dxa"/>
            <w:bottom w:w="0" w:type="dxa"/>
            <w:right w:w="108" w:type="dxa"/>
          </w:tblCellMar>
        </w:tblPrEx>
        <w:trPr>
          <w:trHeight w:val="613"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23905548">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1</w:t>
            </w:r>
            <w:r>
              <w:rPr>
                <w:rFonts w:hint="eastAsia" w:ascii="仿宋" w:hAnsi="仿宋" w:eastAsia="仿宋" w:cs="仿宋"/>
                <w:bCs/>
                <w:sz w:val="24"/>
                <w:highlight w:val="none"/>
              </w:rPr>
              <w:t>6</w:t>
            </w:r>
          </w:p>
        </w:tc>
        <w:tc>
          <w:tcPr>
            <w:tcW w:w="457" w:type="dxa"/>
            <w:tcBorders>
              <w:top w:val="nil"/>
              <w:left w:val="nil"/>
              <w:bottom w:val="single" w:color="auto" w:sz="4" w:space="0"/>
              <w:right w:val="single" w:color="auto" w:sz="4" w:space="0"/>
            </w:tcBorders>
            <w:shd w:val="clear" w:color="auto" w:fill="auto"/>
            <w:noWrap/>
            <w:vAlign w:val="center"/>
          </w:tcPr>
          <w:p w14:paraId="5410BFE0">
            <w:pPr>
              <w:widowControl/>
              <w:spacing w:beforeLines="-2147483648" w:afterLines="-2147483648"/>
              <w:jc w:val="center"/>
              <w:rPr>
                <w:rFonts w:hint="default" w:ascii="仿宋" w:hAnsi="仿宋" w:eastAsia="仿宋" w:cs="仿宋"/>
                <w:bCs/>
                <w:sz w:val="24"/>
                <w:highlight w:val="none"/>
              </w:rPr>
            </w:pPr>
          </w:p>
        </w:tc>
        <w:tc>
          <w:tcPr>
            <w:tcW w:w="1179" w:type="dxa"/>
            <w:vMerge w:val="continue"/>
            <w:tcBorders>
              <w:top w:val="nil"/>
              <w:left w:val="single" w:color="auto" w:sz="4" w:space="0"/>
              <w:bottom w:val="single" w:color="auto" w:sz="4" w:space="0"/>
              <w:right w:val="single" w:color="auto" w:sz="4" w:space="0"/>
            </w:tcBorders>
            <w:vAlign w:val="center"/>
          </w:tcPr>
          <w:p w14:paraId="19E07F2B">
            <w:pPr>
              <w:widowControl/>
              <w:spacing w:beforeLines="-2147483648" w:afterLines="-2147483648"/>
              <w:jc w:val="left"/>
              <w:rPr>
                <w:rFonts w:hint="default" w:ascii="仿宋" w:hAnsi="仿宋" w:eastAsia="仿宋" w:cs="仿宋"/>
                <w:bCs/>
                <w:sz w:val="24"/>
                <w:highlight w:val="none"/>
              </w:rPr>
            </w:pPr>
          </w:p>
        </w:tc>
        <w:tc>
          <w:tcPr>
            <w:tcW w:w="1419" w:type="dxa"/>
            <w:tcBorders>
              <w:top w:val="nil"/>
              <w:left w:val="nil"/>
              <w:bottom w:val="single" w:color="auto" w:sz="4" w:space="0"/>
              <w:right w:val="single" w:color="auto" w:sz="4" w:space="0"/>
            </w:tcBorders>
            <w:shd w:val="clear" w:color="auto" w:fill="auto"/>
            <w:vAlign w:val="center"/>
          </w:tcPr>
          <w:p w14:paraId="5E0C20E6">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内存扩展性</w:t>
            </w:r>
          </w:p>
        </w:tc>
        <w:tc>
          <w:tcPr>
            <w:tcW w:w="4097" w:type="dxa"/>
            <w:tcBorders>
              <w:top w:val="nil"/>
              <w:left w:val="nil"/>
              <w:bottom w:val="single" w:color="auto" w:sz="4" w:space="0"/>
              <w:right w:val="single" w:color="auto" w:sz="4" w:space="0"/>
            </w:tcBorders>
            <w:shd w:val="clear" w:color="auto" w:fill="auto"/>
            <w:vAlign w:val="center"/>
          </w:tcPr>
          <w:p w14:paraId="65DF39C5">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机型支持扩展≥16个内存插槽；支持ECC，支持RDIMM</w:t>
            </w:r>
            <w:r>
              <w:rPr>
                <w:rFonts w:hint="eastAsia" w:ascii="仿宋" w:hAnsi="仿宋" w:eastAsia="仿宋" w:cs="仿宋"/>
                <w:bCs/>
                <w:sz w:val="24"/>
                <w:highlight w:val="none"/>
                <w:lang w:eastAsia="zh-CN"/>
              </w:rPr>
              <w:t>。</w:t>
            </w:r>
          </w:p>
        </w:tc>
        <w:tc>
          <w:tcPr>
            <w:tcW w:w="457" w:type="dxa"/>
            <w:tcBorders>
              <w:top w:val="nil"/>
              <w:left w:val="nil"/>
              <w:bottom w:val="single" w:color="auto" w:sz="4" w:space="0"/>
              <w:right w:val="single" w:color="auto" w:sz="8" w:space="0"/>
            </w:tcBorders>
            <w:shd w:val="clear" w:color="auto" w:fill="auto"/>
            <w:vAlign w:val="center"/>
          </w:tcPr>
          <w:p w14:paraId="44F51201">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否</w:t>
            </w:r>
          </w:p>
        </w:tc>
      </w:tr>
      <w:tr w14:paraId="057415BD">
        <w:tblPrEx>
          <w:tblCellMar>
            <w:top w:w="0" w:type="dxa"/>
            <w:left w:w="108" w:type="dxa"/>
            <w:bottom w:w="0" w:type="dxa"/>
            <w:right w:w="108" w:type="dxa"/>
          </w:tblCellMar>
        </w:tblPrEx>
        <w:trPr>
          <w:trHeight w:val="985"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7BD36798">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1</w:t>
            </w:r>
            <w:r>
              <w:rPr>
                <w:rFonts w:hint="eastAsia" w:ascii="仿宋" w:hAnsi="仿宋" w:eastAsia="仿宋" w:cs="仿宋"/>
                <w:bCs/>
                <w:sz w:val="24"/>
                <w:highlight w:val="none"/>
              </w:rPr>
              <w:t>7</w:t>
            </w:r>
          </w:p>
        </w:tc>
        <w:tc>
          <w:tcPr>
            <w:tcW w:w="457" w:type="dxa"/>
            <w:tcBorders>
              <w:top w:val="nil"/>
              <w:left w:val="nil"/>
              <w:bottom w:val="single" w:color="auto" w:sz="4" w:space="0"/>
              <w:right w:val="single" w:color="auto" w:sz="4" w:space="0"/>
            </w:tcBorders>
            <w:shd w:val="clear" w:color="auto" w:fill="auto"/>
            <w:noWrap/>
            <w:vAlign w:val="center"/>
          </w:tcPr>
          <w:p w14:paraId="5581EEBD">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w:t>
            </w:r>
          </w:p>
        </w:tc>
        <w:tc>
          <w:tcPr>
            <w:tcW w:w="1179" w:type="dxa"/>
            <w:vMerge w:val="continue"/>
            <w:tcBorders>
              <w:top w:val="nil"/>
              <w:left w:val="single" w:color="auto" w:sz="4" w:space="0"/>
              <w:bottom w:val="single" w:color="auto" w:sz="4" w:space="0"/>
              <w:right w:val="single" w:color="auto" w:sz="4" w:space="0"/>
            </w:tcBorders>
            <w:vAlign w:val="center"/>
          </w:tcPr>
          <w:p w14:paraId="0EB55737">
            <w:pPr>
              <w:widowControl/>
              <w:spacing w:beforeLines="-2147483648" w:afterLines="-2147483648"/>
              <w:jc w:val="left"/>
              <w:rPr>
                <w:rFonts w:hint="default" w:ascii="仿宋" w:hAnsi="仿宋" w:eastAsia="仿宋" w:cs="仿宋"/>
                <w:bCs/>
                <w:sz w:val="24"/>
                <w:highlight w:val="none"/>
              </w:rPr>
            </w:pPr>
          </w:p>
        </w:tc>
        <w:tc>
          <w:tcPr>
            <w:tcW w:w="1419" w:type="dxa"/>
            <w:tcBorders>
              <w:top w:val="nil"/>
              <w:left w:val="nil"/>
              <w:bottom w:val="single" w:color="auto" w:sz="4" w:space="0"/>
              <w:right w:val="single" w:color="auto" w:sz="4" w:space="0"/>
            </w:tcBorders>
            <w:shd w:val="clear" w:color="auto" w:fill="auto"/>
            <w:vAlign w:val="center"/>
          </w:tcPr>
          <w:p w14:paraId="1496A2A8">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硬盘扩展性</w:t>
            </w:r>
          </w:p>
        </w:tc>
        <w:tc>
          <w:tcPr>
            <w:tcW w:w="4097" w:type="dxa"/>
            <w:tcBorders>
              <w:top w:val="nil"/>
              <w:left w:val="nil"/>
              <w:bottom w:val="single" w:color="auto" w:sz="4" w:space="0"/>
              <w:right w:val="single" w:color="auto" w:sz="4" w:space="0"/>
            </w:tcBorders>
            <w:shd w:val="clear" w:color="auto" w:fill="auto"/>
            <w:vAlign w:val="center"/>
          </w:tcPr>
          <w:p w14:paraId="2970ECF3">
            <w:pPr>
              <w:widowControl/>
              <w:spacing w:beforeLines="-2147483648" w:afterLines="-2147483648"/>
              <w:jc w:val="left"/>
              <w:rPr>
                <w:rFonts w:hint="eastAsia" w:ascii="仿宋" w:hAnsi="仿宋" w:eastAsia="仿宋" w:cs="仿宋"/>
                <w:bCs/>
                <w:sz w:val="24"/>
                <w:highlight w:val="none"/>
                <w:lang w:eastAsia="zh-CN"/>
              </w:rPr>
            </w:pPr>
            <w:r>
              <w:rPr>
                <w:rFonts w:hint="eastAsia" w:ascii="仿宋" w:hAnsi="仿宋" w:eastAsia="仿宋" w:cs="仿宋"/>
                <w:bCs/>
                <w:sz w:val="24"/>
                <w:highlight w:val="none"/>
              </w:rPr>
              <w:t>机型最大支持≥12块3.5英寸硬盘；</w:t>
            </w:r>
            <w:r>
              <w:rPr>
                <w:rFonts w:hint="eastAsia" w:ascii="仿宋" w:hAnsi="仿宋" w:eastAsia="仿宋" w:cs="仿宋"/>
                <w:bCs/>
                <w:sz w:val="24"/>
                <w:highlight w:val="none"/>
              </w:rPr>
              <w:br w:type="textWrapping"/>
            </w:r>
            <w:r>
              <w:rPr>
                <w:rFonts w:hint="eastAsia" w:ascii="仿宋" w:hAnsi="仿宋" w:eastAsia="仿宋" w:cs="仿宋"/>
                <w:bCs/>
                <w:sz w:val="24"/>
                <w:highlight w:val="none"/>
              </w:rPr>
              <w:t>机型最大支持≥16块NVMe SSD硬盘；</w:t>
            </w:r>
            <w:r>
              <w:rPr>
                <w:rFonts w:hint="eastAsia" w:ascii="仿宋" w:hAnsi="仿宋" w:eastAsia="仿宋" w:cs="仿宋"/>
                <w:bCs/>
                <w:sz w:val="24"/>
                <w:highlight w:val="none"/>
              </w:rPr>
              <w:br w:type="textWrapping"/>
            </w:r>
            <w:r>
              <w:rPr>
                <w:rFonts w:hint="eastAsia" w:ascii="仿宋" w:hAnsi="仿宋" w:eastAsia="仿宋" w:cs="仿宋"/>
                <w:bCs/>
                <w:sz w:val="24"/>
                <w:highlight w:val="none"/>
              </w:rPr>
              <w:t>机型支持≥2块M.2 SSD硬盘</w:t>
            </w:r>
            <w:r>
              <w:rPr>
                <w:rFonts w:hint="eastAsia" w:ascii="仿宋" w:hAnsi="仿宋" w:eastAsia="仿宋" w:cs="仿宋"/>
                <w:bCs/>
                <w:sz w:val="24"/>
                <w:highlight w:val="none"/>
                <w:lang w:eastAsia="zh-CN"/>
              </w:rPr>
              <w:t>，提供截图证明并加盖公章。</w:t>
            </w:r>
          </w:p>
        </w:tc>
        <w:tc>
          <w:tcPr>
            <w:tcW w:w="457" w:type="dxa"/>
            <w:tcBorders>
              <w:top w:val="nil"/>
              <w:left w:val="nil"/>
              <w:bottom w:val="single" w:color="auto" w:sz="4" w:space="0"/>
              <w:right w:val="single" w:color="auto" w:sz="8" w:space="0"/>
            </w:tcBorders>
            <w:shd w:val="clear" w:color="auto" w:fill="auto"/>
            <w:vAlign w:val="center"/>
          </w:tcPr>
          <w:p w14:paraId="0758DDFB">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71CE60CC">
        <w:tblPrEx>
          <w:tblCellMar>
            <w:top w:w="0" w:type="dxa"/>
            <w:left w:w="108" w:type="dxa"/>
            <w:bottom w:w="0" w:type="dxa"/>
            <w:right w:w="108" w:type="dxa"/>
          </w:tblCellMar>
        </w:tblPrEx>
        <w:trPr>
          <w:trHeight w:val="695"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7583DCD2">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1</w:t>
            </w:r>
            <w:r>
              <w:rPr>
                <w:rFonts w:hint="eastAsia" w:ascii="仿宋" w:hAnsi="仿宋" w:eastAsia="仿宋" w:cs="仿宋"/>
                <w:bCs/>
                <w:sz w:val="24"/>
                <w:highlight w:val="none"/>
              </w:rPr>
              <w:t>8</w:t>
            </w:r>
          </w:p>
        </w:tc>
        <w:tc>
          <w:tcPr>
            <w:tcW w:w="457" w:type="dxa"/>
            <w:tcBorders>
              <w:top w:val="nil"/>
              <w:left w:val="nil"/>
              <w:bottom w:val="single" w:color="auto" w:sz="4" w:space="0"/>
              <w:right w:val="single" w:color="auto" w:sz="4" w:space="0"/>
            </w:tcBorders>
            <w:shd w:val="clear" w:color="auto" w:fill="auto"/>
            <w:noWrap/>
            <w:vAlign w:val="center"/>
          </w:tcPr>
          <w:p w14:paraId="72E63C01">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w:t>
            </w:r>
          </w:p>
        </w:tc>
        <w:tc>
          <w:tcPr>
            <w:tcW w:w="1179" w:type="dxa"/>
            <w:vMerge w:val="continue"/>
            <w:tcBorders>
              <w:top w:val="nil"/>
              <w:left w:val="single" w:color="auto" w:sz="4" w:space="0"/>
              <w:bottom w:val="single" w:color="auto" w:sz="4" w:space="0"/>
              <w:right w:val="single" w:color="auto" w:sz="4" w:space="0"/>
            </w:tcBorders>
            <w:vAlign w:val="center"/>
          </w:tcPr>
          <w:p w14:paraId="1691F7C7">
            <w:pPr>
              <w:widowControl/>
              <w:spacing w:beforeLines="-2147483648" w:afterLines="-2147483648"/>
              <w:jc w:val="left"/>
              <w:rPr>
                <w:rFonts w:hint="default" w:ascii="仿宋" w:hAnsi="仿宋" w:eastAsia="仿宋" w:cs="仿宋"/>
                <w:bCs/>
                <w:sz w:val="24"/>
                <w:highlight w:val="none"/>
              </w:rPr>
            </w:pPr>
          </w:p>
        </w:tc>
        <w:tc>
          <w:tcPr>
            <w:tcW w:w="1419" w:type="dxa"/>
            <w:vMerge w:val="restart"/>
            <w:tcBorders>
              <w:top w:val="nil"/>
              <w:left w:val="single" w:color="auto" w:sz="4" w:space="0"/>
              <w:bottom w:val="single" w:color="auto" w:sz="4" w:space="0"/>
              <w:right w:val="single" w:color="auto" w:sz="4" w:space="0"/>
            </w:tcBorders>
            <w:shd w:val="clear" w:color="auto" w:fill="auto"/>
            <w:vAlign w:val="center"/>
          </w:tcPr>
          <w:p w14:paraId="276A71D5">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I/O扩展性</w:t>
            </w:r>
          </w:p>
        </w:tc>
        <w:tc>
          <w:tcPr>
            <w:tcW w:w="4097" w:type="dxa"/>
            <w:tcBorders>
              <w:top w:val="nil"/>
              <w:left w:val="nil"/>
              <w:bottom w:val="single" w:color="auto" w:sz="4" w:space="0"/>
              <w:right w:val="single" w:color="auto" w:sz="4" w:space="0"/>
            </w:tcBorders>
            <w:shd w:val="clear" w:color="auto" w:fill="auto"/>
            <w:vAlign w:val="center"/>
          </w:tcPr>
          <w:p w14:paraId="0A2B9C01">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机型最大支持≥10个标准PCIe 5.0插槽（不含OCP插槽和存储设备专用插槽）</w:t>
            </w:r>
            <w:r>
              <w:rPr>
                <w:rFonts w:hint="eastAsia" w:ascii="仿宋" w:hAnsi="仿宋" w:eastAsia="仿宋" w:cs="仿宋"/>
                <w:bCs/>
                <w:sz w:val="24"/>
                <w:highlight w:val="none"/>
                <w:lang w:eastAsia="zh-CN"/>
              </w:rPr>
              <w:t>，提供截图证明并加盖公章。</w:t>
            </w:r>
          </w:p>
        </w:tc>
        <w:tc>
          <w:tcPr>
            <w:tcW w:w="457" w:type="dxa"/>
            <w:tcBorders>
              <w:top w:val="nil"/>
              <w:left w:val="nil"/>
              <w:bottom w:val="single" w:color="auto" w:sz="4" w:space="0"/>
              <w:right w:val="single" w:color="auto" w:sz="8" w:space="0"/>
            </w:tcBorders>
            <w:shd w:val="clear" w:color="auto" w:fill="auto"/>
            <w:vAlign w:val="center"/>
          </w:tcPr>
          <w:p w14:paraId="046127BF">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6D9E6103">
        <w:tblPrEx>
          <w:tblCellMar>
            <w:top w:w="0" w:type="dxa"/>
            <w:left w:w="108" w:type="dxa"/>
            <w:bottom w:w="0" w:type="dxa"/>
            <w:right w:w="108" w:type="dxa"/>
          </w:tblCellMar>
        </w:tblPrEx>
        <w:trPr>
          <w:trHeight w:val="27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14BEFB7D">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1</w:t>
            </w:r>
            <w:r>
              <w:rPr>
                <w:rFonts w:hint="eastAsia" w:ascii="仿宋" w:hAnsi="仿宋" w:eastAsia="仿宋" w:cs="仿宋"/>
                <w:bCs/>
                <w:sz w:val="24"/>
                <w:highlight w:val="none"/>
              </w:rPr>
              <w:t>9</w:t>
            </w:r>
          </w:p>
        </w:tc>
        <w:tc>
          <w:tcPr>
            <w:tcW w:w="457" w:type="dxa"/>
            <w:tcBorders>
              <w:top w:val="nil"/>
              <w:left w:val="nil"/>
              <w:bottom w:val="single" w:color="auto" w:sz="4" w:space="0"/>
              <w:right w:val="single" w:color="auto" w:sz="4" w:space="0"/>
            </w:tcBorders>
            <w:shd w:val="clear" w:color="auto" w:fill="auto"/>
            <w:noWrap/>
            <w:vAlign w:val="center"/>
          </w:tcPr>
          <w:p w14:paraId="792CB148">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w:t>
            </w:r>
          </w:p>
        </w:tc>
        <w:tc>
          <w:tcPr>
            <w:tcW w:w="1179" w:type="dxa"/>
            <w:vMerge w:val="continue"/>
            <w:tcBorders>
              <w:top w:val="nil"/>
              <w:left w:val="single" w:color="auto" w:sz="4" w:space="0"/>
              <w:bottom w:val="single" w:color="auto" w:sz="4" w:space="0"/>
              <w:right w:val="single" w:color="auto" w:sz="4" w:space="0"/>
            </w:tcBorders>
            <w:vAlign w:val="center"/>
          </w:tcPr>
          <w:p w14:paraId="3F49386A">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top w:val="nil"/>
              <w:left w:val="single" w:color="auto" w:sz="4" w:space="0"/>
              <w:bottom w:val="single" w:color="auto" w:sz="4" w:space="0"/>
              <w:right w:val="single" w:color="auto" w:sz="4" w:space="0"/>
            </w:tcBorders>
            <w:vAlign w:val="center"/>
          </w:tcPr>
          <w:p w14:paraId="0B474699">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1A7D2425">
            <w:pPr>
              <w:widowControl/>
              <w:spacing w:beforeLines="-2147483648" w:afterLines="-2147483648"/>
              <w:jc w:val="left"/>
              <w:rPr>
                <w:rFonts w:hint="eastAsia" w:ascii="仿宋" w:hAnsi="仿宋" w:eastAsia="仿宋" w:cs="仿宋"/>
                <w:bCs/>
                <w:sz w:val="24"/>
                <w:highlight w:val="none"/>
                <w:lang w:eastAsia="zh-CN"/>
              </w:rPr>
            </w:pPr>
            <w:r>
              <w:rPr>
                <w:rFonts w:hint="eastAsia" w:ascii="仿宋" w:hAnsi="仿宋" w:eastAsia="仿宋" w:cs="仿宋"/>
                <w:bCs/>
                <w:sz w:val="24"/>
                <w:highlight w:val="none"/>
              </w:rPr>
              <w:t>机型支持≥2个OCP 3.0网络插槽</w:t>
            </w:r>
            <w:r>
              <w:rPr>
                <w:rFonts w:hint="eastAsia" w:ascii="仿宋" w:hAnsi="仿宋" w:eastAsia="仿宋" w:cs="仿宋"/>
                <w:bCs/>
                <w:sz w:val="24"/>
                <w:highlight w:val="none"/>
                <w:lang w:eastAsia="zh-CN"/>
              </w:rPr>
              <w:t>，提供截图证明并加盖公章。</w:t>
            </w:r>
          </w:p>
        </w:tc>
        <w:tc>
          <w:tcPr>
            <w:tcW w:w="457" w:type="dxa"/>
            <w:tcBorders>
              <w:top w:val="nil"/>
              <w:left w:val="nil"/>
              <w:bottom w:val="single" w:color="auto" w:sz="4" w:space="0"/>
              <w:right w:val="single" w:color="auto" w:sz="8" w:space="0"/>
            </w:tcBorders>
            <w:shd w:val="clear" w:color="auto" w:fill="auto"/>
            <w:vAlign w:val="center"/>
          </w:tcPr>
          <w:p w14:paraId="45684E7F">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34D89DAB">
        <w:tblPrEx>
          <w:tblCellMar>
            <w:top w:w="0" w:type="dxa"/>
            <w:left w:w="108" w:type="dxa"/>
            <w:bottom w:w="0" w:type="dxa"/>
            <w:right w:w="108" w:type="dxa"/>
          </w:tblCellMar>
        </w:tblPrEx>
        <w:trPr>
          <w:trHeight w:val="72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70D6A31B">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2</w:t>
            </w:r>
            <w:r>
              <w:rPr>
                <w:rFonts w:hint="eastAsia" w:ascii="仿宋" w:hAnsi="仿宋" w:eastAsia="仿宋" w:cs="仿宋"/>
                <w:bCs/>
                <w:sz w:val="24"/>
                <w:highlight w:val="none"/>
              </w:rPr>
              <w:t>0</w:t>
            </w:r>
          </w:p>
        </w:tc>
        <w:tc>
          <w:tcPr>
            <w:tcW w:w="457" w:type="dxa"/>
            <w:tcBorders>
              <w:top w:val="nil"/>
              <w:left w:val="nil"/>
              <w:bottom w:val="single" w:color="auto" w:sz="4" w:space="0"/>
              <w:right w:val="single" w:color="auto" w:sz="4" w:space="0"/>
            </w:tcBorders>
            <w:shd w:val="clear" w:color="auto" w:fill="auto"/>
            <w:noWrap/>
            <w:vAlign w:val="center"/>
          </w:tcPr>
          <w:p w14:paraId="02A7BAC9">
            <w:pPr>
              <w:widowControl/>
              <w:spacing w:beforeLines="-2147483648" w:afterLines="-2147483648"/>
              <w:jc w:val="center"/>
              <w:rPr>
                <w:rFonts w:hint="default" w:ascii="仿宋" w:hAnsi="仿宋" w:eastAsia="仿宋" w:cs="仿宋"/>
                <w:bCs/>
                <w:sz w:val="24"/>
                <w:highlight w:val="none"/>
              </w:rPr>
            </w:pPr>
          </w:p>
        </w:tc>
        <w:tc>
          <w:tcPr>
            <w:tcW w:w="1179" w:type="dxa"/>
            <w:vMerge w:val="continue"/>
            <w:tcBorders>
              <w:top w:val="nil"/>
              <w:left w:val="single" w:color="auto" w:sz="4" w:space="0"/>
              <w:bottom w:val="single" w:color="auto" w:sz="4" w:space="0"/>
              <w:right w:val="single" w:color="auto" w:sz="4" w:space="0"/>
            </w:tcBorders>
            <w:vAlign w:val="center"/>
          </w:tcPr>
          <w:p w14:paraId="283881F5">
            <w:pPr>
              <w:widowControl/>
              <w:spacing w:beforeLines="-2147483648" w:afterLines="-2147483648"/>
              <w:jc w:val="left"/>
              <w:rPr>
                <w:rFonts w:hint="default" w:ascii="仿宋" w:hAnsi="仿宋" w:eastAsia="仿宋" w:cs="仿宋"/>
                <w:bCs/>
                <w:sz w:val="24"/>
                <w:highlight w:val="none"/>
              </w:rPr>
            </w:pPr>
          </w:p>
        </w:tc>
        <w:tc>
          <w:tcPr>
            <w:tcW w:w="1419" w:type="dxa"/>
            <w:tcBorders>
              <w:top w:val="nil"/>
              <w:left w:val="nil"/>
              <w:bottom w:val="single" w:color="auto" w:sz="4" w:space="0"/>
              <w:right w:val="single" w:color="auto" w:sz="4" w:space="0"/>
            </w:tcBorders>
            <w:shd w:val="clear" w:color="auto" w:fill="auto"/>
            <w:vAlign w:val="center"/>
          </w:tcPr>
          <w:p w14:paraId="5A0ADA0B">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安全性</w:t>
            </w:r>
          </w:p>
        </w:tc>
        <w:tc>
          <w:tcPr>
            <w:tcW w:w="4097" w:type="dxa"/>
            <w:tcBorders>
              <w:top w:val="nil"/>
              <w:left w:val="nil"/>
              <w:bottom w:val="single" w:color="auto" w:sz="4" w:space="0"/>
              <w:right w:val="single" w:color="auto" w:sz="4" w:space="0"/>
            </w:tcBorders>
            <w:shd w:val="clear" w:color="auto" w:fill="auto"/>
            <w:vAlign w:val="center"/>
          </w:tcPr>
          <w:p w14:paraId="40D8D007">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支持固件数字签名更新机制（更新时进行数字签名校验），防止非授权固件的更新；</w:t>
            </w:r>
            <w:r>
              <w:rPr>
                <w:rFonts w:hint="eastAsia" w:ascii="仿宋" w:hAnsi="仿宋" w:eastAsia="仿宋" w:cs="仿宋"/>
                <w:bCs/>
                <w:sz w:val="24"/>
                <w:highlight w:val="none"/>
              </w:rPr>
              <w:br w:type="textWrapping"/>
            </w:r>
            <w:r>
              <w:rPr>
                <w:rFonts w:hint="eastAsia" w:ascii="仿宋" w:hAnsi="仿宋" w:eastAsia="仿宋" w:cs="仿宋"/>
                <w:bCs/>
                <w:sz w:val="24"/>
                <w:highlight w:val="none"/>
              </w:rPr>
              <w:t>支持TPM和TCM可信模块；支持BIOS分级密码保护；</w:t>
            </w:r>
            <w:r>
              <w:rPr>
                <w:rFonts w:hint="eastAsia" w:ascii="仿宋" w:hAnsi="仿宋" w:eastAsia="仿宋" w:cs="仿宋"/>
                <w:bCs/>
                <w:sz w:val="24"/>
                <w:highlight w:val="none"/>
              </w:rPr>
              <w:br w:type="textWrapping"/>
            </w:r>
            <w:r>
              <w:rPr>
                <w:rFonts w:hint="eastAsia" w:ascii="仿宋" w:hAnsi="仿宋" w:eastAsia="仿宋" w:cs="仿宋"/>
                <w:bCs/>
                <w:sz w:val="24"/>
                <w:highlight w:val="none"/>
              </w:rPr>
              <w:t>增强安全性，需实现机箱入侵检测</w:t>
            </w:r>
            <w:r>
              <w:rPr>
                <w:rFonts w:hint="eastAsia" w:ascii="仿宋" w:hAnsi="仿宋" w:eastAsia="仿宋" w:cs="仿宋"/>
                <w:bCs/>
                <w:sz w:val="24"/>
                <w:highlight w:val="none"/>
                <w:lang w:eastAsia="zh-CN"/>
              </w:rPr>
              <w:t>。</w:t>
            </w:r>
          </w:p>
        </w:tc>
        <w:tc>
          <w:tcPr>
            <w:tcW w:w="457" w:type="dxa"/>
            <w:tcBorders>
              <w:top w:val="nil"/>
              <w:left w:val="nil"/>
              <w:bottom w:val="single" w:color="auto" w:sz="4" w:space="0"/>
              <w:right w:val="single" w:color="auto" w:sz="8" w:space="0"/>
            </w:tcBorders>
            <w:shd w:val="clear" w:color="auto" w:fill="auto"/>
            <w:vAlign w:val="center"/>
          </w:tcPr>
          <w:p w14:paraId="10623D27">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否</w:t>
            </w:r>
          </w:p>
        </w:tc>
      </w:tr>
      <w:tr w14:paraId="46BA256B">
        <w:tblPrEx>
          <w:tblCellMar>
            <w:top w:w="0" w:type="dxa"/>
            <w:left w:w="108" w:type="dxa"/>
            <w:bottom w:w="0" w:type="dxa"/>
            <w:right w:w="108" w:type="dxa"/>
          </w:tblCellMar>
        </w:tblPrEx>
        <w:trPr>
          <w:trHeight w:val="24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40C2B798">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2</w:t>
            </w:r>
            <w:r>
              <w:rPr>
                <w:rFonts w:hint="eastAsia" w:ascii="仿宋" w:hAnsi="仿宋" w:eastAsia="仿宋" w:cs="仿宋"/>
                <w:bCs/>
                <w:sz w:val="24"/>
                <w:highlight w:val="none"/>
              </w:rPr>
              <w:t>1</w:t>
            </w:r>
          </w:p>
        </w:tc>
        <w:tc>
          <w:tcPr>
            <w:tcW w:w="457" w:type="dxa"/>
            <w:tcBorders>
              <w:top w:val="nil"/>
              <w:left w:val="nil"/>
              <w:bottom w:val="single" w:color="auto" w:sz="4" w:space="0"/>
              <w:right w:val="single" w:color="auto" w:sz="4" w:space="0"/>
            </w:tcBorders>
            <w:shd w:val="clear" w:color="auto" w:fill="auto"/>
            <w:noWrap/>
            <w:vAlign w:val="center"/>
          </w:tcPr>
          <w:p w14:paraId="2343E341">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w:t>
            </w:r>
          </w:p>
        </w:tc>
        <w:tc>
          <w:tcPr>
            <w:tcW w:w="1179" w:type="dxa"/>
            <w:vMerge w:val="continue"/>
            <w:tcBorders>
              <w:top w:val="nil"/>
              <w:left w:val="single" w:color="auto" w:sz="4" w:space="0"/>
              <w:bottom w:val="single" w:color="auto" w:sz="4" w:space="0"/>
              <w:right w:val="single" w:color="auto" w:sz="4" w:space="0"/>
            </w:tcBorders>
            <w:vAlign w:val="center"/>
          </w:tcPr>
          <w:p w14:paraId="6653925E">
            <w:pPr>
              <w:widowControl/>
              <w:spacing w:beforeLines="-2147483648" w:afterLines="-2147483648"/>
              <w:jc w:val="left"/>
              <w:rPr>
                <w:rFonts w:hint="default" w:ascii="仿宋" w:hAnsi="仿宋" w:eastAsia="仿宋" w:cs="仿宋"/>
                <w:bCs/>
                <w:sz w:val="24"/>
                <w:highlight w:val="none"/>
              </w:rPr>
            </w:pPr>
          </w:p>
        </w:tc>
        <w:tc>
          <w:tcPr>
            <w:tcW w:w="1419" w:type="dxa"/>
            <w:tcBorders>
              <w:top w:val="nil"/>
              <w:left w:val="nil"/>
              <w:bottom w:val="single" w:color="auto" w:sz="4" w:space="0"/>
              <w:right w:val="single" w:color="auto" w:sz="4" w:space="0"/>
            </w:tcBorders>
            <w:shd w:val="clear" w:color="auto" w:fill="auto"/>
            <w:vAlign w:val="center"/>
          </w:tcPr>
          <w:p w14:paraId="6F1328D3">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能源与散热性</w:t>
            </w:r>
          </w:p>
        </w:tc>
        <w:tc>
          <w:tcPr>
            <w:tcW w:w="4097" w:type="dxa"/>
            <w:tcBorders>
              <w:top w:val="nil"/>
              <w:left w:val="nil"/>
              <w:bottom w:val="single" w:color="auto" w:sz="4" w:space="0"/>
              <w:right w:val="single" w:color="auto" w:sz="4" w:space="0"/>
            </w:tcBorders>
            <w:shd w:val="clear" w:color="auto" w:fill="auto"/>
            <w:vAlign w:val="center"/>
          </w:tcPr>
          <w:p w14:paraId="7389CF41">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配置冗余电源（机型支持交直流一体电源）；配置≥6组热插拔风扇模块，支持N+1冗余</w:t>
            </w:r>
            <w:r>
              <w:rPr>
                <w:rFonts w:hint="eastAsia" w:ascii="仿宋" w:hAnsi="仿宋" w:eastAsia="仿宋" w:cs="仿宋"/>
                <w:bCs/>
                <w:sz w:val="24"/>
                <w:highlight w:val="none"/>
                <w:lang w:eastAsia="zh-CN"/>
              </w:rPr>
              <w:t>，提供截图证明并加盖公章。</w:t>
            </w:r>
          </w:p>
        </w:tc>
        <w:tc>
          <w:tcPr>
            <w:tcW w:w="457" w:type="dxa"/>
            <w:tcBorders>
              <w:top w:val="nil"/>
              <w:left w:val="nil"/>
              <w:bottom w:val="single" w:color="auto" w:sz="4" w:space="0"/>
              <w:right w:val="single" w:color="auto" w:sz="8" w:space="0"/>
            </w:tcBorders>
            <w:shd w:val="clear" w:color="auto" w:fill="auto"/>
            <w:vAlign w:val="center"/>
          </w:tcPr>
          <w:p w14:paraId="2038D54A">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6641DAEF">
        <w:tblPrEx>
          <w:tblCellMar>
            <w:top w:w="0" w:type="dxa"/>
            <w:left w:w="108" w:type="dxa"/>
            <w:bottom w:w="0" w:type="dxa"/>
            <w:right w:w="108" w:type="dxa"/>
          </w:tblCellMar>
        </w:tblPrEx>
        <w:trPr>
          <w:trHeight w:val="48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006FB7A1">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2</w:t>
            </w:r>
            <w:r>
              <w:rPr>
                <w:rFonts w:hint="eastAsia" w:ascii="仿宋" w:hAnsi="仿宋" w:eastAsia="仿宋" w:cs="仿宋"/>
                <w:bCs/>
                <w:sz w:val="24"/>
                <w:highlight w:val="none"/>
              </w:rPr>
              <w:t>2</w:t>
            </w:r>
          </w:p>
        </w:tc>
        <w:tc>
          <w:tcPr>
            <w:tcW w:w="457" w:type="dxa"/>
            <w:tcBorders>
              <w:top w:val="nil"/>
              <w:left w:val="nil"/>
              <w:bottom w:val="single" w:color="auto" w:sz="4" w:space="0"/>
              <w:right w:val="single" w:color="auto" w:sz="4" w:space="0"/>
            </w:tcBorders>
            <w:shd w:val="clear" w:color="auto" w:fill="auto"/>
            <w:noWrap/>
            <w:vAlign w:val="center"/>
          </w:tcPr>
          <w:p w14:paraId="33BB3DDE">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w:t>
            </w:r>
          </w:p>
        </w:tc>
        <w:tc>
          <w:tcPr>
            <w:tcW w:w="1179" w:type="dxa"/>
            <w:vMerge w:val="restart"/>
            <w:tcBorders>
              <w:top w:val="nil"/>
              <w:left w:val="single" w:color="auto" w:sz="4" w:space="0"/>
              <w:bottom w:val="single" w:color="000000" w:sz="4" w:space="0"/>
              <w:right w:val="single" w:color="auto" w:sz="4" w:space="0"/>
            </w:tcBorders>
            <w:shd w:val="clear" w:color="auto" w:fill="auto"/>
            <w:noWrap/>
            <w:vAlign w:val="center"/>
          </w:tcPr>
          <w:p w14:paraId="2CD717F2">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软件要求</w:t>
            </w:r>
          </w:p>
        </w:tc>
        <w:tc>
          <w:tcPr>
            <w:tcW w:w="1419" w:type="dxa"/>
            <w:tcBorders>
              <w:top w:val="nil"/>
              <w:left w:val="nil"/>
              <w:bottom w:val="single" w:color="auto" w:sz="4" w:space="0"/>
              <w:right w:val="single" w:color="auto" w:sz="4" w:space="0"/>
            </w:tcBorders>
            <w:shd w:val="clear" w:color="auto" w:fill="auto"/>
            <w:vAlign w:val="center"/>
          </w:tcPr>
          <w:p w14:paraId="4ECD6E68">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授权</w:t>
            </w:r>
          </w:p>
        </w:tc>
        <w:tc>
          <w:tcPr>
            <w:tcW w:w="4097" w:type="dxa"/>
            <w:tcBorders>
              <w:top w:val="nil"/>
              <w:left w:val="nil"/>
              <w:bottom w:val="single" w:color="auto" w:sz="4" w:space="0"/>
              <w:right w:val="single" w:color="auto" w:sz="4" w:space="0"/>
            </w:tcBorders>
            <w:shd w:val="clear" w:color="auto" w:fill="auto"/>
            <w:vAlign w:val="center"/>
          </w:tcPr>
          <w:p w14:paraId="02B91BDE">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配置软件授权（包含≥6颗物理CPU或≥3台物理服务器授权），具备计算虚拟化、存储虚拟化、网络虚拟化功能</w:t>
            </w:r>
            <w:r>
              <w:rPr>
                <w:rFonts w:hint="eastAsia" w:ascii="仿宋" w:hAnsi="仿宋" w:eastAsia="仿宋" w:cs="仿宋"/>
                <w:bCs/>
                <w:sz w:val="24"/>
                <w:highlight w:val="none"/>
                <w:lang w:eastAsia="zh-CN"/>
              </w:rPr>
              <w:t>。</w:t>
            </w:r>
          </w:p>
        </w:tc>
        <w:tc>
          <w:tcPr>
            <w:tcW w:w="457" w:type="dxa"/>
            <w:tcBorders>
              <w:top w:val="nil"/>
              <w:left w:val="nil"/>
              <w:bottom w:val="single" w:color="auto" w:sz="4" w:space="0"/>
              <w:right w:val="single" w:color="auto" w:sz="8" w:space="0"/>
            </w:tcBorders>
            <w:shd w:val="clear" w:color="auto" w:fill="auto"/>
            <w:vAlign w:val="center"/>
          </w:tcPr>
          <w:p w14:paraId="558E44B4">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否</w:t>
            </w:r>
          </w:p>
        </w:tc>
      </w:tr>
      <w:tr w14:paraId="57F4F1E4">
        <w:tblPrEx>
          <w:tblCellMar>
            <w:top w:w="0" w:type="dxa"/>
            <w:left w:w="108" w:type="dxa"/>
            <w:bottom w:w="0" w:type="dxa"/>
            <w:right w:w="108" w:type="dxa"/>
          </w:tblCellMar>
        </w:tblPrEx>
        <w:trPr>
          <w:trHeight w:val="935"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40498404">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2</w:t>
            </w:r>
            <w:r>
              <w:rPr>
                <w:rFonts w:hint="eastAsia" w:ascii="仿宋" w:hAnsi="仿宋" w:eastAsia="仿宋" w:cs="仿宋"/>
                <w:bCs/>
                <w:sz w:val="24"/>
                <w:highlight w:val="none"/>
              </w:rPr>
              <w:t>3</w:t>
            </w:r>
          </w:p>
        </w:tc>
        <w:tc>
          <w:tcPr>
            <w:tcW w:w="457" w:type="dxa"/>
            <w:tcBorders>
              <w:top w:val="nil"/>
              <w:left w:val="nil"/>
              <w:bottom w:val="single" w:color="auto" w:sz="4" w:space="0"/>
              <w:right w:val="single" w:color="auto" w:sz="4" w:space="0"/>
            </w:tcBorders>
            <w:shd w:val="clear" w:color="auto" w:fill="auto"/>
            <w:noWrap/>
            <w:vAlign w:val="center"/>
          </w:tcPr>
          <w:p w14:paraId="00F450B6">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w:t>
            </w:r>
          </w:p>
        </w:tc>
        <w:tc>
          <w:tcPr>
            <w:tcW w:w="1179" w:type="dxa"/>
            <w:vMerge w:val="continue"/>
            <w:tcBorders>
              <w:top w:val="nil"/>
              <w:left w:val="single" w:color="auto" w:sz="4" w:space="0"/>
              <w:bottom w:val="single" w:color="000000" w:sz="4" w:space="0"/>
              <w:right w:val="single" w:color="auto" w:sz="4" w:space="0"/>
            </w:tcBorders>
            <w:vAlign w:val="center"/>
          </w:tcPr>
          <w:p w14:paraId="6CA0D5D6">
            <w:pPr>
              <w:widowControl/>
              <w:spacing w:beforeLines="-2147483648" w:afterLines="-2147483648"/>
              <w:jc w:val="left"/>
              <w:rPr>
                <w:rFonts w:hint="default" w:ascii="仿宋" w:hAnsi="仿宋" w:eastAsia="仿宋" w:cs="仿宋"/>
                <w:bCs/>
                <w:sz w:val="24"/>
                <w:highlight w:val="none"/>
              </w:rPr>
            </w:pPr>
          </w:p>
        </w:tc>
        <w:tc>
          <w:tcPr>
            <w:tcW w:w="1419" w:type="dxa"/>
            <w:vMerge w:val="restart"/>
            <w:tcBorders>
              <w:top w:val="nil"/>
              <w:left w:val="single" w:color="auto" w:sz="4" w:space="0"/>
              <w:bottom w:val="single" w:color="auto" w:sz="4" w:space="0"/>
              <w:right w:val="single" w:color="auto" w:sz="4" w:space="0"/>
            </w:tcBorders>
            <w:shd w:val="clear" w:color="auto" w:fill="auto"/>
            <w:noWrap/>
            <w:vAlign w:val="center"/>
          </w:tcPr>
          <w:p w14:paraId="4ACC7AE1">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超融合管理</w:t>
            </w:r>
          </w:p>
        </w:tc>
        <w:tc>
          <w:tcPr>
            <w:tcW w:w="4097" w:type="dxa"/>
            <w:tcBorders>
              <w:top w:val="nil"/>
              <w:left w:val="nil"/>
              <w:bottom w:val="single" w:color="auto" w:sz="4" w:space="0"/>
              <w:right w:val="single" w:color="auto" w:sz="4" w:space="0"/>
            </w:tcBorders>
            <w:shd w:val="clear" w:color="auto" w:fill="auto"/>
            <w:vAlign w:val="center"/>
          </w:tcPr>
          <w:p w14:paraId="324944CE">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为提升平台虚拟机的部署密度，有效降低硬件部署成本，超融合平台应支持对集群主机内存的分层设置，基于冷热分层实现内存超分，最大超分比≥10倍；虚拟机可按需一键开启或关闭内存超分</w:t>
            </w:r>
            <w:r>
              <w:rPr>
                <w:rFonts w:hint="eastAsia" w:ascii="仿宋" w:hAnsi="仿宋" w:eastAsia="仿宋" w:cs="仿宋"/>
                <w:bCs/>
                <w:sz w:val="24"/>
                <w:highlight w:val="none"/>
                <w:lang w:eastAsia="zh-CN"/>
              </w:rPr>
              <w:t>，提供产品界面截图并支持标后验证</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4B8FA395">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560CB805">
        <w:tblPrEx>
          <w:tblCellMar>
            <w:top w:w="0" w:type="dxa"/>
            <w:left w:w="108" w:type="dxa"/>
            <w:bottom w:w="0" w:type="dxa"/>
            <w:right w:w="108" w:type="dxa"/>
          </w:tblCellMar>
        </w:tblPrEx>
        <w:trPr>
          <w:trHeight w:val="96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35058A12">
            <w:pPr>
              <w:spacing w:beforeLines="-2147483648" w:afterLines="-2147483648"/>
              <w:rPr>
                <w:rFonts w:hint="default"/>
                <w:highlight w:val="none"/>
              </w:rPr>
            </w:pPr>
          </w:p>
        </w:tc>
        <w:tc>
          <w:tcPr>
            <w:tcW w:w="457" w:type="dxa"/>
            <w:tcBorders>
              <w:top w:val="nil"/>
              <w:left w:val="nil"/>
              <w:bottom w:val="single" w:color="auto" w:sz="4" w:space="0"/>
              <w:right w:val="single" w:color="auto" w:sz="4" w:space="0"/>
            </w:tcBorders>
            <w:shd w:val="clear" w:color="auto" w:fill="auto"/>
            <w:noWrap/>
            <w:vAlign w:val="center"/>
          </w:tcPr>
          <w:p w14:paraId="677F07B6">
            <w:pPr>
              <w:spacing w:beforeLines="-2147483648" w:afterLines="-2147483648"/>
              <w:rPr>
                <w:rFonts w:hint="default"/>
                <w:highlight w:val="none"/>
              </w:rPr>
            </w:pPr>
          </w:p>
        </w:tc>
        <w:tc>
          <w:tcPr>
            <w:tcW w:w="1179" w:type="dxa"/>
            <w:vMerge w:val="continue"/>
            <w:tcBorders>
              <w:top w:val="nil"/>
              <w:left w:val="single" w:color="auto" w:sz="4" w:space="0"/>
              <w:bottom w:val="single" w:color="000000" w:sz="4" w:space="0"/>
              <w:right w:val="single" w:color="auto" w:sz="4" w:space="0"/>
            </w:tcBorders>
            <w:vAlign w:val="center"/>
          </w:tcPr>
          <w:p w14:paraId="6E504D0F">
            <w:pPr>
              <w:spacing w:beforeLines="-2147483648" w:afterLines="-2147483648"/>
              <w:rPr>
                <w:rFonts w:hint="default"/>
                <w:highlight w:val="none"/>
              </w:rPr>
            </w:pPr>
          </w:p>
        </w:tc>
        <w:tc>
          <w:tcPr>
            <w:tcW w:w="1419" w:type="dxa"/>
            <w:vMerge w:val="continue"/>
            <w:tcBorders>
              <w:top w:val="nil"/>
              <w:left w:val="single" w:color="auto" w:sz="4" w:space="0"/>
              <w:bottom w:val="single" w:color="auto" w:sz="4" w:space="0"/>
              <w:right w:val="single" w:color="auto" w:sz="4" w:space="0"/>
            </w:tcBorders>
            <w:vAlign w:val="center"/>
          </w:tcPr>
          <w:p w14:paraId="56BD1BC9">
            <w:pPr>
              <w:spacing w:beforeLines="-2147483648" w:afterLines="-2147483648"/>
              <w:rPr>
                <w:rFonts w:hint="default"/>
                <w:highlight w:val="none"/>
              </w:rPr>
            </w:pPr>
          </w:p>
        </w:tc>
        <w:tc>
          <w:tcPr>
            <w:tcW w:w="4097" w:type="dxa"/>
            <w:tcBorders>
              <w:top w:val="nil"/>
              <w:left w:val="nil"/>
              <w:bottom w:val="single" w:color="auto" w:sz="4" w:space="0"/>
              <w:right w:val="single" w:color="auto" w:sz="4" w:space="0"/>
            </w:tcBorders>
            <w:shd w:val="clear" w:color="auto" w:fill="auto"/>
            <w:vAlign w:val="center"/>
          </w:tcPr>
          <w:p w14:paraId="3EDC89E5">
            <w:pPr>
              <w:spacing w:beforeLines="-2147483648" w:afterLines="-2147483648"/>
              <w:rPr>
                <w:rFonts w:hint="default"/>
                <w:highlight w:val="none"/>
              </w:rPr>
            </w:pPr>
          </w:p>
        </w:tc>
        <w:tc>
          <w:tcPr>
            <w:tcW w:w="457" w:type="dxa"/>
            <w:tcBorders>
              <w:top w:val="nil"/>
              <w:left w:val="nil"/>
              <w:bottom w:val="single" w:color="auto" w:sz="4" w:space="0"/>
              <w:right w:val="single" w:color="auto" w:sz="8" w:space="0"/>
            </w:tcBorders>
            <w:shd w:val="clear" w:color="auto" w:fill="auto"/>
            <w:vAlign w:val="center"/>
          </w:tcPr>
          <w:p w14:paraId="5E8C1658">
            <w:pPr>
              <w:spacing w:beforeLines="-2147483648" w:afterLines="-2147483648"/>
              <w:rPr>
                <w:rFonts w:hint="default"/>
                <w:highlight w:val="none"/>
              </w:rPr>
            </w:pPr>
          </w:p>
        </w:tc>
      </w:tr>
      <w:tr w14:paraId="5CD69FA9">
        <w:tblPrEx>
          <w:tblCellMar>
            <w:top w:w="0" w:type="dxa"/>
            <w:left w:w="108" w:type="dxa"/>
            <w:bottom w:w="0" w:type="dxa"/>
            <w:right w:w="108" w:type="dxa"/>
          </w:tblCellMar>
        </w:tblPrEx>
        <w:trPr>
          <w:trHeight w:val="1295"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07C2EB61">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24</w:t>
            </w:r>
          </w:p>
        </w:tc>
        <w:tc>
          <w:tcPr>
            <w:tcW w:w="457" w:type="dxa"/>
            <w:tcBorders>
              <w:top w:val="nil"/>
              <w:left w:val="nil"/>
              <w:bottom w:val="single" w:color="auto" w:sz="4" w:space="0"/>
              <w:right w:val="single" w:color="auto" w:sz="4" w:space="0"/>
            </w:tcBorders>
            <w:shd w:val="clear" w:color="auto" w:fill="auto"/>
            <w:noWrap/>
            <w:vAlign w:val="center"/>
          </w:tcPr>
          <w:p w14:paraId="1D6F7089">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w:t>
            </w:r>
          </w:p>
        </w:tc>
        <w:tc>
          <w:tcPr>
            <w:tcW w:w="1179" w:type="dxa"/>
            <w:vMerge w:val="continue"/>
            <w:tcBorders>
              <w:top w:val="nil"/>
              <w:left w:val="single" w:color="auto" w:sz="4" w:space="0"/>
              <w:bottom w:val="single" w:color="000000" w:sz="4" w:space="0"/>
              <w:right w:val="single" w:color="auto" w:sz="4" w:space="0"/>
            </w:tcBorders>
            <w:vAlign w:val="center"/>
          </w:tcPr>
          <w:p w14:paraId="1371FD6C">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top w:val="nil"/>
              <w:left w:val="single" w:color="auto" w:sz="4" w:space="0"/>
              <w:bottom w:val="single" w:color="auto" w:sz="4" w:space="0"/>
              <w:right w:val="single" w:color="auto" w:sz="4" w:space="0"/>
            </w:tcBorders>
            <w:vAlign w:val="center"/>
          </w:tcPr>
          <w:p w14:paraId="1B2E1BDD">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26BBE10D">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支持虚拟机和裸金属服务器统一管理，支持对裸金属服务器远程电源管理、挂载安装ISO镜像等操作，可将虚拟机镜像部署为裸金属服务器操作系统，可查看裸金属服务器电源状态、CPU、内存、硬盘等硬件信息，支持打开裸金属服务器控制台进行运维操作（</w:t>
            </w:r>
            <w:r>
              <w:rPr>
                <w:rFonts w:hint="eastAsia" w:ascii="仿宋" w:hAnsi="仿宋" w:eastAsia="仿宋" w:cs="仿宋"/>
                <w:bCs/>
                <w:sz w:val="24"/>
                <w:highlight w:val="none"/>
                <w:lang w:eastAsia="zh-CN"/>
              </w:rPr>
              <w:t>提供有关界面截图并加盖公章，并支持标后验证</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6E0296F6">
            <w:pPr>
              <w:widowControl/>
              <w:spacing w:beforeLines="-2147483648" w:afterLines="-2147483648"/>
              <w:jc w:val="center"/>
              <w:rPr>
                <w:rFonts w:hint="default" w:ascii="仿宋" w:hAnsi="仿宋" w:eastAsia="仿宋" w:cs="仿宋"/>
                <w:bCs/>
                <w:color w:val="000000"/>
                <w:sz w:val="24"/>
                <w:highlight w:val="none"/>
              </w:rPr>
            </w:pPr>
            <w:r>
              <w:rPr>
                <w:rFonts w:hint="eastAsia" w:ascii="仿宋" w:hAnsi="仿宋" w:eastAsia="仿宋" w:cs="仿宋"/>
                <w:bCs/>
                <w:color w:val="000000"/>
                <w:sz w:val="24"/>
                <w:highlight w:val="none"/>
              </w:rPr>
              <w:t>是</w:t>
            </w:r>
          </w:p>
        </w:tc>
      </w:tr>
      <w:tr w14:paraId="2050662B">
        <w:tblPrEx>
          <w:tblCellMar>
            <w:top w:w="0" w:type="dxa"/>
            <w:left w:w="108" w:type="dxa"/>
            <w:bottom w:w="0" w:type="dxa"/>
            <w:right w:w="108" w:type="dxa"/>
          </w:tblCellMar>
        </w:tblPrEx>
        <w:trPr>
          <w:trHeight w:val="1093"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4B97F327">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25</w:t>
            </w:r>
          </w:p>
        </w:tc>
        <w:tc>
          <w:tcPr>
            <w:tcW w:w="457" w:type="dxa"/>
            <w:tcBorders>
              <w:top w:val="nil"/>
              <w:left w:val="nil"/>
              <w:bottom w:val="single" w:color="auto" w:sz="4" w:space="0"/>
              <w:right w:val="single" w:color="auto" w:sz="4" w:space="0"/>
            </w:tcBorders>
            <w:shd w:val="clear" w:color="auto" w:fill="auto"/>
            <w:noWrap/>
            <w:vAlign w:val="center"/>
          </w:tcPr>
          <w:p w14:paraId="0A5752F8">
            <w:pPr>
              <w:widowControl/>
              <w:spacing w:beforeLines="-2147483648" w:afterLines="-2147483648"/>
              <w:jc w:val="center"/>
              <w:rPr>
                <w:rFonts w:hint="default" w:ascii="仿宋" w:hAnsi="仿宋" w:eastAsia="仿宋" w:cs="仿宋"/>
                <w:bCs/>
                <w:sz w:val="24"/>
                <w:highlight w:val="none"/>
              </w:rPr>
            </w:pPr>
          </w:p>
        </w:tc>
        <w:tc>
          <w:tcPr>
            <w:tcW w:w="1179" w:type="dxa"/>
            <w:vMerge w:val="continue"/>
            <w:tcBorders>
              <w:top w:val="nil"/>
              <w:left w:val="single" w:color="auto" w:sz="4" w:space="0"/>
              <w:bottom w:val="single" w:color="000000" w:sz="4" w:space="0"/>
              <w:right w:val="single" w:color="auto" w:sz="4" w:space="0"/>
            </w:tcBorders>
            <w:vAlign w:val="center"/>
          </w:tcPr>
          <w:p w14:paraId="043B7B81">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top w:val="nil"/>
              <w:left w:val="single" w:color="auto" w:sz="4" w:space="0"/>
              <w:bottom w:val="single" w:color="auto" w:sz="4" w:space="0"/>
              <w:right w:val="single" w:color="auto" w:sz="4" w:space="0"/>
            </w:tcBorders>
            <w:vAlign w:val="center"/>
          </w:tcPr>
          <w:p w14:paraId="35A5C56F">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6CFCAD86">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支持在线跨云迁移功能，在管理界面内将源站点的虚拟机不中断的迁移到超融合平台内，跨云迁移的站点包括但不限于vSphere、投标品牌虚拟化平台等，迁移过程无需手动关机和重启操作</w:t>
            </w:r>
            <w:r>
              <w:rPr>
                <w:rFonts w:hint="eastAsia" w:ascii="仿宋" w:hAnsi="仿宋" w:eastAsia="仿宋" w:cs="仿宋"/>
                <w:bCs/>
                <w:sz w:val="24"/>
                <w:highlight w:val="none"/>
                <w:lang w:eastAsia="zh-CN"/>
              </w:rPr>
              <w:t>，</w:t>
            </w:r>
            <w:r>
              <w:rPr>
                <w:rFonts w:hint="eastAsia" w:ascii="仿宋" w:hAnsi="仿宋" w:eastAsia="仿宋" w:cs="仿宋"/>
                <w:bCs/>
                <w:sz w:val="24"/>
                <w:highlight w:val="none"/>
              </w:rPr>
              <w:t>本次提供不少于100个跨云在线迁移授权（</w:t>
            </w:r>
            <w:r>
              <w:rPr>
                <w:rFonts w:hint="eastAsia" w:ascii="仿宋" w:hAnsi="仿宋" w:eastAsia="仿宋" w:cs="仿宋"/>
                <w:bCs/>
                <w:sz w:val="24"/>
                <w:highlight w:val="none"/>
                <w:lang w:eastAsia="zh-CN"/>
              </w:rPr>
              <w:t>提供有关界面截图并加盖公章，并支持标后验证</w:t>
            </w:r>
            <w:r>
              <w:rPr>
                <w:rFonts w:hint="eastAsia" w:ascii="仿宋" w:hAnsi="仿宋" w:eastAsia="仿宋" w:cs="仿宋"/>
                <w:bCs/>
                <w:sz w:val="24"/>
                <w:highlight w:val="none"/>
              </w:rPr>
              <w:t>）</w:t>
            </w:r>
            <w:r>
              <w:rPr>
                <w:rFonts w:hint="eastAsia" w:ascii="仿宋" w:hAnsi="仿宋" w:eastAsia="仿宋" w:cs="仿宋"/>
                <w:bCs/>
                <w:sz w:val="24"/>
                <w:highlight w:val="none"/>
                <w:lang w:eastAsia="zh-CN"/>
              </w:rPr>
              <w:t>。</w:t>
            </w:r>
          </w:p>
        </w:tc>
        <w:tc>
          <w:tcPr>
            <w:tcW w:w="457" w:type="dxa"/>
            <w:tcBorders>
              <w:top w:val="nil"/>
              <w:left w:val="nil"/>
              <w:bottom w:val="single" w:color="auto" w:sz="4" w:space="0"/>
              <w:right w:val="single" w:color="auto" w:sz="8" w:space="0"/>
            </w:tcBorders>
            <w:shd w:val="clear" w:color="auto" w:fill="auto"/>
            <w:vAlign w:val="center"/>
          </w:tcPr>
          <w:p w14:paraId="49889AB1">
            <w:pPr>
              <w:widowControl/>
              <w:spacing w:beforeLines="-2147483648" w:afterLines="-2147483648"/>
              <w:jc w:val="center"/>
              <w:rPr>
                <w:rFonts w:hint="default" w:ascii="仿宋" w:hAnsi="仿宋" w:eastAsia="仿宋" w:cs="仿宋"/>
                <w:bCs/>
                <w:color w:val="000000"/>
                <w:sz w:val="24"/>
                <w:highlight w:val="none"/>
              </w:rPr>
            </w:pPr>
            <w:r>
              <w:rPr>
                <w:rFonts w:hint="eastAsia" w:ascii="仿宋" w:hAnsi="仿宋" w:eastAsia="仿宋" w:cs="仿宋"/>
                <w:bCs/>
                <w:color w:val="000000"/>
                <w:sz w:val="24"/>
                <w:highlight w:val="none"/>
              </w:rPr>
              <w:t>是</w:t>
            </w:r>
          </w:p>
        </w:tc>
      </w:tr>
      <w:tr w14:paraId="09EFB10A">
        <w:tblPrEx>
          <w:tblCellMar>
            <w:top w:w="0" w:type="dxa"/>
            <w:left w:w="108" w:type="dxa"/>
            <w:bottom w:w="0" w:type="dxa"/>
            <w:right w:w="108" w:type="dxa"/>
          </w:tblCellMar>
        </w:tblPrEx>
        <w:trPr>
          <w:trHeight w:val="84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6B8EBF5D">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26</w:t>
            </w:r>
          </w:p>
        </w:tc>
        <w:tc>
          <w:tcPr>
            <w:tcW w:w="457" w:type="dxa"/>
            <w:tcBorders>
              <w:top w:val="nil"/>
              <w:left w:val="nil"/>
              <w:bottom w:val="single" w:color="auto" w:sz="4" w:space="0"/>
              <w:right w:val="single" w:color="auto" w:sz="4" w:space="0"/>
            </w:tcBorders>
            <w:shd w:val="clear" w:color="auto" w:fill="auto"/>
            <w:noWrap/>
            <w:vAlign w:val="center"/>
          </w:tcPr>
          <w:p w14:paraId="26F8DE4B">
            <w:pPr>
              <w:widowControl/>
              <w:spacing w:beforeLines="-2147483648" w:afterLines="-2147483648"/>
              <w:jc w:val="center"/>
              <w:rPr>
                <w:rFonts w:hint="default" w:ascii="仿宋" w:hAnsi="仿宋" w:eastAsia="仿宋" w:cs="仿宋"/>
                <w:bCs/>
                <w:sz w:val="24"/>
                <w:highlight w:val="none"/>
              </w:rPr>
            </w:pPr>
          </w:p>
        </w:tc>
        <w:tc>
          <w:tcPr>
            <w:tcW w:w="1179" w:type="dxa"/>
            <w:vMerge w:val="continue"/>
            <w:tcBorders>
              <w:top w:val="nil"/>
              <w:left w:val="single" w:color="auto" w:sz="4" w:space="0"/>
              <w:bottom w:val="single" w:color="000000" w:sz="4" w:space="0"/>
              <w:right w:val="single" w:color="auto" w:sz="4" w:space="0"/>
            </w:tcBorders>
            <w:vAlign w:val="center"/>
          </w:tcPr>
          <w:p w14:paraId="65D97123">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top w:val="nil"/>
              <w:left w:val="single" w:color="auto" w:sz="4" w:space="0"/>
              <w:bottom w:val="single" w:color="auto" w:sz="4" w:space="0"/>
              <w:right w:val="single" w:color="auto" w:sz="4" w:space="0"/>
            </w:tcBorders>
            <w:vAlign w:val="center"/>
          </w:tcPr>
          <w:p w14:paraId="3E47A9C6">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3B516BAD">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提供云边协同管理功能，支持中心站点分发应用至各个边缘站点，可一键将中心站点已部署配置完毕的应用虚拟机迁移至各边缘站点，支持基于GIS技术的全局站点展示视图，实时查看各站点资源状态</w:t>
            </w:r>
            <w:r>
              <w:rPr>
                <w:rFonts w:hint="eastAsia" w:ascii="仿宋" w:hAnsi="仿宋" w:eastAsia="仿宋" w:cs="仿宋"/>
                <w:bCs/>
                <w:sz w:val="24"/>
                <w:highlight w:val="none"/>
                <w:lang w:eastAsia="zh-CN"/>
              </w:rPr>
              <w:t>，提供截图证明并加盖公章，并支持标后验证</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19239973">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624A4564">
        <w:tblPrEx>
          <w:tblCellMar>
            <w:top w:w="0" w:type="dxa"/>
            <w:left w:w="108" w:type="dxa"/>
            <w:bottom w:w="0" w:type="dxa"/>
            <w:right w:w="108" w:type="dxa"/>
          </w:tblCellMar>
        </w:tblPrEx>
        <w:trPr>
          <w:trHeight w:val="575"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19BA653D">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27</w:t>
            </w:r>
          </w:p>
        </w:tc>
        <w:tc>
          <w:tcPr>
            <w:tcW w:w="457" w:type="dxa"/>
            <w:tcBorders>
              <w:top w:val="nil"/>
              <w:left w:val="nil"/>
              <w:bottom w:val="single" w:color="auto" w:sz="4" w:space="0"/>
              <w:right w:val="single" w:color="auto" w:sz="4" w:space="0"/>
            </w:tcBorders>
            <w:shd w:val="clear" w:color="auto" w:fill="auto"/>
            <w:noWrap/>
            <w:vAlign w:val="center"/>
          </w:tcPr>
          <w:p w14:paraId="1F5FB6C8">
            <w:pPr>
              <w:widowControl/>
              <w:spacing w:beforeLines="-2147483648" w:afterLines="-2147483648"/>
              <w:jc w:val="center"/>
              <w:rPr>
                <w:rFonts w:hint="default" w:ascii="仿宋" w:hAnsi="仿宋" w:eastAsia="仿宋" w:cs="仿宋"/>
                <w:bCs/>
                <w:sz w:val="24"/>
                <w:highlight w:val="none"/>
              </w:rPr>
            </w:pPr>
          </w:p>
        </w:tc>
        <w:tc>
          <w:tcPr>
            <w:tcW w:w="1179" w:type="dxa"/>
            <w:vMerge w:val="continue"/>
            <w:tcBorders>
              <w:top w:val="nil"/>
              <w:left w:val="single" w:color="auto" w:sz="4" w:space="0"/>
              <w:bottom w:val="single" w:color="000000" w:sz="4" w:space="0"/>
              <w:right w:val="single" w:color="auto" w:sz="4" w:space="0"/>
            </w:tcBorders>
            <w:vAlign w:val="center"/>
          </w:tcPr>
          <w:p w14:paraId="1F74CBB4">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top w:val="nil"/>
              <w:left w:val="single" w:color="auto" w:sz="4" w:space="0"/>
              <w:bottom w:val="single" w:color="auto" w:sz="4" w:space="0"/>
              <w:right w:val="single" w:color="auto" w:sz="4" w:space="0"/>
            </w:tcBorders>
            <w:vAlign w:val="center"/>
          </w:tcPr>
          <w:p w14:paraId="218F6B4C">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2366A4E5">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提供无授权限制的备份功能，支持虚拟机CBT模式备份，支持周期性备份和批量备份功能，备份策略可细化到分钟级，支持恢复过程中对虚拟机进行配置</w:t>
            </w:r>
            <w:r>
              <w:rPr>
                <w:rFonts w:hint="eastAsia" w:ascii="仿宋" w:hAnsi="仿宋" w:eastAsia="仿宋" w:cs="仿宋"/>
                <w:bCs/>
                <w:sz w:val="24"/>
                <w:highlight w:val="none"/>
                <w:lang w:eastAsia="zh-CN"/>
              </w:rPr>
              <w:t>，提供截图证明并加盖公章</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46E4A94D">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73E47725">
        <w:tblPrEx>
          <w:tblCellMar>
            <w:top w:w="0" w:type="dxa"/>
            <w:left w:w="108" w:type="dxa"/>
            <w:bottom w:w="0" w:type="dxa"/>
            <w:right w:w="108" w:type="dxa"/>
          </w:tblCellMar>
        </w:tblPrEx>
        <w:trPr>
          <w:trHeight w:val="575"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114B5408">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28</w:t>
            </w:r>
          </w:p>
        </w:tc>
        <w:tc>
          <w:tcPr>
            <w:tcW w:w="457" w:type="dxa"/>
            <w:tcBorders>
              <w:top w:val="nil"/>
              <w:left w:val="nil"/>
              <w:bottom w:val="single" w:color="auto" w:sz="4" w:space="0"/>
              <w:right w:val="single" w:color="auto" w:sz="4" w:space="0"/>
            </w:tcBorders>
            <w:shd w:val="clear" w:color="auto" w:fill="auto"/>
            <w:noWrap/>
            <w:vAlign w:val="center"/>
          </w:tcPr>
          <w:p w14:paraId="08325B89">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w:t>
            </w:r>
          </w:p>
        </w:tc>
        <w:tc>
          <w:tcPr>
            <w:tcW w:w="1179" w:type="dxa"/>
            <w:vMerge w:val="continue"/>
            <w:tcBorders>
              <w:top w:val="nil"/>
              <w:left w:val="single" w:color="auto" w:sz="4" w:space="0"/>
              <w:bottom w:val="single" w:color="000000" w:sz="4" w:space="0"/>
              <w:right w:val="single" w:color="auto" w:sz="4" w:space="0"/>
            </w:tcBorders>
            <w:vAlign w:val="center"/>
          </w:tcPr>
          <w:p w14:paraId="47065B9D">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top w:val="nil"/>
              <w:left w:val="single" w:color="auto" w:sz="4" w:space="0"/>
              <w:bottom w:val="single" w:color="auto" w:sz="4" w:space="0"/>
              <w:right w:val="single" w:color="auto" w:sz="4" w:space="0"/>
            </w:tcBorders>
            <w:vAlign w:val="center"/>
          </w:tcPr>
          <w:p w14:paraId="7952C08E">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0915C45A">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提供100个无代理虚拟机CDP持续数据保护功能授权，通过托拽进度条，虚拟机可恢复到任意I/O时刻</w:t>
            </w:r>
            <w:r>
              <w:rPr>
                <w:rFonts w:hint="eastAsia" w:ascii="仿宋" w:hAnsi="仿宋" w:eastAsia="仿宋" w:cs="仿宋"/>
                <w:bCs/>
                <w:sz w:val="24"/>
                <w:highlight w:val="none"/>
                <w:lang w:eastAsia="zh-CN"/>
              </w:rPr>
              <w:t>，提供截图证明，提供授权承诺函，并加盖公章</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097E3B35">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56A69742">
        <w:tblPrEx>
          <w:tblCellMar>
            <w:top w:w="0" w:type="dxa"/>
            <w:left w:w="108" w:type="dxa"/>
            <w:bottom w:w="0" w:type="dxa"/>
            <w:right w:w="108" w:type="dxa"/>
          </w:tblCellMar>
        </w:tblPrEx>
        <w:trPr>
          <w:trHeight w:val="755"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3EEDCF0B">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2</w:t>
            </w:r>
            <w:r>
              <w:rPr>
                <w:rFonts w:hint="eastAsia" w:ascii="仿宋" w:hAnsi="仿宋" w:eastAsia="仿宋" w:cs="仿宋"/>
                <w:bCs/>
                <w:sz w:val="24"/>
                <w:highlight w:val="none"/>
                <w:lang w:val="en-US" w:eastAsia="zh-CN"/>
              </w:rPr>
              <w:t>9</w:t>
            </w:r>
          </w:p>
        </w:tc>
        <w:tc>
          <w:tcPr>
            <w:tcW w:w="457" w:type="dxa"/>
            <w:tcBorders>
              <w:top w:val="nil"/>
              <w:left w:val="nil"/>
              <w:bottom w:val="single" w:color="auto" w:sz="4" w:space="0"/>
              <w:right w:val="single" w:color="auto" w:sz="4" w:space="0"/>
            </w:tcBorders>
            <w:shd w:val="clear" w:color="auto" w:fill="auto"/>
            <w:noWrap/>
            <w:vAlign w:val="center"/>
          </w:tcPr>
          <w:p w14:paraId="0DCD22D6">
            <w:pPr>
              <w:widowControl/>
              <w:spacing w:beforeLines="-2147483648" w:afterLines="-2147483648"/>
              <w:jc w:val="center"/>
              <w:rPr>
                <w:rFonts w:hint="default" w:ascii="仿宋" w:hAnsi="仿宋" w:eastAsia="仿宋" w:cs="仿宋"/>
                <w:bCs/>
                <w:sz w:val="24"/>
                <w:highlight w:val="none"/>
              </w:rPr>
            </w:pPr>
          </w:p>
        </w:tc>
        <w:tc>
          <w:tcPr>
            <w:tcW w:w="1179" w:type="dxa"/>
            <w:vMerge w:val="continue"/>
            <w:tcBorders>
              <w:top w:val="nil"/>
              <w:left w:val="single" w:color="auto" w:sz="4" w:space="0"/>
              <w:bottom w:val="single" w:color="000000" w:sz="4" w:space="0"/>
              <w:right w:val="single" w:color="auto" w:sz="4" w:space="0"/>
            </w:tcBorders>
            <w:vAlign w:val="center"/>
          </w:tcPr>
          <w:p w14:paraId="39EDF427">
            <w:pPr>
              <w:widowControl/>
              <w:spacing w:beforeLines="-2147483648" w:afterLines="-2147483648"/>
              <w:jc w:val="left"/>
              <w:rPr>
                <w:rFonts w:hint="default" w:ascii="仿宋" w:hAnsi="仿宋" w:eastAsia="仿宋" w:cs="仿宋"/>
                <w:bCs/>
                <w:sz w:val="24"/>
                <w:highlight w:val="none"/>
              </w:rPr>
            </w:pPr>
          </w:p>
        </w:tc>
        <w:tc>
          <w:tcPr>
            <w:tcW w:w="1419" w:type="dxa"/>
            <w:vMerge w:val="restart"/>
            <w:tcBorders>
              <w:top w:val="nil"/>
              <w:left w:val="single" w:color="auto" w:sz="4" w:space="0"/>
              <w:bottom w:val="single" w:color="auto" w:sz="4" w:space="0"/>
              <w:right w:val="single" w:color="auto" w:sz="4" w:space="0"/>
            </w:tcBorders>
            <w:shd w:val="clear" w:color="auto" w:fill="auto"/>
            <w:noWrap/>
            <w:vAlign w:val="center"/>
          </w:tcPr>
          <w:p w14:paraId="7A67DF83">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计算虚拟化</w:t>
            </w:r>
          </w:p>
        </w:tc>
        <w:tc>
          <w:tcPr>
            <w:tcW w:w="4097" w:type="dxa"/>
            <w:tcBorders>
              <w:top w:val="nil"/>
              <w:left w:val="nil"/>
              <w:bottom w:val="single" w:color="auto" w:sz="4" w:space="0"/>
              <w:right w:val="single" w:color="auto" w:sz="4" w:space="0"/>
            </w:tcBorders>
            <w:shd w:val="clear" w:color="auto" w:fill="auto"/>
            <w:vAlign w:val="center"/>
          </w:tcPr>
          <w:p w14:paraId="14478CBF">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支持虚拟机启动、重置密码、暂停、恢复、重启、关闭、快速克隆、迁移、备份、模板导入导出、快照等功能，支持嵌套虚拟化；被嵌套虚拟化平台包括但不限于Hyper-V、VMware、投标虚拟化平台等</w:t>
            </w:r>
            <w:r>
              <w:rPr>
                <w:rFonts w:hint="eastAsia" w:ascii="仿宋" w:hAnsi="仿宋" w:eastAsia="仿宋" w:cs="仿宋"/>
                <w:bCs/>
                <w:sz w:val="24"/>
                <w:highlight w:val="none"/>
                <w:lang w:eastAsia="zh-CN"/>
              </w:rPr>
              <w:t>，提供界面截图并支持标后验证</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723C3171">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339C2AE6">
        <w:tblPrEx>
          <w:tblCellMar>
            <w:top w:w="0" w:type="dxa"/>
            <w:left w:w="108" w:type="dxa"/>
            <w:bottom w:w="0" w:type="dxa"/>
            <w:right w:w="108" w:type="dxa"/>
          </w:tblCellMar>
        </w:tblPrEx>
        <w:trPr>
          <w:trHeight w:val="925"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6E33B0D0">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30</w:t>
            </w:r>
          </w:p>
        </w:tc>
        <w:tc>
          <w:tcPr>
            <w:tcW w:w="457" w:type="dxa"/>
            <w:tcBorders>
              <w:top w:val="nil"/>
              <w:left w:val="nil"/>
              <w:bottom w:val="single" w:color="auto" w:sz="4" w:space="0"/>
              <w:right w:val="single" w:color="auto" w:sz="4" w:space="0"/>
            </w:tcBorders>
            <w:shd w:val="clear" w:color="auto" w:fill="auto"/>
            <w:noWrap/>
            <w:vAlign w:val="center"/>
          </w:tcPr>
          <w:p w14:paraId="2BEEFD75">
            <w:pPr>
              <w:widowControl/>
              <w:spacing w:beforeLines="-2147483648" w:afterLines="-2147483648"/>
              <w:jc w:val="center"/>
              <w:rPr>
                <w:rFonts w:hint="default" w:ascii="仿宋" w:hAnsi="仿宋" w:eastAsia="仿宋" w:cs="仿宋"/>
                <w:bCs/>
                <w:sz w:val="24"/>
                <w:highlight w:val="none"/>
              </w:rPr>
            </w:pPr>
          </w:p>
        </w:tc>
        <w:tc>
          <w:tcPr>
            <w:tcW w:w="1179" w:type="dxa"/>
            <w:vMerge w:val="continue"/>
            <w:tcBorders>
              <w:top w:val="nil"/>
              <w:left w:val="single" w:color="auto" w:sz="4" w:space="0"/>
              <w:bottom w:val="single" w:color="000000" w:sz="4" w:space="0"/>
              <w:right w:val="single" w:color="auto" w:sz="4" w:space="0"/>
            </w:tcBorders>
            <w:vAlign w:val="center"/>
          </w:tcPr>
          <w:p w14:paraId="0727FF4C">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top w:val="nil"/>
              <w:left w:val="single" w:color="auto" w:sz="4" w:space="0"/>
              <w:bottom w:val="single" w:color="auto" w:sz="4" w:space="0"/>
              <w:right w:val="single" w:color="auto" w:sz="4" w:space="0"/>
            </w:tcBorders>
            <w:vAlign w:val="center"/>
          </w:tcPr>
          <w:p w14:paraId="4BFDFB99">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498906C5">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为保障业务系统运行连续性，平台应分别支持主机级、虚拟机级、应用级HA功能，可批量配置虚拟机HA开关，可配置HA接入控制策略、尝试次数、预留资源、预留主机等设置，达到故障隔离的效果；支持应用的无代理状态检测和故障HA，包括但不限于Apache、MariaDB、Nginx、kafka、rabbitMQ等，支持用户自定义脚本进行应用恢复</w:t>
            </w:r>
            <w:r>
              <w:rPr>
                <w:rFonts w:hint="eastAsia" w:ascii="仿宋" w:hAnsi="仿宋" w:eastAsia="仿宋" w:cs="仿宋"/>
                <w:bCs/>
                <w:sz w:val="24"/>
                <w:highlight w:val="none"/>
                <w:lang w:eastAsia="zh-CN"/>
              </w:rPr>
              <w:t>，提供截图证明并加盖公章</w:t>
            </w:r>
            <w:r>
              <w:rPr>
                <w:rFonts w:hint="eastAsia" w:ascii="仿宋" w:hAnsi="仿宋" w:eastAsia="仿宋" w:cs="仿宋"/>
                <w:bCs/>
                <w:sz w:val="24"/>
                <w:highlight w:val="none"/>
                <w:lang w:val="en-US" w:eastAsia="zh-CN"/>
              </w:rPr>
              <w:t>,</w:t>
            </w:r>
            <w:r>
              <w:rPr>
                <w:rFonts w:hint="eastAsia" w:ascii="仿宋" w:hAnsi="仿宋" w:eastAsia="仿宋" w:cs="仿宋"/>
                <w:bCs/>
                <w:sz w:val="24"/>
                <w:highlight w:val="none"/>
                <w:lang w:eastAsia="zh-CN"/>
              </w:rPr>
              <w:t>并支持标后验证</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7CC272DA">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2B0AE1A0">
        <w:tblPrEx>
          <w:tblCellMar>
            <w:top w:w="0" w:type="dxa"/>
            <w:left w:w="108" w:type="dxa"/>
            <w:bottom w:w="0" w:type="dxa"/>
            <w:right w:w="108" w:type="dxa"/>
          </w:tblCellMar>
        </w:tblPrEx>
        <w:trPr>
          <w:trHeight w:val="685"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5397D66A">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31</w:t>
            </w:r>
          </w:p>
        </w:tc>
        <w:tc>
          <w:tcPr>
            <w:tcW w:w="457" w:type="dxa"/>
            <w:tcBorders>
              <w:top w:val="nil"/>
              <w:left w:val="nil"/>
              <w:bottom w:val="single" w:color="auto" w:sz="4" w:space="0"/>
              <w:right w:val="single" w:color="auto" w:sz="4" w:space="0"/>
            </w:tcBorders>
            <w:shd w:val="clear" w:color="auto" w:fill="auto"/>
            <w:noWrap/>
            <w:vAlign w:val="center"/>
          </w:tcPr>
          <w:p w14:paraId="0B7152EF">
            <w:pPr>
              <w:widowControl/>
              <w:spacing w:beforeLines="-2147483648" w:afterLines="-2147483648"/>
              <w:jc w:val="center"/>
              <w:rPr>
                <w:rFonts w:hint="default" w:ascii="仿宋" w:hAnsi="仿宋" w:eastAsia="仿宋" w:cs="仿宋"/>
                <w:bCs/>
                <w:sz w:val="24"/>
                <w:highlight w:val="none"/>
              </w:rPr>
            </w:pPr>
          </w:p>
        </w:tc>
        <w:tc>
          <w:tcPr>
            <w:tcW w:w="1179" w:type="dxa"/>
            <w:vMerge w:val="continue"/>
            <w:tcBorders>
              <w:top w:val="nil"/>
              <w:left w:val="single" w:color="auto" w:sz="4" w:space="0"/>
              <w:bottom w:val="single" w:color="000000" w:sz="4" w:space="0"/>
              <w:right w:val="single" w:color="auto" w:sz="4" w:space="0"/>
            </w:tcBorders>
            <w:vAlign w:val="center"/>
          </w:tcPr>
          <w:p w14:paraId="61FF16BF">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top w:val="nil"/>
              <w:left w:val="single" w:color="auto" w:sz="4" w:space="0"/>
              <w:bottom w:val="single" w:color="auto" w:sz="4" w:space="0"/>
              <w:right w:val="single" w:color="auto" w:sz="4" w:space="0"/>
            </w:tcBorders>
            <w:vAlign w:val="center"/>
          </w:tcPr>
          <w:p w14:paraId="4966EF10">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5AD00D02">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针对计划维护、机房搬迁、硬件维修等运维场景，平台应支持一键安全下电功能，支持针对虚拟机、主机、集群、数据中心等类型资源的一键下电</w:t>
            </w:r>
            <w:r>
              <w:rPr>
                <w:rFonts w:hint="eastAsia" w:ascii="仿宋" w:hAnsi="仿宋" w:eastAsia="仿宋" w:cs="仿宋"/>
                <w:bCs/>
                <w:sz w:val="24"/>
                <w:highlight w:val="none"/>
                <w:lang w:eastAsia="zh-CN"/>
              </w:rPr>
              <w:t>，提供截图证明并加盖公章</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3C9C926F">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28FCAB30">
        <w:tblPrEx>
          <w:tblCellMar>
            <w:top w:w="0" w:type="dxa"/>
            <w:left w:w="108" w:type="dxa"/>
            <w:bottom w:w="0" w:type="dxa"/>
            <w:right w:w="108" w:type="dxa"/>
          </w:tblCellMar>
        </w:tblPrEx>
        <w:trPr>
          <w:trHeight w:val="48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50145A32">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32</w:t>
            </w:r>
          </w:p>
        </w:tc>
        <w:tc>
          <w:tcPr>
            <w:tcW w:w="457" w:type="dxa"/>
            <w:tcBorders>
              <w:top w:val="nil"/>
              <w:left w:val="nil"/>
              <w:bottom w:val="single" w:color="auto" w:sz="4" w:space="0"/>
              <w:right w:val="single" w:color="auto" w:sz="4" w:space="0"/>
            </w:tcBorders>
            <w:shd w:val="clear" w:color="auto" w:fill="auto"/>
            <w:noWrap/>
            <w:vAlign w:val="center"/>
          </w:tcPr>
          <w:p w14:paraId="63E43AFA">
            <w:pPr>
              <w:widowControl/>
              <w:spacing w:beforeLines="-2147483648" w:afterLines="-2147483648"/>
              <w:jc w:val="center"/>
              <w:rPr>
                <w:rFonts w:hint="default" w:ascii="仿宋" w:hAnsi="仿宋" w:eastAsia="仿宋" w:cs="仿宋"/>
                <w:bCs/>
                <w:sz w:val="24"/>
                <w:highlight w:val="none"/>
              </w:rPr>
            </w:pPr>
          </w:p>
        </w:tc>
        <w:tc>
          <w:tcPr>
            <w:tcW w:w="1179" w:type="dxa"/>
            <w:vMerge w:val="continue"/>
            <w:tcBorders>
              <w:top w:val="nil"/>
              <w:left w:val="single" w:color="auto" w:sz="4" w:space="0"/>
              <w:bottom w:val="single" w:color="000000" w:sz="4" w:space="0"/>
              <w:right w:val="single" w:color="auto" w:sz="4" w:space="0"/>
            </w:tcBorders>
            <w:vAlign w:val="center"/>
          </w:tcPr>
          <w:p w14:paraId="3287B2DB">
            <w:pPr>
              <w:widowControl/>
              <w:spacing w:beforeLines="-2147483648" w:afterLines="-2147483648"/>
              <w:jc w:val="left"/>
              <w:rPr>
                <w:rFonts w:hint="default" w:ascii="仿宋" w:hAnsi="仿宋" w:eastAsia="仿宋" w:cs="仿宋"/>
                <w:bCs/>
                <w:sz w:val="24"/>
                <w:highlight w:val="none"/>
              </w:rPr>
            </w:pPr>
          </w:p>
        </w:tc>
        <w:tc>
          <w:tcPr>
            <w:tcW w:w="1419" w:type="dxa"/>
            <w:vMerge w:val="restart"/>
            <w:tcBorders>
              <w:top w:val="nil"/>
              <w:left w:val="single" w:color="auto" w:sz="4" w:space="0"/>
              <w:right w:val="single" w:color="auto" w:sz="4" w:space="0"/>
            </w:tcBorders>
            <w:shd w:val="clear" w:color="auto" w:fill="auto"/>
            <w:noWrap/>
            <w:vAlign w:val="center"/>
          </w:tcPr>
          <w:p w14:paraId="442B8D6E">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存储虚拟化</w:t>
            </w:r>
          </w:p>
        </w:tc>
        <w:tc>
          <w:tcPr>
            <w:tcW w:w="4097" w:type="dxa"/>
            <w:tcBorders>
              <w:top w:val="nil"/>
              <w:left w:val="nil"/>
              <w:bottom w:val="single" w:color="auto" w:sz="4" w:space="0"/>
              <w:right w:val="single" w:color="auto" w:sz="4" w:space="0"/>
            </w:tcBorders>
            <w:shd w:val="clear" w:color="auto" w:fill="auto"/>
            <w:vAlign w:val="center"/>
          </w:tcPr>
          <w:p w14:paraId="37003FF9">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支持自定义存储策略，包括存储精简配置、存储白名单、自定义条带大小和条带数等，存储策略的颗粒度可以具体到存储卷、虚拟机磁盘等，可配置2~6副本策略</w:t>
            </w:r>
            <w:r>
              <w:rPr>
                <w:rFonts w:hint="eastAsia" w:ascii="仿宋" w:hAnsi="仿宋" w:eastAsia="仿宋" w:cs="仿宋"/>
                <w:bCs/>
                <w:sz w:val="24"/>
                <w:highlight w:val="none"/>
                <w:lang w:eastAsia="zh-CN"/>
              </w:rPr>
              <w:t>，提供截图证明并加盖公章</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3D799808">
            <w:pPr>
              <w:widowControl/>
              <w:spacing w:beforeLines="-2147483648" w:afterLines="-2147483648"/>
              <w:jc w:val="center"/>
              <w:rPr>
                <w:rFonts w:hint="default" w:ascii="仿宋" w:hAnsi="仿宋" w:eastAsia="仿宋" w:cs="仿宋"/>
                <w:bCs/>
                <w:color w:val="000000"/>
                <w:sz w:val="24"/>
                <w:highlight w:val="none"/>
              </w:rPr>
            </w:pPr>
            <w:r>
              <w:rPr>
                <w:rFonts w:hint="eastAsia" w:ascii="仿宋" w:hAnsi="仿宋" w:eastAsia="仿宋" w:cs="仿宋"/>
                <w:bCs/>
                <w:sz w:val="24"/>
                <w:highlight w:val="none"/>
                <w:lang w:eastAsia="zh-CN"/>
              </w:rPr>
              <w:t>是</w:t>
            </w:r>
          </w:p>
        </w:tc>
      </w:tr>
      <w:tr w14:paraId="460BDE81">
        <w:tblPrEx>
          <w:tblCellMar>
            <w:top w:w="0" w:type="dxa"/>
            <w:left w:w="108" w:type="dxa"/>
            <w:bottom w:w="0" w:type="dxa"/>
            <w:right w:w="108" w:type="dxa"/>
          </w:tblCellMar>
        </w:tblPrEx>
        <w:trPr>
          <w:trHeight w:val="96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19B0F1A8">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33</w:t>
            </w:r>
          </w:p>
        </w:tc>
        <w:tc>
          <w:tcPr>
            <w:tcW w:w="457" w:type="dxa"/>
            <w:tcBorders>
              <w:top w:val="nil"/>
              <w:left w:val="nil"/>
              <w:bottom w:val="single" w:color="auto" w:sz="4" w:space="0"/>
              <w:right w:val="single" w:color="auto" w:sz="4" w:space="0"/>
            </w:tcBorders>
            <w:shd w:val="clear" w:color="auto" w:fill="auto"/>
            <w:noWrap/>
            <w:vAlign w:val="center"/>
          </w:tcPr>
          <w:p w14:paraId="33D84632">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w:t>
            </w:r>
          </w:p>
        </w:tc>
        <w:tc>
          <w:tcPr>
            <w:tcW w:w="1179" w:type="dxa"/>
            <w:vMerge w:val="continue"/>
            <w:tcBorders>
              <w:top w:val="nil"/>
              <w:left w:val="single" w:color="auto" w:sz="4" w:space="0"/>
              <w:bottom w:val="single" w:color="000000" w:sz="4" w:space="0"/>
              <w:right w:val="single" w:color="auto" w:sz="4" w:space="0"/>
            </w:tcBorders>
            <w:vAlign w:val="center"/>
          </w:tcPr>
          <w:p w14:paraId="3EEAB5FD">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left w:val="single" w:color="auto" w:sz="4" w:space="0"/>
              <w:right w:val="single" w:color="auto" w:sz="4" w:space="0"/>
            </w:tcBorders>
            <w:vAlign w:val="center"/>
          </w:tcPr>
          <w:p w14:paraId="2725F821">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2E3A37DC">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超融合支持同时对接本地分布式存储池和外挂阵列存储资源池，支持通过ISCSI、iSER、NVMe over RoCE协议对接超融合本地分布式存储池，支持通过ISCSI、iSER、NVMe over RoCE、FC、FC-NVMe协议对接外挂阵列存储资源池，提供</w:t>
            </w:r>
            <w:r>
              <w:rPr>
                <w:rFonts w:hint="eastAsia" w:ascii="仿宋" w:hAnsi="仿宋" w:eastAsia="仿宋" w:cs="仿宋"/>
                <w:bCs/>
                <w:sz w:val="24"/>
                <w:highlight w:val="none"/>
                <w:lang w:eastAsia="zh-CN"/>
              </w:rPr>
              <w:t>兼容</w:t>
            </w:r>
            <w:r>
              <w:rPr>
                <w:rFonts w:hint="eastAsia" w:ascii="仿宋" w:hAnsi="仿宋" w:eastAsia="仿宋" w:cs="仿宋"/>
                <w:bCs/>
                <w:sz w:val="24"/>
                <w:highlight w:val="none"/>
              </w:rPr>
              <w:t>至少三家国产主流的阵列存储厂商（华为、浪潮、宏杉等）基于NoF协议的阵列产品</w:t>
            </w:r>
            <w:r>
              <w:rPr>
                <w:rFonts w:hint="eastAsia" w:ascii="仿宋" w:hAnsi="仿宋" w:eastAsia="仿宋" w:cs="仿宋"/>
                <w:bCs/>
                <w:sz w:val="24"/>
                <w:highlight w:val="none"/>
                <w:lang w:eastAsia="zh-CN"/>
              </w:rPr>
              <w:t>的相关证明，加盖公章</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6DFD2060">
            <w:pPr>
              <w:widowControl/>
              <w:spacing w:beforeLines="-2147483648" w:afterLines="-2147483648"/>
              <w:jc w:val="center"/>
              <w:rPr>
                <w:rFonts w:hint="default" w:ascii="仿宋" w:hAnsi="仿宋" w:eastAsia="仿宋" w:cs="仿宋"/>
                <w:bCs/>
                <w:color w:val="000000"/>
                <w:sz w:val="24"/>
                <w:highlight w:val="none"/>
              </w:rPr>
            </w:pPr>
            <w:r>
              <w:rPr>
                <w:rFonts w:hint="eastAsia" w:ascii="仿宋" w:hAnsi="仿宋" w:eastAsia="仿宋" w:cs="仿宋"/>
                <w:bCs/>
                <w:color w:val="000000"/>
                <w:sz w:val="24"/>
                <w:highlight w:val="none"/>
              </w:rPr>
              <w:t>是</w:t>
            </w:r>
          </w:p>
        </w:tc>
      </w:tr>
      <w:tr w14:paraId="13C65555">
        <w:tblPrEx>
          <w:tblCellMar>
            <w:top w:w="0" w:type="dxa"/>
            <w:left w:w="108" w:type="dxa"/>
            <w:bottom w:w="0" w:type="dxa"/>
            <w:right w:w="108" w:type="dxa"/>
          </w:tblCellMar>
        </w:tblPrEx>
        <w:trPr>
          <w:trHeight w:val="96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6F723E4F">
            <w:pPr>
              <w:widowControl/>
              <w:spacing w:beforeLines="-2147483648" w:afterLines="-2147483648"/>
              <w:jc w:val="center"/>
              <w:rPr>
                <w:rFonts w:hint="default"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34</w:t>
            </w:r>
          </w:p>
        </w:tc>
        <w:tc>
          <w:tcPr>
            <w:tcW w:w="457" w:type="dxa"/>
            <w:tcBorders>
              <w:top w:val="nil"/>
              <w:left w:val="nil"/>
              <w:bottom w:val="single" w:color="auto" w:sz="4" w:space="0"/>
              <w:right w:val="single" w:color="auto" w:sz="4" w:space="0"/>
            </w:tcBorders>
            <w:shd w:val="clear" w:color="auto" w:fill="auto"/>
            <w:noWrap/>
            <w:vAlign w:val="center"/>
          </w:tcPr>
          <w:p w14:paraId="3E39574F">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w:t>
            </w:r>
          </w:p>
        </w:tc>
        <w:tc>
          <w:tcPr>
            <w:tcW w:w="1179" w:type="dxa"/>
            <w:vMerge w:val="continue"/>
            <w:tcBorders>
              <w:top w:val="nil"/>
              <w:left w:val="single" w:color="auto" w:sz="4" w:space="0"/>
              <w:bottom w:val="single" w:color="000000" w:sz="4" w:space="0"/>
              <w:right w:val="single" w:color="auto" w:sz="4" w:space="0"/>
            </w:tcBorders>
            <w:vAlign w:val="center"/>
          </w:tcPr>
          <w:p w14:paraId="57BC1C70">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left w:val="single" w:color="auto" w:sz="4" w:space="0"/>
              <w:right w:val="single" w:color="auto" w:sz="4" w:space="0"/>
            </w:tcBorders>
            <w:vAlign w:val="center"/>
          </w:tcPr>
          <w:p w14:paraId="128E259C">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32B8FB6C">
            <w:pPr>
              <w:widowControl/>
              <w:spacing w:beforeLines="-2147483648" w:afterLines="-2147483648"/>
              <w:jc w:val="left"/>
              <w:rPr>
                <w:rFonts w:hint="default" w:ascii="仿宋" w:hAnsi="仿宋" w:eastAsia="仿宋" w:cs="仿宋"/>
                <w:bCs/>
                <w:sz w:val="24"/>
                <w:highlight w:val="none"/>
                <w:lang w:val="en-US" w:eastAsia="zh-CN"/>
              </w:rPr>
            </w:pPr>
            <w:r>
              <w:rPr>
                <w:rFonts w:hint="eastAsia" w:ascii="仿宋" w:hAnsi="仿宋" w:eastAsia="仿宋" w:cs="仿宋"/>
                <w:bCs/>
                <w:sz w:val="24"/>
                <w:highlight w:val="none"/>
                <w:lang w:eastAsia="zh-CN"/>
              </w:rPr>
              <w:t>为支持分布式存储全局</w:t>
            </w:r>
            <w:r>
              <w:rPr>
                <w:rFonts w:hint="eastAsia" w:ascii="仿宋" w:hAnsi="仿宋" w:eastAsia="仿宋" w:cs="仿宋"/>
                <w:bCs/>
                <w:sz w:val="24"/>
                <w:highlight w:val="none"/>
                <w:lang w:val="en-US" w:eastAsia="zh-CN"/>
              </w:rPr>
              <w:t>RDMA互联，存储网络支持开启PFC无损网络协议，支持设置PFC优先级并配置优先信任模式，大幅降低存储IO时延及丢包率（</w:t>
            </w:r>
            <w:r>
              <w:rPr>
                <w:rFonts w:hint="eastAsia" w:ascii="仿宋" w:hAnsi="仿宋" w:eastAsia="仿宋" w:cs="仿宋"/>
                <w:bCs/>
                <w:sz w:val="24"/>
                <w:highlight w:val="none"/>
                <w:lang w:eastAsia="zh-CN"/>
              </w:rPr>
              <w:t>提供有关界面截图并加盖公章</w:t>
            </w:r>
            <w:r>
              <w:rPr>
                <w:rFonts w:hint="eastAsia" w:ascii="仿宋" w:hAnsi="仿宋" w:eastAsia="仿宋" w:cs="仿宋"/>
                <w:bCs/>
                <w:sz w:val="24"/>
                <w:highlight w:val="none"/>
                <w:lang w:val="en-US" w:eastAsia="zh-CN"/>
              </w:rPr>
              <w:t>,</w:t>
            </w:r>
            <w:r>
              <w:rPr>
                <w:rFonts w:hint="eastAsia" w:ascii="仿宋" w:hAnsi="仿宋" w:eastAsia="仿宋" w:cs="仿宋"/>
                <w:bCs/>
                <w:sz w:val="24"/>
                <w:highlight w:val="none"/>
                <w:lang w:eastAsia="zh-CN"/>
              </w:rPr>
              <w:t>并支持标后验证</w:t>
            </w:r>
            <w:r>
              <w:rPr>
                <w:rFonts w:hint="eastAsia" w:ascii="仿宋" w:hAnsi="仿宋" w:eastAsia="仿宋" w:cs="仿宋"/>
                <w:bCs/>
                <w:sz w:val="24"/>
                <w:highlight w:val="none"/>
                <w:lang w:val="en-US" w:eastAsia="zh-CN"/>
              </w:rPr>
              <w:t>）。</w:t>
            </w:r>
          </w:p>
        </w:tc>
        <w:tc>
          <w:tcPr>
            <w:tcW w:w="457" w:type="dxa"/>
            <w:tcBorders>
              <w:top w:val="nil"/>
              <w:left w:val="nil"/>
              <w:bottom w:val="single" w:color="auto" w:sz="4" w:space="0"/>
              <w:right w:val="single" w:color="auto" w:sz="8" w:space="0"/>
            </w:tcBorders>
            <w:shd w:val="clear" w:color="auto" w:fill="auto"/>
            <w:vAlign w:val="center"/>
          </w:tcPr>
          <w:p w14:paraId="712228EA">
            <w:pPr>
              <w:widowControl/>
              <w:spacing w:beforeLines="-2147483648" w:afterLines="-2147483648"/>
              <w:jc w:val="center"/>
              <w:rPr>
                <w:rFonts w:hint="eastAsia" w:ascii="仿宋" w:hAnsi="仿宋" w:eastAsia="仿宋" w:cs="仿宋"/>
                <w:bCs/>
                <w:color w:val="000000"/>
                <w:sz w:val="24"/>
                <w:highlight w:val="none"/>
                <w:lang w:eastAsia="zh-CN"/>
              </w:rPr>
            </w:pPr>
            <w:r>
              <w:rPr>
                <w:rFonts w:hint="eastAsia" w:ascii="仿宋" w:hAnsi="仿宋" w:eastAsia="仿宋" w:cs="仿宋"/>
                <w:bCs/>
                <w:color w:val="000000"/>
                <w:sz w:val="24"/>
                <w:highlight w:val="none"/>
                <w:lang w:eastAsia="zh-CN"/>
              </w:rPr>
              <w:t>是</w:t>
            </w:r>
          </w:p>
        </w:tc>
      </w:tr>
      <w:tr w14:paraId="783A4BCA">
        <w:tblPrEx>
          <w:tblCellMar>
            <w:top w:w="0" w:type="dxa"/>
            <w:left w:w="108" w:type="dxa"/>
            <w:bottom w:w="0" w:type="dxa"/>
            <w:right w:w="108" w:type="dxa"/>
          </w:tblCellMar>
        </w:tblPrEx>
        <w:trPr>
          <w:trHeight w:val="48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1CB8F2EC">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35</w:t>
            </w:r>
          </w:p>
        </w:tc>
        <w:tc>
          <w:tcPr>
            <w:tcW w:w="457" w:type="dxa"/>
            <w:tcBorders>
              <w:top w:val="nil"/>
              <w:left w:val="nil"/>
              <w:bottom w:val="single" w:color="auto" w:sz="4" w:space="0"/>
              <w:right w:val="single" w:color="auto" w:sz="4" w:space="0"/>
            </w:tcBorders>
            <w:shd w:val="clear" w:color="auto" w:fill="auto"/>
            <w:noWrap/>
            <w:vAlign w:val="center"/>
          </w:tcPr>
          <w:p w14:paraId="00B24CBF">
            <w:pPr>
              <w:widowControl/>
              <w:spacing w:beforeLines="-2147483648" w:afterLines="-2147483648"/>
              <w:jc w:val="center"/>
              <w:rPr>
                <w:rFonts w:hint="default" w:ascii="仿宋" w:hAnsi="仿宋" w:eastAsia="仿宋" w:cs="仿宋"/>
                <w:bCs/>
                <w:sz w:val="24"/>
                <w:highlight w:val="none"/>
              </w:rPr>
            </w:pPr>
          </w:p>
        </w:tc>
        <w:tc>
          <w:tcPr>
            <w:tcW w:w="1179" w:type="dxa"/>
            <w:vMerge w:val="continue"/>
            <w:tcBorders>
              <w:top w:val="nil"/>
              <w:left w:val="single" w:color="auto" w:sz="4" w:space="0"/>
              <w:bottom w:val="single" w:color="000000" w:sz="4" w:space="0"/>
              <w:right w:val="single" w:color="auto" w:sz="4" w:space="0"/>
            </w:tcBorders>
            <w:vAlign w:val="center"/>
          </w:tcPr>
          <w:p w14:paraId="512096AC">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left w:val="single" w:color="auto" w:sz="4" w:space="0"/>
              <w:right w:val="single" w:color="auto" w:sz="4" w:space="0"/>
            </w:tcBorders>
            <w:vAlign w:val="center"/>
          </w:tcPr>
          <w:p w14:paraId="2D2DF65A">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3A4A9A12">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支持显示SSD物理磁盘磨损度寿命，运维用户可根据提示及时更换硬盘，避免导致系统故障，界面支持点亮/熄灭硬盘指示灯，便于运维人员对指定磁盘进行维护更换。</w:t>
            </w:r>
          </w:p>
        </w:tc>
        <w:tc>
          <w:tcPr>
            <w:tcW w:w="457" w:type="dxa"/>
            <w:tcBorders>
              <w:top w:val="nil"/>
              <w:left w:val="nil"/>
              <w:bottom w:val="single" w:color="auto" w:sz="4" w:space="0"/>
              <w:right w:val="single" w:color="auto" w:sz="8" w:space="0"/>
            </w:tcBorders>
            <w:shd w:val="clear" w:color="auto" w:fill="auto"/>
            <w:vAlign w:val="center"/>
          </w:tcPr>
          <w:p w14:paraId="2A049B2B">
            <w:pPr>
              <w:widowControl/>
              <w:spacing w:beforeLines="-2147483648" w:afterLines="-2147483648"/>
              <w:jc w:val="center"/>
              <w:rPr>
                <w:rFonts w:hint="default" w:ascii="仿宋" w:hAnsi="仿宋" w:eastAsia="仿宋" w:cs="仿宋"/>
                <w:bCs/>
                <w:color w:val="000000"/>
                <w:sz w:val="24"/>
                <w:highlight w:val="none"/>
              </w:rPr>
            </w:pPr>
            <w:r>
              <w:rPr>
                <w:rFonts w:hint="eastAsia" w:ascii="仿宋" w:hAnsi="仿宋" w:eastAsia="仿宋" w:cs="仿宋"/>
                <w:bCs/>
                <w:sz w:val="24"/>
                <w:highlight w:val="none"/>
              </w:rPr>
              <w:t>否</w:t>
            </w:r>
          </w:p>
        </w:tc>
      </w:tr>
      <w:tr w14:paraId="3CC060F1">
        <w:tblPrEx>
          <w:tblCellMar>
            <w:top w:w="0" w:type="dxa"/>
            <w:left w:w="108" w:type="dxa"/>
            <w:bottom w:w="0" w:type="dxa"/>
            <w:right w:w="108" w:type="dxa"/>
          </w:tblCellMar>
        </w:tblPrEx>
        <w:trPr>
          <w:trHeight w:val="48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16DCC62C">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36</w:t>
            </w:r>
          </w:p>
        </w:tc>
        <w:tc>
          <w:tcPr>
            <w:tcW w:w="457" w:type="dxa"/>
            <w:tcBorders>
              <w:top w:val="nil"/>
              <w:left w:val="nil"/>
              <w:bottom w:val="single" w:color="auto" w:sz="4" w:space="0"/>
              <w:right w:val="single" w:color="auto" w:sz="4" w:space="0"/>
            </w:tcBorders>
            <w:shd w:val="clear" w:color="auto" w:fill="auto"/>
            <w:noWrap/>
            <w:vAlign w:val="center"/>
          </w:tcPr>
          <w:p w14:paraId="04096703">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w:t>
            </w:r>
          </w:p>
        </w:tc>
        <w:tc>
          <w:tcPr>
            <w:tcW w:w="1179" w:type="dxa"/>
            <w:vMerge w:val="continue"/>
            <w:tcBorders>
              <w:top w:val="nil"/>
              <w:left w:val="single" w:color="auto" w:sz="4" w:space="0"/>
              <w:bottom w:val="single" w:color="000000" w:sz="4" w:space="0"/>
              <w:right w:val="single" w:color="auto" w:sz="4" w:space="0"/>
            </w:tcBorders>
            <w:vAlign w:val="center"/>
          </w:tcPr>
          <w:p w14:paraId="0756328B">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left w:val="single" w:color="auto" w:sz="4" w:space="0"/>
              <w:bottom w:val="single" w:color="auto" w:sz="4" w:space="0"/>
              <w:right w:val="single" w:color="auto" w:sz="4" w:space="0"/>
            </w:tcBorders>
            <w:vAlign w:val="center"/>
          </w:tcPr>
          <w:p w14:paraId="4D52AD08">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26AF6052">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支持磁盘双活功能，不依赖分布式存储多副本技术，超融合支持异构不同品牌存储双活功能，可利旧存储设备与超融合建立双活存储池，当分布式存储全局损坏时，不影响业务连续性（</w:t>
            </w:r>
            <w:r>
              <w:rPr>
                <w:rFonts w:hint="eastAsia" w:ascii="仿宋" w:hAnsi="仿宋" w:eastAsia="仿宋" w:cs="仿宋"/>
                <w:bCs/>
                <w:sz w:val="24"/>
                <w:highlight w:val="none"/>
                <w:lang w:eastAsia="zh-CN"/>
              </w:rPr>
              <w:t>提供有关界面截图并加盖公章</w:t>
            </w:r>
            <w:r>
              <w:rPr>
                <w:rFonts w:hint="eastAsia" w:ascii="仿宋" w:hAnsi="仿宋" w:eastAsia="仿宋" w:cs="仿宋"/>
                <w:bCs/>
                <w:sz w:val="24"/>
                <w:highlight w:val="none"/>
                <w:lang w:val="en-US" w:eastAsia="zh-CN"/>
              </w:rPr>
              <w:t>,</w:t>
            </w:r>
            <w:r>
              <w:rPr>
                <w:rFonts w:hint="eastAsia" w:ascii="仿宋" w:hAnsi="仿宋" w:eastAsia="仿宋" w:cs="仿宋"/>
                <w:bCs/>
                <w:sz w:val="24"/>
                <w:highlight w:val="none"/>
                <w:lang w:eastAsia="zh-CN"/>
              </w:rPr>
              <w:t>并支持标后验证</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5A590DC8">
            <w:pPr>
              <w:widowControl/>
              <w:spacing w:beforeLines="-2147483648" w:afterLines="-2147483648"/>
              <w:jc w:val="center"/>
              <w:rPr>
                <w:rFonts w:hint="default" w:ascii="仿宋" w:hAnsi="仿宋" w:eastAsia="仿宋" w:cs="仿宋"/>
                <w:bCs/>
                <w:color w:val="000000"/>
                <w:sz w:val="24"/>
                <w:highlight w:val="none"/>
              </w:rPr>
            </w:pPr>
            <w:r>
              <w:rPr>
                <w:rFonts w:hint="eastAsia" w:ascii="仿宋" w:hAnsi="仿宋" w:eastAsia="仿宋" w:cs="仿宋"/>
                <w:bCs/>
                <w:color w:val="000000"/>
                <w:sz w:val="24"/>
                <w:highlight w:val="none"/>
              </w:rPr>
              <w:t>是</w:t>
            </w:r>
          </w:p>
        </w:tc>
      </w:tr>
      <w:tr w14:paraId="12BC0C51">
        <w:tblPrEx>
          <w:tblCellMar>
            <w:top w:w="0" w:type="dxa"/>
            <w:left w:w="108" w:type="dxa"/>
            <w:bottom w:w="0" w:type="dxa"/>
            <w:right w:w="108" w:type="dxa"/>
          </w:tblCellMar>
        </w:tblPrEx>
        <w:trPr>
          <w:trHeight w:val="768"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1BA31088">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37</w:t>
            </w:r>
          </w:p>
        </w:tc>
        <w:tc>
          <w:tcPr>
            <w:tcW w:w="457" w:type="dxa"/>
            <w:tcBorders>
              <w:top w:val="nil"/>
              <w:left w:val="nil"/>
              <w:bottom w:val="single" w:color="auto" w:sz="4" w:space="0"/>
              <w:right w:val="single" w:color="auto" w:sz="4" w:space="0"/>
            </w:tcBorders>
            <w:shd w:val="clear" w:color="auto" w:fill="auto"/>
            <w:noWrap/>
            <w:vAlign w:val="center"/>
          </w:tcPr>
          <w:p w14:paraId="51B7DBD8">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w:t>
            </w:r>
          </w:p>
        </w:tc>
        <w:tc>
          <w:tcPr>
            <w:tcW w:w="1179" w:type="dxa"/>
            <w:vMerge w:val="continue"/>
            <w:tcBorders>
              <w:top w:val="nil"/>
              <w:left w:val="single" w:color="auto" w:sz="4" w:space="0"/>
              <w:bottom w:val="single" w:color="000000" w:sz="4" w:space="0"/>
              <w:right w:val="single" w:color="auto" w:sz="4" w:space="0"/>
            </w:tcBorders>
            <w:vAlign w:val="center"/>
          </w:tcPr>
          <w:p w14:paraId="05775AE5">
            <w:pPr>
              <w:widowControl/>
              <w:spacing w:beforeLines="-2147483648" w:afterLines="-2147483648"/>
              <w:jc w:val="left"/>
              <w:rPr>
                <w:rFonts w:hint="default" w:ascii="仿宋" w:hAnsi="仿宋" w:eastAsia="仿宋" w:cs="仿宋"/>
                <w:bCs/>
                <w:sz w:val="24"/>
                <w:highlight w:val="none"/>
              </w:rPr>
            </w:pPr>
          </w:p>
        </w:tc>
        <w:tc>
          <w:tcPr>
            <w:tcW w:w="1419" w:type="dxa"/>
            <w:vMerge w:val="restart"/>
            <w:tcBorders>
              <w:top w:val="nil"/>
              <w:left w:val="single" w:color="auto" w:sz="4" w:space="0"/>
              <w:bottom w:val="single" w:color="auto" w:sz="4" w:space="0"/>
              <w:right w:val="single" w:color="auto" w:sz="4" w:space="0"/>
            </w:tcBorders>
            <w:shd w:val="clear" w:color="auto" w:fill="auto"/>
            <w:noWrap/>
            <w:vAlign w:val="center"/>
          </w:tcPr>
          <w:p w14:paraId="64A7F426">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网络虚拟化</w:t>
            </w:r>
          </w:p>
        </w:tc>
        <w:tc>
          <w:tcPr>
            <w:tcW w:w="4097" w:type="dxa"/>
            <w:tcBorders>
              <w:top w:val="nil"/>
              <w:left w:val="nil"/>
              <w:bottom w:val="single" w:color="auto" w:sz="4" w:space="0"/>
              <w:right w:val="single" w:color="auto" w:sz="4" w:space="0"/>
            </w:tcBorders>
            <w:shd w:val="clear" w:color="auto" w:fill="auto"/>
            <w:vAlign w:val="center"/>
          </w:tcPr>
          <w:p w14:paraId="12E1867A">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lang w:eastAsia="zh-CN"/>
              </w:rPr>
              <w:t>平台支持全栈</w:t>
            </w:r>
            <w:r>
              <w:rPr>
                <w:rFonts w:hint="eastAsia" w:ascii="仿宋" w:hAnsi="仿宋" w:eastAsia="仿宋" w:cs="仿宋"/>
                <w:bCs/>
                <w:sz w:val="24"/>
                <w:highlight w:val="none"/>
                <w:lang w:val="en-US" w:eastAsia="zh-CN"/>
              </w:rPr>
              <w:t>RDMA网络智能加速功能，支持将平台管理、存储、迁移、备份、容灾等流量使用RDMA协议进行传输加速，提供产品界面截图加盖公章，</w:t>
            </w:r>
            <w:r>
              <w:rPr>
                <w:rFonts w:hint="eastAsia" w:ascii="仿宋" w:hAnsi="仿宋" w:eastAsia="仿宋" w:cs="仿宋"/>
                <w:bCs/>
                <w:sz w:val="24"/>
                <w:highlight w:val="none"/>
                <w:lang w:eastAsia="zh-CN"/>
              </w:rPr>
              <w:t>并支持标后验证</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75BAC269">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4FBAFD1D">
        <w:tblPrEx>
          <w:tblCellMar>
            <w:top w:w="0" w:type="dxa"/>
            <w:left w:w="108" w:type="dxa"/>
            <w:bottom w:w="0" w:type="dxa"/>
            <w:right w:w="108" w:type="dxa"/>
          </w:tblCellMar>
        </w:tblPrEx>
        <w:trPr>
          <w:trHeight w:val="48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4DB025DD">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38</w:t>
            </w:r>
          </w:p>
        </w:tc>
        <w:tc>
          <w:tcPr>
            <w:tcW w:w="457" w:type="dxa"/>
            <w:tcBorders>
              <w:top w:val="nil"/>
              <w:left w:val="nil"/>
              <w:bottom w:val="single" w:color="auto" w:sz="4" w:space="0"/>
              <w:right w:val="single" w:color="auto" w:sz="4" w:space="0"/>
            </w:tcBorders>
            <w:shd w:val="clear" w:color="auto" w:fill="auto"/>
            <w:noWrap/>
            <w:vAlign w:val="center"/>
          </w:tcPr>
          <w:p w14:paraId="668CA041">
            <w:pPr>
              <w:widowControl/>
              <w:spacing w:beforeLines="-2147483648" w:afterLines="-2147483648"/>
              <w:jc w:val="center"/>
              <w:rPr>
                <w:rFonts w:hint="default" w:ascii="仿宋" w:hAnsi="仿宋" w:eastAsia="仿宋" w:cs="仿宋"/>
                <w:bCs/>
                <w:sz w:val="24"/>
                <w:highlight w:val="none"/>
              </w:rPr>
            </w:pPr>
          </w:p>
        </w:tc>
        <w:tc>
          <w:tcPr>
            <w:tcW w:w="1179" w:type="dxa"/>
            <w:vMerge w:val="continue"/>
            <w:tcBorders>
              <w:top w:val="nil"/>
              <w:left w:val="single" w:color="auto" w:sz="4" w:space="0"/>
              <w:bottom w:val="single" w:color="000000" w:sz="4" w:space="0"/>
              <w:right w:val="single" w:color="auto" w:sz="4" w:space="0"/>
            </w:tcBorders>
            <w:vAlign w:val="center"/>
          </w:tcPr>
          <w:p w14:paraId="01FA968A">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top w:val="nil"/>
              <w:left w:val="single" w:color="auto" w:sz="4" w:space="0"/>
              <w:bottom w:val="single" w:color="auto" w:sz="4" w:space="0"/>
              <w:right w:val="single" w:color="auto" w:sz="4" w:space="0"/>
            </w:tcBorders>
            <w:vAlign w:val="center"/>
          </w:tcPr>
          <w:p w14:paraId="1819C2BD">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5989CC07">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根据国家关于深入推进IPv6规模部署的要求，平台应支持IPv4/IPv6双栈网络，要求平台管理平面和业务平面可以同时支持设置IPv4/IPv6地址</w:t>
            </w:r>
            <w:r>
              <w:rPr>
                <w:rFonts w:hint="eastAsia" w:ascii="仿宋" w:hAnsi="仿宋" w:eastAsia="仿宋" w:cs="仿宋"/>
                <w:bCs/>
                <w:sz w:val="24"/>
                <w:highlight w:val="none"/>
                <w:lang w:eastAsia="zh-CN"/>
              </w:rPr>
              <w:t>，提供截图证明并加盖公章</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3F4224C7">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5E568B09">
        <w:tblPrEx>
          <w:tblCellMar>
            <w:top w:w="0" w:type="dxa"/>
            <w:left w:w="108" w:type="dxa"/>
            <w:bottom w:w="0" w:type="dxa"/>
            <w:right w:w="108" w:type="dxa"/>
          </w:tblCellMar>
        </w:tblPrEx>
        <w:trPr>
          <w:trHeight w:val="72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17ACF572">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39</w:t>
            </w:r>
          </w:p>
        </w:tc>
        <w:tc>
          <w:tcPr>
            <w:tcW w:w="457" w:type="dxa"/>
            <w:tcBorders>
              <w:top w:val="nil"/>
              <w:left w:val="nil"/>
              <w:bottom w:val="single" w:color="auto" w:sz="4" w:space="0"/>
              <w:right w:val="single" w:color="auto" w:sz="4" w:space="0"/>
            </w:tcBorders>
            <w:shd w:val="clear" w:color="auto" w:fill="auto"/>
            <w:noWrap/>
            <w:vAlign w:val="center"/>
          </w:tcPr>
          <w:p w14:paraId="3EFA849D">
            <w:pPr>
              <w:widowControl/>
              <w:spacing w:beforeLines="-2147483648" w:afterLines="-2147483648"/>
              <w:jc w:val="center"/>
              <w:rPr>
                <w:rFonts w:hint="default" w:ascii="仿宋" w:hAnsi="仿宋" w:eastAsia="仿宋" w:cs="仿宋"/>
                <w:bCs/>
                <w:sz w:val="24"/>
                <w:highlight w:val="none"/>
              </w:rPr>
            </w:pPr>
          </w:p>
        </w:tc>
        <w:tc>
          <w:tcPr>
            <w:tcW w:w="1179" w:type="dxa"/>
            <w:vMerge w:val="continue"/>
            <w:tcBorders>
              <w:top w:val="nil"/>
              <w:left w:val="single" w:color="auto" w:sz="4" w:space="0"/>
              <w:bottom w:val="single" w:color="000000" w:sz="4" w:space="0"/>
              <w:right w:val="single" w:color="auto" w:sz="4" w:space="0"/>
            </w:tcBorders>
            <w:vAlign w:val="center"/>
          </w:tcPr>
          <w:p w14:paraId="268EBCAB">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top w:val="nil"/>
              <w:left w:val="single" w:color="auto" w:sz="4" w:space="0"/>
              <w:bottom w:val="single" w:color="auto" w:sz="4" w:space="0"/>
              <w:right w:val="single" w:color="auto" w:sz="4" w:space="0"/>
            </w:tcBorders>
            <w:vAlign w:val="center"/>
          </w:tcPr>
          <w:p w14:paraId="0789216B">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7F2D8441">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提供网络sFlow和netFlow功能，配合第三方流量分析工具进行流量监控，提供组播转发、广播抑制、DHCP防护等功能，支持本地端口镜像、本地业务网络镜像、远程端口镜像等多种端口镜像模式，提供分布式DNS服务功能</w:t>
            </w:r>
            <w:r>
              <w:rPr>
                <w:rFonts w:hint="eastAsia" w:ascii="仿宋" w:hAnsi="仿宋" w:eastAsia="仿宋" w:cs="仿宋"/>
                <w:bCs/>
                <w:sz w:val="24"/>
                <w:highlight w:val="none"/>
                <w:lang w:eastAsia="zh-CN"/>
              </w:rPr>
              <w:t>，提供截图证明并加盖公章</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5348C386">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eastAsia="zh-CN"/>
              </w:rPr>
              <w:t>是</w:t>
            </w:r>
          </w:p>
        </w:tc>
      </w:tr>
      <w:tr w14:paraId="6CAB989F">
        <w:tblPrEx>
          <w:tblCellMar>
            <w:top w:w="0" w:type="dxa"/>
            <w:left w:w="108" w:type="dxa"/>
            <w:bottom w:w="0" w:type="dxa"/>
            <w:right w:w="108" w:type="dxa"/>
          </w:tblCellMar>
        </w:tblPrEx>
        <w:trPr>
          <w:trHeight w:val="48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2A9238F8">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40</w:t>
            </w:r>
          </w:p>
        </w:tc>
        <w:tc>
          <w:tcPr>
            <w:tcW w:w="457" w:type="dxa"/>
            <w:tcBorders>
              <w:top w:val="nil"/>
              <w:left w:val="nil"/>
              <w:bottom w:val="single" w:color="auto" w:sz="4" w:space="0"/>
              <w:right w:val="single" w:color="auto" w:sz="4" w:space="0"/>
            </w:tcBorders>
            <w:shd w:val="clear" w:color="auto" w:fill="auto"/>
            <w:noWrap/>
            <w:vAlign w:val="center"/>
          </w:tcPr>
          <w:p w14:paraId="44A7E3B8">
            <w:pPr>
              <w:widowControl/>
              <w:spacing w:beforeLines="-2147483648" w:afterLines="-2147483648"/>
              <w:jc w:val="center"/>
              <w:rPr>
                <w:rFonts w:hint="default" w:ascii="仿宋" w:hAnsi="仿宋" w:eastAsia="仿宋" w:cs="仿宋"/>
                <w:bCs/>
                <w:sz w:val="24"/>
                <w:highlight w:val="none"/>
              </w:rPr>
            </w:pPr>
          </w:p>
        </w:tc>
        <w:tc>
          <w:tcPr>
            <w:tcW w:w="1179" w:type="dxa"/>
            <w:vMerge w:val="continue"/>
            <w:tcBorders>
              <w:top w:val="nil"/>
              <w:left w:val="single" w:color="auto" w:sz="4" w:space="0"/>
              <w:bottom w:val="single" w:color="000000" w:sz="4" w:space="0"/>
              <w:right w:val="single" w:color="auto" w:sz="4" w:space="0"/>
            </w:tcBorders>
            <w:vAlign w:val="center"/>
          </w:tcPr>
          <w:p w14:paraId="14CA9010">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top w:val="nil"/>
              <w:left w:val="single" w:color="auto" w:sz="4" w:space="0"/>
              <w:bottom w:val="single" w:color="auto" w:sz="4" w:space="0"/>
              <w:right w:val="single" w:color="auto" w:sz="4" w:space="0"/>
            </w:tcBorders>
            <w:vAlign w:val="center"/>
          </w:tcPr>
          <w:p w14:paraId="4A1832CB">
            <w:pPr>
              <w:widowControl/>
              <w:spacing w:beforeLines="-2147483648" w:afterLines="-2147483648"/>
              <w:jc w:val="left"/>
              <w:rPr>
                <w:rFonts w:hint="default" w:ascii="仿宋" w:hAnsi="仿宋" w:eastAsia="仿宋" w:cs="仿宋"/>
                <w:bCs/>
                <w:sz w:val="24"/>
                <w:highlight w:val="none"/>
              </w:rPr>
            </w:pPr>
          </w:p>
        </w:tc>
        <w:tc>
          <w:tcPr>
            <w:tcW w:w="4097" w:type="dxa"/>
            <w:tcBorders>
              <w:top w:val="nil"/>
              <w:left w:val="nil"/>
              <w:bottom w:val="single" w:color="auto" w:sz="4" w:space="0"/>
              <w:right w:val="single" w:color="auto" w:sz="4" w:space="0"/>
            </w:tcBorders>
            <w:shd w:val="clear" w:color="auto" w:fill="auto"/>
            <w:vAlign w:val="center"/>
          </w:tcPr>
          <w:p w14:paraId="61B20671">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支持物理网卡定位功能，可在平台发现网卡故障后，在管理界面直接点亮损坏网卡，方便运维人员到机房快速发现故障网卡设备，支持主备上行链路倒换</w:t>
            </w:r>
            <w:r>
              <w:rPr>
                <w:rFonts w:hint="eastAsia" w:ascii="仿宋" w:hAnsi="仿宋" w:eastAsia="仿宋" w:cs="仿宋"/>
                <w:bCs/>
                <w:sz w:val="24"/>
                <w:highlight w:val="none"/>
                <w:lang w:eastAsia="zh-CN"/>
              </w:rPr>
              <w:t>，提供截图证明并加盖公章</w:t>
            </w:r>
            <w:r>
              <w:rPr>
                <w:rFonts w:hint="eastAsia" w:ascii="仿宋" w:hAnsi="仿宋" w:eastAsia="仿宋" w:cs="仿宋"/>
                <w:bCs/>
                <w:sz w:val="24"/>
                <w:highlight w:val="none"/>
              </w:rPr>
              <w:t>。</w:t>
            </w:r>
          </w:p>
        </w:tc>
        <w:tc>
          <w:tcPr>
            <w:tcW w:w="457" w:type="dxa"/>
            <w:tcBorders>
              <w:top w:val="nil"/>
              <w:left w:val="nil"/>
              <w:bottom w:val="single" w:color="auto" w:sz="4" w:space="0"/>
              <w:right w:val="single" w:color="auto" w:sz="8" w:space="0"/>
            </w:tcBorders>
            <w:shd w:val="clear" w:color="auto" w:fill="auto"/>
            <w:vAlign w:val="center"/>
          </w:tcPr>
          <w:p w14:paraId="39ED5740">
            <w:pPr>
              <w:widowControl/>
              <w:spacing w:beforeLines="-2147483648" w:afterLines="-2147483648"/>
              <w:jc w:val="center"/>
              <w:rPr>
                <w:rFonts w:hint="default" w:ascii="仿宋" w:hAnsi="仿宋" w:eastAsia="仿宋" w:cs="仿宋"/>
                <w:bCs/>
                <w:color w:val="000000"/>
                <w:sz w:val="24"/>
                <w:highlight w:val="none"/>
              </w:rPr>
            </w:pPr>
            <w:r>
              <w:rPr>
                <w:rFonts w:hint="eastAsia" w:ascii="仿宋" w:hAnsi="仿宋" w:eastAsia="仿宋" w:cs="仿宋"/>
                <w:bCs/>
                <w:sz w:val="24"/>
                <w:highlight w:val="none"/>
                <w:lang w:eastAsia="zh-CN"/>
              </w:rPr>
              <w:t>是</w:t>
            </w:r>
          </w:p>
        </w:tc>
      </w:tr>
      <w:tr w14:paraId="3D2F24AB">
        <w:tblPrEx>
          <w:tblCellMar>
            <w:top w:w="0" w:type="dxa"/>
            <w:left w:w="108" w:type="dxa"/>
            <w:bottom w:w="0" w:type="dxa"/>
            <w:right w:w="108" w:type="dxa"/>
          </w:tblCellMar>
        </w:tblPrEx>
        <w:trPr>
          <w:trHeight w:val="96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3E17F3F1">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41</w:t>
            </w:r>
          </w:p>
        </w:tc>
        <w:tc>
          <w:tcPr>
            <w:tcW w:w="457" w:type="dxa"/>
            <w:tcBorders>
              <w:top w:val="nil"/>
              <w:left w:val="nil"/>
              <w:bottom w:val="single" w:color="auto" w:sz="4" w:space="0"/>
              <w:right w:val="single" w:color="auto" w:sz="4" w:space="0"/>
            </w:tcBorders>
            <w:shd w:val="clear" w:color="auto" w:fill="auto"/>
            <w:noWrap/>
            <w:vAlign w:val="center"/>
          </w:tcPr>
          <w:p w14:paraId="162A96FD">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w:t>
            </w:r>
          </w:p>
        </w:tc>
        <w:tc>
          <w:tcPr>
            <w:tcW w:w="1179" w:type="dxa"/>
            <w:vMerge w:val="continue"/>
            <w:tcBorders>
              <w:top w:val="nil"/>
              <w:left w:val="single" w:color="auto" w:sz="4" w:space="0"/>
              <w:bottom w:val="single" w:color="000000" w:sz="4" w:space="0"/>
              <w:right w:val="single" w:color="auto" w:sz="4" w:space="0"/>
            </w:tcBorders>
            <w:vAlign w:val="center"/>
          </w:tcPr>
          <w:p w14:paraId="06694666">
            <w:pPr>
              <w:widowControl/>
              <w:spacing w:beforeLines="-2147483648" w:afterLines="-2147483648"/>
              <w:jc w:val="left"/>
              <w:rPr>
                <w:rFonts w:hint="default" w:ascii="仿宋" w:hAnsi="仿宋" w:eastAsia="仿宋" w:cs="仿宋"/>
                <w:bCs/>
                <w:sz w:val="24"/>
                <w:highlight w:val="none"/>
              </w:rPr>
            </w:pPr>
          </w:p>
        </w:tc>
        <w:tc>
          <w:tcPr>
            <w:tcW w:w="1419" w:type="dxa"/>
            <w:vMerge w:val="restart"/>
            <w:tcBorders>
              <w:top w:val="nil"/>
              <w:left w:val="single" w:color="auto" w:sz="4" w:space="0"/>
              <w:right w:val="single" w:color="auto" w:sz="4" w:space="0"/>
            </w:tcBorders>
            <w:shd w:val="clear" w:color="auto" w:fill="auto"/>
            <w:noWrap/>
            <w:vAlign w:val="center"/>
          </w:tcPr>
          <w:p w14:paraId="612C5737">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性能保障</w:t>
            </w:r>
          </w:p>
        </w:tc>
        <w:tc>
          <w:tcPr>
            <w:tcW w:w="4097" w:type="dxa"/>
            <w:tcBorders>
              <w:top w:val="nil"/>
              <w:left w:val="nil"/>
              <w:bottom w:val="nil"/>
              <w:right w:val="single" w:color="auto" w:sz="4" w:space="0"/>
            </w:tcBorders>
            <w:shd w:val="clear" w:color="auto" w:fill="auto"/>
            <w:vAlign w:val="center"/>
          </w:tcPr>
          <w:p w14:paraId="59D7C904">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支持虚拟机内存快照，支持带快照虚拟机的跨存储热迁移功能，支持快照的瞬时创建及批量快照删除功能，批量删除虚拟机快照，虚拟机读写性能无损耗，支持在30秒内完成≥100 台云主机快照(快照大小≥2T)批量删除，支持标后验证（</w:t>
            </w:r>
            <w:r>
              <w:rPr>
                <w:rFonts w:hint="eastAsia" w:ascii="仿宋" w:hAnsi="仿宋" w:eastAsia="仿宋" w:cs="仿宋"/>
                <w:bCs/>
                <w:sz w:val="24"/>
                <w:highlight w:val="none"/>
                <w:lang w:eastAsia="zh-CN"/>
              </w:rPr>
              <w:t>提供相关证明材料并加盖公章</w:t>
            </w:r>
            <w:r>
              <w:rPr>
                <w:rFonts w:hint="eastAsia" w:ascii="仿宋" w:hAnsi="仿宋" w:eastAsia="仿宋" w:cs="仿宋"/>
                <w:bCs/>
                <w:sz w:val="24"/>
                <w:highlight w:val="none"/>
                <w:lang w:val="en-US" w:eastAsia="zh-CN"/>
              </w:rPr>
              <w:t>,</w:t>
            </w:r>
            <w:r>
              <w:rPr>
                <w:rFonts w:hint="eastAsia" w:ascii="仿宋" w:hAnsi="仿宋" w:eastAsia="仿宋" w:cs="仿宋"/>
                <w:bCs/>
                <w:sz w:val="24"/>
                <w:highlight w:val="none"/>
                <w:lang w:eastAsia="zh-CN"/>
              </w:rPr>
              <w:t>并支持标后验证</w:t>
            </w:r>
            <w:r>
              <w:rPr>
                <w:rFonts w:hint="eastAsia" w:ascii="仿宋" w:hAnsi="仿宋" w:eastAsia="仿宋" w:cs="仿宋"/>
                <w:bCs/>
                <w:sz w:val="24"/>
                <w:highlight w:val="none"/>
              </w:rPr>
              <w:t>）</w:t>
            </w:r>
          </w:p>
        </w:tc>
        <w:tc>
          <w:tcPr>
            <w:tcW w:w="457" w:type="dxa"/>
            <w:tcBorders>
              <w:top w:val="nil"/>
              <w:left w:val="nil"/>
              <w:bottom w:val="nil"/>
              <w:right w:val="single" w:color="auto" w:sz="8" w:space="0"/>
            </w:tcBorders>
            <w:shd w:val="clear" w:color="auto" w:fill="auto"/>
            <w:vAlign w:val="center"/>
          </w:tcPr>
          <w:p w14:paraId="425FC021">
            <w:pPr>
              <w:widowControl/>
              <w:spacing w:beforeLines="-2147483648" w:afterLines="-2147483648"/>
              <w:jc w:val="center"/>
              <w:rPr>
                <w:rFonts w:hint="default" w:ascii="仿宋" w:hAnsi="仿宋" w:eastAsia="仿宋" w:cs="仿宋"/>
                <w:bCs/>
                <w:color w:val="000000"/>
                <w:sz w:val="24"/>
                <w:highlight w:val="none"/>
              </w:rPr>
            </w:pPr>
            <w:r>
              <w:rPr>
                <w:rFonts w:hint="eastAsia" w:ascii="仿宋" w:hAnsi="仿宋" w:eastAsia="仿宋" w:cs="仿宋"/>
                <w:bCs/>
                <w:color w:val="000000"/>
                <w:sz w:val="24"/>
                <w:highlight w:val="none"/>
              </w:rPr>
              <w:t>是</w:t>
            </w:r>
          </w:p>
        </w:tc>
      </w:tr>
      <w:tr w14:paraId="467580EF">
        <w:tblPrEx>
          <w:tblCellMar>
            <w:top w:w="0" w:type="dxa"/>
            <w:left w:w="108" w:type="dxa"/>
            <w:bottom w:w="0" w:type="dxa"/>
            <w:right w:w="108" w:type="dxa"/>
          </w:tblCellMar>
        </w:tblPrEx>
        <w:trPr>
          <w:trHeight w:val="115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5474ED58">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42</w:t>
            </w:r>
          </w:p>
        </w:tc>
        <w:tc>
          <w:tcPr>
            <w:tcW w:w="457" w:type="dxa"/>
            <w:tcBorders>
              <w:top w:val="nil"/>
              <w:left w:val="nil"/>
              <w:bottom w:val="single" w:color="auto" w:sz="4" w:space="0"/>
              <w:right w:val="single" w:color="auto" w:sz="4" w:space="0"/>
            </w:tcBorders>
            <w:shd w:val="clear" w:color="auto" w:fill="auto"/>
            <w:noWrap/>
            <w:vAlign w:val="center"/>
          </w:tcPr>
          <w:p w14:paraId="67C4DF8D">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w:t>
            </w:r>
          </w:p>
        </w:tc>
        <w:tc>
          <w:tcPr>
            <w:tcW w:w="1179" w:type="dxa"/>
            <w:vMerge w:val="continue"/>
            <w:tcBorders>
              <w:top w:val="nil"/>
              <w:left w:val="single" w:color="auto" w:sz="4" w:space="0"/>
              <w:bottom w:val="single" w:color="000000" w:sz="4" w:space="0"/>
              <w:right w:val="single" w:color="auto" w:sz="4" w:space="0"/>
            </w:tcBorders>
            <w:vAlign w:val="center"/>
          </w:tcPr>
          <w:p w14:paraId="56295A9E">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left w:val="single" w:color="auto" w:sz="4" w:space="0"/>
              <w:right w:val="single" w:color="auto" w:sz="4" w:space="0"/>
            </w:tcBorders>
            <w:vAlign w:val="center"/>
          </w:tcPr>
          <w:p w14:paraId="29E22B78">
            <w:pPr>
              <w:widowControl/>
              <w:spacing w:beforeLines="-2147483648" w:afterLines="-2147483648"/>
              <w:jc w:val="left"/>
              <w:rPr>
                <w:rFonts w:hint="default" w:ascii="仿宋" w:hAnsi="仿宋" w:eastAsia="仿宋" w:cs="仿宋"/>
                <w:bCs/>
                <w:sz w:val="24"/>
                <w:highlight w:val="none"/>
              </w:rPr>
            </w:pPr>
          </w:p>
        </w:tc>
        <w:tc>
          <w:tcPr>
            <w:tcW w:w="4097" w:type="dxa"/>
            <w:tcBorders>
              <w:top w:val="single" w:color="auto" w:sz="4" w:space="0"/>
              <w:left w:val="nil"/>
              <w:bottom w:val="nil"/>
              <w:right w:val="single" w:color="auto" w:sz="4" w:space="0"/>
            </w:tcBorders>
            <w:shd w:val="clear" w:color="auto" w:fill="auto"/>
            <w:vAlign w:val="center"/>
          </w:tcPr>
          <w:p w14:paraId="0505202E">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支持选择多种虚拟机克隆方式，包括普通克隆和快速全量克隆，可设置虚拟机克隆速度及初始化虚拟机 SID 操作，快速全量克隆支持在 100 秒内完成≥100 台的虚拟机(磁盘规格:厚置备&gt;2T)的批量部署，删除云主机模板后不影响新克隆虚拟机正常运行，（</w:t>
            </w:r>
            <w:r>
              <w:rPr>
                <w:rFonts w:hint="eastAsia" w:ascii="仿宋" w:hAnsi="仿宋" w:eastAsia="仿宋" w:cs="仿宋"/>
                <w:bCs/>
                <w:sz w:val="24"/>
                <w:highlight w:val="none"/>
                <w:lang w:eastAsia="zh-CN"/>
              </w:rPr>
              <w:t>提供相关证明材料并加盖投标人公章</w:t>
            </w:r>
            <w:r>
              <w:rPr>
                <w:rFonts w:hint="eastAsia" w:ascii="仿宋" w:hAnsi="仿宋" w:eastAsia="仿宋" w:cs="仿宋"/>
                <w:bCs/>
                <w:sz w:val="24"/>
                <w:highlight w:val="none"/>
                <w:lang w:val="en-US" w:eastAsia="zh-CN"/>
              </w:rPr>
              <w:t>,</w:t>
            </w:r>
            <w:r>
              <w:rPr>
                <w:rFonts w:hint="eastAsia" w:ascii="仿宋" w:hAnsi="仿宋" w:eastAsia="仿宋" w:cs="仿宋"/>
                <w:bCs/>
                <w:sz w:val="24"/>
                <w:highlight w:val="none"/>
                <w:lang w:eastAsia="zh-CN"/>
              </w:rPr>
              <w:t>并支持标后验证</w:t>
            </w:r>
            <w:r>
              <w:rPr>
                <w:rFonts w:hint="eastAsia" w:ascii="仿宋" w:hAnsi="仿宋" w:eastAsia="仿宋" w:cs="仿宋"/>
                <w:bCs/>
                <w:sz w:val="24"/>
                <w:highlight w:val="none"/>
              </w:rPr>
              <w:t>）。</w:t>
            </w:r>
          </w:p>
        </w:tc>
        <w:tc>
          <w:tcPr>
            <w:tcW w:w="457" w:type="dxa"/>
            <w:tcBorders>
              <w:top w:val="single" w:color="auto" w:sz="4" w:space="0"/>
              <w:left w:val="nil"/>
              <w:bottom w:val="nil"/>
              <w:right w:val="single" w:color="auto" w:sz="8" w:space="0"/>
            </w:tcBorders>
            <w:shd w:val="clear" w:color="auto" w:fill="auto"/>
            <w:vAlign w:val="center"/>
          </w:tcPr>
          <w:p w14:paraId="1A53849A">
            <w:pPr>
              <w:widowControl/>
              <w:spacing w:beforeLines="-2147483648" w:afterLines="-2147483648"/>
              <w:jc w:val="center"/>
              <w:rPr>
                <w:rFonts w:hint="default" w:ascii="仿宋" w:hAnsi="仿宋" w:eastAsia="仿宋" w:cs="仿宋"/>
                <w:bCs/>
                <w:color w:val="000000"/>
                <w:sz w:val="24"/>
                <w:highlight w:val="none"/>
              </w:rPr>
            </w:pPr>
            <w:r>
              <w:rPr>
                <w:rFonts w:hint="eastAsia" w:ascii="仿宋" w:hAnsi="仿宋" w:eastAsia="仿宋" w:cs="仿宋"/>
                <w:bCs/>
                <w:color w:val="000000"/>
                <w:sz w:val="24"/>
                <w:highlight w:val="none"/>
              </w:rPr>
              <w:t>是</w:t>
            </w:r>
          </w:p>
        </w:tc>
      </w:tr>
      <w:tr w14:paraId="051C527F">
        <w:tblPrEx>
          <w:tblCellMar>
            <w:top w:w="0" w:type="dxa"/>
            <w:left w:w="108" w:type="dxa"/>
            <w:bottom w:w="0" w:type="dxa"/>
            <w:right w:w="108" w:type="dxa"/>
          </w:tblCellMar>
        </w:tblPrEx>
        <w:trPr>
          <w:trHeight w:val="115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27D157B1">
            <w:pPr>
              <w:widowControl/>
              <w:spacing w:beforeLines="-2147483648" w:afterLines="-2147483648"/>
              <w:jc w:val="center"/>
              <w:rPr>
                <w:rFonts w:hint="default"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43</w:t>
            </w:r>
          </w:p>
        </w:tc>
        <w:tc>
          <w:tcPr>
            <w:tcW w:w="457" w:type="dxa"/>
            <w:tcBorders>
              <w:top w:val="nil"/>
              <w:left w:val="nil"/>
              <w:bottom w:val="single" w:color="auto" w:sz="4" w:space="0"/>
              <w:right w:val="single" w:color="auto" w:sz="4" w:space="0"/>
            </w:tcBorders>
            <w:shd w:val="clear" w:color="auto" w:fill="auto"/>
            <w:noWrap/>
            <w:vAlign w:val="center"/>
          </w:tcPr>
          <w:p w14:paraId="5E53F1E2">
            <w:pPr>
              <w:widowControl/>
              <w:spacing w:beforeLines="-2147483648" w:afterLines="-2147483648"/>
              <w:jc w:val="center"/>
              <w:rPr>
                <w:rFonts w:hint="eastAsia" w:ascii="仿宋" w:hAnsi="仿宋" w:eastAsia="仿宋" w:cs="仿宋"/>
                <w:bCs/>
                <w:sz w:val="24"/>
                <w:highlight w:val="none"/>
              </w:rPr>
            </w:pPr>
          </w:p>
        </w:tc>
        <w:tc>
          <w:tcPr>
            <w:tcW w:w="1179" w:type="dxa"/>
            <w:tcBorders>
              <w:top w:val="nil"/>
              <w:left w:val="single" w:color="auto" w:sz="4" w:space="0"/>
              <w:bottom w:val="single" w:color="000000" w:sz="4" w:space="0"/>
              <w:right w:val="single" w:color="auto" w:sz="4" w:space="0"/>
            </w:tcBorders>
            <w:vAlign w:val="center"/>
          </w:tcPr>
          <w:p w14:paraId="21FC7070">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left w:val="single" w:color="auto" w:sz="4" w:space="0"/>
              <w:right w:val="single" w:color="auto" w:sz="4" w:space="0"/>
            </w:tcBorders>
            <w:vAlign w:val="center"/>
          </w:tcPr>
          <w:p w14:paraId="6BCA31B3">
            <w:pPr>
              <w:widowControl/>
              <w:spacing w:beforeLines="-2147483648" w:afterLines="-2147483648"/>
              <w:jc w:val="left"/>
              <w:rPr>
                <w:rFonts w:hint="default" w:ascii="仿宋" w:hAnsi="仿宋" w:eastAsia="仿宋" w:cs="仿宋"/>
                <w:bCs/>
                <w:sz w:val="24"/>
                <w:highlight w:val="none"/>
              </w:rPr>
            </w:pPr>
          </w:p>
        </w:tc>
        <w:tc>
          <w:tcPr>
            <w:tcW w:w="4097" w:type="dxa"/>
            <w:tcBorders>
              <w:top w:val="single" w:color="auto" w:sz="4" w:space="0"/>
              <w:left w:val="nil"/>
              <w:bottom w:val="nil"/>
              <w:right w:val="single" w:color="auto" w:sz="4" w:space="0"/>
            </w:tcBorders>
            <w:shd w:val="clear" w:color="auto" w:fill="auto"/>
            <w:vAlign w:val="center"/>
          </w:tcPr>
          <w:p w14:paraId="3A40C240">
            <w:pPr>
              <w:widowControl/>
              <w:spacing w:beforeLines="-2147483648" w:afterLines="-2147483648"/>
              <w:jc w:val="left"/>
              <w:rPr>
                <w:rFonts w:hint="default" w:ascii="仿宋" w:hAnsi="仿宋" w:eastAsia="仿宋" w:cs="仿宋"/>
                <w:bCs/>
                <w:sz w:val="24"/>
                <w:highlight w:val="none"/>
                <w:lang w:val="en-US" w:eastAsia="zh-CN"/>
              </w:rPr>
            </w:pPr>
            <w:r>
              <w:rPr>
                <w:rFonts w:hint="eastAsia" w:ascii="仿宋" w:hAnsi="仿宋" w:eastAsia="仿宋" w:cs="仿宋"/>
                <w:bCs/>
                <w:sz w:val="24"/>
                <w:highlight w:val="none"/>
                <w:lang w:eastAsia="zh-CN"/>
              </w:rPr>
              <w:t>为保证业务系统的运行流畅度，超融合集群需能够提供超高性能，超融合在</w:t>
            </w:r>
            <w:r>
              <w:rPr>
                <w:rFonts w:hint="eastAsia" w:ascii="仿宋" w:hAnsi="仿宋" w:eastAsia="仿宋" w:cs="仿宋"/>
                <w:bCs/>
                <w:sz w:val="24"/>
                <w:highlight w:val="none"/>
                <w:lang w:val="en-US" w:eastAsia="zh-CN"/>
              </w:rPr>
              <w:t>NVMe混闪、集群多虚拟机配置下，三个物理节点能够提供的随机IOPS性能≥200万（</w:t>
            </w:r>
            <w:r>
              <w:rPr>
                <w:rFonts w:hint="eastAsia" w:ascii="仿宋" w:hAnsi="仿宋" w:eastAsia="仿宋" w:cs="仿宋"/>
                <w:bCs/>
                <w:sz w:val="24"/>
                <w:highlight w:val="none"/>
                <w:lang w:eastAsia="zh-CN"/>
              </w:rPr>
              <w:t>提供相关证明并加盖公章</w:t>
            </w:r>
            <w:r>
              <w:rPr>
                <w:rFonts w:hint="eastAsia" w:ascii="仿宋" w:hAnsi="仿宋" w:eastAsia="仿宋" w:cs="仿宋"/>
                <w:bCs/>
                <w:sz w:val="24"/>
                <w:highlight w:val="none"/>
                <w:lang w:val="en-US" w:eastAsia="zh-CN"/>
              </w:rPr>
              <w:t>,</w:t>
            </w:r>
            <w:r>
              <w:rPr>
                <w:rFonts w:hint="eastAsia" w:ascii="仿宋" w:hAnsi="仿宋" w:eastAsia="仿宋" w:cs="仿宋"/>
                <w:bCs/>
                <w:sz w:val="24"/>
                <w:highlight w:val="none"/>
                <w:lang w:eastAsia="zh-CN"/>
              </w:rPr>
              <w:t>并支持标后验证</w:t>
            </w:r>
            <w:r>
              <w:rPr>
                <w:rFonts w:hint="eastAsia" w:ascii="仿宋" w:hAnsi="仿宋" w:eastAsia="仿宋" w:cs="仿宋"/>
                <w:bCs/>
                <w:sz w:val="24"/>
                <w:highlight w:val="none"/>
              </w:rPr>
              <w:t>）。</w:t>
            </w:r>
          </w:p>
        </w:tc>
        <w:tc>
          <w:tcPr>
            <w:tcW w:w="457" w:type="dxa"/>
            <w:tcBorders>
              <w:top w:val="single" w:color="auto" w:sz="4" w:space="0"/>
              <w:left w:val="nil"/>
              <w:bottom w:val="nil"/>
              <w:right w:val="single" w:color="auto" w:sz="8" w:space="0"/>
            </w:tcBorders>
            <w:shd w:val="clear" w:color="auto" w:fill="auto"/>
            <w:vAlign w:val="center"/>
          </w:tcPr>
          <w:p w14:paraId="2B65EF78">
            <w:pPr>
              <w:widowControl/>
              <w:spacing w:beforeLines="-2147483648" w:afterLines="-2147483648"/>
              <w:jc w:val="center"/>
              <w:rPr>
                <w:rFonts w:hint="eastAsia" w:ascii="仿宋" w:hAnsi="仿宋" w:eastAsia="仿宋" w:cs="仿宋"/>
                <w:bCs/>
                <w:color w:val="000000"/>
                <w:sz w:val="24"/>
                <w:highlight w:val="none"/>
              </w:rPr>
            </w:pPr>
          </w:p>
        </w:tc>
      </w:tr>
      <w:tr w14:paraId="4A85E19C">
        <w:tblPrEx>
          <w:tblCellMar>
            <w:top w:w="0" w:type="dxa"/>
            <w:left w:w="108" w:type="dxa"/>
            <w:bottom w:w="0" w:type="dxa"/>
            <w:right w:w="108" w:type="dxa"/>
          </w:tblCellMar>
        </w:tblPrEx>
        <w:trPr>
          <w:trHeight w:val="720" w:hRule="atLeast"/>
        </w:trPr>
        <w:tc>
          <w:tcPr>
            <w:tcW w:w="697" w:type="dxa"/>
            <w:tcBorders>
              <w:top w:val="nil"/>
              <w:left w:val="single" w:color="auto" w:sz="8" w:space="0"/>
              <w:bottom w:val="single" w:color="auto" w:sz="4" w:space="0"/>
              <w:right w:val="single" w:color="auto" w:sz="4" w:space="0"/>
            </w:tcBorders>
            <w:shd w:val="clear" w:color="auto" w:fill="auto"/>
            <w:noWrap/>
            <w:vAlign w:val="center"/>
          </w:tcPr>
          <w:p w14:paraId="19B366F9">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44</w:t>
            </w:r>
          </w:p>
        </w:tc>
        <w:tc>
          <w:tcPr>
            <w:tcW w:w="457" w:type="dxa"/>
            <w:tcBorders>
              <w:top w:val="nil"/>
              <w:left w:val="nil"/>
              <w:bottom w:val="single" w:color="auto" w:sz="4" w:space="0"/>
              <w:right w:val="single" w:color="auto" w:sz="4" w:space="0"/>
            </w:tcBorders>
            <w:shd w:val="clear" w:color="auto" w:fill="auto"/>
            <w:noWrap/>
            <w:vAlign w:val="center"/>
          </w:tcPr>
          <w:p w14:paraId="7C8BE4D5">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rPr>
              <w:t>#</w:t>
            </w:r>
          </w:p>
        </w:tc>
        <w:tc>
          <w:tcPr>
            <w:tcW w:w="1179" w:type="dxa"/>
            <w:tcBorders>
              <w:top w:val="nil"/>
              <w:left w:val="single" w:color="auto" w:sz="4" w:space="0"/>
              <w:bottom w:val="single" w:color="auto" w:sz="4" w:space="0"/>
              <w:right w:val="single" w:color="auto" w:sz="4" w:space="0"/>
            </w:tcBorders>
            <w:vAlign w:val="center"/>
          </w:tcPr>
          <w:p w14:paraId="60EC48D8">
            <w:pPr>
              <w:widowControl/>
              <w:spacing w:beforeLines="-2147483648" w:afterLines="-2147483648"/>
              <w:jc w:val="left"/>
              <w:rPr>
                <w:rFonts w:hint="default" w:ascii="仿宋" w:hAnsi="仿宋" w:eastAsia="仿宋" w:cs="仿宋"/>
                <w:bCs/>
                <w:sz w:val="24"/>
                <w:highlight w:val="none"/>
              </w:rPr>
            </w:pPr>
          </w:p>
        </w:tc>
        <w:tc>
          <w:tcPr>
            <w:tcW w:w="1419" w:type="dxa"/>
            <w:vMerge w:val="continue"/>
            <w:tcBorders>
              <w:left w:val="single" w:color="auto" w:sz="4" w:space="0"/>
              <w:bottom w:val="single" w:color="auto" w:sz="4" w:space="0"/>
              <w:right w:val="single" w:color="auto" w:sz="4" w:space="0"/>
            </w:tcBorders>
            <w:vAlign w:val="center"/>
          </w:tcPr>
          <w:p w14:paraId="5D5F8FEF">
            <w:pPr>
              <w:widowControl/>
              <w:spacing w:beforeLines="-2147483648" w:afterLines="-2147483648"/>
              <w:jc w:val="left"/>
              <w:rPr>
                <w:rFonts w:hint="default" w:ascii="仿宋" w:hAnsi="仿宋" w:eastAsia="仿宋" w:cs="仿宋"/>
                <w:bCs/>
                <w:sz w:val="24"/>
                <w:highlight w:val="none"/>
              </w:rPr>
            </w:pPr>
          </w:p>
        </w:tc>
        <w:tc>
          <w:tcPr>
            <w:tcW w:w="4097" w:type="dxa"/>
            <w:tcBorders>
              <w:top w:val="single" w:color="auto" w:sz="4" w:space="0"/>
              <w:left w:val="nil"/>
              <w:bottom w:val="single" w:color="auto" w:sz="4" w:space="0"/>
              <w:right w:val="single" w:color="auto" w:sz="4" w:space="0"/>
            </w:tcBorders>
            <w:shd w:val="clear" w:color="auto" w:fill="auto"/>
            <w:vAlign w:val="center"/>
          </w:tcPr>
          <w:p w14:paraId="78D1D66F">
            <w:pPr>
              <w:widowControl/>
              <w:spacing w:beforeLines="-2147483648" w:afterLines="-2147483648"/>
              <w:jc w:val="left"/>
              <w:rPr>
                <w:rFonts w:hint="default" w:ascii="仿宋" w:hAnsi="仿宋" w:eastAsia="仿宋" w:cs="仿宋"/>
                <w:bCs/>
                <w:sz w:val="24"/>
                <w:highlight w:val="none"/>
              </w:rPr>
            </w:pPr>
            <w:r>
              <w:rPr>
                <w:rFonts w:hint="eastAsia" w:ascii="仿宋" w:hAnsi="仿宋" w:eastAsia="仿宋" w:cs="仿宋"/>
                <w:bCs/>
                <w:sz w:val="24"/>
                <w:highlight w:val="none"/>
              </w:rPr>
              <w:t>支持配置PTP精确时间协议，满足核心生产业务系统对高精度时钟源的低时延同步及故障切换需求，虚拟化支持与PTP时钟源直接同步并锁定。在虚拟机的CPU和内存的资源使用率≥90%以上的高压力负载下，PTP时钟同步精度≤1μs（</w:t>
            </w:r>
            <w:r>
              <w:rPr>
                <w:rFonts w:hint="eastAsia" w:ascii="仿宋" w:hAnsi="仿宋" w:eastAsia="仿宋" w:cs="仿宋"/>
                <w:bCs/>
                <w:sz w:val="24"/>
                <w:highlight w:val="none"/>
                <w:lang w:eastAsia="zh-CN"/>
              </w:rPr>
              <w:t>提供相关证明材料并加盖公章</w:t>
            </w:r>
            <w:r>
              <w:rPr>
                <w:rFonts w:hint="eastAsia" w:ascii="仿宋" w:hAnsi="仿宋" w:eastAsia="仿宋" w:cs="仿宋"/>
                <w:bCs/>
                <w:sz w:val="24"/>
                <w:highlight w:val="none"/>
                <w:lang w:val="en-US" w:eastAsia="zh-CN"/>
              </w:rPr>
              <w:t>,</w:t>
            </w:r>
            <w:r>
              <w:rPr>
                <w:rFonts w:hint="eastAsia" w:ascii="仿宋" w:hAnsi="仿宋" w:eastAsia="仿宋" w:cs="仿宋"/>
                <w:bCs/>
                <w:sz w:val="24"/>
                <w:highlight w:val="none"/>
                <w:lang w:eastAsia="zh-CN"/>
              </w:rPr>
              <w:t>并支持标后验证</w:t>
            </w:r>
            <w:r>
              <w:rPr>
                <w:rFonts w:hint="eastAsia" w:ascii="仿宋" w:hAnsi="仿宋" w:eastAsia="仿宋" w:cs="仿宋"/>
                <w:bCs/>
                <w:sz w:val="24"/>
                <w:highlight w:val="none"/>
              </w:rPr>
              <w:t>）。</w:t>
            </w:r>
          </w:p>
        </w:tc>
        <w:tc>
          <w:tcPr>
            <w:tcW w:w="457" w:type="dxa"/>
            <w:tcBorders>
              <w:top w:val="single" w:color="auto" w:sz="4" w:space="0"/>
              <w:left w:val="nil"/>
              <w:bottom w:val="single" w:color="auto" w:sz="4" w:space="0"/>
              <w:right w:val="single" w:color="auto" w:sz="8" w:space="0"/>
            </w:tcBorders>
            <w:shd w:val="clear" w:color="auto" w:fill="auto"/>
            <w:vAlign w:val="center"/>
          </w:tcPr>
          <w:p w14:paraId="6291207A">
            <w:pPr>
              <w:widowControl/>
              <w:spacing w:beforeLines="-2147483648" w:afterLines="-2147483648"/>
              <w:jc w:val="center"/>
              <w:rPr>
                <w:rFonts w:hint="default" w:ascii="仿宋" w:hAnsi="仿宋" w:eastAsia="仿宋" w:cs="仿宋"/>
                <w:bCs/>
                <w:color w:val="000000"/>
                <w:sz w:val="24"/>
                <w:highlight w:val="none"/>
              </w:rPr>
            </w:pPr>
            <w:r>
              <w:rPr>
                <w:rFonts w:hint="eastAsia" w:ascii="仿宋" w:hAnsi="仿宋" w:eastAsia="仿宋" w:cs="仿宋"/>
                <w:bCs/>
                <w:color w:val="000000"/>
                <w:sz w:val="24"/>
                <w:highlight w:val="none"/>
              </w:rPr>
              <w:t>是</w:t>
            </w:r>
          </w:p>
        </w:tc>
      </w:tr>
    </w:tbl>
    <w:p w14:paraId="53A774C5">
      <w:pPr>
        <w:widowControl w:val="0"/>
        <w:autoSpaceDE w:val="0"/>
        <w:autoSpaceDN w:val="0"/>
        <w:adjustRightInd w:val="0"/>
        <w:spacing w:beforeLines="-2147483648" w:afterLines="-2147483648"/>
        <w:ind w:firstLine="420"/>
        <w:jc w:val="left"/>
        <w:rPr>
          <w:rFonts w:hint="default" w:ascii="宋体" w:hAnsi="Times New Roman" w:eastAsia="宋体" w:cs="Times New Roman"/>
          <w:kern w:val="2"/>
          <w:sz w:val="24"/>
          <w:szCs w:val="24"/>
          <w:highlight w:val="none"/>
          <w:lang w:val="en-US" w:eastAsia="zh-CN" w:bidi="ar-SA"/>
        </w:rPr>
      </w:pPr>
    </w:p>
    <w:p w14:paraId="7428ADE3">
      <w:pPr>
        <w:keepNext/>
        <w:keepLines/>
        <w:tabs>
          <w:tab w:val="left" w:pos="5812"/>
        </w:tabs>
        <w:spacing w:beforeLines="-2147483648" w:afterLines="-2147483648" w:line="540" w:lineRule="exact"/>
        <w:outlineLvl w:val="2"/>
        <w:rPr>
          <w:rFonts w:hint="default" w:ascii="仿宋" w:hAnsi="仿宋" w:eastAsia="仿宋" w:cs="Times New Roman"/>
          <w:b/>
          <w:bCs/>
          <w:sz w:val="24"/>
          <w:highlight w:val="none"/>
        </w:rPr>
      </w:pPr>
      <w:r>
        <w:rPr>
          <w:rFonts w:hint="eastAsia" w:ascii="仿宋" w:hAnsi="仿宋" w:eastAsia="仿宋" w:cs="Times New Roman"/>
          <w:b/>
          <w:bCs/>
          <w:sz w:val="24"/>
          <w:highlight w:val="none"/>
        </w:rPr>
        <w:t>1.</w:t>
      </w:r>
      <w:r>
        <w:rPr>
          <w:rFonts w:hint="default" w:ascii="仿宋" w:hAnsi="仿宋" w:eastAsia="仿宋" w:cs="Times New Roman"/>
          <w:b/>
          <w:bCs/>
          <w:sz w:val="24"/>
          <w:highlight w:val="none"/>
        </w:rPr>
        <w:t>2</w:t>
      </w:r>
      <w:r>
        <w:rPr>
          <w:rFonts w:hint="eastAsia" w:ascii="仿宋" w:hAnsi="仿宋" w:eastAsia="仿宋" w:cs="Times New Roman"/>
          <w:b/>
          <w:bCs/>
          <w:sz w:val="24"/>
          <w:highlight w:val="none"/>
        </w:rPr>
        <w:t>、服务要求</w:t>
      </w:r>
    </w:p>
    <w:tbl>
      <w:tblPr>
        <w:tblStyle w:val="5"/>
        <w:tblW w:w="8286"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459"/>
        <w:gridCol w:w="547"/>
        <w:gridCol w:w="1168"/>
        <w:gridCol w:w="5033"/>
        <w:gridCol w:w="1079"/>
      </w:tblGrid>
      <w:tr w14:paraId="53D6711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31" w:hRule="atLeast"/>
        </w:trPr>
        <w:tc>
          <w:tcPr>
            <w:tcW w:w="459" w:type="dxa"/>
            <w:shd w:val="clear" w:color="000000" w:fill="A6A6A6"/>
            <w:vAlign w:val="center"/>
          </w:tcPr>
          <w:p w14:paraId="2FACCE07">
            <w:pPr>
              <w:widowControl/>
              <w:spacing w:beforeLines="-2147483648" w:afterLines="-2147483648"/>
              <w:jc w:val="center"/>
              <w:rPr>
                <w:rFonts w:hint="default" w:ascii="仿宋" w:hAnsi="仿宋" w:eastAsia="仿宋" w:cs="宋体"/>
                <w:b/>
                <w:bCs/>
                <w:color w:val="000000"/>
                <w:szCs w:val="21"/>
                <w:highlight w:val="none"/>
              </w:rPr>
            </w:pPr>
            <w:r>
              <w:rPr>
                <w:rFonts w:hint="eastAsia" w:ascii="仿宋" w:hAnsi="仿宋" w:eastAsia="仿宋" w:cs="宋体"/>
                <w:b/>
                <w:bCs/>
                <w:color w:val="000000"/>
                <w:szCs w:val="21"/>
                <w:highlight w:val="none"/>
              </w:rPr>
              <w:t>序号</w:t>
            </w:r>
          </w:p>
        </w:tc>
        <w:tc>
          <w:tcPr>
            <w:tcW w:w="547" w:type="dxa"/>
            <w:shd w:val="clear" w:color="000000" w:fill="A6A6A6"/>
            <w:vAlign w:val="center"/>
          </w:tcPr>
          <w:p w14:paraId="24C77981">
            <w:pPr>
              <w:widowControl/>
              <w:spacing w:beforeLines="-2147483648" w:afterLines="-2147483648"/>
              <w:jc w:val="center"/>
              <w:rPr>
                <w:rFonts w:hint="default" w:ascii="仿宋" w:hAnsi="仿宋" w:eastAsia="仿宋" w:cs="宋体"/>
                <w:b/>
                <w:bCs/>
                <w:color w:val="000000"/>
                <w:szCs w:val="21"/>
                <w:highlight w:val="none"/>
              </w:rPr>
            </w:pPr>
            <w:r>
              <w:rPr>
                <w:rFonts w:hint="eastAsia" w:ascii="仿宋" w:hAnsi="仿宋" w:eastAsia="仿宋" w:cs="宋体"/>
                <w:b/>
                <w:bCs/>
                <w:color w:val="000000"/>
                <w:szCs w:val="21"/>
                <w:highlight w:val="none"/>
              </w:rPr>
              <w:t>重要性</w:t>
            </w:r>
          </w:p>
        </w:tc>
        <w:tc>
          <w:tcPr>
            <w:tcW w:w="1168" w:type="dxa"/>
            <w:shd w:val="clear" w:color="000000" w:fill="A6A6A6"/>
            <w:vAlign w:val="center"/>
          </w:tcPr>
          <w:p w14:paraId="7BA0E28F">
            <w:pPr>
              <w:widowControl/>
              <w:spacing w:beforeLines="-2147483648" w:afterLines="-2147483648"/>
              <w:jc w:val="center"/>
              <w:rPr>
                <w:rFonts w:hint="default" w:ascii="仿宋" w:hAnsi="仿宋" w:eastAsia="仿宋" w:cs="宋体"/>
                <w:b/>
                <w:bCs/>
                <w:color w:val="000000"/>
                <w:szCs w:val="21"/>
                <w:highlight w:val="none"/>
              </w:rPr>
            </w:pPr>
            <w:r>
              <w:rPr>
                <w:rFonts w:hint="eastAsia" w:ascii="仿宋" w:hAnsi="仿宋" w:eastAsia="仿宋" w:cs="宋体"/>
                <w:b/>
                <w:bCs/>
                <w:color w:val="000000"/>
                <w:szCs w:val="21"/>
                <w:highlight w:val="none"/>
              </w:rPr>
              <w:t>指标项</w:t>
            </w:r>
          </w:p>
        </w:tc>
        <w:tc>
          <w:tcPr>
            <w:tcW w:w="5033" w:type="dxa"/>
            <w:shd w:val="clear" w:color="000000" w:fill="A6A6A6"/>
            <w:vAlign w:val="center"/>
          </w:tcPr>
          <w:p w14:paraId="7AC5603E">
            <w:pPr>
              <w:widowControl/>
              <w:spacing w:beforeLines="-2147483648" w:afterLines="-2147483648"/>
              <w:jc w:val="center"/>
              <w:rPr>
                <w:rFonts w:hint="default" w:ascii="仿宋" w:hAnsi="仿宋" w:eastAsia="仿宋" w:cs="宋体"/>
                <w:b/>
                <w:bCs/>
                <w:color w:val="000000"/>
                <w:szCs w:val="21"/>
                <w:highlight w:val="none"/>
              </w:rPr>
            </w:pPr>
            <w:r>
              <w:rPr>
                <w:rFonts w:hint="eastAsia" w:ascii="仿宋" w:hAnsi="仿宋" w:eastAsia="仿宋" w:cs="宋体"/>
                <w:b/>
                <w:bCs/>
                <w:color w:val="000000"/>
                <w:szCs w:val="21"/>
                <w:highlight w:val="none"/>
              </w:rPr>
              <w:t>指标要求</w:t>
            </w:r>
          </w:p>
        </w:tc>
        <w:tc>
          <w:tcPr>
            <w:tcW w:w="1079" w:type="dxa"/>
            <w:shd w:val="clear" w:color="000000" w:fill="A6A6A6"/>
            <w:vAlign w:val="center"/>
          </w:tcPr>
          <w:p w14:paraId="79E0D764">
            <w:pPr>
              <w:widowControl/>
              <w:spacing w:beforeLines="-2147483648" w:afterLines="-2147483648"/>
              <w:jc w:val="center"/>
              <w:rPr>
                <w:rFonts w:hint="default" w:ascii="仿宋" w:hAnsi="仿宋" w:eastAsia="仿宋" w:cs="宋体"/>
                <w:b/>
                <w:bCs/>
                <w:color w:val="000000"/>
                <w:szCs w:val="21"/>
                <w:highlight w:val="none"/>
              </w:rPr>
            </w:pPr>
            <w:r>
              <w:rPr>
                <w:rFonts w:hint="eastAsia" w:ascii="仿宋" w:hAnsi="仿宋" w:eastAsia="仿宋" w:cs="宋体"/>
                <w:b/>
                <w:bCs/>
                <w:color w:val="000000"/>
                <w:szCs w:val="21"/>
                <w:highlight w:val="none"/>
              </w:rPr>
              <w:t>证明材料要求</w:t>
            </w:r>
          </w:p>
        </w:tc>
      </w:tr>
      <w:tr w14:paraId="104ED2C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828" w:hRule="atLeast"/>
        </w:trPr>
        <w:tc>
          <w:tcPr>
            <w:tcW w:w="459" w:type="dxa"/>
            <w:shd w:val="clear" w:color="auto" w:fill="auto"/>
            <w:vAlign w:val="center"/>
          </w:tcPr>
          <w:p w14:paraId="75802CE2">
            <w:pPr>
              <w:widowControl/>
              <w:spacing w:beforeLines="-2147483648" w:afterLines="-2147483648"/>
              <w:rPr>
                <w:rFonts w:hint="default" w:ascii="仿宋" w:hAnsi="仿宋" w:eastAsia="仿宋" w:cs="Times New Roman"/>
                <w:highlight w:val="none"/>
              </w:rPr>
            </w:pPr>
            <w:r>
              <w:rPr>
                <w:rFonts w:hint="default" w:ascii="仿宋" w:hAnsi="仿宋" w:eastAsia="仿宋" w:cs="Times New Roman"/>
                <w:highlight w:val="none"/>
              </w:rPr>
              <w:t>1</w:t>
            </w:r>
          </w:p>
        </w:tc>
        <w:tc>
          <w:tcPr>
            <w:tcW w:w="547" w:type="dxa"/>
            <w:shd w:val="clear" w:color="auto" w:fill="auto"/>
            <w:vAlign w:val="center"/>
          </w:tcPr>
          <w:p w14:paraId="5F308B23">
            <w:pPr>
              <w:widowControl/>
              <w:spacing w:beforeLines="-2147483648" w:afterLines="-2147483648"/>
              <w:jc w:val="center"/>
              <w:rPr>
                <w:rFonts w:hint="default" w:ascii="仿宋" w:hAnsi="仿宋" w:eastAsia="仿宋" w:cs="Times New Roman"/>
                <w:highlight w:val="none"/>
              </w:rPr>
            </w:pPr>
            <w:r>
              <w:rPr>
                <w:rFonts w:hint="eastAsia" w:ascii="仿宋" w:hAnsi="仿宋" w:eastAsia="仿宋" w:cs="仿宋"/>
                <w:bCs/>
                <w:sz w:val="24"/>
                <w:highlight w:val="none"/>
              </w:rPr>
              <w:t>★</w:t>
            </w:r>
          </w:p>
        </w:tc>
        <w:tc>
          <w:tcPr>
            <w:tcW w:w="1168" w:type="dxa"/>
            <w:shd w:val="clear" w:color="auto" w:fill="auto"/>
            <w:vAlign w:val="center"/>
          </w:tcPr>
          <w:p w14:paraId="6CE91F01">
            <w:pPr>
              <w:widowControl/>
              <w:spacing w:beforeLines="-2147483648" w:afterLines="-2147483648"/>
              <w:rPr>
                <w:rFonts w:hint="default" w:ascii="仿宋" w:hAnsi="仿宋" w:eastAsia="仿宋" w:cs="Times New Roman"/>
                <w:highlight w:val="none"/>
              </w:rPr>
            </w:pPr>
            <w:r>
              <w:rPr>
                <w:rFonts w:hint="eastAsia" w:ascii="仿宋" w:hAnsi="仿宋" w:eastAsia="仿宋" w:cs="仿宋"/>
                <w:bCs/>
                <w:sz w:val="24"/>
                <w:highlight w:val="none"/>
              </w:rPr>
              <w:t>投标人</w:t>
            </w:r>
            <w:r>
              <w:rPr>
                <w:rFonts w:hint="default" w:ascii="仿宋" w:hAnsi="仿宋" w:eastAsia="仿宋" w:cs="仿宋"/>
                <w:bCs/>
                <w:sz w:val="24"/>
                <w:highlight w:val="none"/>
              </w:rPr>
              <w:t>样机测试承诺</w:t>
            </w:r>
          </w:p>
        </w:tc>
        <w:tc>
          <w:tcPr>
            <w:tcW w:w="5033" w:type="dxa"/>
            <w:shd w:val="clear" w:color="auto" w:fill="auto"/>
            <w:vAlign w:val="center"/>
          </w:tcPr>
          <w:p w14:paraId="03698C4B">
            <w:pPr>
              <w:widowControl/>
              <w:spacing w:beforeLines="-2147483648" w:afterLines="-2147483648"/>
              <w:rPr>
                <w:rFonts w:hint="default" w:ascii="仿宋" w:hAnsi="仿宋" w:eastAsia="仿宋" w:cs="仿宋"/>
                <w:bCs/>
                <w:sz w:val="24"/>
                <w:highlight w:val="none"/>
              </w:rPr>
            </w:pPr>
            <w:r>
              <w:rPr>
                <w:rFonts w:hint="eastAsia" w:ascii="仿宋" w:hAnsi="仿宋" w:eastAsia="仿宋" w:cs="仿宋"/>
                <w:bCs/>
                <w:sz w:val="24"/>
                <w:highlight w:val="none"/>
              </w:rPr>
              <w:t>针对以下内容，投标人须提供样机测试承诺函并加盖投标人公章）：</w:t>
            </w:r>
          </w:p>
          <w:p w14:paraId="05C44FF2">
            <w:pPr>
              <w:widowControl/>
              <w:spacing w:beforeLines="-2147483648" w:afterLines="-2147483648"/>
              <w:jc w:val="left"/>
              <w:rPr>
                <w:rFonts w:hint="default" w:ascii="仿宋" w:hAnsi="仿宋" w:eastAsia="仿宋" w:cs="仿宋"/>
                <w:bCs/>
                <w:sz w:val="24"/>
                <w:highlight w:val="none"/>
              </w:rPr>
            </w:pPr>
            <w:r>
              <w:rPr>
                <w:rFonts w:hint="default" w:ascii="仿宋" w:hAnsi="仿宋" w:eastAsia="仿宋" w:cs="仿宋"/>
                <w:bCs/>
                <w:sz w:val="24"/>
                <w:highlight w:val="none"/>
              </w:rPr>
              <w:t xml:space="preserve">·  </w:t>
            </w:r>
            <w:r>
              <w:rPr>
                <w:rFonts w:hint="eastAsia" w:ascii="仿宋" w:hAnsi="仿宋" w:eastAsia="仿宋" w:cs="仿宋"/>
                <w:bCs/>
                <w:sz w:val="24"/>
                <w:highlight w:val="none"/>
                <w:lang w:eastAsia="zh-CN"/>
              </w:rPr>
              <w:t>中标人</w:t>
            </w:r>
            <w:r>
              <w:rPr>
                <w:rFonts w:hint="eastAsia" w:ascii="仿宋" w:hAnsi="仿宋" w:eastAsia="仿宋" w:cs="仿宋"/>
                <w:bCs/>
                <w:sz w:val="24"/>
                <w:highlight w:val="none"/>
              </w:rPr>
              <w:t>在收到中标通知书之日起</w:t>
            </w:r>
            <w:r>
              <w:rPr>
                <w:rFonts w:hint="eastAsia" w:ascii="仿宋" w:hAnsi="仿宋" w:eastAsia="仿宋" w:cs="仿宋"/>
                <w:bCs/>
                <w:sz w:val="24"/>
                <w:highlight w:val="none"/>
                <w:lang w:val="en-US" w:eastAsia="zh-CN"/>
              </w:rPr>
              <w:t xml:space="preserve"> </w:t>
            </w:r>
            <w:r>
              <w:rPr>
                <w:rFonts w:hint="default" w:ascii="仿宋" w:hAnsi="仿宋" w:eastAsia="仿宋" w:cs="仿宋"/>
                <w:bCs/>
                <w:sz w:val="24"/>
                <w:highlight w:val="none"/>
              </w:rPr>
              <w:t xml:space="preserve">7 </w:t>
            </w:r>
            <w:r>
              <w:rPr>
                <w:rFonts w:hint="eastAsia" w:ascii="仿宋" w:hAnsi="仿宋" w:eastAsia="仿宋" w:cs="仿宋"/>
                <w:bCs/>
                <w:sz w:val="24"/>
                <w:highlight w:val="none"/>
              </w:rPr>
              <w:t>个日历天内，提供</w:t>
            </w:r>
            <w:r>
              <w:rPr>
                <w:rFonts w:hint="default" w:ascii="仿宋" w:hAnsi="仿宋" w:eastAsia="仿宋" w:cs="仿宋"/>
                <w:bCs/>
                <w:sz w:val="24"/>
                <w:highlight w:val="none"/>
              </w:rPr>
              <w:t xml:space="preserve"> 3 </w:t>
            </w:r>
            <w:r>
              <w:rPr>
                <w:rFonts w:hint="eastAsia" w:ascii="仿宋" w:hAnsi="仿宋" w:eastAsia="仿宋" w:cs="仿宋"/>
                <w:bCs/>
                <w:sz w:val="24"/>
                <w:highlight w:val="none"/>
              </w:rPr>
              <w:t>台超融合一体机样机送达</w:t>
            </w:r>
            <w:r>
              <w:rPr>
                <w:rFonts w:hint="eastAsia" w:ascii="仿宋" w:hAnsi="仿宋" w:eastAsia="仿宋" w:cs="仿宋"/>
                <w:bCs/>
                <w:sz w:val="24"/>
                <w:highlight w:val="none"/>
                <w:lang w:eastAsia="zh-CN"/>
              </w:rPr>
              <w:t>采购</w:t>
            </w:r>
            <w:r>
              <w:rPr>
                <w:rFonts w:hint="eastAsia" w:ascii="仿宋" w:hAnsi="仿宋" w:eastAsia="仿宋" w:cs="仿宋"/>
                <w:bCs/>
                <w:sz w:val="24"/>
                <w:highlight w:val="none"/>
                <w:lang w:eastAsia="zh-CN"/>
              </w:rPr>
              <w:t>人</w:t>
            </w:r>
            <w:r>
              <w:rPr>
                <w:rFonts w:hint="eastAsia" w:ascii="仿宋" w:hAnsi="仿宋" w:eastAsia="仿宋" w:cs="仿宋"/>
                <w:bCs/>
                <w:sz w:val="24"/>
                <w:highlight w:val="none"/>
              </w:rPr>
              <w:t>指定现场，配合</w:t>
            </w:r>
            <w:r>
              <w:rPr>
                <w:rFonts w:hint="eastAsia" w:ascii="仿宋" w:hAnsi="仿宋" w:eastAsia="仿宋" w:cs="仿宋"/>
                <w:bCs/>
                <w:sz w:val="24"/>
                <w:highlight w:val="none"/>
                <w:lang w:eastAsia="zh-CN"/>
              </w:rPr>
              <w:t>采购人</w:t>
            </w:r>
            <w:r>
              <w:rPr>
                <w:rFonts w:hint="eastAsia" w:ascii="仿宋" w:hAnsi="仿宋" w:eastAsia="仿宋" w:cs="仿宋"/>
                <w:bCs/>
                <w:sz w:val="24"/>
                <w:highlight w:val="none"/>
              </w:rPr>
              <w:t>完成招标文件载明全部技术参数的现场实测验证工作。</w:t>
            </w:r>
          </w:p>
          <w:p w14:paraId="75C56E44">
            <w:pPr>
              <w:widowControl/>
              <w:spacing w:beforeLines="-2147483648" w:afterLines="-2147483648"/>
              <w:jc w:val="left"/>
              <w:rPr>
                <w:rFonts w:hint="default" w:ascii="仿宋" w:hAnsi="仿宋" w:eastAsia="仿宋" w:cs="仿宋"/>
                <w:bCs/>
                <w:sz w:val="24"/>
                <w:highlight w:val="none"/>
              </w:rPr>
            </w:pPr>
            <w:r>
              <w:rPr>
                <w:rFonts w:hint="default" w:ascii="仿宋" w:hAnsi="仿宋" w:eastAsia="仿宋" w:cs="仿宋"/>
                <w:bCs/>
                <w:sz w:val="24"/>
                <w:highlight w:val="none"/>
              </w:rPr>
              <w:t xml:space="preserve">·  </w:t>
            </w:r>
            <w:r>
              <w:rPr>
                <w:rFonts w:hint="eastAsia" w:ascii="仿宋" w:hAnsi="仿宋" w:eastAsia="仿宋" w:cs="仿宋"/>
                <w:bCs/>
                <w:sz w:val="24"/>
                <w:highlight w:val="none"/>
              </w:rPr>
              <w:t>现场测试结果如与</w:t>
            </w:r>
            <w:r>
              <w:rPr>
                <w:rFonts w:hint="eastAsia" w:ascii="仿宋" w:hAnsi="仿宋" w:eastAsia="仿宋" w:cs="仿宋"/>
                <w:bCs/>
                <w:sz w:val="24"/>
                <w:highlight w:val="none"/>
                <w:lang w:eastAsia="zh-CN"/>
              </w:rPr>
              <w:t>中标人</w:t>
            </w:r>
            <w:r>
              <w:rPr>
                <w:rFonts w:hint="eastAsia" w:ascii="仿宋" w:hAnsi="仿宋" w:eastAsia="仿宋" w:cs="仿宋"/>
                <w:bCs/>
                <w:sz w:val="24"/>
                <w:highlight w:val="none"/>
              </w:rPr>
              <w:t>投标文件所应答技术参数存在不一致，即认定为</w:t>
            </w:r>
            <w:r>
              <w:rPr>
                <w:rFonts w:hint="eastAsia" w:ascii="仿宋" w:hAnsi="仿宋" w:eastAsia="仿宋" w:cs="仿宋"/>
                <w:bCs/>
                <w:sz w:val="24"/>
                <w:highlight w:val="none"/>
                <w:lang w:eastAsia="zh-CN"/>
              </w:rPr>
              <w:t>中标人</w:t>
            </w:r>
            <w:r>
              <w:rPr>
                <w:rFonts w:hint="eastAsia" w:ascii="仿宋" w:hAnsi="仿宋" w:eastAsia="仿宋" w:cs="仿宋"/>
                <w:bCs/>
                <w:sz w:val="24"/>
                <w:highlight w:val="none"/>
              </w:rPr>
              <w:t>虚假应答。</w:t>
            </w:r>
            <w:r>
              <w:rPr>
                <w:rFonts w:hint="eastAsia" w:ascii="仿宋" w:hAnsi="仿宋" w:eastAsia="仿宋" w:cs="仿宋"/>
                <w:bCs/>
                <w:sz w:val="24"/>
                <w:highlight w:val="none"/>
                <w:lang w:eastAsia="zh-CN"/>
              </w:rPr>
              <w:t>采购人</w:t>
            </w:r>
            <w:r>
              <w:rPr>
                <w:rFonts w:hint="eastAsia" w:ascii="仿宋" w:hAnsi="仿宋" w:eastAsia="仿宋" w:cs="仿宋"/>
                <w:bCs/>
                <w:sz w:val="24"/>
                <w:highlight w:val="none"/>
              </w:rPr>
              <w:t>有权据此终止合同签订程序</w:t>
            </w:r>
            <w:r>
              <w:rPr>
                <w:rFonts w:hint="eastAsia" w:ascii="仿宋" w:hAnsi="仿宋" w:eastAsia="仿宋" w:cs="仿宋"/>
                <w:bCs/>
                <w:sz w:val="24"/>
                <w:highlight w:val="none"/>
              </w:rPr>
              <w:t>。</w:t>
            </w:r>
          </w:p>
          <w:p w14:paraId="58E6BF7B">
            <w:pPr>
              <w:widowControl/>
              <w:spacing w:beforeLines="-2147483648" w:afterLines="-2147483648"/>
              <w:jc w:val="left"/>
              <w:rPr>
                <w:rFonts w:hint="default" w:ascii="仿宋" w:hAnsi="仿宋" w:eastAsia="仿宋" w:cs="仿宋"/>
                <w:bCs/>
                <w:sz w:val="24"/>
                <w:highlight w:val="none"/>
              </w:rPr>
            </w:pPr>
            <w:r>
              <w:rPr>
                <w:rFonts w:hint="default" w:ascii="仿宋" w:hAnsi="仿宋" w:eastAsia="仿宋" w:cs="仿宋"/>
                <w:bCs/>
                <w:sz w:val="24"/>
                <w:highlight w:val="none"/>
              </w:rPr>
              <w:t xml:space="preserve">· </w:t>
            </w:r>
            <w:r>
              <w:rPr>
                <w:rFonts w:hint="eastAsia" w:ascii="仿宋" w:hAnsi="仿宋" w:eastAsia="仿宋" w:cs="仿宋"/>
                <w:bCs/>
                <w:sz w:val="24"/>
                <w:highlight w:val="none"/>
                <w:lang w:eastAsia="zh-CN"/>
              </w:rPr>
              <w:t>中标人</w:t>
            </w:r>
            <w:r>
              <w:rPr>
                <w:rFonts w:hint="eastAsia" w:ascii="仿宋" w:hAnsi="仿宋" w:eastAsia="仿宋" w:cs="仿宋"/>
                <w:bCs/>
                <w:sz w:val="24"/>
                <w:highlight w:val="none"/>
              </w:rPr>
              <w:t>因投标应答不实所产生的一切损失，包括但不限于</w:t>
            </w:r>
            <w:r>
              <w:rPr>
                <w:rFonts w:hint="eastAsia" w:ascii="仿宋" w:hAnsi="仿宋" w:eastAsia="仿宋" w:cs="仿宋"/>
                <w:bCs/>
                <w:sz w:val="24"/>
                <w:highlight w:val="none"/>
                <w:lang w:eastAsia="zh-CN"/>
              </w:rPr>
              <w:t>采购人</w:t>
            </w:r>
            <w:r>
              <w:rPr>
                <w:rFonts w:hint="eastAsia" w:ascii="仿宋" w:hAnsi="仿宋" w:eastAsia="仿宋" w:cs="仿宋"/>
                <w:bCs/>
                <w:sz w:val="24"/>
                <w:highlight w:val="none"/>
              </w:rPr>
              <w:t>项目延误、人力成本、二次招标等相关损失，均由</w:t>
            </w:r>
            <w:r>
              <w:rPr>
                <w:rFonts w:hint="eastAsia" w:ascii="仿宋" w:hAnsi="仿宋" w:eastAsia="仿宋" w:cs="仿宋"/>
                <w:bCs/>
                <w:sz w:val="24"/>
                <w:highlight w:val="none"/>
                <w:lang w:eastAsia="zh-CN"/>
              </w:rPr>
              <w:t>中标人</w:t>
            </w:r>
            <w:r>
              <w:rPr>
                <w:rFonts w:hint="eastAsia" w:ascii="仿宋" w:hAnsi="仿宋" w:eastAsia="仿宋" w:cs="仿宋"/>
                <w:bCs/>
                <w:sz w:val="24"/>
                <w:highlight w:val="none"/>
              </w:rPr>
              <w:t>全额承担并予以赔偿。</w:t>
            </w:r>
          </w:p>
        </w:tc>
        <w:tc>
          <w:tcPr>
            <w:tcW w:w="1079" w:type="dxa"/>
            <w:shd w:val="clear" w:color="auto" w:fill="auto"/>
            <w:vAlign w:val="center"/>
          </w:tcPr>
          <w:p w14:paraId="054FA4D7">
            <w:pPr>
              <w:widowControl/>
              <w:spacing w:beforeLines="-2147483648" w:afterLines="-2147483648"/>
              <w:jc w:val="center"/>
              <w:rPr>
                <w:rFonts w:hint="default" w:ascii="仿宋" w:hAnsi="仿宋" w:eastAsia="仿宋" w:cs="Times New Roman"/>
                <w:highlight w:val="none"/>
              </w:rPr>
            </w:pPr>
            <w:r>
              <w:rPr>
                <w:rFonts w:hint="default" w:ascii="仿宋" w:hAnsi="仿宋" w:eastAsia="仿宋" w:cs="Times New Roman"/>
                <w:highlight w:val="none"/>
              </w:rPr>
              <w:t>是</w:t>
            </w:r>
          </w:p>
        </w:tc>
      </w:tr>
      <w:tr w14:paraId="66B8FB1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828" w:hRule="atLeast"/>
        </w:trPr>
        <w:tc>
          <w:tcPr>
            <w:tcW w:w="459" w:type="dxa"/>
            <w:shd w:val="clear" w:color="auto" w:fill="auto"/>
            <w:vAlign w:val="center"/>
          </w:tcPr>
          <w:p w14:paraId="05B9BAF6">
            <w:pPr>
              <w:widowControl/>
              <w:spacing w:beforeLines="-2147483648" w:afterLines="-2147483648"/>
              <w:rPr>
                <w:rFonts w:hint="eastAsia" w:ascii="仿宋" w:hAnsi="仿宋" w:eastAsia="仿宋" w:cs="Times New Roman"/>
                <w:highlight w:val="none"/>
                <w:lang w:val="en-US" w:eastAsia="zh-CN"/>
              </w:rPr>
            </w:pPr>
            <w:r>
              <w:rPr>
                <w:rFonts w:hint="eastAsia" w:ascii="仿宋" w:hAnsi="仿宋" w:eastAsia="仿宋" w:cs="Times New Roman"/>
                <w:highlight w:val="none"/>
                <w:lang w:val="en-US" w:eastAsia="zh-CN"/>
              </w:rPr>
              <w:t>2</w:t>
            </w:r>
          </w:p>
        </w:tc>
        <w:tc>
          <w:tcPr>
            <w:tcW w:w="547" w:type="dxa"/>
            <w:shd w:val="clear" w:color="auto" w:fill="auto"/>
            <w:vAlign w:val="center"/>
          </w:tcPr>
          <w:p w14:paraId="21604D37">
            <w:pPr>
              <w:widowControl/>
              <w:spacing w:beforeLines="-2147483648" w:afterLines="-2147483648"/>
              <w:jc w:val="center"/>
              <w:rPr>
                <w:rFonts w:hint="eastAsia"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w:t>
            </w:r>
          </w:p>
        </w:tc>
        <w:tc>
          <w:tcPr>
            <w:tcW w:w="1168" w:type="dxa"/>
            <w:shd w:val="clear" w:color="auto" w:fill="auto"/>
            <w:vAlign w:val="center"/>
          </w:tcPr>
          <w:p w14:paraId="49A17538">
            <w:pPr>
              <w:widowControl/>
              <w:spacing w:beforeLines="-2147483648" w:afterLines="-2147483648"/>
              <w:rPr>
                <w:rFonts w:hint="eastAsia" w:ascii="仿宋" w:hAnsi="仿宋" w:eastAsia="仿宋" w:cs="仿宋"/>
                <w:bCs/>
                <w:sz w:val="24"/>
                <w:highlight w:val="none"/>
                <w:lang w:eastAsia="zh-CN"/>
              </w:rPr>
            </w:pPr>
            <w:r>
              <w:rPr>
                <w:rFonts w:hint="eastAsia" w:ascii="仿宋" w:hAnsi="仿宋" w:eastAsia="仿宋" w:cs="仿宋"/>
                <w:bCs/>
                <w:sz w:val="24"/>
                <w:highlight w:val="none"/>
                <w:lang w:eastAsia="zh-CN"/>
              </w:rPr>
              <w:t>售后服务</w:t>
            </w:r>
          </w:p>
        </w:tc>
        <w:tc>
          <w:tcPr>
            <w:tcW w:w="5033" w:type="dxa"/>
            <w:shd w:val="clear" w:color="auto" w:fill="auto"/>
            <w:vAlign w:val="center"/>
          </w:tcPr>
          <w:p w14:paraId="7CA37DFE">
            <w:pPr>
              <w:widowControl/>
              <w:spacing w:beforeLines="-2147483648" w:afterLines="-2147483648"/>
              <w:jc w:val="left"/>
              <w:rPr>
                <w:rFonts w:hint="eastAsia" w:ascii="仿宋" w:hAnsi="仿宋" w:eastAsia="仿宋" w:cs="仿宋"/>
                <w:bCs/>
                <w:sz w:val="24"/>
                <w:highlight w:val="none"/>
                <w:lang w:eastAsia="zh-CN"/>
              </w:rPr>
            </w:pPr>
            <w:r>
              <w:rPr>
                <w:rFonts w:hint="eastAsia" w:ascii="仿宋" w:hAnsi="仿宋" w:eastAsia="仿宋" w:cs="仿宋"/>
                <w:bCs/>
                <w:sz w:val="24"/>
                <w:highlight w:val="none"/>
                <w:lang w:eastAsia="zh-CN"/>
              </w:rPr>
              <w:t>针对以下内容，投标人提供售后服务承诺函并加盖投标人公章：</w:t>
            </w:r>
          </w:p>
          <w:p w14:paraId="47AD62FE">
            <w:pPr>
              <w:widowControl w:val="0"/>
              <w:numPr>
                <w:ilvl w:val="0"/>
                <w:numId w:val="2"/>
              </w:numPr>
              <w:autoSpaceDE w:val="0"/>
              <w:autoSpaceDN w:val="0"/>
              <w:adjustRightInd w:val="0"/>
              <w:ind w:firstLine="420"/>
              <w:jc w:val="left"/>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提供3年维保服务（包含：7*24小时电话支持服务、软件迭代补丁和安全修复补丁升级服务等）；</w:t>
            </w:r>
          </w:p>
          <w:p w14:paraId="4A3CD70D">
            <w:pPr>
              <w:widowControl w:val="0"/>
              <w:numPr>
                <w:ilvl w:val="0"/>
                <w:numId w:val="2"/>
              </w:numPr>
              <w:autoSpaceDE w:val="0"/>
              <w:autoSpaceDN w:val="0"/>
              <w:adjustRightInd w:val="0"/>
              <w:ind w:firstLine="420"/>
              <w:jc w:val="left"/>
              <w:rPr>
                <w:rFonts w:hint="default"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根据采购人的需求进行定期技术巡检，巡检内容包括但不限于资源使用率、系统健康度、数据的完整性和可恢复性，并出具巡检报告；</w:t>
            </w:r>
          </w:p>
          <w:p w14:paraId="0AB69829">
            <w:pPr>
              <w:widowControl w:val="0"/>
              <w:numPr>
                <w:ilvl w:val="0"/>
                <w:numId w:val="2"/>
              </w:numPr>
              <w:autoSpaceDE w:val="0"/>
              <w:autoSpaceDN w:val="0"/>
              <w:adjustRightInd w:val="0"/>
              <w:ind w:firstLine="420"/>
              <w:jc w:val="left"/>
              <w:rPr>
                <w:rFonts w:hint="default"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实行项目经理负责制，当系统故障时，保证采购人可直接联系项目经理，对系统故障作出响应；</w:t>
            </w:r>
          </w:p>
          <w:p w14:paraId="44671D72">
            <w:pPr>
              <w:widowControl w:val="0"/>
              <w:numPr>
                <w:ilvl w:val="0"/>
                <w:numId w:val="2"/>
              </w:numPr>
              <w:autoSpaceDE w:val="0"/>
              <w:autoSpaceDN w:val="0"/>
              <w:adjustRightInd w:val="0"/>
              <w:ind w:firstLine="420"/>
              <w:jc w:val="left"/>
              <w:rPr>
                <w:rFonts w:hint="default"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对于不能明确是否是硬件或软件出现故障时，投标人尽力配合采购人或软件商进行检查，在必要时，能在采购人要求的响应时间内到达现场协助排除问题</w:t>
            </w:r>
          </w:p>
          <w:p w14:paraId="0B6EF1B2">
            <w:pPr>
              <w:widowControl w:val="0"/>
              <w:numPr>
                <w:ilvl w:val="0"/>
                <w:numId w:val="2"/>
              </w:numPr>
              <w:autoSpaceDE w:val="0"/>
              <w:autoSpaceDN w:val="0"/>
              <w:adjustRightInd w:val="0"/>
              <w:ind w:firstLine="420"/>
              <w:jc w:val="left"/>
              <w:rPr>
                <w:rFonts w:hint="default"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根据采购人需要提供现场随工培训与集中培训</w:t>
            </w:r>
          </w:p>
        </w:tc>
        <w:tc>
          <w:tcPr>
            <w:tcW w:w="1079" w:type="dxa"/>
            <w:shd w:val="clear" w:color="auto" w:fill="auto"/>
            <w:vAlign w:val="center"/>
          </w:tcPr>
          <w:p w14:paraId="5C626133">
            <w:pPr>
              <w:widowControl/>
              <w:spacing w:beforeLines="-2147483648" w:afterLines="-2147483648"/>
              <w:jc w:val="center"/>
              <w:rPr>
                <w:rFonts w:hint="eastAsia" w:ascii="仿宋" w:hAnsi="仿宋" w:eastAsia="仿宋" w:cs="Times New Roman"/>
                <w:highlight w:val="none"/>
                <w:lang w:eastAsia="zh-CN"/>
              </w:rPr>
            </w:pPr>
            <w:r>
              <w:rPr>
                <w:rFonts w:hint="eastAsia" w:ascii="仿宋" w:hAnsi="仿宋" w:eastAsia="仿宋" w:cs="Times New Roman"/>
                <w:highlight w:val="none"/>
                <w:lang w:eastAsia="zh-CN"/>
              </w:rPr>
              <w:t>是</w:t>
            </w:r>
          </w:p>
        </w:tc>
      </w:tr>
      <w:tr w14:paraId="49629B1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828" w:hRule="atLeast"/>
        </w:trPr>
        <w:tc>
          <w:tcPr>
            <w:tcW w:w="459" w:type="dxa"/>
            <w:shd w:val="clear" w:color="auto" w:fill="auto"/>
            <w:vAlign w:val="center"/>
          </w:tcPr>
          <w:p w14:paraId="0D561C2E">
            <w:pPr>
              <w:widowControl/>
              <w:spacing w:beforeLines="-2147483648" w:afterLines="-2147483648"/>
              <w:rPr>
                <w:rFonts w:hint="default" w:ascii="仿宋" w:hAnsi="仿宋" w:eastAsia="仿宋" w:cs="Times New Roman"/>
                <w:highlight w:val="none"/>
              </w:rPr>
            </w:pPr>
            <w:r>
              <w:rPr>
                <w:rFonts w:hint="eastAsia" w:ascii="仿宋" w:hAnsi="仿宋" w:eastAsia="仿宋" w:cs="Times New Roman"/>
                <w:highlight w:val="none"/>
                <w:lang w:val="en-US" w:eastAsia="zh-CN"/>
              </w:rPr>
              <w:t>3</w:t>
            </w:r>
          </w:p>
        </w:tc>
        <w:tc>
          <w:tcPr>
            <w:tcW w:w="547" w:type="dxa"/>
            <w:shd w:val="clear" w:color="auto" w:fill="auto"/>
            <w:vAlign w:val="center"/>
          </w:tcPr>
          <w:p w14:paraId="7DDC0B42">
            <w:pPr>
              <w:widowControl/>
              <w:spacing w:beforeLines="-2147483648" w:afterLines="-2147483648"/>
              <w:jc w:val="center"/>
              <w:rPr>
                <w:rFonts w:hint="default" w:ascii="仿宋" w:hAnsi="仿宋" w:eastAsia="仿宋" w:cs="仿宋"/>
                <w:bCs/>
                <w:sz w:val="24"/>
                <w:highlight w:val="none"/>
              </w:rPr>
            </w:pPr>
            <w:r>
              <w:rPr>
                <w:rFonts w:hint="eastAsia" w:ascii="仿宋" w:hAnsi="仿宋" w:eastAsia="仿宋" w:cs="仿宋"/>
                <w:bCs/>
                <w:sz w:val="24"/>
                <w:highlight w:val="none"/>
                <w:lang w:val="en-US" w:eastAsia="zh-CN"/>
              </w:rPr>
              <w:t>#</w:t>
            </w:r>
          </w:p>
        </w:tc>
        <w:tc>
          <w:tcPr>
            <w:tcW w:w="1168" w:type="dxa"/>
            <w:shd w:val="clear" w:color="auto" w:fill="auto"/>
            <w:vAlign w:val="center"/>
          </w:tcPr>
          <w:p w14:paraId="1EFCB1EA">
            <w:pPr>
              <w:widowControl w:val="0"/>
              <w:autoSpaceDE w:val="0"/>
              <w:autoSpaceDN w:val="0"/>
              <w:adjustRightInd w:val="0"/>
              <w:spacing w:beforeLines="-2147483648" w:afterLines="-2147483648"/>
              <w:ind w:firstLine="0"/>
              <w:jc w:val="left"/>
              <w:rPr>
                <w:rFonts w:hint="default" w:ascii="宋体" w:hAnsi="Times New Roman" w:eastAsia="仿宋" w:cs="Times New Roman"/>
                <w:kern w:val="2"/>
                <w:sz w:val="24"/>
                <w:szCs w:val="24"/>
                <w:highlight w:val="none"/>
                <w:lang w:val="en-US" w:eastAsia="zh-CN" w:bidi="ar-SA"/>
              </w:rPr>
            </w:pPr>
            <w:r>
              <w:rPr>
                <w:rFonts w:hint="eastAsia" w:ascii="仿宋" w:hAnsi="仿宋" w:eastAsia="仿宋" w:cs="仿宋"/>
                <w:bCs/>
                <w:sz w:val="24"/>
                <w:highlight w:val="none"/>
              </w:rPr>
              <w:t>硬件、软件制造商服务标准</w:t>
            </w:r>
          </w:p>
        </w:tc>
        <w:tc>
          <w:tcPr>
            <w:tcW w:w="5033" w:type="dxa"/>
            <w:shd w:val="clear" w:color="auto" w:fill="auto"/>
            <w:vAlign w:val="center"/>
          </w:tcPr>
          <w:p w14:paraId="37529176">
            <w:pPr>
              <w:widowControl/>
              <w:spacing w:beforeLines="-2147483648" w:afterLines="-2147483648"/>
              <w:rPr>
                <w:rFonts w:hint="default" w:ascii="仿宋" w:hAnsi="仿宋" w:eastAsia="仿宋" w:cs="仿宋"/>
                <w:bCs/>
                <w:sz w:val="24"/>
                <w:highlight w:val="none"/>
              </w:rPr>
            </w:pPr>
            <w:r>
              <w:rPr>
                <w:rFonts w:hint="eastAsia" w:ascii="仿宋" w:hAnsi="仿宋" w:eastAsia="仿宋" w:cs="仿宋"/>
                <w:bCs/>
                <w:sz w:val="24"/>
                <w:highlight w:val="none"/>
              </w:rPr>
              <w:t>提供原厂实施服务，完成所投设备的软硬件安装配置等工作</w:t>
            </w:r>
            <w:r>
              <w:rPr>
                <w:rFonts w:hint="eastAsia" w:ascii="仿宋" w:hAnsi="仿宋" w:eastAsia="仿宋" w:cs="仿宋"/>
                <w:bCs/>
                <w:sz w:val="24"/>
                <w:highlight w:val="none"/>
                <w:lang w:eastAsia="zh-CN"/>
              </w:rPr>
              <w:t>，提供承诺函并加盖投标人公章</w:t>
            </w:r>
            <w:r>
              <w:rPr>
                <w:rFonts w:hint="eastAsia" w:ascii="仿宋" w:hAnsi="仿宋" w:eastAsia="仿宋" w:cs="仿宋"/>
                <w:bCs/>
                <w:sz w:val="24"/>
                <w:highlight w:val="none"/>
              </w:rPr>
              <w:t>。</w:t>
            </w:r>
          </w:p>
        </w:tc>
        <w:tc>
          <w:tcPr>
            <w:tcW w:w="1079" w:type="dxa"/>
            <w:shd w:val="clear" w:color="auto" w:fill="auto"/>
            <w:vAlign w:val="center"/>
          </w:tcPr>
          <w:p w14:paraId="472923AD">
            <w:pPr>
              <w:widowControl/>
              <w:spacing w:beforeLines="-2147483648" w:afterLines="-2147483648"/>
              <w:jc w:val="center"/>
              <w:rPr>
                <w:rFonts w:hint="default" w:ascii="仿宋" w:hAnsi="仿宋" w:eastAsia="仿宋" w:cs="Times New Roman"/>
                <w:highlight w:val="none"/>
              </w:rPr>
            </w:pPr>
            <w:r>
              <w:rPr>
                <w:rFonts w:hint="eastAsia" w:ascii="仿宋" w:hAnsi="仿宋" w:eastAsia="仿宋" w:cs="Times New Roman"/>
                <w:highlight w:val="none"/>
                <w:lang w:eastAsia="zh-CN"/>
              </w:rPr>
              <w:t>是</w:t>
            </w:r>
          </w:p>
        </w:tc>
      </w:tr>
    </w:tbl>
    <w:p w14:paraId="6DBAE65A">
      <w:pPr>
        <w:snapToGrid w:val="0"/>
        <w:spacing w:beforeLines="-2147483648" w:afterLines="-2147483648" w:line="360" w:lineRule="auto"/>
        <w:ind w:firstLine="480" w:firstLineChars="200"/>
        <w:rPr>
          <w:rFonts w:hint="default" w:ascii="仿宋" w:hAnsi="仿宋" w:eastAsia="仿宋" w:cs="仿宋"/>
          <w:bCs/>
          <w:sz w:val="24"/>
          <w:highlight w:val="none"/>
        </w:rPr>
      </w:pPr>
    </w:p>
    <w:p w14:paraId="18F9D474">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①指标按</w:t>
      </w:r>
      <w:r>
        <w:rPr>
          <w:rFonts w:hint="eastAsia" w:ascii="仿宋" w:hAnsi="仿宋" w:eastAsia="仿宋" w:cs="仿宋"/>
          <w:bCs/>
          <w:sz w:val="24"/>
          <w:highlight w:val="none"/>
        </w:rPr>
        <w:t>重要性分为“★”、“#”和无标识。★代表实质性指标，不满足该指标项将导致投标/响应被拒绝，#代表重要指标，无标识则表示一般指标项。</w:t>
      </w:r>
    </w:p>
    <w:p w14:paraId="19D71649">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②“证明材料要求”项填“是”的，投标人/响应人须提供包含相关指标项的证明材料，证明材料可以使用生产厂家官方网站截图或产品白皮书或</w:t>
      </w:r>
      <w:r>
        <w:rPr>
          <w:rFonts w:hint="eastAsia" w:ascii="仿宋" w:hAnsi="仿宋" w:eastAsia="仿宋" w:cs="仿宋"/>
          <w:bCs/>
          <w:sz w:val="24"/>
          <w:highlight w:val="none"/>
          <w:lang w:eastAsia="zh-CN"/>
        </w:rPr>
        <w:t>国家认可的认证（检测）机构出具的检验报告</w:t>
      </w:r>
      <w:r>
        <w:rPr>
          <w:rFonts w:hint="eastAsia" w:ascii="仿宋" w:hAnsi="仿宋" w:eastAsia="仿宋" w:cs="仿宋"/>
          <w:bCs/>
          <w:sz w:val="24"/>
          <w:highlight w:val="none"/>
        </w:rPr>
        <w:t>或其他相关证明材料，未提供有效证明材料或证明材料中内容与所填报指标不一致的，该指标按不满足处理。</w:t>
      </w:r>
    </w:p>
    <w:p w14:paraId="65125EC1">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2、采购标的需满足的服务标准、期限、效率等要求；</w:t>
      </w:r>
    </w:p>
    <w:p w14:paraId="3939EE24">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2.1、实施要求</w:t>
      </w:r>
    </w:p>
    <w:p w14:paraId="20BADD87">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2.1.1、项目实施过程控制: 整体实施过程中，需包含但不限于项目组织管理控制、供货进度控制、设备质量控制、项目安全风险控制等过程控制标准。</w:t>
      </w:r>
    </w:p>
    <w:p w14:paraId="0110B9FE">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2.1.2、项目实施过程文档管理: 系统开通后</w:t>
      </w:r>
      <w:r>
        <w:rPr>
          <w:rFonts w:hint="eastAsia" w:ascii="仿宋" w:hAnsi="仿宋" w:eastAsia="仿宋" w:cs="仿宋"/>
          <w:bCs/>
          <w:sz w:val="24"/>
          <w:highlight w:val="none"/>
          <w:lang w:eastAsia="zh-CN"/>
        </w:rPr>
        <w:t>中标人</w:t>
      </w:r>
      <w:r>
        <w:rPr>
          <w:rFonts w:hint="eastAsia" w:ascii="仿宋" w:hAnsi="仿宋" w:eastAsia="仿宋" w:cs="仿宋"/>
          <w:bCs/>
          <w:sz w:val="24"/>
          <w:highlight w:val="none"/>
        </w:rPr>
        <w:t>应及时把项目执行过程中产生的各种文档、资料等全部移交给</w:t>
      </w:r>
      <w:r>
        <w:rPr>
          <w:rFonts w:hint="eastAsia" w:ascii="仿宋" w:hAnsi="仿宋" w:eastAsia="仿宋" w:cs="仿宋"/>
          <w:bCs/>
          <w:sz w:val="24"/>
          <w:highlight w:val="none"/>
          <w:lang w:eastAsia="zh-CN"/>
        </w:rPr>
        <w:t>采购人</w:t>
      </w:r>
      <w:r>
        <w:rPr>
          <w:rFonts w:hint="eastAsia" w:ascii="仿宋" w:hAnsi="仿宋" w:eastAsia="仿宋" w:cs="仿宋"/>
          <w:bCs/>
          <w:sz w:val="24"/>
          <w:highlight w:val="none"/>
        </w:rPr>
        <w:t>，包括本次项目包含硬件设备技术文件和软件系统文件、安装测试文件、维护和操作文件等，如果出现软、硬件系统的修改而导致文件的任何修改，</w:t>
      </w:r>
      <w:r>
        <w:rPr>
          <w:rFonts w:hint="eastAsia" w:ascii="仿宋" w:hAnsi="仿宋" w:eastAsia="仿宋" w:cs="仿宋"/>
          <w:bCs/>
          <w:sz w:val="24"/>
          <w:highlight w:val="none"/>
          <w:lang w:eastAsia="zh-CN"/>
        </w:rPr>
        <w:t>中标人</w:t>
      </w:r>
      <w:r>
        <w:rPr>
          <w:rFonts w:hint="eastAsia" w:ascii="仿宋" w:hAnsi="仿宋" w:eastAsia="仿宋" w:cs="仿宋"/>
          <w:bCs/>
          <w:sz w:val="24"/>
          <w:highlight w:val="none"/>
        </w:rPr>
        <w:t>应提供修改更正或补充文件。</w:t>
      </w:r>
    </w:p>
    <w:p w14:paraId="0EDFE659">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2.1.3、项目实施组织架构: 为保障项目的顺利实施，</w:t>
      </w:r>
      <w:r>
        <w:rPr>
          <w:rFonts w:hint="eastAsia" w:ascii="仿宋" w:hAnsi="仿宋" w:eastAsia="仿宋" w:cs="仿宋"/>
          <w:bCs/>
          <w:sz w:val="24"/>
          <w:highlight w:val="none"/>
          <w:lang w:eastAsia="zh-CN"/>
        </w:rPr>
        <w:t>中标人</w:t>
      </w:r>
      <w:r>
        <w:rPr>
          <w:rFonts w:hint="eastAsia" w:ascii="仿宋" w:hAnsi="仿宋" w:eastAsia="仿宋" w:cs="仿宋"/>
          <w:bCs/>
          <w:sz w:val="24"/>
          <w:highlight w:val="none"/>
        </w:rPr>
        <w:t>应组建专业的技术服务队伍，负责提供产品所需的所有服务。这支队伍需由经验丰富的项目经理及实施工程师组成实施团队，开展系统安装调试、培训和售后服务，其中项目经理应具有项目经理资质。</w:t>
      </w:r>
    </w:p>
    <w:p w14:paraId="1598CD0F">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2.2、系统集成配套要求</w:t>
      </w:r>
    </w:p>
    <w:p w14:paraId="1122EC37">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项目实施进度要求：要求中标人根据项目建设单位的实际情况，科学合理的定出集成实施的时间表。</w:t>
      </w:r>
    </w:p>
    <w:p w14:paraId="75C5DC24">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对项目实施的各个阶段：需求分析阶段、系统配置方案、系统实施准备、系统部署、系统测试、系统试运行、系统终验阶段的进度做出详细的计划。</w:t>
      </w:r>
    </w:p>
    <w:p w14:paraId="3E25E52B">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对项目实施的进度计划及控制中各阶段中投标人所要做的工作及保障措施做出详细安排。</w:t>
      </w:r>
    </w:p>
    <w:p w14:paraId="60677F6C">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要求中标人对本项目的工程实施进行风险控制。</w:t>
      </w:r>
    </w:p>
    <w:p w14:paraId="321049B0">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2.3、进度要求</w:t>
      </w:r>
    </w:p>
    <w:p w14:paraId="0F6E8A70">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由于本项目建设涉及的系统和设备众多，如果要在短期内见到建设效果，需要制定科学、周密的实施计划，系统实施要求不同的主线同时展开，</w:t>
      </w:r>
      <w:r>
        <w:rPr>
          <w:rFonts w:hint="eastAsia" w:ascii="仿宋" w:hAnsi="仿宋" w:eastAsia="仿宋" w:cs="仿宋"/>
          <w:bCs/>
          <w:sz w:val="24"/>
          <w:highlight w:val="none"/>
          <w:lang w:eastAsia="zh-CN"/>
        </w:rPr>
        <w:t>中标人</w:t>
      </w:r>
      <w:r>
        <w:rPr>
          <w:rFonts w:hint="eastAsia" w:ascii="仿宋" w:hAnsi="仿宋" w:eastAsia="仿宋" w:cs="仿宋"/>
          <w:bCs/>
          <w:sz w:val="24"/>
          <w:highlight w:val="none"/>
        </w:rPr>
        <w:t>在项目实施前，必须向</w:t>
      </w:r>
      <w:r>
        <w:rPr>
          <w:rFonts w:hint="eastAsia" w:ascii="仿宋" w:hAnsi="仿宋" w:eastAsia="仿宋" w:cs="仿宋"/>
          <w:bCs/>
          <w:sz w:val="24"/>
          <w:highlight w:val="none"/>
          <w:lang w:eastAsia="zh-CN"/>
        </w:rPr>
        <w:t>采购人</w:t>
      </w:r>
      <w:r>
        <w:rPr>
          <w:rFonts w:hint="eastAsia" w:ascii="仿宋" w:hAnsi="仿宋" w:eastAsia="仿宋" w:cs="仿宋"/>
          <w:bCs/>
          <w:sz w:val="24"/>
          <w:highlight w:val="none"/>
        </w:rPr>
        <w:t>提交详细的项目实施计划，待</w:t>
      </w:r>
      <w:r>
        <w:rPr>
          <w:rFonts w:hint="eastAsia" w:ascii="仿宋" w:hAnsi="仿宋" w:eastAsia="仿宋" w:cs="仿宋"/>
          <w:bCs/>
          <w:sz w:val="24"/>
          <w:highlight w:val="none"/>
          <w:lang w:eastAsia="zh-CN"/>
        </w:rPr>
        <w:t>采购人</w:t>
      </w:r>
      <w:r>
        <w:rPr>
          <w:rFonts w:hint="eastAsia" w:ascii="仿宋" w:hAnsi="仿宋" w:eastAsia="仿宋" w:cs="仿宋"/>
          <w:bCs/>
          <w:sz w:val="24"/>
          <w:highlight w:val="none"/>
        </w:rPr>
        <w:t>确认后方可开始实施。</w:t>
      </w:r>
      <w:r>
        <w:rPr>
          <w:rFonts w:hint="eastAsia" w:ascii="仿宋" w:hAnsi="仿宋" w:eastAsia="仿宋" w:cs="仿宋"/>
          <w:bCs/>
          <w:sz w:val="24"/>
          <w:highlight w:val="none"/>
          <w:lang w:eastAsia="zh-CN"/>
        </w:rPr>
        <w:t>中标人</w:t>
      </w:r>
      <w:r>
        <w:rPr>
          <w:rFonts w:hint="eastAsia" w:ascii="仿宋" w:hAnsi="仿宋" w:eastAsia="仿宋" w:cs="仿宋"/>
          <w:bCs/>
          <w:sz w:val="24"/>
          <w:highlight w:val="none"/>
        </w:rPr>
        <w:t>应建立完善的实施组织体系，各角色分工职责明确，并能有机协同进度安排与项目整体进度及各子项建设进度的协调，原厂商进入项目的先后顺序、时间安排互相协调，关键路径应明确。前期阶段、提供详细供货及服务方案、实施阶段、调试验收阶段。</w:t>
      </w:r>
    </w:p>
    <w:p w14:paraId="78CB7A1F">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4、采购标的的其他技术、服务等要求；</w:t>
      </w:r>
    </w:p>
    <w:p w14:paraId="5076B268">
      <w:pPr>
        <w:tabs>
          <w:tab w:val="left" w:pos="900"/>
          <w:tab w:val="left" w:pos="7160"/>
        </w:tabs>
        <w:spacing w:beforeLines="-2147483648" w:afterLines="-2147483648" w:line="360" w:lineRule="auto"/>
        <w:ind w:firstLine="482" w:firstLineChars="200"/>
        <w:rPr>
          <w:rFonts w:hint="eastAsia" w:ascii="仿宋" w:hAnsi="仿宋" w:eastAsia="仿宋" w:cs="仿宋"/>
          <w:bCs/>
          <w:sz w:val="24"/>
          <w:highlight w:val="none"/>
        </w:rPr>
      </w:pPr>
      <w:r>
        <w:rPr>
          <w:rFonts w:hint="eastAsia" w:ascii="仿宋" w:hAnsi="仿宋" w:eastAsia="仿宋" w:cs="Times New Roman"/>
          <w:b/>
          <w:sz w:val="24"/>
          <w:highlight w:val="none"/>
        </w:rPr>
        <w:t>4.1、</w:t>
      </w:r>
      <w:r>
        <w:rPr>
          <w:rFonts w:hint="eastAsia" w:ascii="仿宋" w:hAnsi="仿宋" w:eastAsia="仿宋" w:cs="仿宋"/>
          <w:bCs/>
          <w:sz w:val="24"/>
          <w:highlight w:val="none"/>
        </w:rPr>
        <w:t>投标人需要提供投标产品支持资料（或证明材料），并需要加盖投标人</w:t>
      </w:r>
      <w:r>
        <w:rPr>
          <w:rFonts w:hint="eastAsia" w:ascii="仿宋" w:hAnsi="仿宋" w:eastAsia="仿宋" w:cs="仿宋"/>
          <w:bCs/>
          <w:sz w:val="24"/>
          <w:highlight w:val="none"/>
          <w:lang w:eastAsia="zh-CN"/>
        </w:rPr>
        <w:t>或</w:t>
      </w:r>
      <w:r>
        <w:rPr>
          <w:rFonts w:hint="eastAsia" w:ascii="仿宋" w:hAnsi="仿宋" w:eastAsia="仿宋" w:cs="仿宋"/>
          <w:bCs/>
          <w:sz w:val="24"/>
          <w:highlight w:val="none"/>
        </w:rPr>
        <w:t>生产厂家（或境内总代理、独家代理）公章</w:t>
      </w:r>
      <w:r>
        <w:rPr>
          <w:rFonts w:hint="eastAsia" w:ascii="仿宋" w:hAnsi="仿宋" w:eastAsia="仿宋" w:cs="仿宋"/>
          <w:bCs/>
          <w:sz w:val="24"/>
          <w:highlight w:val="none"/>
        </w:rPr>
        <w:t>。其中</w:t>
      </w:r>
      <w:r>
        <w:rPr>
          <w:rFonts w:hint="eastAsia" w:ascii="仿宋" w:hAnsi="仿宋" w:eastAsia="仿宋" w:cs="仿宋"/>
          <w:bCs/>
          <w:sz w:val="24"/>
          <w:highlight w:val="none"/>
          <w:lang w:eastAsia="zh-CN"/>
        </w:rPr>
        <w:t>产品</w:t>
      </w:r>
      <w:r>
        <w:rPr>
          <w:rFonts w:hint="eastAsia" w:ascii="仿宋" w:hAnsi="仿宋" w:eastAsia="仿宋" w:cs="仿宋"/>
          <w:bCs/>
          <w:sz w:val="24"/>
          <w:highlight w:val="none"/>
        </w:rPr>
        <w:t>支持资料指生产厂家公开发布的印刷资料</w:t>
      </w:r>
      <w:r>
        <w:rPr>
          <w:rFonts w:hint="eastAsia" w:ascii="仿宋" w:hAnsi="仿宋" w:eastAsia="仿宋" w:cs="仿宋"/>
          <w:bCs/>
          <w:sz w:val="24"/>
          <w:highlight w:val="none"/>
        </w:rPr>
        <w:t>或</w:t>
      </w:r>
      <w:r>
        <w:rPr>
          <w:rFonts w:hint="eastAsia" w:ascii="仿宋" w:hAnsi="仿宋" w:eastAsia="仿宋" w:cs="仿宋"/>
          <w:bCs/>
          <w:sz w:val="24"/>
          <w:highlight w:val="none"/>
          <w:lang w:eastAsia="zh-CN"/>
        </w:rPr>
        <w:t>国家认可的认证（检测）机构出具的检验报告</w:t>
      </w:r>
      <w:r>
        <w:rPr>
          <w:rFonts w:hint="eastAsia" w:ascii="仿宋" w:hAnsi="仿宋" w:eastAsia="仿宋" w:cs="仿宋"/>
          <w:bCs/>
          <w:sz w:val="24"/>
          <w:highlight w:val="none"/>
        </w:rPr>
        <w:t>，若生产厂家公开发布的印刷资料或检测机构出具的检验报告不一致，以检测机构出具的检验报告为准。如投标人技术响应与</w:t>
      </w:r>
      <w:r>
        <w:rPr>
          <w:rFonts w:hint="eastAsia" w:ascii="仿宋" w:hAnsi="仿宋" w:eastAsia="仿宋" w:cs="仿宋"/>
          <w:bCs/>
          <w:sz w:val="24"/>
          <w:highlight w:val="none"/>
          <w:lang w:eastAsia="zh-CN"/>
        </w:rPr>
        <w:t>产品</w:t>
      </w:r>
      <w:r>
        <w:rPr>
          <w:rFonts w:hint="eastAsia" w:ascii="仿宋" w:hAnsi="仿宋" w:eastAsia="仿宋" w:cs="仿宋"/>
          <w:bCs/>
          <w:sz w:val="24"/>
          <w:highlight w:val="none"/>
        </w:rPr>
        <w:t>支持资料（或证明材料）不一致，将以</w:t>
      </w:r>
      <w:r>
        <w:rPr>
          <w:rFonts w:hint="eastAsia" w:ascii="仿宋" w:hAnsi="仿宋" w:eastAsia="仿宋" w:cs="仿宋"/>
          <w:bCs/>
          <w:sz w:val="24"/>
          <w:highlight w:val="none"/>
          <w:lang w:eastAsia="zh-CN"/>
        </w:rPr>
        <w:t>产品</w:t>
      </w:r>
      <w:r>
        <w:rPr>
          <w:rFonts w:hint="eastAsia" w:ascii="仿宋" w:hAnsi="仿宋" w:eastAsia="仿宋" w:cs="仿宋"/>
          <w:bCs/>
          <w:sz w:val="24"/>
          <w:highlight w:val="none"/>
        </w:rPr>
        <w:t>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加盖投标人</w:t>
      </w:r>
      <w:r>
        <w:rPr>
          <w:rFonts w:hint="eastAsia" w:ascii="仿宋" w:hAnsi="仿宋" w:eastAsia="仿宋" w:cs="仿宋"/>
          <w:bCs/>
          <w:sz w:val="24"/>
          <w:highlight w:val="none"/>
          <w:lang w:eastAsia="zh-CN"/>
        </w:rPr>
        <w:t>或</w:t>
      </w:r>
      <w:r>
        <w:rPr>
          <w:rFonts w:hint="eastAsia" w:ascii="仿宋" w:hAnsi="仿宋" w:eastAsia="仿宋" w:cs="仿宋"/>
          <w:bCs/>
          <w:sz w:val="24"/>
          <w:highlight w:val="none"/>
        </w:rPr>
        <w:t>生产厂家（或境内总代理、独家代理）公章的</w:t>
      </w:r>
      <w:r>
        <w:rPr>
          <w:rFonts w:hint="eastAsia" w:ascii="仿宋" w:hAnsi="仿宋" w:eastAsia="仿宋" w:cs="仿宋"/>
          <w:bCs/>
          <w:sz w:val="24"/>
          <w:highlight w:val="none"/>
        </w:rPr>
        <w:t>，评标委员会可不予承认，并可认为该技术应答不符合招标文件要求。由此产生的评标风险，由投标人承担。</w:t>
      </w:r>
    </w:p>
    <w:p w14:paraId="580911E6">
      <w:pPr>
        <w:widowControl w:val="0"/>
        <w:autoSpaceDE w:val="0"/>
        <w:autoSpaceDN w:val="0"/>
        <w:adjustRightInd w:val="0"/>
        <w:spacing w:beforeLines="-2147483648" w:afterLines="-2147483648"/>
        <w:ind w:firstLine="420"/>
        <w:jc w:val="left"/>
        <w:rPr>
          <w:rFonts w:hint="default" w:ascii="宋体" w:hAnsi="Times New Roman" w:eastAsia="宋体" w:cs="Times New Roman"/>
          <w:kern w:val="2"/>
          <w:sz w:val="24"/>
          <w:szCs w:val="24"/>
          <w:highlight w:val="none"/>
          <w:lang w:val="en-US" w:eastAsia="zh-CN" w:bidi="ar-SA"/>
        </w:rPr>
      </w:pPr>
    </w:p>
    <w:p w14:paraId="49FC96C0">
      <w:p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5、需由投标人提供设计方案、解决方案或者组织方案的采购项目，应当说明采购标的的功能、应用场景、目标等基本要求</w:t>
      </w:r>
    </w:p>
    <w:p w14:paraId="7C3E94EF">
      <w:pPr>
        <w:widowControl w:val="0"/>
        <w:autoSpaceDE w:val="0"/>
        <w:autoSpaceDN w:val="0"/>
        <w:adjustRightInd w:val="0"/>
        <w:spacing w:beforeLines="-2147483648" w:afterLines="-2147483648"/>
        <w:ind w:firstLine="420"/>
        <w:jc w:val="left"/>
        <w:rPr>
          <w:rFonts w:hint="default" w:ascii="仿宋" w:hAnsi="仿宋" w:eastAsia="仿宋" w:cs="Times New Roman"/>
          <w:kern w:val="2"/>
          <w:sz w:val="24"/>
          <w:szCs w:val="24"/>
          <w:highlight w:val="none"/>
          <w:lang w:val="en-US" w:eastAsia="zh-CN" w:bidi="ar-SA"/>
        </w:rPr>
      </w:pPr>
      <w:r>
        <w:rPr>
          <w:rFonts w:hint="eastAsia" w:ascii="仿宋" w:hAnsi="仿宋" w:eastAsia="仿宋" w:cs="Times New Roman"/>
          <w:kern w:val="2"/>
          <w:sz w:val="24"/>
          <w:szCs w:val="24"/>
          <w:highlight w:val="none"/>
          <w:lang w:val="en-US" w:eastAsia="zh-CN" w:bidi="ar-SA"/>
        </w:rPr>
        <w:t>投保人应提供技术方案、实施方案以及售后及培训服务方案。</w:t>
      </w:r>
    </w:p>
    <w:p w14:paraId="0724F8DB">
      <w:pPr>
        <w:snapToGrid w:val="0"/>
        <w:spacing w:beforeLines="-2147483648" w:afterLines="-2147483648" w:line="360" w:lineRule="auto"/>
        <w:ind w:firstLine="482" w:firstLineChars="200"/>
        <w:rPr>
          <w:rFonts w:hint="default" w:ascii="仿宋" w:hAnsi="仿宋" w:eastAsia="仿宋" w:cs="仿宋"/>
          <w:b/>
          <w:bCs/>
          <w:sz w:val="24"/>
          <w:highlight w:val="none"/>
        </w:rPr>
      </w:pPr>
      <w:r>
        <w:rPr>
          <w:rFonts w:hint="eastAsia" w:ascii="仿宋" w:hAnsi="仿宋" w:eastAsia="仿宋" w:cs="仿宋"/>
          <w:b/>
          <w:bCs/>
          <w:sz w:val="24"/>
          <w:highlight w:val="none"/>
        </w:rPr>
        <w:t>（三）验收标准</w:t>
      </w:r>
    </w:p>
    <w:p w14:paraId="4138D607">
      <w:pPr>
        <w:numPr>
          <w:ilvl w:val="255"/>
          <w:numId w:val="0"/>
        </w:numPr>
        <w:snapToGrid w:val="0"/>
        <w:spacing w:beforeLines="-2147483648" w:afterLines="-2147483648" w:line="360" w:lineRule="auto"/>
        <w:ind w:firstLine="480" w:firstLineChars="200"/>
        <w:rPr>
          <w:rFonts w:hint="default" w:ascii="仿宋" w:hAnsi="仿宋" w:eastAsia="仿宋" w:cs="Times New Roman"/>
          <w:sz w:val="24"/>
          <w:highlight w:val="none"/>
        </w:rPr>
      </w:pPr>
      <w:r>
        <w:rPr>
          <w:rFonts w:hint="eastAsia" w:ascii="仿宋" w:hAnsi="仿宋" w:eastAsia="仿宋" w:cs="Times New Roman"/>
          <w:sz w:val="24"/>
          <w:highlight w:val="none"/>
        </w:rPr>
        <w:t>在项目所有设备全部上线，稳定运行1个月后，中标人必须在合同规定的时间内，以完工验收申请报告形式书面通知招标人以声明整个系统完毕，并进行逐项验收，最后由采购人项目负责人员和其他相关人员签字认可，确定工程完成，系统工作转入维护阶段</w:t>
      </w:r>
      <w:r>
        <w:rPr>
          <w:rFonts w:hint="eastAsia" w:ascii="仿宋" w:hAnsi="仿宋" w:eastAsia="仿宋" w:cs="Times New Roman"/>
          <w:sz w:val="24"/>
          <w:highlight w:val="none"/>
          <w:lang w:eastAsia="zh-CN"/>
        </w:rPr>
        <w:t>，</w:t>
      </w:r>
      <w:r>
        <w:rPr>
          <w:rFonts w:hint="eastAsia" w:ascii="仿宋" w:hAnsi="仿宋" w:eastAsia="仿宋"/>
          <w:sz w:val="24"/>
          <w:highlight w:val="none"/>
          <w:lang w:eastAsia="zh-CN"/>
        </w:rPr>
        <w:t>该部分费用包含在投标报价中</w:t>
      </w:r>
      <w:r>
        <w:rPr>
          <w:rFonts w:hint="eastAsia" w:ascii="仿宋" w:hAnsi="仿宋" w:eastAsia="仿宋" w:cs="Times New Roman"/>
          <w:sz w:val="24"/>
          <w:highlight w:val="none"/>
        </w:rPr>
        <w:t>。</w:t>
      </w:r>
    </w:p>
    <w:p w14:paraId="4C641B60">
      <w:pPr>
        <w:numPr>
          <w:ilvl w:val="255"/>
          <w:numId w:val="0"/>
        </w:numPr>
        <w:snapToGrid w:val="0"/>
        <w:spacing w:beforeLines="-2147483648" w:afterLines="-2147483648" w:line="360" w:lineRule="auto"/>
        <w:ind w:firstLine="480" w:firstLineChars="200"/>
        <w:rPr>
          <w:rFonts w:hint="default" w:ascii="仿宋" w:hAnsi="仿宋" w:eastAsia="仿宋" w:cs="Times New Roman"/>
          <w:sz w:val="24"/>
          <w:highlight w:val="none"/>
        </w:rPr>
      </w:pPr>
      <w:r>
        <w:rPr>
          <w:rFonts w:hint="eastAsia" w:ascii="仿宋" w:hAnsi="仿宋" w:eastAsia="仿宋" w:cs="Times New Roman"/>
          <w:sz w:val="24"/>
          <w:highlight w:val="none"/>
        </w:rPr>
        <w:t xml:space="preserve">项目验收，是项目建设中有组织的主动性行为，它是对项目建设高度负责的体现，也是项目建设成功的重要保证。切实做好项目建设中的验收工作至关重要，应当采取有效措施。为保证项目验收质量，针对不同的验收内容，在实施验收操作中，采取以下的方法： </w:t>
      </w:r>
    </w:p>
    <w:p w14:paraId="657EAD8A">
      <w:pPr>
        <w:numPr>
          <w:ilvl w:val="255"/>
          <w:numId w:val="0"/>
        </w:numPr>
        <w:snapToGrid w:val="0"/>
        <w:spacing w:beforeLines="-2147483648" w:afterLines="-2147483648" w:line="360" w:lineRule="auto"/>
        <w:ind w:firstLine="480" w:firstLineChars="200"/>
        <w:rPr>
          <w:rFonts w:hint="default" w:ascii="仿宋" w:hAnsi="仿宋" w:eastAsia="仿宋" w:cs="Times New Roman"/>
          <w:sz w:val="24"/>
          <w:highlight w:val="none"/>
        </w:rPr>
      </w:pPr>
      <w:r>
        <w:rPr>
          <w:rFonts w:hint="eastAsia" w:ascii="仿宋" w:hAnsi="仿宋" w:eastAsia="仿宋" w:cs="Times New Roman"/>
          <w:sz w:val="24"/>
          <w:highlight w:val="none"/>
        </w:rPr>
        <w:t>对照检查项目各项建设内容的结果是否与合同条款及项目实施方案相一致。</w:t>
      </w:r>
    </w:p>
    <w:p w14:paraId="37362E49">
      <w:pPr>
        <w:numPr>
          <w:ilvl w:val="255"/>
          <w:numId w:val="0"/>
        </w:numPr>
        <w:snapToGrid w:val="0"/>
        <w:spacing w:beforeLines="-2147483648" w:afterLines="-2147483648" w:line="360" w:lineRule="auto"/>
        <w:ind w:firstLine="480" w:firstLineChars="200"/>
        <w:rPr>
          <w:rFonts w:hint="default" w:ascii="仿宋" w:hAnsi="仿宋" w:eastAsia="仿宋" w:cs="Times New Roman"/>
          <w:sz w:val="24"/>
          <w:highlight w:val="none"/>
        </w:rPr>
      </w:pPr>
      <w:r>
        <w:rPr>
          <w:rFonts w:hint="eastAsia" w:ascii="仿宋" w:hAnsi="仿宋" w:eastAsia="仿宋" w:cs="Times New Roman"/>
          <w:sz w:val="24"/>
          <w:highlight w:val="none"/>
        </w:rPr>
        <w:t>对项目中所涉及的所有硬件软件一一登记，系统运维手册、使用手册等各种技术文档登记、造册和整理完整，并妥善保存。对项目建设中双方共同根据实际进展情况修订的合同条款、协调开发建设中的问题和变更以及执行情况进行记录。</w:t>
      </w:r>
    </w:p>
    <w:p w14:paraId="1E057906">
      <w:pPr>
        <w:numPr>
          <w:ilvl w:val="255"/>
          <w:numId w:val="0"/>
        </w:numPr>
        <w:snapToGrid w:val="0"/>
        <w:spacing w:beforeLines="-2147483648" w:afterLines="-2147483648" w:line="360" w:lineRule="auto"/>
        <w:ind w:firstLine="480" w:firstLineChars="200"/>
        <w:rPr>
          <w:rFonts w:hint="default" w:ascii="仿宋" w:hAnsi="仿宋" w:eastAsia="仿宋" w:cs="Times New Roman"/>
          <w:sz w:val="24"/>
          <w:highlight w:val="none"/>
        </w:rPr>
      </w:pPr>
      <w:r>
        <w:rPr>
          <w:rFonts w:hint="eastAsia" w:ascii="仿宋" w:hAnsi="仿宋" w:eastAsia="仿宋" w:cs="Times New Roman"/>
          <w:sz w:val="24"/>
          <w:highlight w:val="none"/>
        </w:rPr>
        <w:t>系统实际操作和功能方面，是否在实际环境中正常运行，是否与合同规定的一致，达到了预期的目的。</w:t>
      </w:r>
    </w:p>
    <w:p w14:paraId="26430C37">
      <w:pPr>
        <w:numPr>
          <w:ilvl w:val="255"/>
          <w:numId w:val="0"/>
        </w:numPr>
        <w:snapToGrid w:val="0"/>
        <w:spacing w:beforeLines="-2147483648" w:afterLines="-2147483648" w:line="360" w:lineRule="auto"/>
        <w:ind w:firstLine="482" w:firstLineChars="200"/>
        <w:rPr>
          <w:rFonts w:hint="default" w:ascii="仿宋" w:hAnsi="仿宋" w:eastAsia="仿宋" w:cs="仿宋"/>
          <w:b/>
          <w:bCs/>
          <w:sz w:val="24"/>
          <w:highlight w:val="none"/>
        </w:rPr>
      </w:pPr>
      <w:r>
        <w:rPr>
          <w:rFonts w:hint="eastAsia" w:ascii="仿宋" w:hAnsi="仿宋" w:eastAsia="仿宋" w:cs="仿宋"/>
          <w:b/>
          <w:bCs/>
          <w:sz w:val="24"/>
          <w:highlight w:val="none"/>
        </w:rPr>
        <w:t>（四）其他要求</w:t>
      </w:r>
    </w:p>
    <w:p w14:paraId="2B6F1FC8">
      <w:pPr>
        <w:numPr>
          <w:ilvl w:val="255"/>
          <w:numId w:val="0"/>
        </w:num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投标人应负责使用人员的培训。培训对象包括信息部门系统管理员、日常维护人员、技术层面人员。</w:t>
      </w:r>
    </w:p>
    <w:p w14:paraId="798DBEA2">
      <w:pPr>
        <w:numPr>
          <w:ilvl w:val="255"/>
          <w:numId w:val="0"/>
        </w:numPr>
        <w:snapToGrid w:val="0"/>
        <w:spacing w:beforeLines="-2147483648" w:afterLines="-2147483648" w:line="360" w:lineRule="auto"/>
        <w:ind w:firstLine="480" w:firstLineChars="200"/>
        <w:rPr>
          <w:rFonts w:hint="default" w:ascii="仿宋" w:hAnsi="仿宋" w:eastAsia="仿宋" w:cs="仿宋"/>
          <w:bCs/>
          <w:sz w:val="24"/>
          <w:highlight w:val="none"/>
        </w:rPr>
      </w:pPr>
      <w:r>
        <w:rPr>
          <w:rFonts w:hint="eastAsia" w:ascii="仿宋" w:hAnsi="仿宋" w:eastAsia="仿宋" w:cs="仿宋"/>
          <w:bCs/>
          <w:sz w:val="24"/>
          <w:highlight w:val="none"/>
        </w:rPr>
        <w:t>投标人需指定培训方案，为培训对象提供针对本次项目所涉及到的设备已经系统软件的使用、日常维护、故障处理流程，注意事项等进行详细培训。培训人数不低于2人，培训时间不低于2日。</w:t>
      </w:r>
    </w:p>
    <w:p w14:paraId="1F181CF6">
      <w:pPr>
        <w:spacing w:beforeLines="-2147483648" w:afterLines="-2147483648" w:line="360" w:lineRule="auto"/>
        <w:contextualSpacing/>
        <w:rPr>
          <w:rFonts w:hint="default"/>
          <w:sz w:val="24"/>
          <w:highlight w:val="none"/>
          <w:lang w:val="en-US" w:eastAsia="zh-CN"/>
        </w:rPr>
      </w:pPr>
    </w:p>
    <w:p w14:paraId="5ED431B1">
      <w:pPr>
        <w:rPr>
          <w:highlight w:val="none"/>
        </w:rPr>
      </w:pP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FF1D65"/>
    <w:multiLevelType w:val="multilevel"/>
    <w:tmpl w:val="AEFF1D65"/>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BBBA935F"/>
    <w:multiLevelType w:val="multilevel"/>
    <w:tmpl w:val="BBBA935F"/>
    <w:lvl w:ilvl="0" w:tentative="0">
      <w:start w:val="1"/>
      <w:numFmt w:val="decimal"/>
      <w:lvlText w:val="%1."/>
      <w:lvlJc w:val="left"/>
      <w:pPr>
        <w:tabs>
          <w:tab w:val="left" w:pos="312"/>
        </w:tabs>
      </w:p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E932C17"/>
    <w:rsid w:val="39BB79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0"/>
    <w:pPr>
      <w:autoSpaceDE w:val="0"/>
      <w:autoSpaceDN w:val="0"/>
      <w:adjustRightInd w:val="0"/>
      <w:spacing w:beforeLines="0" w:afterLines="0"/>
      <w:ind w:firstLine="420"/>
      <w:jc w:val="left"/>
    </w:pPr>
    <w:rPr>
      <w:rFonts w:hint="default" w:ascii="宋体"/>
      <w:sz w:val="24"/>
      <w:szCs w:val="24"/>
    </w:rPr>
  </w:style>
  <w:style w:type="paragraph" w:styleId="3">
    <w:name w:val="annotation text"/>
    <w:basedOn w:val="1"/>
    <w:unhideWhenUsed/>
    <w:qFormat/>
    <w:uiPriority w:val="99"/>
    <w:pPr>
      <w:spacing w:beforeLines="0" w:afterLines="0"/>
      <w:jc w:val="left"/>
    </w:pPr>
    <w:rPr>
      <w:rFonts w:hint="default"/>
      <w:sz w:val="21"/>
      <w:szCs w:val="24"/>
    </w:rPr>
  </w:style>
  <w:style w:type="paragraph" w:styleId="4">
    <w:name w:val="Body Text"/>
    <w:basedOn w:val="1"/>
    <w:unhideWhenUsed/>
    <w:qFormat/>
    <w:uiPriority w:val="0"/>
    <w:pPr>
      <w:tabs>
        <w:tab w:val="left" w:pos="567"/>
      </w:tabs>
      <w:spacing w:before="120" w:beforeLines="0" w:afterLines="0" w:line="22" w:lineRule="atLeast"/>
    </w:pPr>
    <w:rPr>
      <w:rFonts w:hint="default" w:ascii="宋体" w:hAnsi="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7327</Words>
  <Characters>7754</Characters>
  <Lines>0</Lines>
  <Paragraphs>0</Paragraphs>
  <TotalTime>0</TotalTime>
  <ScaleCrop>false</ScaleCrop>
  <LinksUpToDate>false</LinksUpToDate>
  <CharactersWithSpaces>7808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2026-10-29T02:37:00Z</dcterms:created>
  <dc:creator>user</dc:creator>
  <cp:lastModifiedBy>HJT</cp:lastModifiedBy>
  <dcterms:modified xsi:type="dcterms:W3CDTF">2026-10-29T04:30:16Z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eyJoZGlkIjoiOTZmZmVhZGE5ZjRiMDJkNWI0MTIyMWU2ZjI3YTA2Y2IiLCJ1c2VySWQiOiI0MjM1NzMyNDgifQ==</vt:lpwstr>
  </property>
  <property fmtid="{D5CDD505-2E9C-101B-9397-08002B2CF9AE}" pid="4" name="ICV">
    <vt:lpwstr>02911995593F4C1C9F241A6C2483CDAD_12</vt:lpwstr>
  </property>
</Properties>
</file>