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EE51B">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35393789"/>
      <w:bookmarkStart w:id="1" w:name="_Toc28359001"/>
      <w:r>
        <w:rPr>
          <w:rFonts w:hint="eastAsia" w:ascii="华文中宋" w:hAnsi="华文中宋" w:eastAsia="华文中宋"/>
          <w:lang w:eastAsia="zh-CN"/>
        </w:rPr>
        <w:t>北京市属医院2026年医用设备集中带量采购内镜组（</w:t>
      </w:r>
      <w:r>
        <w:rPr>
          <w:rFonts w:hint="eastAsia" w:ascii="华文中宋" w:hAnsi="华文中宋" w:eastAsia="华文中宋"/>
          <w:lang w:val="en-US" w:eastAsia="zh-CN"/>
        </w:rPr>
        <w:t>第6包</w:t>
      </w:r>
      <w:r>
        <w:rPr>
          <w:rFonts w:hint="eastAsia" w:ascii="华文中宋" w:hAnsi="华文中宋" w:eastAsia="华文中宋"/>
          <w:lang w:eastAsia="zh-CN"/>
        </w:rPr>
        <w:t>）</w:t>
      </w:r>
      <w:r>
        <w:rPr>
          <w:rFonts w:hint="eastAsia" w:ascii="华文中宋" w:hAnsi="华文中宋" w:eastAsia="华文中宋"/>
        </w:rPr>
        <w:t>-招标公告</w:t>
      </w:r>
      <w:bookmarkEnd w:id="0"/>
      <w:bookmarkEnd w:id="1"/>
    </w:p>
    <w:p w14:paraId="1DA6D7B3">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FF31801">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rPr>
        <w:t>北京市属医院2026年医用设备集中带量采购内镜组</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2026年1</w:t>
      </w:r>
      <w:r>
        <w:rPr>
          <w:rFonts w:hint="eastAsia" w:ascii="仿宋" w:hAnsi="仿宋" w:eastAsia="仿宋"/>
          <w:sz w:val="28"/>
          <w:szCs w:val="28"/>
          <w:u w:val="single"/>
          <w:lang w:val="en-US" w:eastAsia="zh-CN"/>
        </w:rPr>
        <w:t>1</w:t>
      </w:r>
      <w:r>
        <w:rPr>
          <w:rFonts w:hint="eastAsia" w:ascii="仿宋" w:hAnsi="仿宋" w:eastAsia="仿宋"/>
          <w:sz w:val="28"/>
          <w:szCs w:val="28"/>
          <w:u w:val="single"/>
        </w:rPr>
        <w:t>月1</w:t>
      </w:r>
      <w:r>
        <w:rPr>
          <w:rFonts w:hint="eastAsia" w:ascii="仿宋" w:hAnsi="仿宋" w:eastAsia="仿宋"/>
          <w:sz w:val="28"/>
          <w:szCs w:val="28"/>
          <w:u w:val="single"/>
          <w:lang w:val="en-US" w:eastAsia="zh-CN"/>
        </w:rPr>
        <w:t>9</w:t>
      </w:r>
      <w:r>
        <w:rPr>
          <w:rFonts w:hint="eastAsia" w:ascii="仿宋" w:hAnsi="仿宋" w:eastAsia="仿宋"/>
          <w:sz w:val="28"/>
          <w:szCs w:val="28"/>
          <w:u w:val="single"/>
        </w:rPr>
        <w:t>日08点</w:t>
      </w:r>
      <w:r>
        <w:rPr>
          <w:rFonts w:hint="eastAsia" w:ascii="仿宋" w:hAnsi="仿宋" w:eastAsia="仿宋"/>
          <w:sz w:val="28"/>
          <w:szCs w:val="28"/>
          <w:u w:val="single"/>
          <w:lang w:val="en-US" w:eastAsia="zh-CN"/>
        </w:rPr>
        <w:t>00</w:t>
      </w:r>
      <w:r>
        <w:rPr>
          <w:rFonts w:hint="eastAsia" w:ascii="仿宋" w:hAnsi="仿宋" w:eastAsia="仿宋"/>
          <w:sz w:val="28"/>
          <w:szCs w:val="28"/>
          <w:u w:val="single"/>
        </w:rPr>
        <w:t>分</w:t>
      </w:r>
      <w:r>
        <w:rPr>
          <w:rFonts w:hint="eastAsia" w:ascii="仿宋" w:hAnsi="仿宋" w:eastAsia="仿宋"/>
          <w:bCs/>
          <w:sz w:val="28"/>
          <w:szCs w:val="28"/>
          <w:u w:val="non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68DAA90F">
      <w:pPr>
        <w:pStyle w:val="4"/>
        <w:snapToGrid w:val="0"/>
        <w:spacing w:before="0" w:line="360" w:lineRule="auto"/>
        <w:jc w:val="left"/>
        <w:rPr>
          <w:rFonts w:ascii="仿宋" w:hAnsi="仿宋" w:eastAsia="仿宋" w:cs="仿宋"/>
          <w:sz w:val="24"/>
          <w:szCs w:val="24"/>
        </w:rPr>
      </w:pPr>
      <w:bookmarkStart w:id="2" w:name="_Toc28359002"/>
      <w:bookmarkStart w:id="3" w:name="_Toc28359079"/>
      <w:bookmarkStart w:id="4" w:name="_Toc35393790"/>
      <w:bookmarkStart w:id="5" w:name="_Toc35393621"/>
      <w:bookmarkStart w:id="6" w:name="_Hlk24379207"/>
      <w:r>
        <w:rPr>
          <w:rFonts w:hint="eastAsia" w:ascii="仿宋" w:hAnsi="仿宋" w:eastAsia="仿宋" w:cs="仿宋"/>
          <w:sz w:val="24"/>
          <w:szCs w:val="24"/>
        </w:rPr>
        <w:t>一、项目基本情况</w:t>
      </w:r>
      <w:bookmarkEnd w:id="2"/>
      <w:bookmarkEnd w:id="3"/>
      <w:bookmarkEnd w:id="4"/>
      <w:bookmarkEnd w:id="5"/>
    </w:p>
    <w:p w14:paraId="37C458CD">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w:t>
      </w:r>
      <w:r>
        <w:rPr>
          <w:rFonts w:hint="eastAsia" w:ascii="仿宋" w:hAnsi="仿宋" w:eastAsia="仿宋" w:cs="仿宋"/>
          <w:color w:val="auto"/>
          <w:sz w:val="24"/>
          <w:highlight w:val="none"/>
          <w:u w:val="single"/>
        </w:rPr>
        <w:t>JCNJZ-20260813</w:t>
      </w:r>
    </w:p>
    <w:p w14:paraId="1E1293F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2.招标编号：</w:t>
      </w:r>
      <w:r>
        <w:rPr>
          <w:rFonts w:hint="eastAsia" w:ascii="仿宋" w:hAnsi="仿宋" w:eastAsia="仿宋" w:cs="仿宋"/>
          <w:sz w:val="24"/>
          <w:u w:val="single"/>
        </w:rPr>
        <w:t>0701-264106050688</w:t>
      </w:r>
    </w:p>
    <w:bookmarkEnd w:id="6"/>
    <w:p w14:paraId="0F508E1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3.项目名称：</w:t>
      </w:r>
      <w:r>
        <w:rPr>
          <w:rFonts w:hint="eastAsia" w:ascii="仿宋" w:hAnsi="仿宋" w:eastAsia="仿宋" w:cs="仿宋"/>
          <w:sz w:val="24"/>
          <w:u w:val="single"/>
        </w:rPr>
        <w:t>北京市属医院2026年医用设备集中带量采购内镜组</w:t>
      </w:r>
    </w:p>
    <w:p w14:paraId="3F641B5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4.项目预算金额：185</w:t>
      </w:r>
      <w:bookmarkStart w:id="38" w:name="_GoBack"/>
      <w:bookmarkEnd w:id="38"/>
      <w:r>
        <w:rPr>
          <w:rFonts w:hint="eastAsia" w:ascii="仿宋" w:hAnsi="仿宋" w:eastAsia="仿宋" w:cs="仿宋"/>
          <w:sz w:val="24"/>
        </w:rPr>
        <w:t>万元、项目最高限价（如有）：</w:t>
      </w:r>
      <w:r>
        <w:rPr>
          <w:rFonts w:hint="eastAsia" w:ascii="仿宋" w:hAnsi="仿宋" w:eastAsia="仿宋" w:cs="仿宋"/>
          <w:sz w:val="24"/>
          <w:u w:val="single"/>
        </w:rPr>
        <w:t xml:space="preserve"> / </w:t>
      </w:r>
      <w:r>
        <w:rPr>
          <w:rFonts w:hint="eastAsia" w:ascii="仿宋" w:hAnsi="仿宋" w:eastAsia="仿宋" w:cs="仿宋"/>
          <w:sz w:val="24"/>
        </w:rPr>
        <w:t>万元</w:t>
      </w:r>
    </w:p>
    <w:p w14:paraId="3D456ABC">
      <w:pPr>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5.采购需求：</w:t>
      </w:r>
    </w:p>
    <w:tbl>
      <w:tblPr>
        <w:tblStyle w:val="9"/>
        <w:tblW w:w="912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0"/>
        <w:gridCol w:w="1020"/>
        <w:gridCol w:w="1640"/>
        <w:gridCol w:w="1200"/>
        <w:gridCol w:w="1372"/>
        <w:gridCol w:w="1448"/>
        <w:gridCol w:w="1420"/>
      </w:tblGrid>
      <w:tr w14:paraId="57F2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8" w:hRule="atLeast"/>
        </w:trPr>
        <w:tc>
          <w:tcPr>
            <w:tcW w:w="1020" w:type="dxa"/>
            <w:shd w:val="clear" w:color="auto" w:fill="auto"/>
            <w:vAlign w:val="center"/>
          </w:tcPr>
          <w:p w14:paraId="696ED936">
            <w:pPr>
              <w:widowControl/>
              <w:jc w:val="center"/>
              <w:rPr>
                <w:rFonts w:ascii="仿宋" w:hAnsi="仿宋" w:eastAsia="仿宋" w:cs="宋体"/>
                <w:b/>
                <w:bCs/>
                <w:kern w:val="0"/>
                <w:szCs w:val="21"/>
              </w:rPr>
            </w:pPr>
            <w:r>
              <w:rPr>
                <w:rFonts w:hint="eastAsia" w:ascii="仿宋" w:hAnsi="仿宋" w:eastAsia="仿宋" w:cs="宋体"/>
                <w:b/>
                <w:bCs/>
                <w:kern w:val="0"/>
                <w:szCs w:val="21"/>
              </w:rPr>
              <w:t>包号</w:t>
            </w:r>
          </w:p>
        </w:tc>
        <w:tc>
          <w:tcPr>
            <w:tcW w:w="1020" w:type="dxa"/>
            <w:shd w:val="clear" w:color="auto" w:fill="auto"/>
            <w:vAlign w:val="center"/>
          </w:tcPr>
          <w:p w14:paraId="3AAB8107">
            <w:pPr>
              <w:widowControl/>
              <w:jc w:val="center"/>
              <w:rPr>
                <w:rFonts w:ascii="仿宋" w:hAnsi="仿宋" w:eastAsia="仿宋" w:cs="宋体"/>
                <w:b/>
                <w:bCs/>
                <w:kern w:val="0"/>
                <w:szCs w:val="21"/>
              </w:rPr>
            </w:pPr>
            <w:r>
              <w:rPr>
                <w:rFonts w:hint="eastAsia" w:ascii="仿宋" w:hAnsi="仿宋" w:eastAsia="仿宋" w:cs="宋体"/>
                <w:b/>
                <w:bCs/>
                <w:kern w:val="0"/>
                <w:szCs w:val="21"/>
              </w:rPr>
              <w:t>品目号</w:t>
            </w:r>
          </w:p>
        </w:tc>
        <w:tc>
          <w:tcPr>
            <w:tcW w:w="1640" w:type="dxa"/>
            <w:shd w:val="clear" w:color="auto" w:fill="auto"/>
            <w:vAlign w:val="center"/>
          </w:tcPr>
          <w:p w14:paraId="758335AB">
            <w:pPr>
              <w:widowControl/>
              <w:jc w:val="center"/>
              <w:rPr>
                <w:rFonts w:ascii="仿宋" w:hAnsi="仿宋" w:eastAsia="仿宋" w:cs="宋体"/>
                <w:b/>
                <w:bCs/>
                <w:kern w:val="0"/>
                <w:szCs w:val="21"/>
              </w:rPr>
            </w:pPr>
            <w:r>
              <w:rPr>
                <w:rFonts w:hint="eastAsia" w:ascii="仿宋" w:hAnsi="仿宋" w:eastAsia="仿宋" w:cs="宋体"/>
                <w:b/>
                <w:bCs/>
                <w:kern w:val="0"/>
                <w:szCs w:val="21"/>
              </w:rPr>
              <w:t>标的名称</w:t>
            </w:r>
          </w:p>
        </w:tc>
        <w:tc>
          <w:tcPr>
            <w:tcW w:w="1200" w:type="dxa"/>
            <w:shd w:val="clear" w:color="auto" w:fill="auto"/>
            <w:vAlign w:val="center"/>
          </w:tcPr>
          <w:p w14:paraId="70F9DAF7">
            <w:pPr>
              <w:widowControl/>
              <w:jc w:val="center"/>
              <w:rPr>
                <w:rFonts w:ascii="仿宋" w:hAnsi="仿宋" w:eastAsia="仿宋" w:cs="宋体"/>
                <w:b/>
                <w:bCs/>
                <w:kern w:val="0"/>
                <w:szCs w:val="21"/>
              </w:rPr>
            </w:pPr>
            <w:r>
              <w:rPr>
                <w:rFonts w:hint="eastAsia" w:ascii="仿宋" w:hAnsi="仿宋" w:eastAsia="仿宋" w:cs="宋体"/>
                <w:b/>
                <w:bCs/>
                <w:kern w:val="0"/>
                <w:szCs w:val="21"/>
              </w:rPr>
              <w:t>数量（台/套）</w:t>
            </w:r>
          </w:p>
        </w:tc>
        <w:tc>
          <w:tcPr>
            <w:tcW w:w="1372" w:type="dxa"/>
            <w:shd w:val="clear" w:color="auto" w:fill="auto"/>
            <w:vAlign w:val="center"/>
          </w:tcPr>
          <w:p w14:paraId="7829DBCD">
            <w:pPr>
              <w:widowControl/>
              <w:jc w:val="center"/>
              <w:rPr>
                <w:rFonts w:ascii="仿宋" w:hAnsi="仿宋" w:eastAsia="仿宋" w:cs="宋体"/>
                <w:b/>
                <w:bCs/>
                <w:kern w:val="0"/>
                <w:szCs w:val="21"/>
              </w:rPr>
            </w:pPr>
            <w:r>
              <w:rPr>
                <w:rFonts w:hint="eastAsia" w:ascii="仿宋" w:hAnsi="仿宋" w:eastAsia="仿宋" w:cs="宋体"/>
                <w:b/>
                <w:bCs/>
                <w:kern w:val="0"/>
                <w:szCs w:val="21"/>
              </w:rPr>
              <w:t>分品目预算金额（万元）</w:t>
            </w:r>
          </w:p>
        </w:tc>
        <w:tc>
          <w:tcPr>
            <w:tcW w:w="1448" w:type="dxa"/>
            <w:shd w:val="clear" w:color="auto" w:fill="auto"/>
            <w:vAlign w:val="center"/>
          </w:tcPr>
          <w:p w14:paraId="5E032C0E">
            <w:pPr>
              <w:widowControl/>
              <w:jc w:val="center"/>
              <w:rPr>
                <w:rFonts w:ascii="仿宋" w:hAnsi="仿宋" w:eastAsia="仿宋" w:cs="宋体"/>
                <w:b/>
                <w:bCs/>
                <w:kern w:val="0"/>
                <w:szCs w:val="21"/>
              </w:rPr>
            </w:pPr>
            <w:r>
              <w:rPr>
                <w:rFonts w:hint="eastAsia" w:ascii="仿宋" w:hAnsi="仿宋" w:eastAsia="仿宋" w:cs="宋体"/>
                <w:b/>
                <w:bCs/>
                <w:kern w:val="0"/>
                <w:szCs w:val="21"/>
              </w:rPr>
              <w:t>采购包预算金额（万元）</w:t>
            </w:r>
          </w:p>
        </w:tc>
        <w:tc>
          <w:tcPr>
            <w:tcW w:w="1420" w:type="dxa"/>
            <w:shd w:val="clear" w:color="auto" w:fill="auto"/>
            <w:vAlign w:val="center"/>
          </w:tcPr>
          <w:p w14:paraId="01A849F3">
            <w:pPr>
              <w:widowControl/>
              <w:jc w:val="center"/>
              <w:rPr>
                <w:rFonts w:ascii="仿宋" w:hAnsi="仿宋" w:eastAsia="仿宋" w:cs="宋体"/>
                <w:b/>
                <w:bCs/>
                <w:kern w:val="0"/>
                <w:szCs w:val="21"/>
              </w:rPr>
            </w:pPr>
            <w:r>
              <w:rPr>
                <w:rFonts w:hint="eastAsia" w:ascii="仿宋" w:hAnsi="仿宋" w:eastAsia="仿宋" w:cs="宋体"/>
                <w:b/>
                <w:bCs/>
                <w:kern w:val="0"/>
                <w:szCs w:val="21"/>
              </w:rPr>
              <w:t>简要技术需求或服务要求</w:t>
            </w:r>
          </w:p>
        </w:tc>
      </w:tr>
      <w:tr w14:paraId="1CBCC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restart"/>
            <w:shd w:val="clear" w:color="auto" w:fill="auto"/>
            <w:vAlign w:val="center"/>
          </w:tcPr>
          <w:p w14:paraId="263D1CE9">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6</w:t>
            </w:r>
          </w:p>
        </w:tc>
        <w:tc>
          <w:tcPr>
            <w:tcW w:w="1020" w:type="dxa"/>
            <w:shd w:val="clear" w:color="auto" w:fill="auto"/>
            <w:vAlign w:val="center"/>
          </w:tcPr>
          <w:p w14:paraId="6C1463E3">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6-1</w:t>
            </w:r>
          </w:p>
        </w:tc>
        <w:tc>
          <w:tcPr>
            <w:tcW w:w="1640" w:type="dxa"/>
            <w:shd w:val="clear" w:color="auto" w:fill="auto"/>
            <w:vAlign w:val="center"/>
          </w:tcPr>
          <w:p w14:paraId="61D68A43">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电子胃肠镜系统12</w:t>
            </w:r>
          </w:p>
        </w:tc>
        <w:tc>
          <w:tcPr>
            <w:tcW w:w="1200" w:type="dxa"/>
            <w:shd w:val="clear" w:color="auto" w:fill="auto"/>
            <w:vAlign w:val="center"/>
          </w:tcPr>
          <w:p w14:paraId="45919C25">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1</w:t>
            </w:r>
          </w:p>
        </w:tc>
        <w:tc>
          <w:tcPr>
            <w:tcW w:w="1372" w:type="dxa"/>
            <w:shd w:val="clear" w:color="auto" w:fill="auto"/>
            <w:vAlign w:val="center"/>
          </w:tcPr>
          <w:p w14:paraId="7035714C">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95</w:t>
            </w:r>
          </w:p>
        </w:tc>
        <w:tc>
          <w:tcPr>
            <w:tcW w:w="1448" w:type="dxa"/>
            <w:vMerge w:val="restart"/>
            <w:shd w:val="clear" w:color="auto" w:fill="auto"/>
            <w:vAlign w:val="center"/>
          </w:tcPr>
          <w:p w14:paraId="1F6D2312">
            <w:pPr>
              <w:jc w:val="center"/>
              <w:rPr>
                <w:rFonts w:ascii="仿宋" w:hAnsi="仿宋" w:eastAsia="仿宋" w:cs="宋体"/>
                <w:kern w:val="0"/>
                <w:szCs w:val="21"/>
                <w:highlight w:val="none"/>
              </w:rPr>
            </w:pPr>
            <w:r>
              <w:rPr>
                <w:rFonts w:hint="eastAsia" w:ascii="仿宋" w:hAnsi="仿宋" w:eastAsia="仿宋" w:cs="宋体"/>
                <w:kern w:val="0"/>
                <w:szCs w:val="21"/>
                <w:highlight w:val="none"/>
              </w:rPr>
              <w:t>185</w:t>
            </w:r>
          </w:p>
        </w:tc>
        <w:tc>
          <w:tcPr>
            <w:tcW w:w="1420" w:type="dxa"/>
            <w:shd w:val="clear" w:color="auto" w:fill="auto"/>
            <w:vAlign w:val="center"/>
          </w:tcPr>
          <w:p w14:paraId="5F54291A">
            <w:pPr>
              <w:widowControl/>
              <w:jc w:val="center"/>
              <w:rPr>
                <w:rFonts w:ascii="仿宋" w:hAnsi="仿宋" w:eastAsia="仿宋" w:cs="宋体"/>
                <w:kern w:val="0"/>
                <w:szCs w:val="21"/>
                <w:highlight w:val="none"/>
              </w:rPr>
            </w:pPr>
            <w:r>
              <w:rPr>
                <w:rFonts w:hint="eastAsia" w:ascii="仿宋" w:hAnsi="仿宋" w:eastAsia="仿宋" w:cs="宋体"/>
                <w:kern w:val="0"/>
                <w:szCs w:val="21"/>
                <w:highlight w:val="none"/>
              </w:rPr>
              <w:t>详见第五章《采购需求》</w:t>
            </w:r>
          </w:p>
        </w:tc>
      </w:tr>
      <w:tr w14:paraId="66074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1020" w:type="dxa"/>
            <w:vMerge w:val="continue"/>
            <w:shd w:val="clear" w:color="auto" w:fill="auto"/>
            <w:vAlign w:val="center"/>
          </w:tcPr>
          <w:p w14:paraId="39197B13">
            <w:pPr>
              <w:widowControl/>
              <w:jc w:val="left"/>
              <w:rPr>
                <w:rFonts w:ascii="仿宋" w:hAnsi="仿宋" w:eastAsia="仿宋" w:cs="宋体"/>
                <w:kern w:val="0"/>
                <w:szCs w:val="21"/>
              </w:rPr>
            </w:pPr>
          </w:p>
        </w:tc>
        <w:tc>
          <w:tcPr>
            <w:tcW w:w="1020" w:type="dxa"/>
            <w:shd w:val="clear" w:color="auto" w:fill="auto"/>
            <w:vAlign w:val="center"/>
          </w:tcPr>
          <w:p w14:paraId="095F8113">
            <w:pPr>
              <w:widowControl/>
              <w:jc w:val="center"/>
              <w:rPr>
                <w:rFonts w:ascii="仿宋" w:hAnsi="仿宋" w:eastAsia="仿宋" w:cs="宋体"/>
                <w:kern w:val="0"/>
                <w:szCs w:val="21"/>
              </w:rPr>
            </w:pPr>
            <w:r>
              <w:rPr>
                <w:rFonts w:hint="eastAsia" w:ascii="仿宋" w:hAnsi="仿宋" w:eastAsia="仿宋" w:cs="宋体"/>
                <w:kern w:val="0"/>
                <w:szCs w:val="21"/>
              </w:rPr>
              <w:t>6-2</w:t>
            </w:r>
          </w:p>
        </w:tc>
        <w:tc>
          <w:tcPr>
            <w:tcW w:w="1640" w:type="dxa"/>
            <w:shd w:val="clear" w:color="auto" w:fill="auto"/>
            <w:vAlign w:val="center"/>
          </w:tcPr>
          <w:p w14:paraId="198F14B7">
            <w:pPr>
              <w:widowControl/>
              <w:jc w:val="center"/>
              <w:rPr>
                <w:rFonts w:ascii="仿宋" w:hAnsi="仿宋" w:eastAsia="仿宋" w:cs="宋体"/>
                <w:kern w:val="0"/>
                <w:szCs w:val="21"/>
              </w:rPr>
            </w:pPr>
            <w:r>
              <w:rPr>
                <w:rFonts w:hint="eastAsia" w:ascii="仿宋" w:hAnsi="仿宋" w:eastAsia="仿宋" w:cs="宋体"/>
                <w:kern w:val="0"/>
                <w:szCs w:val="21"/>
              </w:rPr>
              <w:t>电子胃肠镜系统13</w:t>
            </w:r>
          </w:p>
        </w:tc>
        <w:tc>
          <w:tcPr>
            <w:tcW w:w="1200" w:type="dxa"/>
            <w:shd w:val="clear" w:color="auto" w:fill="auto"/>
            <w:vAlign w:val="center"/>
          </w:tcPr>
          <w:p w14:paraId="308032B2">
            <w:pPr>
              <w:widowControl/>
              <w:jc w:val="center"/>
              <w:rPr>
                <w:rFonts w:ascii="仿宋" w:hAnsi="仿宋" w:eastAsia="仿宋" w:cs="宋体"/>
                <w:kern w:val="0"/>
                <w:szCs w:val="21"/>
              </w:rPr>
            </w:pPr>
            <w:r>
              <w:rPr>
                <w:rFonts w:hint="eastAsia" w:ascii="仿宋" w:hAnsi="仿宋" w:eastAsia="仿宋" w:cs="宋体"/>
                <w:kern w:val="0"/>
                <w:szCs w:val="21"/>
              </w:rPr>
              <w:t>1</w:t>
            </w:r>
          </w:p>
        </w:tc>
        <w:tc>
          <w:tcPr>
            <w:tcW w:w="1372" w:type="dxa"/>
            <w:shd w:val="clear" w:color="auto" w:fill="auto"/>
            <w:vAlign w:val="center"/>
          </w:tcPr>
          <w:p w14:paraId="44217EFE">
            <w:pPr>
              <w:widowControl/>
              <w:jc w:val="center"/>
              <w:rPr>
                <w:rFonts w:ascii="仿宋" w:hAnsi="仿宋" w:eastAsia="仿宋" w:cs="宋体"/>
                <w:kern w:val="0"/>
                <w:szCs w:val="21"/>
              </w:rPr>
            </w:pPr>
            <w:r>
              <w:rPr>
                <w:rFonts w:hint="eastAsia" w:ascii="仿宋" w:hAnsi="仿宋" w:eastAsia="仿宋" w:cs="宋体"/>
                <w:kern w:val="0"/>
                <w:szCs w:val="21"/>
              </w:rPr>
              <w:t>90</w:t>
            </w:r>
          </w:p>
        </w:tc>
        <w:tc>
          <w:tcPr>
            <w:tcW w:w="1448" w:type="dxa"/>
            <w:vMerge w:val="continue"/>
            <w:shd w:val="clear" w:color="auto" w:fill="auto"/>
            <w:vAlign w:val="center"/>
          </w:tcPr>
          <w:p w14:paraId="392A501A">
            <w:pPr>
              <w:widowControl/>
              <w:jc w:val="center"/>
              <w:rPr>
                <w:rFonts w:ascii="仿宋" w:hAnsi="仿宋" w:eastAsia="仿宋" w:cs="宋体"/>
                <w:kern w:val="0"/>
                <w:szCs w:val="21"/>
              </w:rPr>
            </w:pPr>
          </w:p>
        </w:tc>
        <w:tc>
          <w:tcPr>
            <w:tcW w:w="1420" w:type="dxa"/>
            <w:shd w:val="clear" w:color="auto" w:fill="auto"/>
            <w:vAlign w:val="center"/>
          </w:tcPr>
          <w:p w14:paraId="17397503">
            <w:pPr>
              <w:widowControl/>
              <w:jc w:val="center"/>
              <w:rPr>
                <w:rFonts w:ascii="仿宋" w:hAnsi="仿宋" w:eastAsia="仿宋" w:cs="宋体"/>
                <w:kern w:val="0"/>
                <w:szCs w:val="21"/>
              </w:rPr>
            </w:pPr>
            <w:r>
              <w:rPr>
                <w:rFonts w:hint="eastAsia" w:ascii="仿宋" w:hAnsi="仿宋" w:eastAsia="仿宋" w:cs="宋体"/>
                <w:kern w:val="0"/>
                <w:szCs w:val="21"/>
              </w:rPr>
              <w:t>详见第五章《采购需求》</w:t>
            </w:r>
          </w:p>
        </w:tc>
      </w:tr>
    </w:tbl>
    <w:p w14:paraId="6DC3CB27">
      <w:pPr>
        <w:pStyle w:val="2"/>
      </w:pPr>
    </w:p>
    <w:p w14:paraId="10B4A20A">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6.合同履行期限：</w:t>
      </w:r>
      <w:bookmarkStart w:id="7" w:name="OLE_LINK141"/>
      <w:bookmarkStart w:id="8" w:name="OLE_LINK142"/>
      <w:r>
        <w:rPr>
          <w:rFonts w:hint="eastAsia" w:ascii="仿宋" w:hAnsi="仿宋" w:eastAsia="仿宋" w:cs="仿宋"/>
          <w:sz w:val="24"/>
          <w:u w:val="single"/>
        </w:rPr>
        <w:t>详见第五章《采购需求》</w:t>
      </w:r>
      <w:bookmarkEnd w:id="7"/>
      <w:bookmarkEnd w:id="8"/>
      <w:r>
        <w:rPr>
          <w:rFonts w:hint="eastAsia" w:ascii="仿宋" w:hAnsi="仿宋" w:eastAsia="仿宋" w:cs="仿宋"/>
          <w:sz w:val="24"/>
          <w:u w:val="single"/>
        </w:rPr>
        <w:t>。</w:t>
      </w:r>
    </w:p>
    <w:p w14:paraId="2BA9EF44">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7.本项目是否接受联合体投标：□是  ■否。</w:t>
      </w:r>
    </w:p>
    <w:p w14:paraId="18DBDDE2">
      <w:pPr>
        <w:pStyle w:val="4"/>
        <w:snapToGrid w:val="0"/>
        <w:spacing w:before="0" w:line="360" w:lineRule="auto"/>
        <w:jc w:val="left"/>
        <w:rPr>
          <w:rFonts w:ascii="仿宋" w:hAnsi="仿宋" w:eastAsia="仿宋" w:cs="仿宋"/>
          <w:sz w:val="24"/>
          <w:szCs w:val="24"/>
        </w:rPr>
      </w:pPr>
      <w:bookmarkStart w:id="9" w:name="_Toc35393622"/>
      <w:bookmarkStart w:id="10" w:name="_Toc28359003"/>
      <w:bookmarkStart w:id="11" w:name="_Toc35393791"/>
      <w:bookmarkStart w:id="12" w:name="_Toc28359080"/>
      <w:r>
        <w:rPr>
          <w:rFonts w:hint="eastAsia" w:ascii="仿宋" w:hAnsi="仿宋" w:eastAsia="仿宋" w:cs="仿宋"/>
          <w:sz w:val="24"/>
          <w:szCs w:val="24"/>
        </w:rPr>
        <w:t>二、申请人的资格要求（须同时满足）</w:t>
      </w:r>
      <w:bookmarkEnd w:id="9"/>
      <w:bookmarkEnd w:id="10"/>
      <w:bookmarkEnd w:id="11"/>
      <w:bookmarkEnd w:id="12"/>
    </w:p>
    <w:p w14:paraId="1A3DEAFF">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088CEEBF">
      <w:pPr>
        <w:snapToGrid w:val="0"/>
        <w:spacing w:line="360" w:lineRule="auto"/>
        <w:ind w:firstLine="480" w:firstLineChars="200"/>
        <w:rPr>
          <w:rFonts w:ascii="仿宋" w:hAnsi="仿宋" w:eastAsia="仿宋" w:cs="仿宋"/>
          <w:sz w:val="24"/>
        </w:rPr>
      </w:pPr>
      <w:bookmarkStart w:id="13" w:name="_Toc28359081"/>
      <w:bookmarkStart w:id="14" w:name="_Toc28359004"/>
      <w:r>
        <w:rPr>
          <w:rFonts w:hint="eastAsia" w:ascii="仿宋" w:hAnsi="仿宋" w:eastAsia="仿宋" w:cs="仿宋"/>
          <w:sz w:val="24"/>
        </w:rPr>
        <w:t>2.落实政府采购政策需满足的资格要求：</w:t>
      </w:r>
    </w:p>
    <w:p w14:paraId="5620D57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7126E36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2654BB09">
      <w:pPr>
        <w:snapToGrid w:val="0"/>
        <w:spacing w:line="360" w:lineRule="auto"/>
        <w:ind w:firstLine="480" w:firstLineChars="200"/>
        <w:rPr>
          <w:rFonts w:ascii="仿宋" w:hAnsi="仿宋" w:eastAsia="仿宋" w:cs="仿宋"/>
          <w:sz w:val="24"/>
        </w:rPr>
      </w:pPr>
      <w:bookmarkStart w:id="15" w:name="OLE_LINK140"/>
      <w:r>
        <w:rPr>
          <w:rFonts w:hint="eastAsia" w:ascii="仿宋" w:hAnsi="仿宋" w:eastAsia="仿宋" w:cs="仿宋"/>
          <w:sz w:val="24"/>
        </w:rPr>
        <w:t>□</w:t>
      </w:r>
      <w:bookmarkEnd w:id="15"/>
      <w:r>
        <w:rPr>
          <w:rFonts w:hint="eastAsia" w:ascii="仿宋" w:hAnsi="仿宋" w:eastAsia="仿宋" w:cs="仿宋"/>
          <w:sz w:val="24"/>
        </w:rPr>
        <w:t>本项目专门面向  □中小 □小微企业  采购。即：提供的货物全部由符合政策要求的中小/小微企业制造、服务全部由符合政策要求的中小/小微企业承接。</w:t>
      </w:r>
    </w:p>
    <w:p w14:paraId="03AB0986">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510DBDE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37FE21C7">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41E1511D">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69BCE9C9">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2DA05B16">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1F9B2D77">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p>
    <w:p w14:paraId="481C4125">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投标产品属于医疗器械的，投标人应具有合法的医疗器械经营资格，须提供书面声明和证明材料，其中：</w:t>
      </w:r>
    </w:p>
    <w:p w14:paraId="5AC1EBCF">
      <w:pPr>
        <w:tabs>
          <w:tab w:val="left" w:pos="900"/>
          <w:tab w:val="left" w:pos="1134"/>
          <w:tab w:val="left" w:pos="1589"/>
          <w:tab w:val="left" w:pos="5521"/>
        </w:tabs>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u w:val="single"/>
        </w:rPr>
        <w:t>投标人如为代理商，所投产品属第二类医疗器械的应具有《医疗器械经营备案凭证》，属第三类医疗器械的应具有《医疗器械经营许可证》，须提供相关证明文件复印件；</w:t>
      </w:r>
    </w:p>
    <w:p w14:paraId="6EC6A874">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3"/>
      <w:bookmarkEnd w:id="14"/>
      <w:bookmarkStart w:id="16" w:name="_Toc35393623"/>
      <w:bookmarkStart w:id="17" w:name="_Toc35393792"/>
    </w:p>
    <w:p w14:paraId="5281B21D">
      <w:pPr>
        <w:pStyle w:val="4"/>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6"/>
      <w:bookmarkEnd w:id="17"/>
    </w:p>
    <w:p w14:paraId="5C62AFEA">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1.时间：2026年</w:t>
      </w:r>
      <w:r>
        <w:rPr>
          <w:rFonts w:hint="eastAsia" w:ascii="仿宋" w:hAnsi="仿宋" w:eastAsia="仿宋" w:cs="仿宋"/>
          <w:sz w:val="24"/>
          <w:lang w:val="en-US" w:eastAsia="zh-CN" w:bidi="ar"/>
        </w:rPr>
        <w:t>10</w:t>
      </w:r>
      <w:r>
        <w:rPr>
          <w:rFonts w:hint="eastAsia" w:ascii="仿宋" w:hAnsi="仿宋" w:eastAsia="仿宋" w:cs="仿宋"/>
          <w:sz w:val="24"/>
          <w:lang w:bidi="ar"/>
        </w:rPr>
        <w:t>月</w:t>
      </w:r>
      <w:r>
        <w:rPr>
          <w:rFonts w:hint="eastAsia" w:ascii="仿宋" w:hAnsi="仿宋" w:eastAsia="仿宋" w:cs="仿宋"/>
          <w:sz w:val="24"/>
          <w:lang w:val="en-US" w:eastAsia="zh-CN" w:bidi="ar"/>
        </w:rPr>
        <w:t>29</w:t>
      </w:r>
      <w:r>
        <w:rPr>
          <w:rFonts w:hint="eastAsia" w:ascii="仿宋" w:hAnsi="仿宋" w:eastAsia="仿宋" w:cs="仿宋"/>
          <w:sz w:val="24"/>
          <w:lang w:bidi="ar"/>
        </w:rPr>
        <w:t>日至2026年</w:t>
      </w:r>
      <w:r>
        <w:rPr>
          <w:rFonts w:hint="eastAsia" w:ascii="仿宋" w:hAnsi="仿宋" w:eastAsia="仿宋" w:cs="仿宋"/>
          <w:sz w:val="24"/>
          <w:lang w:val="en-US" w:eastAsia="zh-CN" w:bidi="ar"/>
        </w:rPr>
        <w:t>11</w:t>
      </w:r>
      <w:r>
        <w:rPr>
          <w:rFonts w:hint="eastAsia" w:ascii="仿宋" w:hAnsi="仿宋" w:eastAsia="仿宋" w:cs="仿宋"/>
          <w:sz w:val="24"/>
          <w:lang w:bidi="ar"/>
        </w:rPr>
        <w:t>月</w:t>
      </w:r>
      <w:r>
        <w:rPr>
          <w:rFonts w:hint="eastAsia" w:ascii="仿宋" w:hAnsi="仿宋" w:eastAsia="仿宋" w:cs="仿宋"/>
          <w:sz w:val="24"/>
          <w:lang w:val="en-US" w:eastAsia="zh-CN" w:bidi="ar"/>
        </w:rPr>
        <w:t>5</w:t>
      </w:r>
      <w:r>
        <w:rPr>
          <w:rFonts w:hint="eastAsia" w:ascii="仿宋" w:hAnsi="仿宋" w:eastAsia="仿宋" w:cs="仿宋"/>
          <w:sz w:val="24"/>
          <w:lang w:bidi="ar"/>
        </w:rPr>
        <w:t>日，每天上午9:00至11:30，下午13:30至17:00（北京时间，法定节假日除外）。</w:t>
      </w:r>
    </w:p>
    <w:p w14:paraId="71A11DC8">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2.地点：北京市政府采购电子交易平台</w:t>
      </w:r>
    </w:p>
    <w:p w14:paraId="2B57D90F">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3.方式：供应商使用CA数字证书或电子营业执照登录北京市政府采购电子交易平台（http://zbcg-bjzc.zhongcy.com/bjczj-portal-site/index.html#/home）获取电子版招标文件。</w:t>
      </w:r>
    </w:p>
    <w:p w14:paraId="1075D372">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4.售价：0元。</w:t>
      </w:r>
    </w:p>
    <w:p w14:paraId="603C176E">
      <w:pPr>
        <w:pStyle w:val="4"/>
        <w:widowControl/>
        <w:snapToGrid w:val="0"/>
        <w:spacing w:before="0" w:line="360" w:lineRule="auto"/>
        <w:jc w:val="left"/>
        <w:rPr>
          <w:rFonts w:ascii="仿宋" w:hAnsi="仿宋" w:eastAsia="仿宋" w:cs="仿宋"/>
          <w:sz w:val="24"/>
          <w:szCs w:val="24"/>
        </w:rPr>
      </w:pPr>
      <w:bookmarkStart w:id="18" w:name="_Toc28359082"/>
      <w:bookmarkStart w:id="19" w:name="_Toc28359005"/>
      <w:bookmarkStart w:id="20" w:name="_Toc35393793"/>
      <w:bookmarkStart w:id="21" w:name="_Toc35393624"/>
      <w:r>
        <w:rPr>
          <w:rFonts w:hint="eastAsia" w:ascii="仿宋" w:hAnsi="仿宋" w:eastAsia="仿宋" w:cs="仿宋"/>
          <w:sz w:val="24"/>
          <w:szCs w:val="24"/>
        </w:rPr>
        <w:t>四、提交投标文件</w:t>
      </w:r>
      <w:bookmarkEnd w:id="18"/>
      <w:bookmarkEnd w:id="19"/>
      <w:r>
        <w:rPr>
          <w:rFonts w:hint="eastAsia" w:ascii="仿宋" w:hAnsi="仿宋" w:eastAsia="仿宋" w:cs="仿宋"/>
          <w:sz w:val="24"/>
          <w:szCs w:val="24"/>
        </w:rPr>
        <w:t>截止时间、开标时间和地点</w:t>
      </w:r>
      <w:bookmarkEnd w:id="20"/>
      <w:bookmarkEnd w:id="21"/>
    </w:p>
    <w:p w14:paraId="345ACAD6">
      <w:pPr>
        <w:snapToGrid w:val="0"/>
        <w:spacing w:line="360" w:lineRule="auto"/>
        <w:ind w:firstLine="480" w:firstLineChars="200"/>
        <w:rPr>
          <w:rFonts w:ascii="仿宋" w:hAnsi="仿宋" w:eastAsia="仿宋" w:cs="仿宋"/>
          <w:bCs/>
          <w:sz w:val="24"/>
        </w:rPr>
      </w:pPr>
      <w:r>
        <w:rPr>
          <w:rFonts w:hint="eastAsia" w:ascii="仿宋" w:hAnsi="仿宋" w:eastAsia="仿宋" w:cs="仿宋"/>
          <w:sz w:val="24"/>
          <w:lang w:bidi="ar"/>
        </w:rPr>
        <w:t>投标截止时间、开标时间：2026年</w:t>
      </w:r>
      <w:r>
        <w:rPr>
          <w:rFonts w:hint="eastAsia" w:ascii="仿宋" w:hAnsi="仿宋" w:eastAsia="仿宋" w:cs="仿宋"/>
          <w:sz w:val="24"/>
          <w:lang w:val="en-US" w:eastAsia="zh-CN" w:bidi="ar"/>
        </w:rPr>
        <w:t>11</w:t>
      </w:r>
      <w:r>
        <w:rPr>
          <w:rFonts w:hint="eastAsia" w:ascii="仿宋" w:hAnsi="仿宋" w:eastAsia="仿宋" w:cs="仿宋"/>
          <w:sz w:val="24"/>
          <w:lang w:bidi="ar"/>
        </w:rPr>
        <w:t>月</w:t>
      </w:r>
      <w:r>
        <w:rPr>
          <w:rFonts w:hint="eastAsia" w:ascii="仿宋" w:hAnsi="仿宋" w:eastAsia="仿宋" w:cs="仿宋"/>
          <w:sz w:val="24"/>
          <w:lang w:val="en-US" w:eastAsia="zh-CN" w:bidi="ar"/>
        </w:rPr>
        <w:t>19</w:t>
      </w:r>
      <w:r>
        <w:rPr>
          <w:rFonts w:hint="eastAsia" w:ascii="仿宋" w:hAnsi="仿宋" w:eastAsia="仿宋" w:cs="仿宋"/>
          <w:sz w:val="24"/>
          <w:lang w:bidi="ar"/>
        </w:rPr>
        <w:t>日0</w:t>
      </w:r>
      <w:r>
        <w:rPr>
          <w:rFonts w:hint="eastAsia" w:ascii="仿宋" w:hAnsi="仿宋" w:eastAsia="仿宋" w:cs="仿宋"/>
          <w:sz w:val="24"/>
          <w:lang w:val="en-US" w:eastAsia="zh-CN" w:bidi="ar"/>
        </w:rPr>
        <w:t>8</w:t>
      </w:r>
      <w:r>
        <w:rPr>
          <w:rFonts w:hint="eastAsia" w:ascii="仿宋" w:hAnsi="仿宋" w:eastAsia="仿宋" w:cs="仿宋"/>
          <w:sz w:val="24"/>
          <w:lang w:bidi="ar"/>
        </w:rPr>
        <w:t>点</w:t>
      </w:r>
      <w:r>
        <w:rPr>
          <w:rFonts w:hint="eastAsia" w:ascii="仿宋" w:hAnsi="仿宋" w:eastAsia="仿宋" w:cs="仿宋"/>
          <w:sz w:val="24"/>
          <w:lang w:val="en-US" w:eastAsia="zh-CN" w:bidi="ar"/>
        </w:rPr>
        <w:t>0</w:t>
      </w:r>
      <w:r>
        <w:rPr>
          <w:rFonts w:hint="eastAsia" w:ascii="仿宋" w:hAnsi="仿宋" w:eastAsia="仿宋" w:cs="仿宋"/>
          <w:sz w:val="24"/>
          <w:lang w:bidi="ar"/>
        </w:rPr>
        <w:t>0分</w:t>
      </w:r>
      <w:r>
        <w:rPr>
          <w:rFonts w:hint="eastAsia" w:ascii="仿宋" w:hAnsi="仿宋" w:eastAsia="仿宋" w:cs="仿宋"/>
          <w:bCs/>
          <w:sz w:val="24"/>
          <w:lang w:bidi="ar"/>
        </w:rPr>
        <w:t>（北京时间）</w:t>
      </w:r>
      <w:r>
        <w:rPr>
          <w:rFonts w:hint="eastAsia" w:ascii="仿宋" w:hAnsi="仿宋" w:eastAsia="仿宋" w:cs="仿宋"/>
          <w:iCs/>
          <w:sz w:val="24"/>
          <w:lang w:bidi="ar"/>
        </w:rPr>
        <w:t>。</w:t>
      </w:r>
    </w:p>
    <w:p w14:paraId="260590E2">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bidi="ar"/>
        </w:rPr>
        <w:t>。</w:t>
      </w:r>
    </w:p>
    <w:p w14:paraId="448FFDE4">
      <w:pPr>
        <w:pStyle w:val="4"/>
        <w:snapToGrid w:val="0"/>
        <w:spacing w:before="0" w:line="360" w:lineRule="auto"/>
        <w:jc w:val="left"/>
        <w:rPr>
          <w:rFonts w:ascii="仿宋" w:hAnsi="仿宋" w:eastAsia="仿宋" w:cs="仿宋"/>
          <w:sz w:val="24"/>
          <w:szCs w:val="24"/>
        </w:rPr>
      </w:pPr>
      <w:bookmarkStart w:id="22" w:name="_Toc28359007"/>
      <w:bookmarkStart w:id="23" w:name="_Toc35393794"/>
      <w:bookmarkStart w:id="24" w:name="_Toc35393625"/>
      <w:bookmarkStart w:id="25" w:name="_Toc28359084"/>
      <w:r>
        <w:rPr>
          <w:rFonts w:hint="eastAsia" w:ascii="仿宋" w:hAnsi="仿宋" w:eastAsia="仿宋" w:cs="仿宋"/>
          <w:sz w:val="24"/>
          <w:szCs w:val="24"/>
        </w:rPr>
        <w:t>五、公告期限</w:t>
      </w:r>
      <w:bookmarkEnd w:id="22"/>
      <w:bookmarkEnd w:id="23"/>
      <w:bookmarkEnd w:id="24"/>
      <w:bookmarkEnd w:id="25"/>
    </w:p>
    <w:p w14:paraId="571CCE51">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2F0A6A62">
      <w:pPr>
        <w:pStyle w:val="4"/>
        <w:snapToGrid w:val="0"/>
        <w:spacing w:before="0" w:line="360" w:lineRule="auto"/>
        <w:jc w:val="left"/>
        <w:rPr>
          <w:rFonts w:ascii="仿宋" w:hAnsi="仿宋" w:eastAsia="仿宋" w:cs="仿宋"/>
          <w:sz w:val="24"/>
          <w:szCs w:val="24"/>
        </w:rPr>
      </w:pPr>
      <w:bookmarkStart w:id="26" w:name="_Toc35393795"/>
      <w:bookmarkStart w:id="27" w:name="_Toc35393626"/>
      <w:r>
        <w:rPr>
          <w:rFonts w:hint="eastAsia" w:ascii="仿宋" w:hAnsi="仿宋" w:eastAsia="仿宋" w:cs="仿宋"/>
          <w:sz w:val="24"/>
          <w:szCs w:val="24"/>
        </w:rPr>
        <w:t>六、其他补充事宜</w:t>
      </w:r>
      <w:bookmarkEnd w:id="26"/>
      <w:bookmarkEnd w:id="27"/>
    </w:p>
    <w:p w14:paraId="7FD58327">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r>
        <w:rPr>
          <w:rFonts w:ascii="仿宋" w:hAnsi="仿宋" w:eastAsia="仿宋" w:cs="仿宋"/>
          <w:kern w:val="0"/>
          <w:sz w:val="24"/>
        </w:rPr>
        <w:t xml:space="preserve"> </w:t>
      </w:r>
    </w:p>
    <w:p w14:paraId="7BBB1BE1">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
          <w:kern w:val="0"/>
          <w:sz w:val="24"/>
        </w:rPr>
        <w:t>鼓励节能、环保政策：</w:t>
      </w: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13E1D95B">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扶持中小企业政策：</w:t>
      </w:r>
      <w:r>
        <w:rPr>
          <w:rFonts w:hint="eastAsia" w:ascii="仿宋_GB2312" w:hAnsi="仿宋_GB2312" w:eastAsia="仿宋_GB2312" w:cs="仿宋_GB2312"/>
          <w:kern w:val="0"/>
          <w:sz w:val="24"/>
        </w:rPr>
        <w:t>本项目评审时小型和微型企业产品享受10%的价格折扣。监狱企业视同小型、微型企业。残疾人福利性单位视同小型、微型企业。不重复享受政策。</w:t>
      </w:r>
    </w:p>
    <w:p w14:paraId="0938A533">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8" w:name="OLE_LINK62"/>
      <w:bookmarkStart w:id="29" w:name="OLE_LINK63"/>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8"/>
      <w:bookmarkEnd w:id="29"/>
    </w:p>
    <w:p w14:paraId="184E03CF">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6084AF9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7F0F2592">
      <w:pPr>
        <w:widowControl/>
        <w:adjustRightInd w:val="0"/>
        <w:snapToGrid w:val="0"/>
        <w:spacing w:line="360" w:lineRule="auto"/>
        <w:ind w:firstLine="480" w:firstLineChars="200"/>
        <w:jc w:val="left"/>
        <w:rPr>
          <w:rFonts w:ascii="仿宋" w:hAnsi="仿宋" w:eastAsia="仿宋" w:cs="仿宋"/>
          <w:bCs/>
          <w:sz w:val="24"/>
          <w:lang w:bidi="ar"/>
        </w:rPr>
      </w:pPr>
      <w:r>
        <w:rPr>
          <w:rFonts w:hint="eastAsia" w:ascii="仿宋" w:hAnsi="仿宋" w:eastAsia="仿宋" w:cs="仿宋"/>
          <w:sz w:val="24"/>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lang w:bidi="ar"/>
        </w:rPr>
        <w:t>CA数字证书</w:t>
      </w:r>
      <w:r>
        <w:rPr>
          <w:rFonts w:hint="eastAsia" w:ascii="仿宋" w:hAnsi="仿宋" w:eastAsia="仿宋" w:cs="仿宋"/>
          <w:sz w:val="24"/>
          <w:lang w:bidi="ar"/>
        </w:rPr>
        <w:t>或电子营业执照</w:t>
      </w:r>
      <w:r>
        <w:rPr>
          <w:rFonts w:hint="eastAsia" w:ascii="仿宋" w:hAnsi="仿宋" w:eastAsia="仿宋" w:cs="仿宋"/>
          <w:bCs/>
          <w:sz w:val="24"/>
          <w:lang w:bidi="ar"/>
        </w:rPr>
        <w:t>情况确认是否符合本项目电子化采购流程要求。</w:t>
      </w:r>
    </w:p>
    <w:p w14:paraId="084BA84B">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CA数字证书服务热线 010-58511086</w:t>
      </w:r>
    </w:p>
    <w:p w14:paraId="7A7AB8DE">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电子营业执照服务热线 400-699-7000</w:t>
      </w:r>
    </w:p>
    <w:p w14:paraId="31D017EE">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技术支持服务热线    010-86483801</w:t>
      </w:r>
    </w:p>
    <w:p w14:paraId="2CCFC773">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3.1办理CA数字证书或电子营业执照</w:t>
      </w:r>
    </w:p>
    <w:p w14:paraId="6A51043E">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供应商登录北京市政府采购电子交易平台查阅 “用户指南”—“操作指南”—“市场主体CA办理操作流程指引”/“电子营业执照使用指南”，按照程序要求办理。</w:t>
      </w:r>
    </w:p>
    <w:p w14:paraId="5561873F">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3.2注册</w:t>
      </w:r>
    </w:p>
    <w:p w14:paraId="65DCD130">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lang w:bidi="ar"/>
        </w:rPr>
        <w:t>供应商登录北京市政府采购电子交易平台“用户指南”—“操作指南”—“市场主体注册入库操作流程指引”进行自助注册绑定。</w:t>
      </w:r>
    </w:p>
    <w:p w14:paraId="224FE6E5">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3.3驱动、客户端下载</w:t>
      </w:r>
    </w:p>
    <w:p w14:paraId="190CE3DE">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lang w:bidi="ar"/>
        </w:rPr>
        <w:t>供应商登录北京市政府采购电子交易平台“用户指南”—“工具下载”—“招标采购系统文件驱动安装包”下载相关驱动。</w:t>
      </w:r>
    </w:p>
    <w:p w14:paraId="3C8B26AB">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供应商登录北京市政府采购电子交易平台“用户指南”—“工具下载”—“投标文件编制工具”下载相关客户端。</w:t>
      </w:r>
    </w:p>
    <w:p w14:paraId="32C29BE2">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3.4 获取电子招标文件</w:t>
      </w:r>
    </w:p>
    <w:p w14:paraId="4FC20830">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供应商使用CA数字证书或电子营业执照登录北京市政府采购电子交易平台获取电子招标文件。</w:t>
      </w:r>
    </w:p>
    <w:p w14:paraId="78008580">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392077CA">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3.5编制电子投标文件</w:t>
      </w:r>
    </w:p>
    <w:p w14:paraId="68F1200E">
      <w:pPr>
        <w:adjustRightInd w:val="0"/>
        <w:snapToGrid w:val="0"/>
        <w:spacing w:line="360" w:lineRule="auto"/>
        <w:ind w:firstLine="480" w:firstLineChars="200"/>
        <w:rPr>
          <w:rFonts w:ascii="仿宋" w:hAnsi="仿宋" w:eastAsia="仿宋" w:cs="仿宋"/>
          <w:sz w:val="24"/>
          <w:lang w:bidi="ar"/>
        </w:rPr>
      </w:pPr>
      <w:r>
        <w:rPr>
          <w:rFonts w:hint="eastAsia" w:ascii="仿宋" w:hAnsi="仿宋" w:eastAsia="仿宋" w:cs="仿宋"/>
          <w:sz w:val="24"/>
          <w:lang w:bidi="ar"/>
        </w:rPr>
        <w:t>供应商应使用电子投标客户端编制电子投标文件并进行线上投标，供应商电子投标文件需要加密并加盖电子签章</w:t>
      </w:r>
      <w:r>
        <w:rPr>
          <w:rFonts w:hint="eastAsia" w:ascii="仿宋" w:hAnsi="仿宋" w:eastAsia="仿宋" w:cs="仿宋"/>
          <w:bCs/>
          <w:sz w:val="24"/>
          <w:lang w:bidi="ar"/>
        </w:rPr>
        <w:t>，如无法按照要求在电子投标文件中加盖电子签章和加密，请及时通过技术支持服务热线联系技术人员</w:t>
      </w:r>
      <w:r>
        <w:rPr>
          <w:rFonts w:hint="eastAsia" w:ascii="仿宋" w:hAnsi="仿宋" w:eastAsia="仿宋" w:cs="仿宋"/>
          <w:sz w:val="24"/>
          <w:lang w:bidi="ar"/>
        </w:rPr>
        <w:t>。</w:t>
      </w:r>
    </w:p>
    <w:p w14:paraId="1576D71D">
      <w:pPr>
        <w:widowControl/>
        <w:snapToGrid w:val="0"/>
        <w:spacing w:line="360" w:lineRule="auto"/>
        <w:ind w:firstLine="480" w:firstLineChars="200"/>
        <w:jc w:val="left"/>
        <w:rPr>
          <w:rFonts w:ascii="仿宋" w:hAnsi="仿宋" w:eastAsia="仿宋" w:cs="仿宋"/>
          <w:sz w:val="24"/>
          <w:lang w:val="zh-TW" w:bidi="ar"/>
        </w:rPr>
      </w:pPr>
      <w:r>
        <w:rPr>
          <w:rFonts w:hint="eastAsia" w:ascii="仿宋" w:hAnsi="仿宋" w:eastAsia="仿宋" w:cs="仿宋"/>
          <w:sz w:val="24"/>
          <w:lang w:val="zh-TW" w:eastAsia="zh-TW" w:bidi="ar"/>
        </w:rPr>
        <w:t>3.6</w:t>
      </w:r>
      <w:r>
        <w:rPr>
          <w:rFonts w:hint="eastAsia" w:ascii="仿宋" w:hAnsi="仿宋" w:eastAsia="仿宋" w:cs="仿宋"/>
          <w:sz w:val="24"/>
          <w:lang w:val="zh-TW" w:bidi="ar"/>
        </w:rPr>
        <w:t>提交电子投标文件</w:t>
      </w:r>
    </w:p>
    <w:p w14:paraId="52EB79F2">
      <w:pPr>
        <w:widowControl/>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供应商应于投标截止时间前在北京市政府采购电子交易平台提交电子投标文件，上传电子投标文件过程中请保持与互联网的连接畅通。</w:t>
      </w:r>
    </w:p>
    <w:p w14:paraId="59C69491">
      <w:pPr>
        <w:widowControl/>
        <w:snapToGrid w:val="0"/>
        <w:spacing w:line="360" w:lineRule="auto"/>
        <w:ind w:firstLine="480" w:firstLineChars="200"/>
        <w:jc w:val="left"/>
        <w:rPr>
          <w:rFonts w:ascii="仿宋" w:hAnsi="仿宋" w:eastAsia="仿宋" w:cs="仿宋"/>
          <w:sz w:val="24"/>
          <w:lang w:eastAsia="zh-TW" w:bidi="ar"/>
        </w:rPr>
      </w:pPr>
      <w:r>
        <w:rPr>
          <w:rFonts w:hint="eastAsia" w:ascii="仿宋" w:hAnsi="仿宋" w:eastAsia="仿宋" w:cs="仿宋"/>
          <w:sz w:val="24"/>
          <w:lang w:val="zh-TW" w:bidi="ar"/>
        </w:rPr>
        <w:t>3.</w:t>
      </w:r>
      <w:r>
        <w:rPr>
          <w:rFonts w:hint="eastAsia" w:ascii="仿宋" w:hAnsi="仿宋" w:eastAsia="仿宋" w:cs="仿宋"/>
          <w:sz w:val="24"/>
          <w:lang w:val="zh-TW" w:eastAsia="zh-TW" w:bidi="ar"/>
        </w:rPr>
        <w:t>7</w:t>
      </w:r>
      <w:r>
        <w:rPr>
          <w:rFonts w:hint="eastAsia" w:ascii="仿宋" w:hAnsi="仿宋" w:eastAsia="仿宋" w:cs="仿宋"/>
          <w:sz w:val="24"/>
          <w:lang w:val="zh-TW" w:bidi="ar"/>
        </w:rPr>
        <w:t>电子开标</w:t>
      </w:r>
    </w:p>
    <w:p w14:paraId="6722F062">
      <w:pPr>
        <w:snapToGrid w:val="0"/>
        <w:spacing w:line="360" w:lineRule="auto"/>
        <w:ind w:firstLine="480" w:firstLineChars="200"/>
        <w:rPr>
          <w:rFonts w:ascii="仿宋" w:hAnsi="仿宋" w:eastAsia="仿宋" w:cs="仿宋"/>
          <w:sz w:val="24"/>
          <w:lang w:val="zh-TW" w:bidi="ar"/>
        </w:rPr>
      </w:pPr>
      <w:r>
        <w:rPr>
          <w:rFonts w:hint="eastAsia" w:ascii="仿宋" w:hAnsi="仿宋" w:eastAsia="仿宋" w:cs="仿宋"/>
          <w:sz w:val="24"/>
          <w:lang w:val="zh-TW" w:bidi="ar"/>
        </w:rPr>
        <w:t>供应商在开标地点使用</w:t>
      </w:r>
      <w:r>
        <w:rPr>
          <w:rFonts w:hint="eastAsia" w:ascii="仿宋" w:hAnsi="仿宋" w:eastAsia="仿宋" w:cs="仿宋"/>
          <w:sz w:val="24"/>
          <w:lang w:bidi="ar"/>
        </w:rPr>
        <w:t>CA数字证书或电子营业执照</w:t>
      </w:r>
      <w:r>
        <w:rPr>
          <w:rFonts w:hint="eastAsia" w:ascii="仿宋" w:hAnsi="仿宋" w:eastAsia="仿宋" w:cs="仿宋"/>
          <w:sz w:val="24"/>
          <w:lang w:val="zh-TW" w:bidi="ar"/>
        </w:rPr>
        <w:t>登录</w:t>
      </w:r>
      <w:r>
        <w:rPr>
          <w:rFonts w:hint="eastAsia" w:ascii="仿宋" w:hAnsi="仿宋" w:eastAsia="仿宋" w:cs="仿宋"/>
          <w:sz w:val="24"/>
          <w:lang w:bidi="ar"/>
        </w:rPr>
        <w:t>北京市政府采购电子交易平台进行电子开标</w:t>
      </w:r>
      <w:r>
        <w:rPr>
          <w:rFonts w:hint="eastAsia" w:ascii="仿宋" w:hAnsi="仿宋" w:eastAsia="仿宋" w:cs="仿宋"/>
          <w:sz w:val="24"/>
          <w:lang w:val="zh-TW" w:bidi="ar"/>
        </w:rPr>
        <w:t>。</w:t>
      </w:r>
    </w:p>
    <w:p w14:paraId="7D6D0953">
      <w:pPr>
        <w:widowControl/>
        <w:adjustRightInd w:val="0"/>
        <w:snapToGrid w:val="0"/>
        <w:spacing w:line="360" w:lineRule="auto"/>
        <w:ind w:firstLine="480" w:firstLineChars="200"/>
        <w:jc w:val="left"/>
        <w:rPr>
          <w:rFonts w:ascii="仿宋" w:hAnsi="仿宋" w:eastAsia="仿宋" w:cs="仿宋"/>
          <w:sz w:val="24"/>
          <w:lang w:bidi="ar"/>
        </w:rPr>
      </w:pPr>
      <w:r>
        <w:rPr>
          <w:rFonts w:hint="eastAsia" w:ascii="仿宋" w:hAnsi="仿宋" w:eastAsia="仿宋" w:cs="仿宋"/>
          <w:sz w:val="24"/>
          <w:lang w:bidi="ar"/>
        </w:rPr>
        <w:t>4. 本项目资金情况:财政</w:t>
      </w:r>
      <w:r>
        <w:rPr>
          <w:rFonts w:hint="eastAsia" w:ascii="仿宋" w:hAnsi="仿宋" w:eastAsia="仿宋" w:cs="仿宋"/>
          <w:sz w:val="24"/>
          <w:lang w:val="en-US" w:eastAsia="zh-CN" w:bidi="ar"/>
        </w:rPr>
        <w:t>性</w:t>
      </w:r>
      <w:r>
        <w:rPr>
          <w:rFonts w:hint="eastAsia" w:ascii="仿宋" w:hAnsi="仿宋" w:eastAsia="仿宋" w:cs="仿宋"/>
          <w:sz w:val="24"/>
          <w:lang w:bidi="ar"/>
        </w:rPr>
        <w:t>资金，资金已落实。</w:t>
      </w:r>
    </w:p>
    <w:p w14:paraId="147861AF">
      <w:pPr>
        <w:pStyle w:val="4"/>
        <w:snapToGrid w:val="0"/>
        <w:spacing w:before="0" w:line="360" w:lineRule="auto"/>
        <w:jc w:val="left"/>
        <w:rPr>
          <w:rFonts w:ascii="仿宋" w:hAnsi="仿宋" w:eastAsia="仿宋" w:cs="仿宋"/>
          <w:sz w:val="24"/>
          <w:szCs w:val="24"/>
        </w:rPr>
      </w:pPr>
      <w:bookmarkStart w:id="30" w:name="_Toc35393796"/>
      <w:bookmarkStart w:id="31" w:name="_Toc35393627"/>
      <w:bookmarkStart w:id="32" w:name="_Toc28359008"/>
      <w:bookmarkStart w:id="33" w:name="_Toc28359085"/>
      <w:r>
        <w:rPr>
          <w:rFonts w:hint="eastAsia" w:ascii="仿宋" w:hAnsi="仿宋" w:eastAsia="仿宋" w:cs="仿宋"/>
          <w:sz w:val="24"/>
          <w:szCs w:val="24"/>
        </w:rPr>
        <w:t>七、对本次招标提出询问，请按以下方式联系。</w:t>
      </w:r>
      <w:bookmarkEnd w:id="30"/>
      <w:bookmarkEnd w:id="31"/>
      <w:bookmarkEnd w:id="32"/>
      <w:bookmarkEnd w:id="33"/>
    </w:p>
    <w:p w14:paraId="3490B9D9">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60C5DAF8">
      <w:pPr>
        <w:snapToGrid w:val="0"/>
        <w:spacing w:line="360" w:lineRule="auto"/>
        <w:ind w:left="1079" w:leftChars="371" w:hanging="300" w:hangingChars="125"/>
        <w:jc w:val="left"/>
        <w:rPr>
          <w:rFonts w:ascii="仿宋" w:hAnsi="仿宋" w:eastAsia="仿宋" w:cs="仿宋"/>
          <w:color w:val="auto"/>
          <w:sz w:val="24"/>
        </w:rPr>
      </w:pPr>
      <w:bookmarkStart w:id="34" w:name="_Toc28359009"/>
      <w:bookmarkStart w:id="35" w:name="_Toc28359086"/>
      <w:r>
        <w:rPr>
          <w:rFonts w:hint="eastAsia" w:ascii="仿宋" w:hAnsi="仿宋" w:eastAsia="仿宋" w:cs="仿宋"/>
          <w:sz w:val="24"/>
        </w:rPr>
        <w:t>名    称：北京清华长庚医院</w:t>
      </w:r>
    </w:p>
    <w:p w14:paraId="071CE071">
      <w:pPr>
        <w:snapToGrid w:val="0"/>
        <w:spacing w:line="360" w:lineRule="auto"/>
        <w:ind w:left="1079" w:leftChars="371" w:hanging="300" w:hangingChars="125"/>
        <w:jc w:val="left"/>
        <w:rPr>
          <w:rFonts w:ascii="仿宋" w:hAnsi="仿宋" w:eastAsia="仿宋" w:cs="仿宋"/>
          <w:color w:val="auto"/>
          <w:sz w:val="24"/>
        </w:rPr>
      </w:pPr>
      <w:r>
        <w:rPr>
          <w:rFonts w:hint="eastAsia" w:ascii="仿宋" w:hAnsi="仿宋" w:eastAsia="仿宋" w:cs="仿宋"/>
          <w:color w:val="auto"/>
          <w:sz w:val="24"/>
        </w:rPr>
        <w:t>地    址：北京市昌平区立汤路168号</w:t>
      </w:r>
    </w:p>
    <w:p w14:paraId="16D84748">
      <w:pPr>
        <w:snapToGrid w:val="0"/>
        <w:spacing w:line="360" w:lineRule="auto"/>
        <w:ind w:left="1079" w:leftChars="371" w:hanging="300" w:hangingChars="125"/>
        <w:jc w:val="left"/>
        <w:rPr>
          <w:rFonts w:ascii="仿宋" w:hAnsi="仿宋" w:eastAsia="仿宋" w:cs="仿宋"/>
          <w:color w:val="auto"/>
          <w:sz w:val="24"/>
        </w:rPr>
      </w:pPr>
      <w:r>
        <w:rPr>
          <w:rFonts w:hint="eastAsia" w:ascii="仿宋" w:hAnsi="仿宋" w:eastAsia="仿宋" w:cs="仿宋"/>
          <w:color w:val="auto"/>
          <w:sz w:val="24"/>
        </w:rPr>
        <w:t>联系方式：</w:t>
      </w:r>
      <w:r>
        <w:rPr>
          <w:rFonts w:ascii="仿宋" w:hAnsi="仿宋" w:eastAsia="仿宋" w:cs="仿宋"/>
          <w:color w:val="auto"/>
          <w:sz w:val="24"/>
        </w:rPr>
        <w:t>010-56118628</w:t>
      </w:r>
    </w:p>
    <w:p w14:paraId="369C62A5">
      <w:pPr>
        <w:snapToGrid w:val="0"/>
        <w:spacing w:line="360" w:lineRule="auto"/>
        <w:ind w:left="1080" w:leftChars="371" w:hanging="301" w:hangingChars="125"/>
        <w:jc w:val="left"/>
        <w:rPr>
          <w:rFonts w:ascii="仿宋" w:hAnsi="仿宋" w:eastAsia="仿宋" w:cs="仿宋"/>
          <w:b/>
          <w:color w:val="auto"/>
          <w:sz w:val="24"/>
        </w:rPr>
      </w:pPr>
      <w:r>
        <w:rPr>
          <w:rFonts w:hint="eastAsia" w:ascii="仿宋" w:hAnsi="仿宋" w:eastAsia="仿宋" w:cs="仿宋"/>
          <w:b/>
          <w:color w:val="auto"/>
          <w:sz w:val="24"/>
        </w:rPr>
        <w:t>2.采购代理机构信息</w:t>
      </w:r>
      <w:bookmarkEnd w:id="34"/>
      <w:bookmarkEnd w:id="35"/>
    </w:p>
    <w:p w14:paraId="1318A7B0">
      <w:pPr>
        <w:snapToGrid w:val="0"/>
        <w:spacing w:line="360" w:lineRule="auto"/>
        <w:ind w:left="1079" w:leftChars="371" w:hanging="300" w:hangingChars="125"/>
        <w:jc w:val="left"/>
        <w:rPr>
          <w:rFonts w:ascii="仿宋" w:hAnsi="仿宋" w:eastAsia="仿宋" w:cs="仿宋"/>
          <w:sz w:val="24"/>
        </w:rPr>
      </w:pPr>
      <w:bookmarkStart w:id="36" w:name="_Toc28359010"/>
      <w:bookmarkStart w:id="37" w:name="_Toc28359087"/>
      <w:r>
        <w:rPr>
          <w:rFonts w:hint="eastAsia" w:ascii="仿宋" w:hAnsi="仿宋" w:eastAsia="仿宋" w:cs="仿宋"/>
          <w:sz w:val="24"/>
        </w:rPr>
        <w:t>名    称：中技国际招标有限公司</w:t>
      </w:r>
    </w:p>
    <w:p w14:paraId="1FF22FDB">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1C410456">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联系方式：010-81168683、81168697</w:t>
      </w:r>
    </w:p>
    <w:p w14:paraId="5216B421">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6"/>
      <w:bookmarkEnd w:id="37"/>
    </w:p>
    <w:p w14:paraId="5F079E8D">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项目联系人：张伯涵、马建、孙薇</w:t>
      </w:r>
    </w:p>
    <w:p w14:paraId="640A1E7E">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电      话：010-81168683、81168697</w:t>
      </w:r>
    </w:p>
    <w:p w14:paraId="546EFF37">
      <w:pPr>
        <w:keepNext/>
        <w:keepLines/>
        <w:autoSpaceDE w:val="0"/>
        <w:autoSpaceDN w:val="0"/>
        <w:adjustRightInd w:val="0"/>
        <w:snapToGrid w:val="0"/>
        <w:spacing w:line="360" w:lineRule="auto"/>
        <w:jc w:val="left"/>
        <w:outlineLvl w:val="1"/>
        <w:rPr>
          <w:rFonts w:ascii="仿宋_GB2312" w:hAnsi="仿宋_GB2312" w:eastAsia="仿宋_GB2312" w:cs="仿宋_GB2312"/>
          <w:sz w:val="24"/>
          <w:szCs w:val="24"/>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320"/>
        </w:tabs>
        <w:ind w:left="1320"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174A2"/>
    <w:rsid w:val="0002704F"/>
    <w:rsid w:val="0003507F"/>
    <w:rsid w:val="00055AE3"/>
    <w:rsid w:val="000654FB"/>
    <w:rsid w:val="0006690C"/>
    <w:rsid w:val="00073FF2"/>
    <w:rsid w:val="00097D2A"/>
    <w:rsid w:val="000A0BDF"/>
    <w:rsid w:val="000B6018"/>
    <w:rsid w:val="000C6C96"/>
    <w:rsid w:val="000E34A2"/>
    <w:rsid w:val="000F5181"/>
    <w:rsid w:val="0011789B"/>
    <w:rsid w:val="00123159"/>
    <w:rsid w:val="00135CBC"/>
    <w:rsid w:val="00141586"/>
    <w:rsid w:val="00151725"/>
    <w:rsid w:val="00153377"/>
    <w:rsid w:val="001654CD"/>
    <w:rsid w:val="00170996"/>
    <w:rsid w:val="001738B6"/>
    <w:rsid w:val="001B73C9"/>
    <w:rsid w:val="001D54DE"/>
    <w:rsid w:val="001D7325"/>
    <w:rsid w:val="001E242E"/>
    <w:rsid w:val="001E2FED"/>
    <w:rsid w:val="001F2F61"/>
    <w:rsid w:val="001F36C0"/>
    <w:rsid w:val="001F42BF"/>
    <w:rsid w:val="001F5041"/>
    <w:rsid w:val="002009FD"/>
    <w:rsid w:val="002033AA"/>
    <w:rsid w:val="0020585B"/>
    <w:rsid w:val="00215CDB"/>
    <w:rsid w:val="00216E5D"/>
    <w:rsid w:val="00230C1E"/>
    <w:rsid w:val="00240CC0"/>
    <w:rsid w:val="0024688D"/>
    <w:rsid w:val="00267845"/>
    <w:rsid w:val="00283519"/>
    <w:rsid w:val="002A28E0"/>
    <w:rsid w:val="002B11AD"/>
    <w:rsid w:val="002B1AB5"/>
    <w:rsid w:val="002B3E65"/>
    <w:rsid w:val="002C5DE7"/>
    <w:rsid w:val="002D357E"/>
    <w:rsid w:val="002E5600"/>
    <w:rsid w:val="00301F3D"/>
    <w:rsid w:val="00303A66"/>
    <w:rsid w:val="00317373"/>
    <w:rsid w:val="0032484C"/>
    <w:rsid w:val="00326228"/>
    <w:rsid w:val="00327E44"/>
    <w:rsid w:val="00332FD2"/>
    <w:rsid w:val="00333EDD"/>
    <w:rsid w:val="00335BF0"/>
    <w:rsid w:val="003452CF"/>
    <w:rsid w:val="003520BA"/>
    <w:rsid w:val="0036429E"/>
    <w:rsid w:val="00364BC5"/>
    <w:rsid w:val="0037056C"/>
    <w:rsid w:val="00374AD1"/>
    <w:rsid w:val="003A0C27"/>
    <w:rsid w:val="003B03B2"/>
    <w:rsid w:val="003B2E1C"/>
    <w:rsid w:val="003C0143"/>
    <w:rsid w:val="003D7908"/>
    <w:rsid w:val="003E103E"/>
    <w:rsid w:val="003F2473"/>
    <w:rsid w:val="004045F1"/>
    <w:rsid w:val="00436982"/>
    <w:rsid w:val="0046693E"/>
    <w:rsid w:val="004675D4"/>
    <w:rsid w:val="004715F0"/>
    <w:rsid w:val="00474D69"/>
    <w:rsid w:val="00475F5F"/>
    <w:rsid w:val="0048332F"/>
    <w:rsid w:val="00483C4E"/>
    <w:rsid w:val="004900C3"/>
    <w:rsid w:val="004962F1"/>
    <w:rsid w:val="00496F16"/>
    <w:rsid w:val="004A18BF"/>
    <w:rsid w:val="004D400A"/>
    <w:rsid w:val="004D48B9"/>
    <w:rsid w:val="004E0961"/>
    <w:rsid w:val="004F45E3"/>
    <w:rsid w:val="004F644E"/>
    <w:rsid w:val="00515BAC"/>
    <w:rsid w:val="00516DB7"/>
    <w:rsid w:val="00521CAC"/>
    <w:rsid w:val="00553ED3"/>
    <w:rsid w:val="005561B9"/>
    <w:rsid w:val="005652E9"/>
    <w:rsid w:val="005728DF"/>
    <w:rsid w:val="00576F93"/>
    <w:rsid w:val="00580585"/>
    <w:rsid w:val="0058426F"/>
    <w:rsid w:val="00587CF2"/>
    <w:rsid w:val="00596899"/>
    <w:rsid w:val="005A3F3F"/>
    <w:rsid w:val="005A47F4"/>
    <w:rsid w:val="005A55E3"/>
    <w:rsid w:val="005B193D"/>
    <w:rsid w:val="005C0DC8"/>
    <w:rsid w:val="005C7498"/>
    <w:rsid w:val="005D5B00"/>
    <w:rsid w:val="005F00AA"/>
    <w:rsid w:val="005F7CC9"/>
    <w:rsid w:val="00602F40"/>
    <w:rsid w:val="00623E10"/>
    <w:rsid w:val="00625A18"/>
    <w:rsid w:val="006330E4"/>
    <w:rsid w:val="00637E21"/>
    <w:rsid w:val="00643858"/>
    <w:rsid w:val="00653D1E"/>
    <w:rsid w:val="00674B8B"/>
    <w:rsid w:val="006757C9"/>
    <w:rsid w:val="00690029"/>
    <w:rsid w:val="006911DE"/>
    <w:rsid w:val="006A00BC"/>
    <w:rsid w:val="006A2DE4"/>
    <w:rsid w:val="006A4758"/>
    <w:rsid w:val="006C06C3"/>
    <w:rsid w:val="006C23C0"/>
    <w:rsid w:val="006C349B"/>
    <w:rsid w:val="006E2165"/>
    <w:rsid w:val="00701FAF"/>
    <w:rsid w:val="007142BB"/>
    <w:rsid w:val="00714DAE"/>
    <w:rsid w:val="00715A88"/>
    <w:rsid w:val="00717F32"/>
    <w:rsid w:val="00722BD9"/>
    <w:rsid w:val="0073282E"/>
    <w:rsid w:val="00735C04"/>
    <w:rsid w:val="007407CA"/>
    <w:rsid w:val="00751F1B"/>
    <w:rsid w:val="00765258"/>
    <w:rsid w:val="007713CE"/>
    <w:rsid w:val="00790201"/>
    <w:rsid w:val="00796726"/>
    <w:rsid w:val="007A3D79"/>
    <w:rsid w:val="007B20DD"/>
    <w:rsid w:val="007B6D8A"/>
    <w:rsid w:val="007C1A05"/>
    <w:rsid w:val="007C7094"/>
    <w:rsid w:val="007D4941"/>
    <w:rsid w:val="007D4D07"/>
    <w:rsid w:val="007D78C6"/>
    <w:rsid w:val="007E56E4"/>
    <w:rsid w:val="007F07EB"/>
    <w:rsid w:val="007F300E"/>
    <w:rsid w:val="007F41CE"/>
    <w:rsid w:val="007F49B2"/>
    <w:rsid w:val="0080706E"/>
    <w:rsid w:val="00815842"/>
    <w:rsid w:val="00817159"/>
    <w:rsid w:val="008233E4"/>
    <w:rsid w:val="0082630B"/>
    <w:rsid w:val="008474D4"/>
    <w:rsid w:val="00847CB2"/>
    <w:rsid w:val="008500FD"/>
    <w:rsid w:val="00854FF2"/>
    <w:rsid w:val="00861086"/>
    <w:rsid w:val="008770A9"/>
    <w:rsid w:val="00877D4B"/>
    <w:rsid w:val="00893D1E"/>
    <w:rsid w:val="00895A9B"/>
    <w:rsid w:val="008961F0"/>
    <w:rsid w:val="008A1A64"/>
    <w:rsid w:val="008A2EF1"/>
    <w:rsid w:val="008C08E5"/>
    <w:rsid w:val="008C2600"/>
    <w:rsid w:val="008C2D91"/>
    <w:rsid w:val="008D1917"/>
    <w:rsid w:val="009113E1"/>
    <w:rsid w:val="009214CB"/>
    <w:rsid w:val="00973E83"/>
    <w:rsid w:val="00981B8B"/>
    <w:rsid w:val="00985E03"/>
    <w:rsid w:val="009C0669"/>
    <w:rsid w:val="009C1F7A"/>
    <w:rsid w:val="009D4507"/>
    <w:rsid w:val="009E40C2"/>
    <w:rsid w:val="00A35D0A"/>
    <w:rsid w:val="00A404EB"/>
    <w:rsid w:val="00A4520F"/>
    <w:rsid w:val="00A47083"/>
    <w:rsid w:val="00A50BD8"/>
    <w:rsid w:val="00A53800"/>
    <w:rsid w:val="00A774AF"/>
    <w:rsid w:val="00A937E3"/>
    <w:rsid w:val="00AA0A92"/>
    <w:rsid w:val="00AA4E90"/>
    <w:rsid w:val="00AB03E3"/>
    <w:rsid w:val="00AC1B5F"/>
    <w:rsid w:val="00AC3D8C"/>
    <w:rsid w:val="00AD4A09"/>
    <w:rsid w:val="00AE0E3D"/>
    <w:rsid w:val="00AE7BDE"/>
    <w:rsid w:val="00AF6563"/>
    <w:rsid w:val="00B0145B"/>
    <w:rsid w:val="00B056A0"/>
    <w:rsid w:val="00B14533"/>
    <w:rsid w:val="00B260DB"/>
    <w:rsid w:val="00B33951"/>
    <w:rsid w:val="00B47F94"/>
    <w:rsid w:val="00B536AE"/>
    <w:rsid w:val="00B6752D"/>
    <w:rsid w:val="00B72DDC"/>
    <w:rsid w:val="00B766D9"/>
    <w:rsid w:val="00B83271"/>
    <w:rsid w:val="00B8469D"/>
    <w:rsid w:val="00B8686D"/>
    <w:rsid w:val="00B907F9"/>
    <w:rsid w:val="00B941E9"/>
    <w:rsid w:val="00B94FCC"/>
    <w:rsid w:val="00BA2305"/>
    <w:rsid w:val="00BD0C94"/>
    <w:rsid w:val="00BE5268"/>
    <w:rsid w:val="00BF1BDD"/>
    <w:rsid w:val="00C011C9"/>
    <w:rsid w:val="00C03FDF"/>
    <w:rsid w:val="00C14B14"/>
    <w:rsid w:val="00C173B0"/>
    <w:rsid w:val="00C210C2"/>
    <w:rsid w:val="00C21A2F"/>
    <w:rsid w:val="00C22236"/>
    <w:rsid w:val="00C45A7A"/>
    <w:rsid w:val="00C53717"/>
    <w:rsid w:val="00C62263"/>
    <w:rsid w:val="00C72DCD"/>
    <w:rsid w:val="00C76D3B"/>
    <w:rsid w:val="00C857A2"/>
    <w:rsid w:val="00C93F47"/>
    <w:rsid w:val="00C94236"/>
    <w:rsid w:val="00CA04CC"/>
    <w:rsid w:val="00CA6D3A"/>
    <w:rsid w:val="00CC61BA"/>
    <w:rsid w:val="00CE737B"/>
    <w:rsid w:val="00CF6A78"/>
    <w:rsid w:val="00D072DF"/>
    <w:rsid w:val="00D13AE7"/>
    <w:rsid w:val="00D13E6E"/>
    <w:rsid w:val="00D20C60"/>
    <w:rsid w:val="00D27B5E"/>
    <w:rsid w:val="00D428F8"/>
    <w:rsid w:val="00D5313B"/>
    <w:rsid w:val="00D55B65"/>
    <w:rsid w:val="00DA01EB"/>
    <w:rsid w:val="00DA10F5"/>
    <w:rsid w:val="00DB1739"/>
    <w:rsid w:val="00DE2475"/>
    <w:rsid w:val="00DF0F2F"/>
    <w:rsid w:val="00DF3EE0"/>
    <w:rsid w:val="00E14BE2"/>
    <w:rsid w:val="00E463E0"/>
    <w:rsid w:val="00E6572B"/>
    <w:rsid w:val="00E77097"/>
    <w:rsid w:val="00EC606F"/>
    <w:rsid w:val="00ED2A70"/>
    <w:rsid w:val="00ED378A"/>
    <w:rsid w:val="00ED3B5D"/>
    <w:rsid w:val="00EF6FE0"/>
    <w:rsid w:val="00F05458"/>
    <w:rsid w:val="00F071DB"/>
    <w:rsid w:val="00F14FF2"/>
    <w:rsid w:val="00F24DF1"/>
    <w:rsid w:val="00F255C2"/>
    <w:rsid w:val="00F300DA"/>
    <w:rsid w:val="00F320DF"/>
    <w:rsid w:val="00F47D44"/>
    <w:rsid w:val="00F543E2"/>
    <w:rsid w:val="00F64CE7"/>
    <w:rsid w:val="00F72C37"/>
    <w:rsid w:val="00F818C6"/>
    <w:rsid w:val="00F85B2D"/>
    <w:rsid w:val="00FA18CD"/>
    <w:rsid w:val="00FA5AF1"/>
    <w:rsid w:val="00FA6B6D"/>
    <w:rsid w:val="00FD372D"/>
    <w:rsid w:val="00FE203E"/>
    <w:rsid w:val="00FF06F6"/>
    <w:rsid w:val="1C0266F8"/>
    <w:rsid w:val="24165916"/>
    <w:rsid w:val="46536B24"/>
    <w:rsid w:val="60B6292E"/>
    <w:rsid w:val="764F7E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5"/>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6"/>
    <w:qFormat/>
    <w:uiPriority w:val="0"/>
    <w:pPr>
      <w:keepNext/>
      <w:keepLines/>
      <w:spacing w:before="260" w:after="260" w:line="415" w:lineRule="auto"/>
      <w:outlineLvl w:val="1"/>
    </w:pPr>
    <w:rPr>
      <w:rFonts w:ascii="Arial" w:hAnsi="Arial" w:eastAsia="黑体" w:cs="Arial"/>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styleId="5">
    <w:name w:val="Plain Text"/>
    <w:basedOn w:val="1"/>
    <w:link w:val="17"/>
    <w:qFormat/>
    <w:uiPriority w:val="0"/>
    <w:rPr>
      <w:rFonts w:ascii="宋体" w:hAnsi="Courier New"/>
      <w:szCs w:val="22"/>
    </w:rPr>
  </w:style>
  <w:style w:type="paragraph" w:styleId="6">
    <w:name w:val="Balloon Text"/>
    <w:basedOn w:val="1"/>
    <w:link w:val="19"/>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Emphasis"/>
    <w:qFormat/>
    <w:uiPriority w:val="20"/>
    <w:rPr>
      <w:color w:val="CC0033"/>
    </w:rPr>
  </w:style>
  <w:style w:type="character" w:styleId="12">
    <w:name w:val="Hyperlink"/>
    <w:basedOn w:val="10"/>
    <w:semiHidden/>
    <w:unhideWhenUsed/>
    <w:qFormat/>
    <w:uiPriority w:val="99"/>
    <w:rPr>
      <w:color w:val="0000FF"/>
      <w:u w:val="single"/>
    </w:rPr>
  </w:style>
  <w:style w:type="character" w:customStyle="1" w:styleId="13">
    <w:name w:val="页眉 Char"/>
    <w:basedOn w:val="10"/>
    <w:link w:val="8"/>
    <w:qFormat/>
    <w:uiPriority w:val="99"/>
    <w:rPr>
      <w:sz w:val="18"/>
      <w:szCs w:val="18"/>
    </w:rPr>
  </w:style>
  <w:style w:type="character" w:customStyle="1" w:styleId="14">
    <w:name w:val="页脚 Char"/>
    <w:basedOn w:val="10"/>
    <w:link w:val="7"/>
    <w:qFormat/>
    <w:uiPriority w:val="99"/>
    <w:rPr>
      <w:sz w:val="18"/>
      <w:szCs w:val="18"/>
    </w:rPr>
  </w:style>
  <w:style w:type="character" w:customStyle="1" w:styleId="15">
    <w:name w:val="标题 1 Char"/>
    <w:basedOn w:val="10"/>
    <w:link w:val="3"/>
    <w:qFormat/>
    <w:uiPriority w:val="0"/>
    <w:rPr>
      <w:rFonts w:ascii="Times New Roman" w:hAnsi="Times New Roman" w:eastAsia="宋体" w:cs="Times New Roman"/>
      <w:b/>
      <w:bCs/>
      <w:kern w:val="44"/>
      <w:sz w:val="44"/>
      <w:szCs w:val="44"/>
    </w:rPr>
  </w:style>
  <w:style w:type="character" w:customStyle="1" w:styleId="16">
    <w:name w:val="标题 2 Char"/>
    <w:basedOn w:val="10"/>
    <w:link w:val="4"/>
    <w:qFormat/>
    <w:uiPriority w:val="0"/>
    <w:rPr>
      <w:rFonts w:ascii="Arial" w:hAnsi="Arial" w:eastAsia="黑体" w:cs="Arial"/>
      <w:b/>
      <w:bCs/>
      <w:sz w:val="32"/>
      <w:szCs w:val="32"/>
    </w:rPr>
  </w:style>
  <w:style w:type="character" w:customStyle="1" w:styleId="17">
    <w:name w:val="纯文本 Char"/>
    <w:basedOn w:val="10"/>
    <w:link w:val="5"/>
    <w:qFormat/>
    <w:uiPriority w:val="0"/>
    <w:rPr>
      <w:rFonts w:ascii="宋体" w:hAnsi="Courier New" w:eastAsia="宋体" w:cs="Times New Roman"/>
    </w:rPr>
  </w:style>
  <w:style w:type="character" w:customStyle="1" w:styleId="18">
    <w:name w:val="NormalCharacter"/>
    <w:semiHidden/>
    <w:qFormat/>
    <w:uiPriority w:val="0"/>
  </w:style>
  <w:style w:type="character" w:customStyle="1" w:styleId="19">
    <w:name w:val="批注框文本 Char"/>
    <w:basedOn w:val="10"/>
    <w:link w:val="6"/>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B82CF-5529-4B32-9BF2-E1CBDC511A0F}">
  <ds:schemaRefs/>
</ds:datastoreItem>
</file>

<file path=docProps/app.xml><?xml version="1.0" encoding="utf-8"?>
<Properties xmlns="http://schemas.openxmlformats.org/officeDocument/2006/extended-properties" xmlns:vt="http://schemas.openxmlformats.org/officeDocument/2006/docPropsVTypes">
  <Template>Normal</Template>
  <Company>Razer</Company>
  <Pages>5</Pages>
  <Words>485</Words>
  <Characters>554</Characters>
  <Lines>20</Lines>
  <Paragraphs>5</Paragraphs>
  <TotalTime>0</TotalTime>
  <ScaleCrop>false</ScaleCrop>
  <LinksUpToDate>false</LinksUpToDate>
  <CharactersWithSpaces>564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2025-08-14T02:53:00Z</dcterms:created>
  <dc:creator>ThinkPad</dc:creator>
  <cp:lastModifiedBy>zhang</cp:lastModifiedBy>
  <cp:lastPrinted>2020-11-10T06:05:00Z</cp:lastPrinted>
  <dcterms:modified xsi:type="dcterms:W3CDTF">2026-10-29T12:02:40Z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eyJoZGlkIjoiOWI0ZTY4ZGM2ZjA2OWU0ZDdiYWYzZjE5M2Y5ZWM4MmIiLCJ1c2VySWQiOiIzMzk2OTcwOTkifQ==</vt:lpwstr>
  </property>
  <property fmtid="{D5CDD505-2E9C-101B-9397-08002B2CF9AE}" pid="3" name="KSOProductBuildVer">
    <vt:lpwstr>2052-12.1.0.29161</vt:lpwstr>
  </property>
  <property fmtid="{D5CDD505-2E9C-101B-9397-08002B2CF9AE}" pid="4" name="ICV">
    <vt:lpwstr>CC7842A216164163A501C1E5AC1EB77E_12</vt:lpwstr>
  </property>
</Properties>
</file>