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0" w:afterLines="0" w:line="360" w:lineRule="auto"/>
        <w:jc w:val="center"/>
        <w:outlineLvl w:val="0"/>
        <w:rPr>
          <w:rFonts w:hint="eastAsia" w:ascii="宋体" w:hAnsi="宋体" w:eastAsia="宋体" w:cs="宋体"/>
          <w:color w:val="auto"/>
          <w:sz w:val="24"/>
          <w:szCs w:val="24"/>
          <w:highlight w:val="none"/>
        </w:rPr>
      </w:pPr>
      <w:bookmarkStart w:id="0" w:name="_Toc99301424"/>
      <w:r>
        <w:rPr>
          <w:b/>
          <w:sz w:val="36"/>
          <w:szCs w:val="36"/>
          <w:highlight w:val="none"/>
        </w:rPr>
        <w:t>采购需求</w:t>
      </w:r>
      <w:bookmarkEnd w:id="0"/>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snapToGrid w:val="0"/>
        <w:spacing w:beforeLines="0" w:afterLines="0"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eastAsia="zh-CN"/>
        </w:rPr>
        <w:t>市局直属单位</w:t>
      </w:r>
      <w:r>
        <w:rPr>
          <w:rFonts w:hint="eastAsia" w:ascii="宋体" w:hAnsi="宋体" w:eastAsia="宋体" w:cs="宋体"/>
          <w:b/>
          <w:color w:val="auto"/>
          <w:sz w:val="24"/>
          <w:szCs w:val="24"/>
          <w:highlight w:val="none"/>
          <w:lang w:val="en-US" w:eastAsia="zh-CN"/>
        </w:rPr>
        <w:t>2026年度公务用车购置项目</w:t>
      </w:r>
    </w:p>
    <w:p>
      <w:pPr>
        <w:pageBreakBefore w:val="0"/>
        <w:kinsoku/>
        <w:wordWrap/>
        <w:overflowPunct/>
        <w:topLinePunct w:val="0"/>
        <w:bidi w:val="0"/>
        <w:snapToGrid w:val="0"/>
        <w:spacing w:beforeLines="0" w:afterLines="0" w:line="360" w:lineRule="auto"/>
        <w:jc w:val="center"/>
        <w:outlineLvl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 xml:space="preserve">（集采目录内部分）-03包 </w:t>
      </w:r>
      <w:r>
        <w:rPr>
          <w:rFonts w:hint="eastAsia" w:ascii="宋体" w:hAnsi="宋体" w:eastAsia="宋体" w:cs="宋体"/>
          <w:b/>
          <w:color w:val="auto"/>
          <w:sz w:val="24"/>
          <w:szCs w:val="24"/>
          <w:highlight w:val="none"/>
        </w:rPr>
        <w:t>采购需求</w:t>
      </w:r>
    </w:p>
    <w:p>
      <w:pPr>
        <w:pageBreakBefore w:val="0"/>
        <w:kinsoku/>
        <w:wordWrap/>
        <w:overflowPunct/>
        <w:topLinePunct w:val="0"/>
        <w:bidi w:val="0"/>
        <w:snapToGrid w:val="0"/>
        <w:spacing w:beforeLines="0" w:afterLines="0" w:line="360" w:lineRule="auto"/>
        <w:jc w:val="center"/>
        <w:rPr>
          <w:rFonts w:hint="eastAsia" w:ascii="宋体" w:hAnsi="宋体" w:eastAsia="宋体" w:cs="宋体"/>
          <w:bCs/>
          <w:color w:val="auto"/>
          <w:sz w:val="24"/>
          <w:szCs w:val="24"/>
          <w:highlight w:val="none"/>
        </w:rPr>
      </w:pPr>
    </w:p>
    <w:p>
      <w:pPr>
        <w:pageBreakBefore w:val="0"/>
        <w:kinsoku/>
        <w:wordWrap/>
        <w:overflowPunct/>
        <w:topLinePunct w:val="0"/>
        <w:bidi w:val="0"/>
        <w:snapToGrid w:val="0"/>
        <w:spacing w:beforeLines="0" w:after="0" w:afterLines="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一、采购清单</w:t>
      </w:r>
    </w:p>
    <w:tbl>
      <w:tblPr>
        <w:tblStyle w:val="52"/>
        <w:tblW w:w="92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07"/>
        <w:gridCol w:w="941"/>
        <w:gridCol w:w="1893"/>
        <w:gridCol w:w="4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jc w:val="center"/>
        </w:trPr>
        <w:tc>
          <w:tcPr>
            <w:tcW w:w="788"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07"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货物名称</w:t>
            </w:r>
          </w:p>
        </w:tc>
        <w:tc>
          <w:tcPr>
            <w:tcW w:w="941"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893"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中小企业划分标准所属行业</w:t>
            </w:r>
          </w:p>
        </w:tc>
        <w:tc>
          <w:tcPr>
            <w:tcW w:w="4409"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88"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07"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eastAsia="zh-CN"/>
              </w:rPr>
              <w:t>轿车</w:t>
            </w:r>
            <w:r>
              <w:rPr>
                <w:rFonts w:hint="eastAsia" w:ascii="宋体" w:hAnsi="宋体" w:eastAsia="宋体" w:cs="宋体"/>
                <w:bCs/>
                <w:color w:val="auto"/>
                <w:sz w:val="24"/>
                <w:szCs w:val="24"/>
                <w:highlight w:val="none"/>
                <w:lang w:val="en-US" w:eastAsia="zh-CN"/>
              </w:rPr>
              <w:t>2</w:t>
            </w:r>
          </w:p>
        </w:tc>
        <w:tc>
          <w:tcPr>
            <w:tcW w:w="941"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辆</w:t>
            </w:r>
          </w:p>
        </w:tc>
        <w:tc>
          <w:tcPr>
            <w:tcW w:w="1893"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4409" w:type="dxa"/>
            <w:vAlign w:val="center"/>
          </w:tcPr>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单车预算12.6万元，总预算100.8万元，含购置税。</w:t>
            </w:r>
          </w:p>
        </w:tc>
      </w:tr>
    </w:tbl>
    <w:p>
      <w:pPr>
        <w:pageBreakBefore w:val="0"/>
        <w:kinsoku/>
        <w:wordWrap/>
        <w:overflowPunct/>
        <w:topLinePunct w:val="0"/>
        <w:autoSpaceDE w:val="0"/>
        <w:autoSpaceDN w:val="0"/>
        <w:bidi w:val="0"/>
        <w:snapToGrid w:val="0"/>
        <w:spacing w:beforeLines="0" w:after="0" w:afterLines="0"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二、技术要求</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（一）投标文件中对所投产品的名称、品牌、制造商、产地、主要技术性能指标及其在技术、安全、性能、管理、厂家标准、使用年限及售后服务等方面情况提供详细的具有法律效力的技术资料。</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投标文件中提供从所投产品原材料采购、设计、加工制作、存储、流通、回收等产品全生命周期各环节，详细阐述该产品节能、环保及绿色供应链管理情况，提供相关证明文件，形式包括证书、图示、文字说明等。</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（三）具体技术参数要求表</w:t>
      </w:r>
    </w:p>
    <w:p>
      <w:pPr>
        <w:pageBreakBefore w:val="0"/>
        <w:kinsoku/>
        <w:wordWrap/>
        <w:overflowPunct/>
        <w:topLinePunct w:val="0"/>
        <w:bidi w:val="0"/>
        <w:snapToGrid w:val="0"/>
        <w:spacing w:beforeLines="0" w:after="0" w:afterLines="0" w:line="360" w:lineRule="auto"/>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说明：标注★的项目为必须实质满足项，不满足视为未实质响应，视为投标无效</w:t>
      </w:r>
    </w:p>
    <w:tbl>
      <w:tblPr>
        <w:tblStyle w:val="52"/>
        <w:tblW w:w="9022" w:type="dxa"/>
        <w:tblInd w:w="0" w:type="dxa"/>
        <w:tblLayout w:type="fixed"/>
        <w:tblCellMar>
          <w:top w:w="0" w:type="dxa"/>
          <w:left w:w="0" w:type="dxa"/>
          <w:bottom w:w="0" w:type="dxa"/>
          <w:right w:w="0" w:type="dxa"/>
        </w:tblCellMar>
      </w:tblPr>
      <w:tblGrid>
        <w:gridCol w:w="1406"/>
        <w:gridCol w:w="2364"/>
        <w:gridCol w:w="3648"/>
        <w:gridCol w:w="1604"/>
      </w:tblGrid>
      <w:tr>
        <w:tblPrEx>
          <w:tblLayout w:type="fixed"/>
          <w:tblCellMar>
            <w:top w:w="0" w:type="dxa"/>
            <w:left w:w="0" w:type="dxa"/>
            <w:bottom w:w="0" w:type="dxa"/>
            <w:right w:w="0" w:type="dxa"/>
          </w:tblCellMar>
        </w:tblPrEx>
        <w:trPr>
          <w:trHeight w:val="294" w:hRule="atLeast"/>
          <w:tblHeader/>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snapToGrid w:val="0"/>
              <w:spacing w:beforeLines="0" w:after="0" w:afterLines="0"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snapToGrid w:val="0"/>
              <w:spacing w:beforeLines="0" w:after="0" w:afterLines="0"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snapToGrid w:val="0"/>
              <w:spacing w:beforeLines="0" w:after="0" w:afterLines="0"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需求</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snapToGrid w:val="0"/>
              <w:spacing w:beforeLines="0" w:after="0" w:afterLines="0"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备注</w:t>
            </w:r>
          </w:p>
        </w:tc>
      </w:tr>
      <w:tr>
        <w:tblPrEx>
          <w:tblLayout w:type="fixed"/>
          <w:tblCellMar>
            <w:top w:w="0" w:type="dxa"/>
            <w:left w:w="0" w:type="dxa"/>
            <w:bottom w:w="0" w:type="dxa"/>
            <w:right w:w="0" w:type="dxa"/>
          </w:tblCellMar>
        </w:tblPrEx>
        <w:trPr>
          <w:trHeight w:val="90"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车身</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4门5</w:t>
            </w:r>
            <w:r>
              <w:rPr>
                <w:rFonts w:hint="eastAsia" w:ascii="宋体" w:hAnsi="宋体" w:eastAsia="宋体" w:cs="宋体"/>
                <w:color w:val="auto"/>
                <w:kern w:val="2"/>
                <w:sz w:val="24"/>
                <w:szCs w:val="24"/>
                <w:highlight w:val="none"/>
              </w:rPr>
              <w:t>座</w:t>
            </w:r>
            <w:r>
              <w:rPr>
                <w:rFonts w:hint="eastAsia" w:ascii="宋体" w:hAnsi="宋体" w:eastAsia="宋体" w:cs="宋体"/>
                <w:color w:val="auto"/>
                <w:kern w:val="2"/>
                <w:sz w:val="24"/>
                <w:szCs w:val="24"/>
                <w:highlight w:val="none"/>
                <w:lang w:eastAsia="zh-CN"/>
              </w:rPr>
              <w:t>三厢轿车</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排放标准</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≥国六</w:t>
            </w:r>
            <w:r>
              <w:rPr>
                <w:rFonts w:hint="eastAsia" w:ascii="宋体" w:hAnsi="宋体" w:eastAsia="宋体" w:cs="宋体"/>
                <w:color w:val="auto"/>
                <w:kern w:val="2"/>
                <w:sz w:val="24"/>
                <w:szCs w:val="24"/>
                <w:highlight w:val="none"/>
                <w:lang w:val="en-US" w:eastAsia="zh-CN"/>
              </w:rPr>
              <w:t>B</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排量</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w:t>
            </w:r>
            <w:r>
              <w:rPr>
                <w:rFonts w:hint="eastAsia" w:ascii="宋体" w:hAnsi="宋体" w:eastAsia="宋体" w:cs="宋体"/>
                <w:color w:val="auto"/>
                <w:kern w:val="2"/>
                <w:sz w:val="24"/>
                <w:szCs w:val="24"/>
                <w:highlight w:val="none"/>
                <w:lang w:val="en-US" w:eastAsia="zh-CN"/>
              </w:rPr>
              <w:t>95</w:t>
            </w:r>
            <w:r>
              <w:rPr>
                <w:rFonts w:hint="eastAsia" w:ascii="宋体" w:hAnsi="宋体" w:eastAsia="宋体" w:cs="宋体"/>
                <w:color w:val="auto"/>
                <w:kern w:val="2"/>
                <w:sz w:val="24"/>
                <w:szCs w:val="24"/>
                <w:highlight w:val="none"/>
              </w:rPr>
              <w:t>ml≤排量≤1</w:t>
            </w:r>
            <w:r>
              <w:rPr>
                <w:rFonts w:hint="eastAsia" w:ascii="宋体" w:hAnsi="宋体" w:eastAsia="宋体" w:cs="宋体"/>
                <w:color w:val="auto"/>
                <w:kern w:val="2"/>
                <w:sz w:val="24"/>
                <w:szCs w:val="24"/>
                <w:highlight w:val="none"/>
                <w:lang w:val="en-US" w:eastAsia="zh-CN"/>
              </w:rPr>
              <w:t>800</w:t>
            </w:r>
            <w:r>
              <w:rPr>
                <w:rFonts w:hint="eastAsia" w:ascii="宋体" w:hAnsi="宋体" w:eastAsia="宋体" w:cs="宋体"/>
                <w:color w:val="auto"/>
                <w:kern w:val="2"/>
                <w:sz w:val="24"/>
                <w:szCs w:val="24"/>
                <w:highlight w:val="none"/>
              </w:rPr>
              <w:t>ml</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发动机进气形式</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涡轮增压</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最大功率</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≥110kW</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最大扭矩</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≥250 N·m</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燃油类型</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汽油</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变速箱</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自动</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708"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轴距</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≥2680mm</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vMerge w:val="restart"/>
            <w:tcBorders>
              <w:top w:val="single" w:color="auto" w:sz="4" w:space="0"/>
              <w:left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vMerge w:val="restart"/>
            <w:tcBorders>
              <w:top w:val="single" w:color="auto" w:sz="4" w:space="0"/>
              <w:left w:val="nil"/>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外形尺寸</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lang w:val="en-US" w:eastAsia="zh-CN"/>
              </w:rPr>
              <w:t>4700mm≤长≤4800mm</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vMerge w:val="continue"/>
            <w:tcBorders>
              <w:left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rPr>
            </w:pPr>
          </w:p>
        </w:tc>
        <w:tc>
          <w:tcPr>
            <w:tcW w:w="2364" w:type="dxa"/>
            <w:vMerge w:val="continue"/>
            <w:tcBorders>
              <w:left w:val="nil"/>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1750mm≤宽≤1850mm</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vMerge w:val="continue"/>
            <w:tcBorders>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rPr>
            </w:pPr>
          </w:p>
        </w:tc>
        <w:tc>
          <w:tcPr>
            <w:tcW w:w="2364" w:type="dxa"/>
            <w:vMerge w:val="continue"/>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1450mm≤高≤1500mm</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★车身颜色</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2辆浅色（含白色、银色等）6辆深色（含黑色、蓝色等）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★轮胎数</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≥5条（含备胎）</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★远、近光灯</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LED</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★油箱容积</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≥50L</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eastAsia="zh-CN"/>
              </w:rPr>
              <w:t>档位数</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前悬挂类型</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麦弗逊式独立悬挂</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后悬挂类型</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多连杆式独立悬挂</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sz w:val="24"/>
                <w:szCs w:val="24"/>
                <w:highlight w:val="none"/>
                <w:lang w:val="en-US" w:eastAsia="zh-CN"/>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驻车制动类型</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电子驻车</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fldChar w:fldCharType="begin"/>
            </w:r>
            <w:r>
              <w:rPr>
                <w:rFonts w:hint="eastAsia" w:ascii="宋体" w:hAnsi="宋体" w:eastAsia="宋体" w:cs="宋体"/>
                <w:color w:val="auto"/>
                <w:kern w:val="2"/>
                <w:sz w:val="24"/>
                <w:szCs w:val="24"/>
                <w:highlight w:val="none"/>
                <w:lang w:val="en-US" w:eastAsia="zh-CN"/>
              </w:rPr>
              <w:instrText xml:space="preserve"> HYPERLINK "https://yp.xcar.com.cn/wiki/detail_334.html" \o "https://yp.xcar.com.cn/wiki/detail_334.html" </w:instrText>
            </w:r>
            <w:r>
              <w:rPr>
                <w:rFonts w:hint="eastAsia" w:ascii="宋体" w:hAnsi="宋体" w:eastAsia="宋体" w:cs="宋体"/>
                <w:color w:val="auto"/>
                <w:kern w:val="2"/>
                <w:sz w:val="24"/>
                <w:szCs w:val="24"/>
                <w:highlight w:val="none"/>
                <w:lang w:val="en-US" w:eastAsia="zh-CN"/>
              </w:rPr>
              <w:fldChar w:fldCharType="separate"/>
            </w:r>
            <w:r>
              <w:rPr>
                <w:rFonts w:hint="eastAsia" w:ascii="宋体" w:hAnsi="宋体" w:eastAsia="宋体" w:cs="宋体"/>
                <w:color w:val="auto"/>
                <w:kern w:val="2"/>
                <w:sz w:val="24"/>
                <w:szCs w:val="24"/>
                <w:highlight w:val="none"/>
                <w:lang w:val="en-US" w:eastAsia="zh-CN"/>
              </w:rPr>
              <w:t>胎压监测</w:t>
            </w:r>
            <w:r>
              <w:rPr>
                <w:rFonts w:hint="eastAsia" w:ascii="宋体" w:hAnsi="宋体" w:eastAsia="宋体" w:cs="宋体"/>
                <w:color w:val="auto"/>
                <w:kern w:val="2"/>
                <w:sz w:val="24"/>
                <w:szCs w:val="24"/>
                <w:highlight w:val="none"/>
                <w:lang w:val="en-US" w:eastAsia="zh-CN"/>
              </w:rPr>
              <w:fldChar w:fldCharType="end"/>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毫米波雷达数量</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≥1个</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倒车视频影像</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suppressLineNumbers w:val="0"/>
              <w:kinsoku/>
              <w:wordWrap/>
              <w:overflowPunct/>
              <w:topLinePunct w:val="0"/>
              <w:bidi w:val="0"/>
              <w:snapToGrid w:val="0"/>
              <w:spacing w:beforeLines="0" w:after="0" w:afterLines="0" w:line="360" w:lineRule="auto"/>
              <w:jc w:val="center"/>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i w:val="0"/>
                <w:color w:val="auto"/>
                <w:kern w:val="0"/>
                <w:sz w:val="24"/>
                <w:szCs w:val="24"/>
                <w:highlight w:val="none"/>
                <w:u w:val="none"/>
                <w:lang w:val="en-US" w:eastAsia="zh-CN" w:bidi="ar"/>
              </w:rPr>
              <w:t>自适应巡航</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suppressLineNumbers w:val="0"/>
              <w:kinsoku/>
              <w:wordWrap/>
              <w:overflowPunct/>
              <w:topLinePunct w:val="0"/>
              <w:bidi w:val="0"/>
              <w:snapToGrid w:val="0"/>
              <w:spacing w:beforeLines="0" w:after="0" w:afterLines="0" w:line="360" w:lineRule="auto"/>
              <w:jc w:val="center"/>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i w:val="0"/>
                <w:color w:val="auto"/>
                <w:kern w:val="0"/>
                <w:sz w:val="24"/>
                <w:szCs w:val="24"/>
                <w:highlight w:val="none"/>
                <w:u w:val="none"/>
                <w:lang w:val="en-US" w:eastAsia="zh-CN" w:bidi="ar"/>
              </w:rPr>
              <w:t>自动驻车</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suppressLineNumbers w:val="0"/>
              <w:kinsoku/>
              <w:wordWrap/>
              <w:overflowPunct/>
              <w:topLinePunct w:val="0"/>
              <w:bidi w:val="0"/>
              <w:snapToGrid w:val="0"/>
              <w:spacing w:beforeLines="0" w:after="0" w:afterLines="0" w:line="360" w:lineRule="auto"/>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i w:val="0"/>
                <w:color w:val="auto"/>
                <w:kern w:val="0"/>
                <w:sz w:val="24"/>
                <w:szCs w:val="24"/>
                <w:highlight w:val="none"/>
                <w:u w:val="none"/>
                <w:lang w:val="en-US" w:eastAsia="zh-CN" w:bidi="ar"/>
              </w:rPr>
              <w:t>无钥匙启动</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座椅加热</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超声波雷达数量</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≥8个</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rPr>
              <w:t>行李厢最</w:t>
            </w:r>
            <w:r>
              <w:rPr>
                <w:rFonts w:hint="eastAsia" w:ascii="宋体" w:hAnsi="宋体" w:eastAsia="宋体" w:cs="宋体"/>
                <w:color w:val="auto"/>
                <w:kern w:val="2"/>
                <w:sz w:val="24"/>
                <w:szCs w:val="24"/>
                <w:highlight w:val="none"/>
                <w:lang w:eastAsia="zh-CN"/>
              </w:rPr>
              <w:t>大</w:t>
            </w:r>
            <w:r>
              <w:rPr>
                <w:rFonts w:hint="eastAsia" w:ascii="宋体" w:hAnsi="宋体" w:eastAsia="宋体" w:cs="宋体"/>
                <w:color w:val="auto"/>
                <w:kern w:val="2"/>
                <w:sz w:val="24"/>
                <w:szCs w:val="24"/>
                <w:highlight w:val="none"/>
              </w:rPr>
              <w:t>容积</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≥540L</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隐藏式门把手</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否</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前、后驻车雷达</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r>
        <w:tblPrEx>
          <w:tblLayout w:type="fixed"/>
          <w:tblCellMar>
            <w:top w:w="0" w:type="dxa"/>
            <w:left w:w="0" w:type="dxa"/>
            <w:bottom w:w="0" w:type="dxa"/>
            <w:right w:w="0" w:type="dxa"/>
          </w:tblCellMar>
        </w:tblPrEx>
        <w:trPr>
          <w:trHeight w:val="294" w:hRule="atLeast"/>
        </w:trPr>
        <w:tc>
          <w:tcPr>
            <w:tcW w:w="140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pStyle w:val="232"/>
              <w:keepNext w:val="0"/>
              <w:keepLines w:val="0"/>
              <w:pageBreakBefore w:val="0"/>
              <w:widowControl w:val="0"/>
              <w:numPr>
                <w:ilvl w:val="0"/>
                <w:numId w:val="8"/>
              </w:numPr>
              <w:kinsoku/>
              <w:wordWrap/>
              <w:overflowPunct/>
              <w:topLinePunct w:val="0"/>
              <w:bidi w:val="0"/>
              <w:snapToGrid w:val="0"/>
              <w:spacing w:beforeLines="0" w:after="0" w:afterLines="0" w:line="360" w:lineRule="auto"/>
              <w:ind w:left="425" w:hanging="425" w:firstLineChars="0"/>
              <w:jc w:val="center"/>
              <w:rPr>
                <w:rFonts w:hint="eastAsia" w:ascii="宋体" w:hAnsi="宋体" w:eastAsia="宋体" w:cs="宋体"/>
                <w:color w:val="auto"/>
                <w:kern w:val="2"/>
                <w:sz w:val="24"/>
                <w:szCs w:val="24"/>
                <w:highlight w:val="none"/>
                <w:lang w:val="en-US" w:eastAsia="zh-CN" w:bidi="ar-SA"/>
              </w:rPr>
            </w:pPr>
          </w:p>
        </w:tc>
        <w:tc>
          <w:tcPr>
            <w:tcW w:w="2364" w:type="dxa"/>
            <w:tcBorders>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bCs/>
                <w:sz w:val="24"/>
                <w:szCs w:val="24"/>
                <w:highlight w:val="none"/>
              </w:rPr>
              <w:t>＃</w:t>
            </w:r>
            <w:r>
              <w:rPr>
                <w:rFonts w:hint="eastAsia" w:ascii="宋体" w:hAnsi="宋体" w:eastAsia="宋体" w:cs="宋体"/>
                <w:color w:val="auto"/>
                <w:kern w:val="2"/>
                <w:sz w:val="24"/>
                <w:szCs w:val="24"/>
                <w:highlight w:val="none"/>
                <w:lang w:val="en-US" w:eastAsia="zh-CN"/>
              </w:rPr>
              <w:t>转向辅助灯</w:t>
            </w:r>
          </w:p>
        </w:tc>
        <w:tc>
          <w:tcPr>
            <w:tcW w:w="3648"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sz w:val="24"/>
                <w:szCs w:val="24"/>
                <w:highlight w:val="none"/>
              </w:rPr>
            </w:pPr>
            <w:r>
              <w:rPr>
                <w:rFonts w:hint="eastAsia" w:ascii="宋体" w:hAnsi="宋体" w:eastAsia="宋体" w:cs="宋体"/>
                <w:color w:val="auto"/>
                <w:kern w:val="2"/>
                <w:sz w:val="24"/>
                <w:szCs w:val="24"/>
                <w:highlight w:val="none"/>
                <w:lang w:val="en-US" w:eastAsia="zh-CN"/>
              </w:rPr>
              <w:t>有</w:t>
            </w:r>
          </w:p>
        </w:tc>
        <w:tc>
          <w:tcPr>
            <w:tcW w:w="1604"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keepNext w:val="0"/>
              <w:keepLines w:val="0"/>
              <w:pageBreakBefore w:val="0"/>
              <w:widowControl w:val="0"/>
              <w:kinsoku/>
              <w:wordWrap/>
              <w:overflowPunct/>
              <w:topLinePunct w:val="0"/>
              <w:bidi w:val="0"/>
              <w:adjustRightInd/>
              <w:snapToGrid w:val="0"/>
              <w:spacing w:beforeLines="0" w:after="0" w:afterLines="0" w:line="360" w:lineRule="auto"/>
              <w:jc w:val="center"/>
              <w:rPr>
                <w:rFonts w:hint="eastAsia" w:ascii="宋体" w:hAnsi="宋体" w:eastAsia="宋体" w:cs="宋体"/>
                <w:color w:val="auto"/>
                <w:kern w:val="2"/>
                <w:sz w:val="24"/>
                <w:szCs w:val="24"/>
                <w:highlight w:val="none"/>
                <w:lang w:val="en-US" w:eastAsia="zh-CN"/>
              </w:rPr>
            </w:pPr>
          </w:p>
        </w:tc>
      </w:tr>
    </w:tbl>
    <w:p>
      <w:pPr>
        <w:pageBreakBefore w:val="0"/>
        <w:kinsoku/>
        <w:wordWrap/>
        <w:overflowPunct/>
        <w:topLinePunct w:val="0"/>
        <w:autoSpaceDE w:val="0"/>
        <w:autoSpaceDN w:val="0"/>
        <w:bidi w:val="0"/>
        <w:snapToGrid w:val="0"/>
        <w:spacing w:beforeLines="0" w:after="0" w:afterLines="0"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三、商务要求</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（一）报价要求</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 投标人的报价应包括：车辆及附件货款、运输费、运输保险费、装卸费、安装调试费、车辆购置税等。不包含装具费用、机动车保险费用。投标人所报价格为最终优惠价格。</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 验收及相关费用由投标人负责。</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（二）服务要求</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所投车辆</w:t>
      </w:r>
      <w:r>
        <w:rPr>
          <w:rFonts w:hint="eastAsia" w:ascii="宋体" w:hAnsi="宋体" w:eastAsia="宋体" w:cs="宋体"/>
          <w:bCs/>
          <w:color w:val="auto"/>
          <w:sz w:val="24"/>
          <w:szCs w:val="24"/>
          <w:highlight w:val="none"/>
          <w:lang w:val="en-US" w:eastAsia="zh-CN"/>
        </w:rPr>
        <w:t>整车</w:t>
      </w:r>
      <w:r>
        <w:rPr>
          <w:rFonts w:hint="eastAsia" w:ascii="宋体" w:hAnsi="宋体" w:eastAsia="宋体" w:cs="宋体"/>
          <w:bCs/>
          <w:color w:val="auto"/>
          <w:sz w:val="24"/>
          <w:szCs w:val="24"/>
          <w:highlight w:val="none"/>
        </w:rPr>
        <w:t>保修期限不低于3年或者行驶里程100,000公里，以先到者为准；所投车辆三包（修理、更换、退货）有效期限不低于《家用汽车产品修理、更换、退货责任规定》要求。保修期和三包有效期自供应商开具购车发票之日起计算。</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提供所投产品制造商服务机构情况，包括地址、联系方式及技术人员数量等。</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（三）交货要求</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 交货期：签订合同之日起</w:t>
      </w:r>
      <w:r>
        <w:rPr>
          <w:rFonts w:hint="eastAsia" w:ascii="宋体" w:hAnsi="宋体" w:cs="宋体"/>
          <w:bCs/>
          <w:color w:val="auto"/>
          <w:sz w:val="24"/>
          <w:szCs w:val="24"/>
          <w:highlight w:val="none"/>
          <w:lang w:val="en-US" w:eastAsia="zh-CN"/>
        </w:rPr>
        <w:t>4</w:t>
      </w:r>
      <w:r>
        <w:rPr>
          <w:rFonts w:hint="eastAsia" w:ascii="宋体" w:hAnsi="宋体" w:eastAsia="宋体" w:cs="宋体"/>
          <w:bCs/>
          <w:color w:val="auto"/>
          <w:sz w:val="24"/>
          <w:szCs w:val="24"/>
          <w:highlight w:val="none"/>
          <w:lang w:val="en-US" w:eastAsia="zh-CN"/>
        </w:rPr>
        <w:t>0</w:t>
      </w:r>
      <w:r>
        <w:rPr>
          <w:rFonts w:hint="eastAsia" w:ascii="宋体" w:hAnsi="宋体" w:eastAsia="宋体" w:cs="宋体"/>
          <w:bCs/>
          <w:color w:val="auto"/>
          <w:sz w:val="24"/>
          <w:szCs w:val="24"/>
          <w:highlight w:val="none"/>
        </w:rPr>
        <w:t>日内（特殊情况以合同为准）。</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 交货地点：采购人指定地点 （特殊情况以合同为准）。</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 提供制造商完整的随车资料、随车工具，包括完整的使用和维修手册等。</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 特别要求：交货时要求投标人就所投产品提供产品说明书。</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（四）付款方式</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同签订后20个工作日内，支付首款50%；车辆上完牌照经查验无质量问题，验收合格后15个工作日内，采购人向中标人支付合同总额剩余款项的50%（特殊情况以合同为准），采购人付款前中标人需提供相应金额的正式发票、购置税票（或缴税证明）。</w:t>
      </w:r>
    </w:p>
    <w:p>
      <w:pPr>
        <w:pageBreakBefore w:val="0"/>
        <w:kinsoku/>
        <w:wordWrap/>
        <w:overflowPunct/>
        <w:topLinePunct w:val="0"/>
        <w:autoSpaceDE w:val="0"/>
        <w:autoSpaceDN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（五）验收方法及标准</w:t>
      </w:r>
    </w:p>
    <w:p>
      <w:pPr>
        <w:pageBreakBefore w:val="0"/>
        <w:kinsoku/>
        <w:wordWrap/>
        <w:overflowPunct/>
        <w:topLinePunct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按照采购合同的约定和现行国家标准、行业标准以及企业标准对每一项技术、服务、安全标准的履约情况进行确认。投标产品应为符合国家产品质量标准及厂家该型号汽车质量标准的新下线的未曾经过维修的崭新车辆，符合国家安全及环保要求，可以在北京地区上牌的合法车辆。采购人有权根据需要设置出厂检验、到货检验、安装调试检验、配套服务检验等多重验收环节。必要时，采购人有权邀请参加本项目的第三方机构参与验收。验收结束后，应当出具验收书，列明各项标准的验收情况及项目总体评价，由验收双方共同签署。</w:t>
      </w:r>
    </w:p>
    <w:p>
      <w:pPr>
        <w:pageBreakBefore w:val="0"/>
        <w:kinsoku/>
        <w:wordWrap/>
        <w:overflowPunct/>
        <w:topLinePunct w:val="0"/>
        <w:bidi w:val="0"/>
        <w:snapToGrid w:val="0"/>
        <w:spacing w:beforeLines="0" w:after="0"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cs="宋体"/>
          <w:color w:val="auto"/>
          <w:sz w:val="24"/>
          <w:szCs w:val="24"/>
          <w:highlight w:val="none"/>
          <w:lang w:eastAsia="zh-CN"/>
        </w:rPr>
        <w:t>验收标准：所供车辆符合招标文件要求，且在本地登记注册上牌后，一次性到货交付验收。</w:t>
      </w:r>
    </w:p>
    <w:p>
      <w:pPr>
        <w:pageBreakBefore w:val="0"/>
        <w:kinsoku/>
        <w:wordWrap/>
        <w:overflowPunct/>
        <w:topLinePunct w:val="0"/>
        <w:bidi w:val="0"/>
        <w:snapToGrid w:val="0"/>
        <w:spacing w:beforeLines="0" w:after="0" w:afterLines="0" w:line="360" w:lineRule="auto"/>
        <w:ind w:firstLine="480" w:firstLineChars="200"/>
        <w:contextualSpacing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六</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环保专项承诺</w:t>
      </w:r>
    </w:p>
    <w:p>
      <w:pPr>
        <w:pageBreakBefore w:val="0"/>
        <w:kinsoku/>
        <w:wordWrap/>
        <w:overflowPunct/>
        <w:topLinePunct w:val="0"/>
        <w:bidi w:val="0"/>
        <w:snapToGrid w:val="0"/>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rPr>
        <w:t>★（一）根据《北京市财政局 北京市生态环境局关于政府采购推广使用低挥发性有机化合物（VOCs）有关事项的通知》（京财采购〔2020〕2381号）文件的规定，政府采购货物、工程和服务项目中涉及涂料、胶黏剂、油墨、清洗剂等挥发性有机物产品的，属于强制性标准的，参与本项目的投标人应当执行符合本市和国家的VOCs含量限值标准，并按招标文件规定格式提供专项承诺，</w:t>
      </w:r>
      <w:r>
        <w:rPr>
          <w:rFonts w:hint="eastAsia" w:ascii="宋体" w:hAnsi="宋体"/>
          <w:b/>
          <w:bCs/>
          <w:sz w:val="24"/>
          <w:highlight w:val="none"/>
        </w:rPr>
        <w:t>未提供该承诺的按照无效投标处理。</w:t>
      </w:r>
    </w:p>
    <w:p>
      <w:pPr>
        <w:pageBreakBefore w:val="0"/>
        <w:numPr>
          <w:ilvl w:val="0"/>
          <w:numId w:val="0"/>
        </w:numPr>
        <w:kinsoku/>
        <w:wordWrap/>
        <w:overflowPunct/>
        <w:topLinePunct w:val="0"/>
        <w:bidi w:val="0"/>
        <w:snapToGrid w:val="0"/>
        <w:spacing w:beforeLines="0" w:afterLines="0" w:line="360" w:lineRule="auto"/>
        <w:ind w:firstLine="480" w:firstLineChars="200"/>
        <w:rPr>
          <w:rFonts w:hint="eastAsia" w:ascii="宋体" w:hAnsi="宋体"/>
          <w:b/>
          <w:bCs/>
          <w:sz w:val="24"/>
          <w:highlight w:val="none"/>
        </w:rPr>
      </w:pPr>
      <w:r>
        <w:rPr>
          <w:rFonts w:hint="eastAsia" w:ascii="宋体" w:hAnsi="宋体"/>
          <w:sz w:val="24"/>
          <w:highlight w:val="none"/>
          <w:lang w:eastAsia="zh-CN"/>
        </w:rPr>
        <w:t>（</w:t>
      </w:r>
      <w:r>
        <w:rPr>
          <w:rFonts w:hint="eastAsia" w:ascii="宋体" w:hAnsi="宋体"/>
          <w:sz w:val="24"/>
          <w:highlight w:val="none"/>
          <w:lang w:val="en-US" w:eastAsia="zh-CN"/>
        </w:rPr>
        <w:t>二</w:t>
      </w:r>
      <w:r>
        <w:rPr>
          <w:rFonts w:hint="eastAsia" w:ascii="宋体" w:hAnsi="宋体"/>
          <w:sz w:val="24"/>
          <w:highlight w:val="none"/>
          <w:lang w:eastAsia="zh-CN"/>
        </w:rPr>
        <w:t>）</w:t>
      </w:r>
      <w:r>
        <w:rPr>
          <w:rFonts w:hint="eastAsia" w:ascii="宋体" w:hAnsi="宋体"/>
          <w:sz w:val="24"/>
          <w:highlight w:val="none"/>
        </w:rPr>
        <w:t>根据《北京市财政局 北京市生态环境局关于政府采购推广使用低挥发性有机化合物（VOCs）有关事项的通知》（京财采购〔2020〕2381 号）文件的规定，政府采购货物、工程和服务项目中涉及涂料、胶黏剂、油墨、清洗剂等挥发性有机物产品的，属于推荐性标准的，应在招标文件中载明优惠幅度，以及评审标准和方法等，以体现优先采购。本项采购中，低挥发性有机化合物含量涂料产品技术要求（GB/T38597-2020）属于国家推荐性标准，投标人可承诺在生产过程中使用的相关材料符合本市和国家相关政策。</w:t>
      </w:r>
      <w:r>
        <w:rPr>
          <w:rFonts w:hint="eastAsia" w:ascii="宋体" w:hAnsi="宋体"/>
          <w:b/>
          <w:bCs/>
          <w:sz w:val="24"/>
          <w:highlight w:val="none"/>
        </w:rPr>
        <w:t>本项承诺为非实质响应条款，投标人可根据实际情况自行提供。</w:t>
      </w:r>
    </w:p>
    <w:p>
      <w:pPr>
        <w:pStyle w:val="31"/>
        <w:numPr>
          <w:ilvl w:val="0"/>
          <w:numId w:val="0"/>
        </w:numPr>
        <w:snapToGrid w:val="0"/>
        <w:spacing w:beforeLines="0" w:afterLines="0" w:line="360" w:lineRule="auto"/>
        <w:ind w:firstLine="482" w:firstLineChars="200"/>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（七）其他要求</w:t>
      </w:r>
    </w:p>
    <w:p>
      <w:pPr>
        <w:pageBreakBefore w:val="0"/>
        <w:numPr>
          <w:ilvl w:val="0"/>
          <w:numId w:val="0"/>
        </w:numPr>
        <w:kinsoku/>
        <w:wordWrap/>
        <w:overflowPunct/>
        <w:topLinePunct w:val="0"/>
        <w:bidi w:val="0"/>
        <w:snapToGrid w:val="0"/>
        <w:spacing w:beforeLines="0" w:afterLines="0" w:line="360" w:lineRule="auto"/>
        <w:ind w:firstLine="480" w:firstLineChars="200"/>
        <w:rPr>
          <w:rFonts w:hint="eastAsia" w:ascii="宋体" w:hAnsi="宋体"/>
          <w:sz w:val="24"/>
          <w:highlight w:val="none"/>
          <w:lang w:val="en-US" w:eastAsia="zh-CN"/>
        </w:rPr>
      </w:pPr>
      <w:r>
        <w:rPr>
          <w:rFonts w:hint="eastAsia" w:ascii="宋体" w:hAnsi="宋体"/>
          <w:sz w:val="24"/>
          <w:highlight w:val="none"/>
          <w:lang w:eastAsia="zh-CN"/>
        </w:rPr>
        <w:t>（</w:t>
      </w: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lang w:val="en-US" w:eastAsia="zh-CN"/>
        </w:rPr>
        <w:t>提供所投全部车辆的</w:t>
      </w:r>
      <w:r>
        <w:rPr>
          <w:rFonts w:hint="eastAsia" w:asciiTheme="minorEastAsia" w:hAnsiTheme="minorEastAsia" w:eastAsiaTheme="minorEastAsia" w:cstheme="minorEastAsia"/>
          <w:color w:val="auto"/>
          <w:sz w:val="24"/>
          <w:szCs w:val="24"/>
          <w:highlight w:val="none"/>
        </w:rPr>
        <w:t>车辆安全配置和辅助功能</w:t>
      </w:r>
      <w:r>
        <w:rPr>
          <w:rFonts w:hint="eastAsia" w:asciiTheme="minorEastAsia" w:hAnsiTheme="minorEastAsia" w:eastAsiaTheme="minorEastAsia" w:cstheme="minorEastAsia"/>
          <w:color w:val="auto"/>
          <w:sz w:val="24"/>
          <w:szCs w:val="24"/>
          <w:highlight w:val="none"/>
          <w:lang w:val="en-US" w:eastAsia="zh-CN"/>
        </w:rPr>
        <w:t>材料，包括但不限于：安全配置、驾驶</w:t>
      </w:r>
      <w:r>
        <w:rPr>
          <w:rFonts w:hint="eastAsia" w:ascii="宋体" w:hAnsi="宋体"/>
          <w:sz w:val="24"/>
          <w:highlight w:val="none"/>
          <w:lang w:val="en-US" w:eastAsia="zh-CN"/>
        </w:rPr>
        <w:t>辅助功能方面的相关说明；</w:t>
      </w:r>
    </w:p>
    <w:p>
      <w:pPr>
        <w:pStyle w:val="31"/>
        <w:numPr>
          <w:ilvl w:val="0"/>
          <w:numId w:val="0"/>
        </w:numPr>
        <w:snapToGrid w:val="0"/>
        <w:spacing w:beforeLines="0" w:afterLines="0" w:line="360" w:lineRule="auto"/>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（2）投标人应提供售后服务方案，包含但不限于：供货商售后服务能力、保修及售后服务方案、售后服务方案、应急保障方案等内容。</w:t>
      </w:r>
    </w:p>
    <w:p>
      <w:pPr>
        <w:pStyle w:val="31"/>
        <w:numPr>
          <w:ilvl w:val="0"/>
          <w:numId w:val="0"/>
        </w:numPr>
        <w:snapToGrid w:val="0"/>
        <w:spacing w:beforeLines="0" w:afterLines="0" w:line="360" w:lineRule="auto"/>
        <w:ind w:firstLine="480" w:firstLineChars="200"/>
        <w:rPr>
          <w:rFonts w:hint="default" w:ascii="宋体" w:hAnsi="宋体" w:eastAsiaTheme="minorEastAsia"/>
          <w:sz w:val="24"/>
          <w:highlight w:val="none"/>
          <w:lang w:val="en-US" w:eastAsia="zh-CN"/>
        </w:rPr>
      </w:pPr>
      <w:r>
        <w:rPr>
          <w:rFonts w:hint="eastAsia" w:ascii="宋体" w:hAnsi="宋体"/>
          <w:sz w:val="24"/>
          <w:highlight w:val="none"/>
          <w:lang w:val="en-US" w:eastAsia="zh-CN"/>
        </w:rPr>
        <w:t>（3）投标人应提供投标</w:t>
      </w:r>
      <w:r>
        <w:rPr>
          <w:rFonts w:hint="eastAsia" w:asciiTheme="minorEastAsia" w:hAnsiTheme="minorEastAsia" w:eastAsiaTheme="minorEastAsia" w:cstheme="minorEastAsia"/>
          <w:color w:val="auto"/>
          <w:sz w:val="24"/>
          <w:szCs w:val="24"/>
          <w:highlight w:val="none"/>
        </w:rPr>
        <w:t>产品整体性能</w:t>
      </w:r>
      <w:r>
        <w:rPr>
          <w:rFonts w:hint="eastAsia" w:asciiTheme="minorEastAsia" w:hAnsiTheme="minorEastAsia" w:eastAsiaTheme="minorEastAsia" w:cstheme="minorEastAsia"/>
          <w:color w:val="auto"/>
          <w:sz w:val="24"/>
          <w:szCs w:val="24"/>
          <w:highlight w:val="none"/>
          <w:lang w:val="en-US" w:eastAsia="zh-CN"/>
        </w:rPr>
        <w:t>证明材料，包括但不限于：提供所投车辆①驾驶性能、②舒适性、③安全性能、④造型品质等方面的相关说明。</w:t>
      </w:r>
    </w:p>
    <w:p>
      <w:pPr>
        <w:pStyle w:val="31"/>
        <w:pageBreakBefore w:val="0"/>
        <w:kinsoku/>
        <w:wordWrap/>
        <w:overflowPunct/>
        <w:topLinePunct w:val="0"/>
        <w:bidi w:val="0"/>
        <w:snapToGrid w:val="0"/>
        <w:spacing w:beforeLines="0" w:afterLines="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提供所投车辆关键部件质量证明材料，包括但不限于：提供所投车辆的①车身结构、②动力系统、③变速箱、④底盘制动方面的相关说明。</w:t>
      </w: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rPr>
      </w:pPr>
    </w:p>
    <w:p>
      <w:pPr>
        <w:pStyle w:val="31"/>
        <w:pageBreakBefore w:val="0"/>
        <w:kinsoku/>
        <w:wordWrap/>
        <w:overflowPunct/>
        <w:topLinePunct w:val="0"/>
        <w:bidi w:val="0"/>
        <w:snapToGrid w:val="0"/>
        <w:spacing w:beforeLines="0" w:afterLines="0" w:line="360" w:lineRule="auto"/>
        <w:ind w:left="0" w:leftChars="0" w:firstLine="0" w:firstLineChars="0"/>
        <w:rPr>
          <w:rFonts w:hint="eastAsia" w:ascii="宋体" w:hAnsi="宋体" w:eastAsia="宋体" w:cs="宋体"/>
          <w:color w:val="auto"/>
          <w:sz w:val="24"/>
          <w:szCs w:val="24"/>
          <w:highlight w:val="none"/>
        </w:rPr>
      </w:pPr>
    </w:p>
    <w:p>
      <w:pPr>
        <w:snapToGrid w:val="0"/>
        <w:spacing w:beforeLines="0" w:afterLines="0" w:line="360" w:lineRule="auto"/>
        <w:rPr>
          <w:rFonts w:hint="eastAsia" w:ascii="宋体" w:hAnsi="宋体" w:eastAsia="宋体" w:cs="宋体"/>
          <w:b/>
          <w:color w:val="auto"/>
          <w:sz w:val="24"/>
          <w:szCs w:val="24"/>
          <w:highlight w:val="none"/>
          <w:lang w:eastAsia="zh-CN"/>
        </w:rPr>
      </w:pPr>
      <w:bookmarkStart w:id="1" w:name="_GoBack"/>
      <w:bookmarkEnd w:id="1"/>
    </w:p>
    <w:p>
      <w:pPr>
        <w:pageBreakBefore w:val="0"/>
        <w:kinsoku/>
        <w:wordWrap/>
        <w:overflowPunct/>
        <w:topLinePunct w:val="0"/>
        <w:bidi w:val="0"/>
        <w:snapToGrid w:val="0"/>
        <w:spacing w:beforeLines="0" w:afterLines="0" w:line="360" w:lineRule="auto"/>
        <w:jc w:val="center"/>
        <w:outlineLvl w:val="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eastAsia="zh-CN"/>
        </w:rPr>
        <w:t>市局直属单位</w:t>
      </w:r>
      <w:r>
        <w:rPr>
          <w:rFonts w:hint="eastAsia" w:ascii="宋体" w:hAnsi="宋体" w:eastAsia="宋体" w:cs="宋体"/>
          <w:b/>
          <w:color w:val="auto"/>
          <w:sz w:val="24"/>
          <w:szCs w:val="24"/>
          <w:highlight w:val="none"/>
          <w:lang w:val="en-US" w:eastAsia="zh-CN"/>
        </w:rPr>
        <w:t>2026年度公务用车购置项目</w:t>
      </w:r>
    </w:p>
    <w:p>
      <w:pPr>
        <w:pageBreakBefore w:val="0"/>
        <w:kinsoku/>
        <w:wordWrap/>
        <w:overflowPunct/>
        <w:topLinePunct w:val="0"/>
        <w:bidi w:val="0"/>
        <w:snapToGrid w:val="0"/>
        <w:spacing w:beforeLines="0" w:afterLines="0" w:line="360" w:lineRule="auto"/>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lang w:val="en-US" w:eastAsia="zh-CN"/>
        </w:rPr>
        <w:t xml:space="preserve">（集采目录内部分）-08包 </w:t>
      </w:r>
      <w:r>
        <w:rPr>
          <w:rFonts w:hint="eastAsia" w:ascii="宋体" w:hAnsi="宋体" w:eastAsia="宋体" w:cs="宋体"/>
          <w:b/>
          <w:color w:val="auto"/>
          <w:sz w:val="24"/>
          <w:szCs w:val="24"/>
          <w:highlight w:val="none"/>
        </w:rPr>
        <w:t>采购需求</w:t>
      </w:r>
    </w:p>
    <w:p>
      <w:pPr>
        <w:pageBreakBefore w:val="0"/>
        <w:kinsoku/>
        <w:wordWrap/>
        <w:overflowPunct/>
        <w:topLinePunct w:val="0"/>
        <w:bidi w:val="0"/>
        <w:snapToGrid w:val="0"/>
        <w:spacing w:beforeLines="0" w:afterLines="0" w:line="360" w:lineRule="auto"/>
        <w:jc w:val="center"/>
        <w:rPr>
          <w:rFonts w:hint="eastAsia" w:ascii="宋体" w:hAnsi="宋体" w:eastAsia="宋体" w:cs="宋体"/>
          <w:bCs/>
          <w:color w:val="auto"/>
          <w:sz w:val="24"/>
          <w:szCs w:val="24"/>
          <w:highlight w:val="none"/>
        </w:rPr>
      </w:pPr>
    </w:p>
    <w:p>
      <w:pPr>
        <w:pStyle w:val="504"/>
        <w:pageBreakBefore w:val="0"/>
        <w:numPr>
          <w:ilvl w:val="0"/>
          <w:numId w:val="3"/>
        </w:numPr>
        <w:kinsoku/>
        <w:wordWrap/>
        <w:overflowPunct/>
        <w:topLinePunct w:val="0"/>
        <w:bidi w:val="0"/>
        <w:snapToGrid w:val="0"/>
        <w:spacing w:beforeLines="0" w:afterLines="0" w:line="360" w:lineRule="auto"/>
        <w:ind w:firstLineChars="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采购标的</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 采购标的（货物需求一览表或简要服务内容及数量）</w:t>
      </w:r>
    </w:p>
    <w:tbl>
      <w:tblPr>
        <w:tblStyle w:val="52"/>
        <w:tblW w:w="90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546"/>
        <w:gridCol w:w="793"/>
        <w:gridCol w:w="1773"/>
        <w:gridCol w:w="2481"/>
        <w:gridCol w:w="1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jc w:val="center"/>
        </w:trPr>
        <w:tc>
          <w:tcPr>
            <w:tcW w:w="712"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序号</w:t>
            </w:r>
          </w:p>
        </w:tc>
        <w:tc>
          <w:tcPr>
            <w:tcW w:w="1546"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货物名称</w:t>
            </w:r>
          </w:p>
        </w:tc>
        <w:tc>
          <w:tcPr>
            <w:tcW w:w="793"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数量</w:t>
            </w:r>
          </w:p>
        </w:tc>
        <w:tc>
          <w:tcPr>
            <w:tcW w:w="1773"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中小企业划分标准所属行业</w:t>
            </w:r>
          </w:p>
        </w:tc>
        <w:tc>
          <w:tcPr>
            <w:tcW w:w="248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备注</w:t>
            </w:r>
          </w:p>
        </w:tc>
        <w:tc>
          <w:tcPr>
            <w:tcW w:w="1707"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是否接受进口产品投标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12"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color w:val="auto"/>
                <w:sz w:val="24"/>
                <w:szCs w:val="24"/>
                <w:highlight w:val="none"/>
              </w:rPr>
              <w:t>1</w:t>
            </w:r>
          </w:p>
        </w:tc>
        <w:tc>
          <w:tcPr>
            <w:tcW w:w="1546"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i w:val="0"/>
                <w:iCs w:val="0"/>
                <w:color w:val="auto"/>
                <w:kern w:val="0"/>
                <w:sz w:val="24"/>
                <w:szCs w:val="24"/>
                <w:highlight w:val="none"/>
                <w:u w:val="none"/>
                <w:lang w:val="en-US" w:eastAsia="zh-CN" w:bidi="ar"/>
              </w:rPr>
              <w:t>增程式新能源小型客车</w:t>
            </w:r>
          </w:p>
        </w:tc>
        <w:tc>
          <w:tcPr>
            <w:tcW w:w="793"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辆</w:t>
            </w:r>
          </w:p>
        </w:tc>
        <w:tc>
          <w:tcPr>
            <w:tcW w:w="1773"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color w:val="auto"/>
                <w:sz w:val="24"/>
                <w:szCs w:val="24"/>
                <w:highlight w:val="none"/>
              </w:rPr>
              <w:t>工业</w:t>
            </w:r>
          </w:p>
        </w:tc>
        <w:tc>
          <w:tcPr>
            <w:tcW w:w="2481"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color w:val="auto"/>
                <w:kern w:val="0"/>
                <w:sz w:val="24"/>
                <w:szCs w:val="24"/>
                <w:highlight w:val="none"/>
              </w:rPr>
              <w:t>单车预算</w:t>
            </w:r>
            <w:r>
              <w:rPr>
                <w:rFonts w:hint="eastAsia" w:ascii="宋体" w:hAnsi="宋体" w:eastAsia="宋体" w:cs="宋体"/>
                <w:b/>
                <w:color w:val="auto"/>
                <w:kern w:val="0"/>
                <w:sz w:val="24"/>
                <w:szCs w:val="24"/>
                <w:highlight w:val="none"/>
                <w:lang w:val="en-US"/>
              </w:rPr>
              <w:t>26.401935</w:t>
            </w:r>
            <w:r>
              <w:rPr>
                <w:rFonts w:hint="eastAsia" w:ascii="宋体" w:hAnsi="宋体" w:eastAsia="宋体" w:cs="宋体"/>
                <w:b/>
                <w:color w:val="auto"/>
                <w:kern w:val="0"/>
                <w:sz w:val="24"/>
                <w:szCs w:val="24"/>
                <w:highlight w:val="none"/>
              </w:rPr>
              <w:t>万元，总预算</w:t>
            </w:r>
            <w:r>
              <w:rPr>
                <w:rFonts w:hint="eastAsia" w:ascii="宋体" w:hAnsi="宋体" w:eastAsia="宋体" w:cs="宋体"/>
                <w:b/>
                <w:color w:val="auto"/>
                <w:kern w:val="0"/>
                <w:sz w:val="24"/>
                <w:szCs w:val="24"/>
                <w:highlight w:val="none"/>
                <w:lang w:val="en-US"/>
              </w:rPr>
              <w:t>132.009675</w:t>
            </w:r>
            <w:r>
              <w:rPr>
                <w:rFonts w:hint="eastAsia" w:ascii="宋体" w:hAnsi="宋体" w:eastAsia="宋体" w:cs="宋体"/>
                <w:b/>
                <w:color w:val="auto"/>
                <w:kern w:val="0"/>
                <w:sz w:val="24"/>
                <w:szCs w:val="24"/>
                <w:highlight w:val="none"/>
              </w:rPr>
              <w:t>万元，含购置税。</w:t>
            </w:r>
          </w:p>
        </w:tc>
        <w:tc>
          <w:tcPr>
            <w:tcW w:w="1707" w:type="dxa"/>
            <w:tcBorders>
              <w:top w:val="single" w:color="auto" w:sz="4" w:space="0"/>
              <w:left w:val="single" w:color="auto" w:sz="4" w:space="0"/>
              <w:bottom w:val="single" w:color="auto" w:sz="4" w:space="0"/>
              <w:right w:val="single" w:color="auto" w:sz="4" w:space="0"/>
            </w:tcBorders>
            <w:vAlign w:val="center"/>
          </w:tcPr>
          <w:p>
            <w:pPr>
              <w:pageBreakBefore w:val="0"/>
              <w:kinsoku/>
              <w:wordWrap/>
              <w:overflowPunct/>
              <w:topLinePunct w:val="0"/>
              <w:bidi w:val="0"/>
              <w:snapToGrid w:val="0"/>
              <w:spacing w:beforeLines="0" w:afterLines="0" w:line="360" w:lineRule="auto"/>
              <w:contextualSpacing/>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否</w:t>
            </w:r>
          </w:p>
        </w:tc>
      </w:tr>
    </w:tbl>
    <w:p>
      <w:pPr>
        <w:pageBreakBefore w:val="0"/>
        <w:kinsoku/>
        <w:wordWrap/>
        <w:overflowPunct/>
        <w:topLinePunct w:val="0"/>
        <w:bidi w:val="0"/>
        <w:snapToGrid w:val="0"/>
        <w:spacing w:beforeLines="0" w:afterLines="0" w:line="360" w:lineRule="auto"/>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备注：</w:t>
      </w:r>
      <w:r>
        <w:rPr>
          <w:rFonts w:hint="eastAsia" w:ascii="宋体" w:hAnsi="宋体" w:eastAsia="宋体" w:cs="宋体"/>
          <w:color w:val="auto"/>
          <w:sz w:val="24"/>
          <w:szCs w:val="24"/>
          <w:highlight w:val="none"/>
        </w:rPr>
        <w:t>含购置税、保险、车辆外观制式涂装（警用车辆）等交付采购人使用的一切费用；</w:t>
      </w:r>
      <w:r>
        <w:rPr>
          <w:rFonts w:hint="eastAsia" w:ascii="宋体" w:hAnsi="宋体" w:eastAsia="宋体" w:cs="宋体"/>
          <w:b/>
          <w:bCs/>
          <w:color w:val="auto"/>
          <w:sz w:val="24"/>
          <w:szCs w:val="24"/>
          <w:highlight w:val="none"/>
        </w:rPr>
        <w:t>投标人需提供符合技术要求的车辆且单车报价不得超过单车预算，否则视为无效投标。</w:t>
      </w:r>
      <w:r>
        <w:rPr>
          <w:rFonts w:hint="eastAsia" w:ascii="宋体" w:hAnsi="宋体" w:eastAsia="宋体" w:cs="宋体"/>
          <w:color w:val="auto"/>
          <w:sz w:val="24"/>
          <w:szCs w:val="24"/>
          <w:highlight w:val="none"/>
        </w:rPr>
        <w:t>所有车辆包含不限于上牌、验车、购置税、保险、车辆外观制式涂装（警用车辆）等。须具备警用车辆的喷涂改装能力及资质，该项目为一站式交钥匙工程。</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 项目背景/项目概述</w:t>
      </w:r>
    </w:p>
    <w:p>
      <w:pPr>
        <w:pageBreakBefore w:val="0"/>
        <w:kinsoku/>
        <w:wordWrap/>
        <w:overflowPunct/>
        <w:topLinePunct w:val="0"/>
        <w:bidi w:val="0"/>
        <w:snapToGrid w:val="0"/>
        <w:spacing w:beforeLines="0" w:afterLines="0" w:line="360" w:lineRule="auto"/>
        <w:ind w:firstLine="482"/>
        <w:contextualSpacing/>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为提升快速反应和处置能力，及时有效打击各种违法犯罪活动，北京市公安局根据执法执勤工作需要及财政局批复资金情况，对车龄较长、车况较差的公务用车进行报废更新，拟购置更新一批执法执勤用车，确保北京市社会面安全稳定，人民安居乐业。</w:t>
      </w:r>
    </w:p>
    <w:p>
      <w:pPr>
        <w:pStyle w:val="504"/>
        <w:pageBreakBefore w:val="0"/>
        <w:numPr>
          <w:ilvl w:val="0"/>
          <w:numId w:val="3"/>
        </w:numPr>
        <w:kinsoku/>
        <w:wordWrap/>
        <w:overflowPunct/>
        <w:topLinePunct w:val="0"/>
        <w:bidi w:val="0"/>
        <w:snapToGrid w:val="0"/>
        <w:spacing w:beforeLines="0" w:afterLines="0" w:line="360" w:lineRule="auto"/>
        <w:ind w:left="783" w:firstLineChars="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商务要求</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1. 交付（实施）的时间（期限）和地点（范围）</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1. 1 交货期：签订合同之日起</w:t>
      </w:r>
      <w:r>
        <w:rPr>
          <w:rFonts w:hint="eastAsia" w:ascii="宋体" w:hAnsi="宋体" w:eastAsia="宋体" w:cs="宋体"/>
          <w:bCs/>
          <w:iCs/>
          <w:color w:val="auto"/>
          <w:sz w:val="24"/>
          <w:szCs w:val="24"/>
          <w:highlight w:val="none"/>
          <w:lang w:val="en-US" w:eastAsia="zh-CN"/>
        </w:rPr>
        <w:t>6</w:t>
      </w:r>
      <w:r>
        <w:rPr>
          <w:rFonts w:hint="eastAsia" w:ascii="宋体" w:hAnsi="宋体" w:eastAsia="宋体" w:cs="宋体"/>
          <w:bCs/>
          <w:iCs/>
          <w:color w:val="auto"/>
          <w:sz w:val="24"/>
          <w:szCs w:val="24"/>
          <w:highlight w:val="none"/>
        </w:rPr>
        <w:t>0日内（特殊情况以合同为准）。</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1.2 交货地点：采购人指定地点 （特殊情况以合同为准）。</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1.3 提供制造商完整的随车资料、随车工具，包括完整的使用和维修手册等。</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1.4 特别要求：交货时要求投标人就所投产品提供产品说明书。</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付款条件（进度和方式）</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车辆上完牌照经查验无质量问题，验收合格后15个工作日内，采购人向中标人支付合同总额的100%（特殊情况以合同为准），采购人付款前中标人需提供相应金额的正式发票、购置税票（或缴税证明）。</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售后服务（质保期）</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所投车辆保修期限不低于3年或者行驶里程100,000公里，以先到者为准；所投车辆三包（修理、更换、退货）有效期限不低于《家用汽车产品修理、更换、退货责任规定》要求。保修期和三包有效期自供应商开具购车发票之日起计算。</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color w:val="auto"/>
          <w:sz w:val="24"/>
          <w:szCs w:val="24"/>
          <w:highlight w:val="none"/>
        </w:rPr>
        <w:t>提供所投产品制造商服务机构情况，包括地址、联系方式及技术人员数量等</w:t>
      </w:r>
      <w:r>
        <w:rPr>
          <w:rFonts w:hint="eastAsia" w:ascii="宋体" w:hAnsi="宋体" w:eastAsia="宋体" w:cs="宋体"/>
          <w:bCs/>
          <w:iCs/>
          <w:color w:val="auto"/>
          <w:sz w:val="24"/>
          <w:szCs w:val="24"/>
          <w:highlight w:val="none"/>
        </w:rPr>
        <w:t>。</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b/>
          <w:i/>
          <w:color w:val="auto"/>
          <w:sz w:val="24"/>
          <w:szCs w:val="24"/>
          <w:highlight w:val="none"/>
        </w:rPr>
      </w:pPr>
      <w:r>
        <w:rPr>
          <w:rFonts w:hint="eastAsia" w:ascii="宋体" w:hAnsi="宋体" w:eastAsia="宋体" w:cs="宋体"/>
          <w:color w:val="auto"/>
          <w:sz w:val="24"/>
          <w:szCs w:val="24"/>
          <w:highlight w:val="none"/>
        </w:rPr>
        <w:t>4. 报价要求</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 投标人的报价应包括：车辆及附件货款、运输费、运输保险费、装卸费、安装调试费、车辆购置税等。不包含装具费用、机动车保险费用。投标人所报价格为最终优惠价格。</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4.2 验收及相关费用由投标人负责。</w:t>
      </w:r>
    </w:p>
    <w:p>
      <w:pPr>
        <w:pStyle w:val="504"/>
        <w:pageBreakBefore w:val="0"/>
        <w:numPr>
          <w:ilvl w:val="0"/>
          <w:numId w:val="3"/>
        </w:numPr>
        <w:kinsoku/>
        <w:wordWrap/>
        <w:overflowPunct/>
        <w:topLinePunct w:val="0"/>
        <w:bidi w:val="0"/>
        <w:snapToGrid w:val="0"/>
        <w:spacing w:beforeLines="0" w:afterLines="0" w:line="360" w:lineRule="auto"/>
        <w:ind w:left="783" w:firstLineChars="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技术要求</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基本要求</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1.1 投标文件中对所投产品的名称、品牌、制造商、产地、主要技术性能指标及其在技术、安全、驾驶辅助功能、性能、管理、厂家标准、使用年限及售后服务等方面情况提供详细的具有法律效力的技术资料。</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1.2 投标文件中提供从所投产品原材料采购、设计、加工制作、存储、流通、回收等产品全生命周期各环节，详细阐述该产品节能、环保及绿色供应链管理情况，提供相关证明文件，形式包括证书、图示、文字说明等。</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服务内容及要求/货物技术要求</w:t>
      </w:r>
    </w:p>
    <w:p>
      <w:pPr>
        <w:pStyle w:val="504"/>
        <w:pageBreakBefore w:val="0"/>
        <w:kinsoku/>
        <w:wordWrap/>
        <w:overflowPunct/>
        <w:topLinePunct w:val="0"/>
        <w:bidi w:val="0"/>
        <w:adjustRightInd w:val="0"/>
        <w:snapToGrid w:val="0"/>
        <w:spacing w:beforeLines="0" w:afterLines="0" w:line="360" w:lineRule="auto"/>
        <w:ind w:firstLine="0" w:firstLineChars="0"/>
        <w:contextualSpacing/>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具体技术参数要求表</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特别说明：</w:t>
      </w:r>
    </w:p>
    <w:p>
      <w:pPr>
        <w:pageBreakBefore w:val="0"/>
        <w:kinsoku/>
        <w:wordWrap/>
        <w:overflowPunct/>
        <w:topLinePunct w:val="0"/>
        <w:bidi w:val="0"/>
        <w:snapToGrid w:val="0"/>
        <w:spacing w:beforeLines="0" w:afterLines="0"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（1）标记了“★”的技术参数属于实质性参数，</w:t>
      </w:r>
      <w:r>
        <w:rPr>
          <w:rFonts w:hint="eastAsia" w:ascii="宋体" w:hAnsi="宋体" w:eastAsia="宋体" w:cs="宋体"/>
          <w:b/>
          <w:bCs/>
          <w:color w:val="auto"/>
          <w:sz w:val="24"/>
          <w:szCs w:val="24"/>
          <w:highlight w:val="none"/>
        </w:rPr>
        <w:t>如未响应或响应为负偏离的，按</w:t>
      </w:r>
      <w:r>
        <w:rPr>
          <w:rFonts w:hint="eastAsia" w:ascii="宋体" w:hAnsi="宋体" w:eastAsia="宋体" w:cs="宋体"/>
          <w:b/>
          <w:bCs/>
          <w:color w:val="auto"/>
          <w:sz w:val="24"/>
          <w:szCs w:val="24"/>
          <w:highlight w:val="none"/>
          <w:u w:val="single"/>
        </w:rPr>
        <w:t>无效投标</w:t>
      </w:r>
      <w:r>
        <w:rPr>
          <w:rFonts w:hint="eastAsia" w:ascii="宋体" w:hAnsi="宋体" w:eastAsia="宋体" w:cs="宋体"/>
          <w:b/>
          <w:bCs/>
          <w:color w:val="auto"/>
          <w:sz w:val="24"/>
          <w:szCs w:val="24"/>
          <w:highlight w:val="none"/>
        </w:rPr>
        <w:t>处理。</w:t>
      </w:r>
      <w:r>
        <w:rPr>
          <w:rFonts w:hint="eastAsia" w:ascii="宋体" w:hAnsi="宋体" w:eastAsia="宋体" w:cs="宋体"/>
          <w:color w:val="auto"/>
          <w:sz w:val="24"/>
          <w:szCs w:val="24"/>
          <w:highlight w:val="none"/>
        </w:rPr>
        <w:t>“★”技术参数响应情况的审核依据：供应商在《投标文件（商务技术文件）》中提供与所投车辆型号一致的型式试验报告或检测报告电子件，或国家工信部发布的《道路机动车辆生产企业及产品公告》中所投车辆的公告截图，或在国家工信部备案可查询的与所投车辆型号一致的《合格证》电子件，或车辆官网截图，全部证明资料均须加盖供应商公章。</w:t>
      </w:r>
    </w:p>
    <w:p>
      <w:pPr>
        <w:pStyle w:val="2"/>
        <w:pageBreakBefore w:val="0"/>
        <w:kinsoku/>
        <w:wordWrap/>
        <w:overflowPunct/>
        <w:topLinePunct w:val="0"/>
        <w:bidi w:val="0"/>
        <w:snapToGrid w:val="0"/>
        <w:spacing w:before="0" w:beforeLines="0"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一般技术指标（即未做“★”标记的指标），是指满足本次采购基本功能的技术指标，如供应商所投产品的一般技术指标出现一项或多项负偏离的，将影响其评审分值,但不作为无效投标处理。一般技术指标响应情况的审核依据：供应商在《投标文件（商务技术文件）》中提供与所投车辆型号一致的型式试验报告或检测报告电子件，或国家工信部发布的《道路机动车辆生产企业及产品公告》中所投车辆的公告截图，或在国家工信部备案可查询的与所投车辆型号一致的《合格证》电子件，或车辆官网截图，全部证明资料均须加盖供应商公章。</w:t>
      </w:r>
    </w:p>
    <w:p>
      <w:pPr>
        <w:pStyle w:val="504"/>
        <w:pageBreakBefore w:val="0"/>
        <w:numPr>
          <w:ilvl w:val="0"/>
          <w:numId w:val="0"/>
        </w:numPr>
        <w:kinsoku/>
        <w:wordWrap/>
        <w:overflowPunct/>
        <w:topLinePunct w:val="0"/>
        <w:bidi w:val="0"/>
        <w:adjustRightInd w:val="0"/>
        <w:snapToGrid w:val="0"/>
        <w:spacing w:beforeLines="0" w:afterLines="0" w:line="360" w:lineRule="auto"/>
        <w:ind w:firstLine="0" w:firstLineChars="0"/>
        <w:contextualSpacing/>
        <w:jc w:val="left"/>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kern w:val="2"/>
          <w:sz w:val="24"/>
          <w:szCs w:val="24"/>
          <w:highlight w:val="none"/>
          <w:lang w:val="en-US" w:eastAsia="zh-CN" w:bidi="ar-SA"/>
        </w:rPr>
        <w:t>(一）</w:t>
      </w:r>
      <w:r>
        <w:rPr>
          <w:rFonts w:hint="eastAsia" w:ascii="宋体" w:hAnsi="宋体" w:eastAsia="宋体" w:cs="宋体"/>
          <w:bCs/>
          <w:color w:val="auto"/>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增程式新能源小型客车</w:t>
      </w:r>
    </w:p>
    <w:tbl>
      <w:tblPr>
        <w:tblStyle w:val="52"/>
        <w:tblW w:w="90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5"/>
        <w:gridCol w:w="4578"/>
        <w:gridCol w:w="34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4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项目</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★车身结构</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5门7座，增程式新能源小型客车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 CLTC纯电续航里程(km)</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≥300KM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★排量(mL)</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整车质保</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 五年或12万公里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电池类型</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三元锂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最大功率(kW)</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最大扭矩(N·m)</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45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车身长宽高</w:t>
            </w:r>
          </w:p>
        </w:tc>
        <w:tc>
          <w:tcPr>
            <w:tcW w:w="3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5300≤长≤5400(mm)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napToGrid w:val="0"/>
              <w:spacing w:beforeLines="0" w:afterLines="0" w:line="360" w:lineRule="auto"/>
              <w:jc w:val="center"/>
              <w:rPr>
                <w:rFonts w:hint="eastAsia" w:ascii="宋体" w:hAnsi="宋体" w:eastAsia="宋体" w:cs="宋体"/>
                <w:i w:val="0"/>
                <w:iCs w:val="0"/>
                <w:color w:val="auto"/>
                <w:sz w:val="24"/>
                <w:szCs w:val="24"/>
                <w:highlight w:val="none"/>
                <w:u w:val="none"/>
              </w:rPr>
            </w:pPr>
          </w:p>
        </w:tc>
        <w:tc>
          <w:tcPr>
            <w:tcW w:w="4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kinsoku/>
              <w:wordWrap/>
              <w:overflowPunct/>
              <w:topLinePunct w:val="0"/>
              <w:bidi w:val="0"/>
              <w:snapToGrid w:val="0"/>
              <w:spacing w:beforeLines="0" w:afterLines="0" w:line="360" w:lineRule="auto"/>
              <w:jc w:val="center"/>
              <w:rPr>
                <w:rFonts w:hint="eastAsia" w:ascii="宋体" w:hAnsi="宋体" w:eastAsia="宋体" w:cs="宋体"/>
                <w:i w:val="0"/>
                <w:iCs w:val="0"/>
                <w:color w:val="auto"/>
                <w:sz w:val="24"/>
                <w:szCs w:val="24"/>
                <w:highlight w:val="none"/>
                <w:u w:val="none"/>
              </w:rPr>
            </w:pPr>
          </w:p>
        </w:tc>
        <w:tc>
          <w:tcPr>
            <w:tcW w:w="3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1950≤宽≤2000(mm)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kinsoku/>
              <w:wordWrap/>
              <w:overflowPunct/>
              <w:topLinePunct w:val="0"/>
              <w:bidi w:val="0"/>
              <w:snapToGrid w:val="0"/>
              <w:spacing w:beforeLines="0" w:afterLines="0" w:line="360" w:lineRule="auto"/>
              <w:jc w:val="center"/>
              <w:rPr>
                <w:rFonts w:hint="eastAsia" w:ascii="宋体" w:hAnsi="宋体" w:eastAsia="宋体" w:cs="宋体"/>
                <w:i w:val="0"/>
                <w:iCs w:val="0"/>
                <w:color w:val="auto"/>
                <w:sz w:val="24"/>
                <w:szCs w:val="24"/>
                <w:highlight w:val="none"/>
                <w:u w:val="none"/>
              </w:rPr>
            </w:pPr>
          </w:p>
        </w:tc>
        <w:tc>
          <w:tcPr>
            <w:tcW w:w="4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kinsoku/>
              <w:wordWrap/>
              <w:overflowPunct/>
              <w:topLinePunct w:val="0"/>
              <w:bidi w:val="0"/>
              <w:snapToGrid w:val="0"/>
              <w:spacing w:beforeLines="0" w:afterLines="0" w:line="360" w:lineRule="auto"/>
              <w:jc w:val="center"/>
              <w:rPr>
                <w:rFonts w:hint="eastAsia" w:ascii="宋体" w:hAnsi="宋体" w:eastAsia="宋体" w:cs="宋体"/>
                <w:i w:val="0"/>
                <w:iCs w:val="0"/>
                <w:color w:val="auto"/>
                <w:sz w:val="24"/>
                <w:szCs w:val="24"/>
                <w:highlight w:val="none"/>
                <w:u w:val="none"/>
              </w:rPr>
            </w:pPr>
          </w:p>
        </w:tc>
        <w:tc>
          <w:tcPr>
            <w:tcW w:w="3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1800≤高≤1900(mm)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★轴距(mm)</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车门开启方式</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平开门+侧滑门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驱动方式</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前置后驱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前悬架类型</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双叉臂式独立悬架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后悬架类型</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多连杆式独立悬架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电磁感应悬架</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主/副驾驶座安全气囊</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前/后排侧气囊</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前/后排头部气囊(气帘)</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制动力分配(EBD/CBC等)</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刹车辅助(EBA/BAS/BA等)</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牵引力控制(ASR/TCS/TRC等)</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车身稳定控制(ESC/ESP/DSC等)</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车道保持辅助系统</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主动刹车/主动安全系统</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并线辅助</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车道偏离预警系统</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电动后备厢</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座椅材质</w:t>
            </w:r>
          </w:p>
        </w:tc>
        <w:tc>
          <w:tcPr>
            <w:tcW w:w="3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皮质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前排座椅功能</w:t>
            </w:r>
          </w:p>
        </w:tc>
        <w:tc>
          <w:tcPr>
            <w:tcW w:w="3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加热/通风/按摩/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4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第二排座椅功能</w:t>
            </w:r>
          </w:p>
        </w:tc>
        <w:tc>
          <w:tcPr>
            <w:tcW w:w="3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加热/通风/按摩/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exact"/>
        </w:trPr>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457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Cs/>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第三排座椅前后调节</w:t>
            </w:r>
          </w:p>
        </w:tc>
        <w:tc>
          <w:tcPr>
            <w:tcW w:w="3479"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val="0"/>
              <w:spacing w:beforeLines="0" w:afterLines="0"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有</w:t>
            </w:r>
          </w:p>
        </w:tc>
      </w:tr>
    </w:tbl>
    <w:p>
      <w:pPr>
        <w:pStyle w:val="504"/>
        <w:pageBreakBefore w:val="0"/>
        <w:kinsoku/>
        <w:wordWrap/>
        <w:overflowPunct/>
        <w:topLinePunct w:val="0"/>
        <w:bidi w:val="0"/>
        <w:adjustRightInd w:val="0"/>
        <w:snapToGrid w:val="0"/>
        <w:spacing w:beforeLines="0" w:afterLines="0" w:line="360" w:lineRule="auto"/>
        <w:ind w:firstLine="0" w:firstLineChars="0"/>
        <w:contextualSpacing/>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说明：标注★的项目为必须实质满足项，不满足视为未实质响应，视为投标无效</w:t>
      </w:r>
    </w:p>
    <w:p>
      <w:pPr>
        <w:pageBreakBefore w:val="0"/>
        <w:kinsoku/>
        <w:wordWrap/>
        <w:overflowPunct/>
        <w:topLinePunct w:val="0"/>
        <w:bidi w:val="0"/>
        <w:snapToGrid w:val="0"/>
        <w:spacing w:beforeLines="0" w:afterLines="0" w:line="360" w:lineRule="auto"/>
        <w:contextualSpacing/>
        <w:rPr>
          <w:rFonts w:hint="eastAsia" w:ascii="宋体" w:hAnsi="宋体" w:eastAsia="宋体" w:cs="宋体"/>
          <w:i/>
          <w:iCs/>
          <w:color w:val="auto"/>
          <w:sz w:val="24"/>
          <w:szCs w:val="24"/>
          <w:highlight w:val="none"/>
        </w:rPr>
      </w:pPr>
      <w:r>
        <w:rPr>
          <w:rFonts w:hint="eastAsia" w:ascii="宋体" w:hAnsi="宋体" w:eastAsia="宋体" w:cs="宋体"/>
          <w:color w:val="auto"/>
          <w:sz w:val="24"/>
          <w:szCs w:val="24"/>
          <w:highlight w:val="none"/>
        </w:rPr>
        <w:t>3. 验收标准</w:t>
      </w:r>
    </w:p>
    <w:p>
      <w:pPr>
        <w:pageBreakBefore w:val="0"/>
        <w:widowControl/>
        <w:kinsoku/>
        <w:wordWrap/>
        <w:overflowPunct/>
        <w:topLinePunct w:val="0"/>
        <w:bidi w:val="0"/>
        <w:snapToGrid w:val="0"/>
        <w:spacing w:beforeLines="0" w:afterLines="0" w:line="360" w:lineRule="auto"/>
        <w:ind w:firstLine="482"/>
        <w:contextualSpacing/>
        <w:rPr>
          <w:highlight w:val="none"/>
        </w:rPr>
      </w:pPr>
      <w:r>
        <w:rPr>
          <w:rFonts w:hint="eastAsia" w:ascii="宋体" w:hAnsi="宋体" w:eastAsia="宋体" w:cs="宋体"/>
          <w:bCs/>
          <w:color w:val="auto"/>
          <w:sz w:val="24"/>
          <w:szCs w:val="24"/>
          <w:highlight w:val="none"/>
        </w:rPr>
        <w:t>按照采购合同的约定和现行国家标准、行业标准以及企业标准对每一项技术、服务、安全标准的履约情况进行确认。投标产品应为符合国家产品质量标准及厂家该型号汽车质量标准的新下线的未曾经过维修的崭新车辆，符合国家安全及环保要求，可以在北京地区上牌的合法车辆。采购人有权根据需要设置出厂检验、到货检验、安装调试检验、配套服务检验等多重验收环节。必要时，采购人有权邀请参加本项目的第三方机构参与验收。验收结束后，应当出具验收书，列明各项标准的验收情况及项目总体评价，由验收双方共同签署</w:t>
      </w:r>
      <w:r>
        <w:rPr>
          <w:rFonts w:hint="eastAsia" w:ascii="宋体" w:hAnsi="宋体" w:eastAsia="宋体" w:cs="宋体"/>
          <w:color w:val="auto"/>
          <w:sz w:val="24"/>
          <w:szCs w:val="24"/>
          <w:highlight w:val="none"/>
        </w:rPr>
        <w:t>。</w:t>
      </w:r>
    </w:p>
    <w:p>
      <w:pPr>
        <w:pageBreakBefore w:val="0"/>
        <w:widowControl/>
        <w:kinsoku/>
        <w:wordWrap/>
        <w:overflowPunct/>
        <w:topLinePunct w:val="0"/>
        <w:bidi w:val="0"/>
        <w:snapToGrid w:val="0"/>
        <w:spacing w:beforeLines="0" w:afterLines="0" w:line="360" w:lineRule="auto"/>
        <w:ind w:firstLine="482"/>
        <w:contextualSpacing/>
        <w:rPr>
          <w:rFonts w:hint="eastAsia"/>
          <w:highlight w:val="none"/>
        </w:rPr>
      </w:pPr>
      <w:r>
        <w:rPr>
          <w:rFonts w:hint="eastAsia" w:ascii="宋体" w:hAnsi="宋体" w:cs="宋体"/>
          <w:color w:val="auto"/>
          <w:sz w:val="24"/>
          <w:szCs w:val="24"/>
          <w:highlight w:val="none"/>
          <w:lang w:eastAsia="zh-CN"/>
        </w:rPr>
        <w:t>验收标准：所供车辆符合招标文件要求，且在本地登记注册上牌后，一次性到货交付验收。</w:t>
      </w:r>
    </w:p>
    <w:p>
      <w:pPr>
        <w:pageBreakBefore w:val="0"/>
        <w:widowControl/>
        <w:kinsoku/>
        <w:wordWrap/>
        <w:overflowPunct/>
        <w:topLinePunct w:val="0"/>
        <w:bidi w:val="0"/>
        <w:snapToGrid w:val="0"/>
        <w:spacing w:beforeLines="0" w:afterLines="0" w:line="360" w:lineRule="auto"/>
        <w:ind w:firstLine="482"/>
        <w:contextualSpacing/>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4.环</w:t>
      </w:r>
      <w:r>
        <w:rPr>
          <w:rFonts w:hint="eastAsia" w:ascii="宋体" w:hAnsi="宋体" w:eastAsia="宋体" w:cs="宋体"/>
          <w:bCs/>
          <w:color w:val="auto"/>
          <w:sz w:val="24"/>
          <w:szCs w:val="24"/>
          <w:highlight w:val="none"/>
        </w:rPr>
        <w:t>保专项承诺</w:t>
      </w:r>
    </w:p>
    <w:p>
      <w:pPr>
        <w:pageBreakBefore w:val="0"/>
        <w:kinsoku/>
        <w:wordWrap/>
        <w:overflowPunct/>
        <w:topLinePunct w:val="0"/>
        <w:bidi w:val="0"/>
        <w:snapToGrid w:val="0"/>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rPr>
        <w:t>★（一）根据《北京市财政局 北京市生态环境局关于政府采购推广使用低挥发性有机化合物（VOCs）有关事项的通知》（京财采购〔2020〕2381号）文件的规定，政府采购货物、工程和服务项目中涉及涂料、胶黏剂、油墨、清洗剂等挥发性有机物产品的，属于强制性标准的，参与本项目的投标人应当执行符合本市和国家的VOCs含量限值标准，并按招标文件规定格式提供专项承诺，</w:t>
      </w:r>
      <w:r>
        <w:rPr>
          <w:rFonts w:hint="eastAsia" w:ascii="宋体" w:hAnsi="宋体"/>
          <w:b/>
          <w:bCs/>
          <w:sz w:val="24"/>
          <w:highlight w:val="none"/>
        </w:rPr>
        <w:t>未提供该承诺的按照无效投标处理。</w:t>
      </w:r>
    </w:p>
    <w:p>
      <w:pPr>
        <w:pageBreakBefore w:val="0"/>
        <w:numPr>
          <w:ilvl w:val="0"/>
          <w:numId w:val="0"/>
        </w:numPr>
        <w:kinsoku/>
        <w:wordWrap/>
        <w:overflowPunct/>
        <w:topLinePunct w:val="0"/>
        <w:bidi w:val="0"/>
        <w:snapToGrid w:val="0"/>
        <w:spacing w:beforeLines="0" w:afterLines="0" w:line="360" w:lineRule="auto"/>
        <w:ind w:firstLine="480" w:firstLineChars="200"/>
        <w:rPr>
          <w:rFonts w:hint="eastAsia" w:ascii="宋体" w:hAnsi="宋体"/>
          <w:b/>
          <w:bCs/>
          <w:sz w:val="24"/>
          <w:highlight w:val="none"/>
        </w:rPr>
      </w:pPr>
      <w:r>
        <w:rPr>
          <w:rFonts w:hint="eastAsia" w:ascii="宋体" w:hAnsi="宋体"/>
          <w:sz w:val="24"/>
          <w:highlight w:val="none"/>
          <w:lang w:eastAsia="zh-CN"/>
        </w:rPr>
        <w:t>（</w:t>
      </w:r>
      <w:r>
        <w:rPr>
          <w:rFonts w:hint="eastAsia" w:ascii="宋体" w:hAnsi="宋体"/>
          <w:sz w:val="24"/>
          <w:highlight w:val="none"/>
          <w:lang w:val="en-US" w:eastAsia="zh-CN"/>
        </w:rPr>
        <w:t>二</w:t>
      </w:r>
      <w:r>
        <w:rPr>
          <w:rFonts w:hint="eastAsia" w:ascii="宋体" w:hAnsi="宋体"/>
          <w:sz w:val="24"/>
          <w:highlight w:val="none"/>
          <w:lang w:eastAsia="zh-CN"/>
        </w:rPr>
        <w:t>）</w:t>
      </w:r>
      <w:r>
        <w:rPr>
          <w:rFonts w:hint="eastAsia" w:ascii="宋体" w:hAnsi="宋体"/>
          <w:sz w:val="24"/>
          <w:highlight w:val="none"/>
        </w:rPr>
        <w:t>根据《北京市财政局 北京市生态环境局关于政府采购推广使用低挥发性有机化合物（VOCs）有关事项的通知》（京财采购〔2020〕2381 号）文件的规定，政府采购货物、工程和服务项目中涉及涂料、胶黏剂、油墨、清洗剂等挥发性有机物产品的，属于推荐性标准的，应在招标文件中载明优惠幅度，以及评审标准和方法等，以体现优先采购。本项采购中，低挥发性有机化合物含量涂料产品技术要求（GB/T38597-2020）属于国家推荐性标准，投标人可承诺在生产过程中使用的相关材料符合本市和国家相关政策。</w:t>
      </w:r>
      <w:r>
        <w:rPr>
          <w:rFonts w:hint="eastAsia" w:ascii="宋体" w:hAnsi="宋体"/>
          <w:b/>
          <w:bCs/>
          <w:sz w:val="24"/>
          <w:highlight w:val="none"/>
        </w:rPr>
        <w:t>本项承诺为非实质响应条款，投标人可根据实际情况自行提供。</w:t>
      </w: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5.其他要求</w:t>
      </w: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（1）提供所投全部车辆的车辆安全配置和辅助功能材料，包括但不限于：安全配置、驾驶辅助功能方面的相关说明；</w:t>
      </w:r>
    </w:p>
    <w:p>
      <w:pPr>
        <w:pStyle w:val="31"/>
        <w:pageBreakBefore w:val="0"/>
        <w:kinsoku/>
        <w:wordWrap/>
        <w:overflowPunct/>
        <w:topLinePunct w:val="0"/>
        <w:bidi w:val="0"/>
        <w:snapToGrid w:val="0"/>
        <w:spacing w:beforeLines="0"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（2）投标人应提供售后服务方案，包含但不限于：供货商售后服务能力、保修及售后服务方案、售后服务方案、应急保障方案等内容。</w:t>
      </w:r>
    </w:p>
    <w:p>
      <w:pPr>
        <w:pStyle w:val="31"/>
        <w:pageBreakBefore w:val="0"/>
        <w:kinsoku/>
        <w:wordWrap/>
        <w:overflowPunct/>
        <w:topLinePunct w:val="0"/>
        <w:bidi w:val="0"/>
        <w:snapToGrid w:val="0"/>
        <w:spacing w:beforeLines="0" w:afterLines="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（3）投标人应提供投标产品整体性能证明材料，包括但不限于：提供所投车辆①驾驶性能、②舒适性、③安全性能、④造型品质等方面的相关说明。</w:t>
      </w:r>
    </w:p>
    <w:p>
      <w:pPr>
        <w:pageBreakBefore w:val="0"/>
        <w:kinsoku/>
        <w:wordWrap/>
        <w:overflowPunct/>
        <w:topLinePunct w:val="0"/>
        <w:bidi w:val="0"/>
        <w:snapToGrid w:val="0"/>
        <w:spacing w:beforeLines="0" w:afterLines="0" w:line="360" w:lineRule="auto"/>
        <w:rPr>
          <w:highlight w:val="none"/>
        </w:rPr>
      </w:pPr>
      <w:r>
        <w:rPr>
          <w:rFonts w:hint="eastAsia" w:ascii="宋体" w:hAnsi="宋体" w:eastAsia="宋体" w:cs="宋体"/>
          <w:color w:val="auto"/>
          <w:sz w:val="24"/>
          <w:szCs w:val="24"/>
          <w:highlight w:val="none"/>
          <w:lang w:val="en-US" w:eastAsia="zh-CN"/>
        </w:rPr>
        <w:t>（4）提供所投车辆关键部件质量证明材料，包括但不限于：提供所投车辆的①车身结构、②动力系统、③变速箱、④底盘制动方面的相关说明。</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pStyle w:val="16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5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225"/>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5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5"/>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5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68"/>
      <w:lvlText w:val="%1"/>
      <w:lvlJc w:val="left"/>
      <w:pPr>
        <w:ind w:left="680" w:hanging="680"/>
      </w:pPr>
      <w:rPr>
        <w:rFonts w:hint="eastAsia" w:ascii="宋体" w:hAnsi="宋体" w:eastAsia="宋体"/>
      </w:rPr>
    </w:lvl>
    <w:lvl w:ilvl="1" w:tentative="0">
      <w:start w:val="1"/>
      <w:numFmt w:val="decimal"/>
      <w:pStyle w:val="215"/>
      <w:lvlText w:val="%1.%2"/>
      <w:lvlJc w:val="left"/>
      <w:pPr>
        <w:ind w:left="851" w:hanging="851"/>
      </w:pPr>
      <w:rPr>
        <w:rFonts w:hint="eastAsia" w:ascii="宋体" w:hAnsi="宋体" w:eastAsia="宋体"/>
        <w:color w:val="auto"/>
      </w:rPr>
    </w:lvl>
    <w:lvl w:ilvl="2" w:tentative="0">
      <w:start w:val="1"/>
      <w:numFmt w:val="decimal"/>
      <w:pStyle w:val="21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3BA1A645"/>
    <w:multiLevelType w:val="singleLevel"/>
    <w:tmpl w:val="3BA1A645"/>
    <w:lvl w:ilvl="0" w:tentative="0">
      <w:start w:val="1"/>
      <w:numFmt w:val="decimal"/>
      <w:lvlText w:val="%1."/>
      <w:lvlJc w:val="left"/>
      <w:pPr>
        <w:ind w:left="425" w:hanging="425"/>
      </w:pPr>
      <w:rPr>
        <w:rFonts w:hint="default"/>
      </w:rPr>
    </w:lvl>
  </w:abstractNum>
  <w:num w:numId="1">
    <w:abstractNumId w:val="3"/>
  </w:num>
  <w:num w:numId="2">
    <w:abstractNumId w:val="5"/>
  </w:num>
  <w:num w:numId="3">
    <w:abstractNumId w:val="0"/>
  </w:num>
  <w:num w:numId="4">
    <w:abstractNumId w:val="6"/>
  </w:num>
  <w:num w:numId="5">
    <w:abstractNumId w:val="2"/>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22F6B08"/>
    <w:rsid w:val="0B2D4AE8"/>
    <w:rsid w:val="0BCC364D"/>
    <w:rsid w:val="0EC374CD"/>
    <w:rsid w:val="0FE61D4E"/>
    <w:rsid w:val="11A20CDB"/>
    <w:rsid w:val="151C29F3"/>
    <w:rsid w:val="1C98397C"/>
    <w:rsid w:val="1CEE5DFA"/>
    <w:rsid w:val="1D8906D7"/>
    <w:rsid w:val="1DA14407"/>
    <w:rsid w:val="1E706FDD"/>
    <w:rsid w:val="1F7F39CF"/>
    <w:rsid w:val="29D20428"/>
    <w:rsid w:val="2D0E5DCC"/>
    <w:rsid w:val="35251B30"/>
    <w:rsid w:val="37AC2D77"/>
    <w:rsid w:val="38677016"/>
    <w:rsid w:val="39184CEB"/>
    <w:rsid w:val="3B4C2D3E"/>
    <w:rsid w:val="42D037A2"/>
    <w:rsid w:val="44EC1D67"/>
    <w:rsid w:val="45964E2C"/>
    <w:rsid w:val="499646CD"/>
    <w:rsid w:val="4C7B1D33"/>
    <w:rsid w:val="4DED6F89"/>
    <w:rsid w:val="52510A99"/>
    <w:rsid w:val="555F5B42"/>
    <w:rsid w:val="5B6E3117"/>
    <w:rsid w:val="5DC35C7F"/>
    <w:rsid w:val="6187581E"/>
    <w:rsid w:val="62C958C2"/>
    <w:rsid w:val="67F965E5"/>
    <w:rsid w:val="6DC533E1"/>
    <w:rsid w:val="779F12EB"/>
    <w:rsid w:val="7946006C"/>
    <w:rsid w:val="799B6D30"/>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8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43"/>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20"/>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5"/>
    <w:qFormat/>
    <w:uiPriority w:val="0"/>
    <w:pPr>
      <w:shd w:val="clear" w:color="auto" w:fill="000080"/>
    </w:pPr>
  </w:style>
  <w:style w:type="paragraph" w:styleId="17">
    <w:name w:val="annotation text"/>
    <w:basedOn w:val="1"/>
    <w:link w:val="117"/>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7"/>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Indent"/>
    <w:basedOn w:val="1"/>
    <w:next w:val="23"/>
    <w:link w:val="145"/>
    <w:qFormat/>
    <w:uiPriority w:val="0"/>
    <w:pPr>
      <w:spacing w:line="360" w:lineRule="auto"/>
      <w:ind w:firstLine="570"/>
    </w:pPr>
    <w:rPr>
      <w:sz w:val="24"/>
    </w:rPr>
  </w:style>
  <w:style w:type="paragraph" w:styleId="23">
    <w:name w:val="envelope return"/>
    <w:basedOn w:val="1"/>
    <w:unhideWhenUsed/>
    <w:qFormat/>
    <w:uiPriority w:val="99"/>
    <w:rPr>
      <w:rFonts w:ascii="Arial" w:hAnsi="Arial" w:cs="Arial"/>
      <w:kern w:val="1"/>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39"/>
    <w:pPr>
      <w:ind w:left="840" w:leftChars="400"/>
    </w:pPr>
  </w:style>
  <w:style w:type="paragraph" w:styleId="28">
    <w:name w:val="Plain Text"/>
    <w:basedOn w:val="1"/>
    <w:link w:val="112"/>
    <w:qFormat/>
    <w:uiPriority w:val="0"/>
    <w:rPr>
      <w:rFonts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89"/>
    <w:qFormat/>
    <w:uiPriority w:val="0"/>
    <w:pPr>
      <w:ind w:left="100" w:leftChars="2500"/>
    </w:pPr>
    <w:rPr>
      <w:rFonts w:ascii="仿宋_GB2312" w:hAnsi="宋体" w:eastAsia="仿宋_GB2312"/>
      <w:color w:val="000000"/>
      <w:sz w:val="24"/>
    </w:rPr>
  </w:style>
  <w:style w:type="paragraph" w:styleId="31">
    <w:name w:val="Body Text Indent 2"/>
    <w:basedOn w:val="1"/>
    <w:link w:val="90"/>
    <w:qFormat/>
    <w:uiPriority w:val="0"/>
    <w:pPr>
      <w:ind w:firstLine="480" w:firstLineChars="200"/>
    </w:pPr>
    <w:rPr>
      <w:rFonts w:ascii="仿宋_GB2312" w:eastAsia="仿宋_GB2312"/>
      <w:sz w:val="24"/>
    </w:rPr>
  </w:style>
  <w:style w:type="paragraph" w:styleId="32">
    <w:name w:val="Balloon Text"/>
    <w:basedOn w:val="1"/>
    <w:link w:val="91"/>
    <w:qFormat/>
    <w:uiPriority w:val="0"/>
    <w:rPr>
      <w:sz w:val="18"/>
      <w:szCs w:val="18"/>
    </w:rPr>
  </w:style>
  <w:style w:type="paragraph" w:styleId="33">
    <w:name w:val="footer"/>
    <w:basedOn w:val="1"/>
    <w:link w:val="9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6"/>
    <w:qFormat/>
    <w:uiPriority w:val="0"/>
    <w:pPr>
      <w:jc w:val="center"/>
      <w:outlineLvl w:val="0"/>
    </w:pPr>
    <w:rPr>
      <w:b/>
      <w:sz w:val="32"/>
      <w:szCs w:val="20"/>
    </w:rPr>
  </w:style>
  <w:style w:type="paragraph" w:styleId="49">
    <w:name w:val="annotation subject"/>
    <w:basedOn w:val="17"/>
    <w:next w:val="17"/>
    <w:link w:val="97"/>
    <w:qFormat/>
    <w:uiPriority w:val="0"/>
    <w:rPr>
      <w:b/>
      <w:bCs/>
    </w:rPr>
  </w:style>
  <w:style w:type="paragraph" w:styleId="50">
    <w:name w:val="Body Text First Indent"/>
    <w:basedOn w:val="2"/>
    <w:link w:val="281"/>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2"/>
    <w:next w:val="1"/>
    <w:link w:val="132"/>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6">
    <w:name w:val="_Style 6"/>
    <w:basedOn w:val="1"/>
    <w:qFormat/>
    <w:uiPriority w:val="0"/>
    <w:pPr>
      <w:ind w:firstLine="420" w:firstLineChars="200"/>
    </w:pPr>
    <w:rPr>
      <w:rFonts w:ascii="Calibri" w:hAnsi="Calibri"/>
      <w:szCs w:val="22"/>
    </w:rPr>
  </w:style>
  <w:style w:type="paragraph" w:styleId="67">
    <w:name w:val="List Paragraph"/>
    <w:basedOn w:val="1"/>
    <w:link w:val="125"/>
    <w:qFormat/>
    <w:uiPriority w:val="34"/>
    <w:pPr>
      <w:ind w:firstLine="420" w:firstLineChars="200"/>
    </w:pPr>
    <w:rPr>
      <w:rFonts w:ascii="Calibri" w:hAnsi="Calibri"/>
      <w:szCs w:val="22"/>
    </w:rPr>
  </w:style>
  <w:style w:type="paragraph" w:customStyle="1" w:styleId="6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9">
    <w:name w:val="font71"/>
    <w:basedOn w:val="55"/>
    <w:qFormat/>
    <w:uiPriority w:val="0"/>
    <w:rPr>
      <w:rFonts w:hint="default" w:ascii="Arial" w:hAnsi="Arial" w:cs="Arial"/>
      <w:b/>
      <w:color w:val="000000"/>
      <w:sz w:val="40"/>
      <w:szCs w:val="40"/>
      <w:u w:val="none"/>
    </w:rPr>
  </w:style>
  <w:style w:type="character" w:customStyle="1" w:styleId="70">
    <w:name w:val="font61"/>
    <w:basedOn w:val="55"/>
    <w:qFormat/>
    <w:uiPriority w:val="0"/>
    <w:rPr>
      <w:rFonts w:hint="eastAsia" w:ascii="宋体" w:hAnsi="宋体" w:eastAsia="宋体" w:cs="宋体"/>
      <w:b/>
      <w:color w:val="000000"/>
      <w:sz w:val="40"/>
      <w:szCs w:val="40"/>
      <w:u w:val="none"/>
    </w:rPr>
  </w:style>
  <w:style w:type="character" w:customStyle="1" w:styleId="71">
    <w:name w:val="font91"/>
    <w:basedOn w:val="55"/>
    <w:qFormat/>
    <w:uiPriority w:val="0"/>
    <w:rPr>
      <w:rFonts w:hint="eastAsia" w:ascii="宋体" w:hAnsi="宋体" w:eastAsia="宋体" w:cs="宋体"/>
      <w:color w:val="000000"/>
      <w:sz w:val="20"/>
      <w:szCs w:val="20"/>
      <w:u w:val="none"/>
      <w:vertAlign w:val="superscript"/>
    </w:rPr>
  </w:style>
  <w:style w:type="character" w:customStyle="1" w:styleId="72">
    <w:name w:val="font121"/>
    <w:basedOn w:val="55"/>
    <w:qFormat/>
    <w:uiPriority w:val="0"/>
    <w:rPr>
      <w:rFonts w:hint="eastAsia" w:ascii="宋体" w:hAnsi="宋体" w:eastAsia="宋体" w:cs="宋体"/>
      <w:color w:val="FF0000"/>
      <w:sz w:val="20"/>
      <w:szCs w:val="20"/>
      <w:u w:val="none"/>
    </w:rPr>
  </w:style>
  <w:style w:type="character" w:customStyle="1" w:styleId="73">
    <w:name w:val="font31"/>
    <w:basedOn w:val="55"/>
    <w:qFormat/>
    <w:uiPriority w:val="0"/>
    <w:rPr>
      <w:rFonts w:hint="eastAsia" w:ascii="宋体" w:hAnsi="宋体" w:eastAsia="宋体" w:cs="宋体"/>
      <w:b/>
      <w:color w:val="000000"/>
      <w:sz w:val="20"/>
      <w:szCs w:val="20"/>
      <w:u w:val="none"/>
    </w:rPr>
  </w:style>
  <w:style w:type="character" w:customStyle="1" w:styleId="74">
    <w:name w:val="font111"/>
    <w:basedOn w:val="55"/>
    <w:qFormat/>
    <w:uiPriority w:val="0"/>
    <w:rPr>
      <w:rFonts w:hint="eastAsia" w:ascii="宋体" w:hAnsi="宋体" w:eastAsia="宋体" w:cs="宋体"/>
      <w:color w:val="000000"/>
      <w:sz w:val="20"/>
      <w:szCs w:val="20"/>
      <w:u w:val="none"/>
      <w:vertAlign w:val="superscript"/>
    </w:rPr>
  </w:style>
  <w:style w:type="character" w:customStyle="1" w:styleId="75">
    <w:name w:val="font01"/>
    <w:basedOn w:val="55"/>
    <w:qFormat/>
    <w:uiPriority w:val="0"/>
    <w:rPr>
      <w:rFonts w:hint="eastAsia" w:ascii="宋体" w:hAnsi="宋体" w:eastAsia="宋体" w:cs="宋体"/>
      <w:color w:val="000000"/>
      <w:sz w:val="24"/>
      <w:szCs w:val="24"/>
      <w:u w:val="none"/>
    </w:rPr>
  </w:style>
  <w:style w:type="character" w:customStyle="1" w:styleId="76">
    <w:name w:val="font101"/>
    <w:basedOn w:val="55"/>
    <w:qFormat/>
    <w:uiPriority w:val="0"/>
    <w:rPr>
      <w:rFonts w:hint="eastAsia" w:ascii="宋体" w:hAnsi="宋体" w:eastAsia="宋体" w:cs="宋体"/>
      <w:color w:val="000000"/>
      <w:sz w:val="24"/>
      <w:szCs w:val="24"/>
      <w:u w:val="none"/>
      <w:vertAlign w:val="superscript"/>
    </w:rPr>
  </w:style>
  <w:style w:type="character" w:customStyle="1" w:styleId="77">
    <w:name w:val="font11"/>
    <w:qFormat/>
    <w:uiPriority w:val="0"/>
    <w:rPr>
      <w:rFonts w:hint="eastAsia" w:ascii="宋体" w:hAnsi="宋体" w:eastAsia="宋体" w:cs="宋体"/>
      <w:color w:val="000000"/>
      <w:sz w:val="21"/>
      <w:szCs w:val="21"/>
      <w:u w:val="none"/>
    </w:rPr>
  </w:style>
  <w:style w:type="character" w:customStyle="1" w:styleId="78">
    <w:name w:val="标题 1 字符"/>
    <w:basedOn w:val="55"/>
    <w:link w:val="3"/>
    <w:qFormat/>
    <w:uiPriority w:val="0"/>
    <w:rPr>
      <w:rFonts w:ascii="宋体" w:hAnsi="Times New Roman"/>
      <w:b/>
      <w:kern w:val="44"/>
      <w:sz w:val="32"/>
    </w:rPr>
  </w:style>
  <w:style w:type="character" w:customStyle="1" w:styleId="79">
    <w:name w:val="标题 4 字符"/>
    <w:basedOn w:val="55"/>
    <w:link w:val="6"/>
    <w:qFormat/>
    <w:uiPriority w:val="0"/>
    <w:rPr>
      <w:rFonts w:ascii="Times New Roman" w:hAnsi="Times New Roman"/>
      <w:sz w:val="24"/>
    </w:rPr>
  </w:style>
  <w:style w:type="character" w:customStyle="1" w:styleId="80">
    <w:name w:val="标题 5 字符"/>
    <w:basedOn w:val="55"/>
    <w:link w:val="7"/>
    <w:qFormat/>
    <w:uiPriority w:val="9"/>
    <w:rPr>
      <w:rFonts w:ascii="Times New Roman" w:hAnsi="Times New Roman"/>
      <w:b/>
      <w:sz w:val="28"/>
    </w:rPr>
  </w:style>
  <w:style w:type="character" w:customStyle="1" w:styleId="81">
    <w:name w:val="标题 6 字符"/>
    <w:basedOn w:val="55"/>
    <w:link w:val="8"/>
    <w:qFormat/>
    <w:uiPriority w:val="9"/>
    <w:rPr>
      <w:rFonts w:ascii="Arial" w:hAnsi="Arial" w:eastAsia="黑体"/>
      <w:b/>
      <w:sz w:val="24"/>
    </w:rPr>
  </w:style>
  <w:style w:type="character" w:customStyle="1" w:styleId="82">
    <w:name w:val="标题 7 字符"/>
    <w:basedOn w:val="55"/>
    <w:link w:val="9"/>
    <w:qFormat/>
    <w:uiPriority w:val="9"/>
    <w:rPr>
      <w:rFonts w:ascii="Times New Roman" w:hAnsi="Times New Roman"/>
      <w:b/>
      <w:sz w:val="24"/>
    </w:rPr>
  </w:style>
  <w:style w:type="character" w:customStyle="1" w:styleId="83">
    <w:name w:val="标题 8 字符"/>
    <w:basedOn w:val="55"/>
    <w:link w:val="10"/>
    <w:qFormat/>
    <w:uiPriority w:val="0"/>
    <w:rPr>
      <w:rFonts w:ascii="Arial" w:hAnsi="Arial" w:eastAsia="黑体"/>
      <w:sz w:val="24"/>
    </w:rPr>
  </w:style>
  <w:style w:type="character" w:customStyle="1" w:styleId="84">
    <w:name w:val="标题 9 字符"/>
    <w:basedOn w:val="55"/>
    <w:link w:val="11"/>
    <w:qFormat/>
    <w:uiPriority w:val="0"/>
    <w:rPr>
      <w:rFonts w:ascii="Arial" w:hAnsi="Arial" w:eastAsia="黑体"/>
      <w:sz w:val="21"/>
    </w:rPr>
  </w:style>
  <w:style w:type="character" w:customStyle="1" w:styleId="85">
    <w:name w:val="文档结构图 字符"/>
    <w:basedOn w:val="55"/>
    <w:link w:val="16"/>
    <w:qFormat/>
    <w:uiPriority w:val="99"/>
    <w:rPr>
      <w:rFonts w:ascii="Times New Roman" w:hAnsi="Times New Roman"/>
      <w:kern w:val="2"/>
      <w:sz w:val="21"/>
      <w:szCs w:val="24"/>
      <w:shd w:val="clear" w:color="auto" w:fill="000080"/>
    </w:rPr>
  </w:style>
  <w:style w:type="character" w:customStyle="1" w:styleId="86">
    <w:name w:val="批注文字 字符"/>
    <w:basedOn w:val="55"/>
    <w:qFormat/>
    <w:uiPriority w:val="0"/>
    <w:rPr>
      <w:rFonts w:ascii="Times New Roman" w:hAnsi="Times New Roman"/>
      <w:kern w:val="2"/>
      <w:sz w:val="21"/>
      <w:szCs w:val="24"/>
    </w:rPr>
  </w:style>
  <w:style w:type="character" w:customStyle="1" w:styleId="87">
    <w:name w:val="正文文本 3 字符"/>
    <w:basedOn w:val="55"/>
    <w:link w:val="20"/>
    <w:qFormat/>
    <w:uiPriority w:val="0"/>
    <w:rPr>
      <w:rFonts w:ascii="Times New Roman" w:hAnsi="Times New Roman"/>
      <w:kern w:val="2"/>
      <w:sz w:val="16"/>
      <w:szCs w:val="16"/>
    </w:rPr>
  </w:style>
  <w:style w:type="character" w:customStyle="1" w:styleId="88">
    <w:name w:val="纯文本 字符"/>
    <w:basedOn w:val="55"/>
    <w:qFormat/>
    <w:uiPriority w:val="99"/>
    <w:rPr>
      <w:rFonts w:hAnsi="Courier New" w:cs="Courier New" w:asciiTheme="minorEastAsia" w:eastAsiaTheme="minorEastAsia"/>
      <w:kern w:val="2"/>
      <w:sz w:val="21"/>
      <w:szCs w:val="24"/>
    </w:rPr>
  </w:style>
  <w:style w:type="character" w:customStyle="1" w:styleId="89">
    <w:name w:val="日期 字符"/>
    <w:basedOn w:val="55"/>
    <w:link w:val="30"/>
    <w:qFormat/>
    <w:uiPriority w:val="99"/>
    <w:rPr>
      <w:rFonts w:ascii="仿宋_GB2312" w:hAnsi="宋体" w:eastAsia="仿宋_GB2312"/>
      <w:color w:val="000000"/>
      <w:kern w:val="2"/>
      <w:sz w:val="24"/>
      <w:szCs w:val="24"/>
    </w:rPr>
  </w:style>
  <w:style w:type="character" w:customStyle="1" w:styleId="90">
    <w:name w:val="正文文本缩进 2 字符"/>
    <w:basedOn w:val="55"/>
    <w:link w:val="31"/>
    <w:qFormat/>
    <w:uiPriority w:val="99"/>
    <w:rPr>
      <w:rFonts w:ascii="仿宋_GB2312" w:hAnsi="Times New Roman" w:eastAsia="仿宋_GB2312"/>
      <w:kern w:val="2"/>
      <w:sz w:val="24"/>
      <w:szCs w:val="24"/>
    </w:rPr>
  </w:style>
  <w:style w:type="character" w:customStyle="1" w:styleId="91">
    <w:name w:val="批注框文本 字符"/>
    <w:basedOn w:val="55"/>
    <w:link w:val="32"/>
    <w:qFormat/>
    <w:uiPriority w:val="99"/>
    <w:rPr>
      <w:rFonts w:ascii="Times New Roman" w:hAnsi="Times New Roman"/>
      <w:kern w:val="2"/>
      <w:sz w:val="18"/>
      <w:szCs w:val="18"/>
    </w:rPr>
  </w:style>
  <w:style w:type="character" w:customStyle="1" w:styleId="92">
    <w:name w:val="页脚 字符"/>
    <w:basedOn w:val="55"/>
    <w:link w:val="33"/>
    <w:qFormat/>
    <w:uiPriority w:val="99"/>
    <w:rPr>
      <w:rFonts w:ascii="宋体" w:hAnsi="Times New Roman"/>
      <w:sz w:val="18"/>
    </w:rPr>
  </w:style>
  <w:style w:type="character" w:customStyle="1" w:styleId="93">
    <w:name w:val="页眉 字符"/>
    <w:basedOn w:val="55"/>
    <w:link w:val="34"/>
    <w:qFormat/>
    <w:uiPriority w:val="99"/>
    <w:rPr>
      <w:rFonts w:ascii="Times New Roman" w:hAnsi="Times New Roman"/>
      <w:kern w:val="2"/>
      <w:sz w:val="18"/>
      <w:szCs w:val="18"/>
    </w:rPr>
  </w:style>
  <w:style w:type="character" w:customStyle="1" w:styleId="94">
    <w:name w:val="正文文本缩进 3 字符"/>
    <w:basedOn w:val="55"/>
    <w:link w:val="41"/>
    <w:qFormat/>
    <w:uiPriority w:val="99"/>
    <w:rPr>
      <w:rFonts w:ascii="宋体" w:hAnsi="Times New Roman"/>
      <w:sz w:val="24"/>
    </w:rPr>
  </w:style>
  <w:style w:type="character" w:customStyle="1" w:styleId="95">
    <w:name w:val="HTML 预设格式 字符"/>
    <w:basedOn w:val="55"/>
    <w:link w:val="45"/>
    <w:qFormat/>
    <w:uiPriority w:val="0"/>
    <w:rPr>
      <w:rFonts w:ascii="宋体" w:hAnsi="宋体" w:cs="宋体"/>
      <w:sz w:val="24"/>
      <w:szCs w:val="24"/>
    </w:rPr>
  </w:style>
  <w:style w:type="character" w:customStyle="1" w:styleId="96">
    <w:name w:val="标题 字符"/>
    <w:basedOn w:val="55"/>
    <w:link w:val="48"/>
    <w:qFormat/>
    <w:uiPriority w:val="0"/>
    <w:rPr>
      <w:rFonts w:ascii="Times New Roman" w:hAnsi="Times New Roman"/>
      <w:b/>
      <w:kern w:val="2"/>
      <w:sz w:val="32"/>
    </w:rPr>
  </w:style>
  <w:style w:type="character" w:customStyle="1" w:styleId="97">
    <w:name w:val="批注主题 字符"/>
    <w:basedOn w:val="86"/>
    <w:link w:val="49"/>
    <w:qFormat/>
    <w:uiPriority w:val="99"/>
    <w:rPr>
      <w:rFonts w:ascii="Times New Roman" w:hAnsi="Times New Roman"/>
      <w:b/>
      <w:bCs/>
      <w:kern w:val="2"/>
      <w:sz w:val="21"/>
      <w:szCs w:val="24"/>
    </w:rPr>
  </w:style>
  <w:style w:type="character" w:customStyle="1" w:styleId="98">
    <w:name w:val="chanpin拷贝"/>
    <w:qFormat/>
    <w:uiPriority w:val="0"/>
  </w:style>
  <w:style w:type="character" w:customStyle="1" w:styleId="99">
    <w:name w:val="段1 Char"/>
    <w:qFormat/>
    <w:uiPriority w:val="0"/>
    <w:rPr>
      <w:rFonts w:ascii="宋体" w:eastAsia="宋体"/>
      <w:sz w:val="24"/>
      <w:lang w:val="en-US" w:eastAsia="zh-CN" w:bidi="ar-SA"/>
    </w:rPr>
  </w:style>
  <w:style w:type="character" w:customStyle="1" w:styleId="100">
    <w:name w:val="正文格式 Char"/>
    <w:link w:val="101"/>
    <w:qFormat/>
    <w:locked/>
    <w:uiPriority w:val="0"/>
    <w:rPr>
      <w:rFonts w:ascii="宋体" w:hAnsi="宋体"/>
      <w:sz w:val="24"/>
      <w:szCs w:val="24"/>
      <w:lang w:val="en-GB"/>
    </w:rPr>
  </w:style>
  <w:style w:type="paragraph" w:customStyle="1" w:styleId="101">
    <w:name w:val="正文格式"/>
    <w:basedOn w:val="1"/>
    <w:link w:val="100"/>
    <w:qFormat/>
    <w:uiPriority w:val="0"/>
    <w:pPr>
      <w:spacing w:beforeLines="50" w:line="360" w:lineRule="auto"/>
      <w:ind w:firstLine="480" w:firstLineChars="200"/>
    </w:pPr>
    <w:rPr>
      <w:rFonts w:ascii="宋体" w:hAnsi="宋体"/>
      <w:kern w:val="0"/>
      <w:sz w:val="24"/>
      <w:lang w:val="en-GB"/>
    </w:rPr>
  </w:style>
  <w:style w:type="character" w:customStyle="1" w:styleId="102">
    <w:name w:val="正文表格 Char"/>
    <w:link w:val="103"/>
    <w:qFormat/>
    <w:uiPriority w:val="0"/>
    <w:rPr>
      <w:rFonts w:ascii="宋体" w:hAnsi="宋体"/>
      <w:color w:val="000000"/>
      <w:kern w:val="2"/>
      <w:sz w:val="21"/>
      <w:szCs w:val="21"/>
    </w:rPr>
  </w:style>
  <w:style w:type="paragraph" w:customStyle="1" w:styleId="103">
    <w:name w:val="正文表格"/>
    <w:basedOn w:val="1"/>
    <w:link w:val="102"/>
    <w:qFormat/>
    <w:uiPriority w:val="0"/>
    <w:pPr>
      <w:adjustRightInd w:val="0"/>
      <w:snapToGrid w:val="0"/>
      <w:jc w:val="left"/>
    </w:pPr>
    <w:rPr>
      <w:rFonts w:ascii="宋体" w:hAnsi="宋体"/>
      <w:color w:val="000000"/>
      <w:szCs w:val="21"/>
    </w:rPr>
  </w:style>
  <w:style w:type="character" w:customStyle="1" w:styleId="104">
    <w:name w:val="页脚 Char"/>
    <w:qFormat/>
    <w:uiPriority w:val="0"/>
    <w:rPr>
      <w:rFonts w:ascii="宋体" w:eastAsia="宋体"/>
      <w:sz w:val="18"/>
      <w:lang w:val="en-US" w:eastAsia="zh-CN" w:bidi="ar-SA"/>
    </w:rPr>
  </w:style>
  <w:style w:type="character" w:customStyle="1" w:styleId="105">
    <w:name w:val="标题 3 字符"/>
    <w:link w:val="5"/>
    <w:qFormat/>
    <w:uiPriority w:val="0"/>
    <w:rPr>
      <w:rFonts w:ascii="宋体" w:hAnsi="Times New Roman"/>
      <w:b/>
      <w:sz w:val="24"/>
      <w:u w:val="single"/>
    </w:rPr>
  </w:style>
  <w:style w:type="character" w:customStyle="1" w:styleId="106">
    <w:name w:val="标题 2 字符"/>
    <w:link w:val="4"/>
    <w:qFormat/>
    <w:uiPriority w:val="0"/>
    <w:rPr>
      <w:rFonts w:ascii="Arial" w:hAnsi="Arial" w:eastAsia="黑体"/>
      <w:b/>
      <w:sz w:val="30"/>
    </w:rPr>
  </w:style>
  <w:style w:type="character" w:customStyle="1" w:styleId="107">
    <w:name w:val="页眉 Char"/>
    <w:qFormat/>
    <w:uiPriority w:val="0"/>
    <w:rPr>
      <w:rFonts w:eastAsia="宋体"/>
      <w:kern w:val="2"/>
      <w:sz w:val="18"/>
      <w:szCs w:val="18"/>
      <w:lang w:val="en-US" w:eastAsia="zh-CN" w:bidi="ar-SA"/>
    </w:rPr>
  </w:style>
  <w:style w:type="character" w:customStyle="1" w:styleId="108">
    <w:name w:val="注释 Char"/>
    <w:link w:val="109"/>
    <w:qFormat/>
    <w:uiPriority w:val="0"/>
    <w:rPr>
      <w:rFonts w:ascii="宋体" w:hAnsi="宋体"/>
      <w:kern w:val="2"/>
      <w:sz w:val="21"/>
      <w:szCs w:val="21"/>
    </w:rPr>
  </w:style>
  <w:style w:type="paragraph" w:customStyle="1" w:styleId="109">
    <w:name w:val="注释"/>
    <w:basedOn w:val="1"/>
    <w:link w:val="108"/>
    <w:qFormat/>
    <w:uiPriority w:val="0"/>
    <w:pPr>
      <w:adjustRightInd w:val="0"/>
      <w:snapToGrid w:val="0"/>
      <w:ind w:left="420" w:hanging="420" w:hangingChars="200"/>
      <w:jc w:val="left"/>
    </w:pPr>
    <w:rPr>
      <w:rFonts w:ascii="宋体" w:hAnsi="宋体"/>
      <w:szCs w:val="21"/>
    </w:rPr>
  </w:style>
  <w:style w:type="character" w:customStyle="1" w:styleId="110">
    <w:name w:val="正文文本缩进 Char"/>
    <w:qFormat/>
    <w:uiPriority w:val="0"/>
    <w:rPr>
      <w:rFonts w:eastAsia="宋体"/>
      <w:kern w:val="2"/>
      <w:sz w:val="24"/>
      <w:szCs w:val="24"/>
      <w:lang w:val="en-US" w:eastAsia="zh-CN" w:bidi="ar-SA"/>
    </w:rPr>
  </w:style>
  <w:style w:type="character" w:customStyle="1" w:styleId="111">
    <w:name w:val="标题 3 Char"/>
    <w:qFormat/>
    <w:uiPriority w:val="0"/>
    <w:rPr>
      <w:rFonts w:ascii="宋体" w:eastAsia="宋体"/>
      <w:b/>
      <w:sz w:val="24"/>
      <w:u w:val="single"/>
      <w:lang w:val="en-US" w:eastAsia="zh-CN" w:bidi="ar-SA"/>
    </w:rPr>
  </w:style>
  <w:style w:type="character" w:customStyle="1" w:styleId="112">
    <w:name w:val="纯文本 字符2"/>
    <w:link w:val="28"/>
    <w:qFormat/>
    <w:uiPriority w:val="0"/>
    <w:rPr>
      <w:rFonts w:ascii="宋体" w:hAnsi="Courier New"/>
      <w:kern w:val="2"/>
      <w:sz w:val="21"/>
    </w:rPr>
  </w:style>
  <w:style w:type="character" w:customStyle="1" w:styleId="113">
    <w:name w:val="普通文字1 Char1"/>
    <w:qFormat/>
    <w:uiPriority w:val="0"/>
    <w:rPr>
      <w:rFonts w:ascii="宋体" w:hAnsi="Courier New" w:eastAsia="宋体"/>
      <w:kern w:val="2"/>
      <w:sz w:val="21"/>
      <w:lang w:val="en-US" w:eastAsia="zh-CN" w:bidi="ar-SA"/>
    </w:rPr>
  </w:style>
  <w:style w:type="character" w:customStyle="1" w:styleId="114">
    <w:name w:val="locality"/>
    <w:qFormat/>
    <w:uiPriority w:val="0"/>
  </w:style>
  <w:style w:type="character" w:customStyle="1" w:styleId="115">
    <w:name w:val="正文重点 Char"/>
    <w:link w:val="116"/>
    <w:qFormat/>
    <w:uiPriority w:val="0"/>
    <w:rPr>
      <w:b/>
      <w:sz w:val="24"/>
    </w:rPr>
  </w:style>
  <w:style w:type="paragraph" w:customStyle="1" w:styleId="116">
    <w:name w:val="正文重点"/>
    <w:basedOn w:val="1"/>
    <w:link w:val="115"/>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7">
    <w:name w:val="批注文字 字符1"/>
    <w:link w:val="17"/>
    <w:qFormat/>
    <w:uiPriority w:val="0"/>
    <w:rPr>
      <w:rFonts w:ascii="Times New Roman" w:hAnsi="Times New Roman"/>
      <w:kern w:val="2"/>
      <w:sz w:val="21"/>
      <w:szCs w:val="24"/>
    </w:rPr>
  </w:style>
  <w:style w:type="character" w:customStyle="1" w:styleId="118">
    <w:name w:val="正文小标题 Char"/>
    <w:link w:val="119"/>
    <w:qFormat/>
    <w:uiPriority w:val="0"/>
    <w:rPr>
      <w:rFonts w:ascii="宋体" w:hAnsi="宋体"/>
      <w:b/>
      <w:i/>
      <w:color w:val="FF0000"/>
      <w:kern w:val="2"/>
      <w:sz w:val="24"/>
    </w:rPr>
  </w:style>
  <w:style w:type="paragraph" w:customStyle="1" w:styleId="119">
    <w:name w:val="正文小标题"/>
    <w:basedOn w:val="1"/>
    <w:next w:val="14"/>
    <w:link w:val="11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20">
    <w:name w:val="正文缩进 字符"/>
    <w:link w:val="14"/>
    <w:qFormat/>
    <w:uiPriority w:val="0"/>
    <w:rPr>
      <w:rFonts w:ascii="宋体" w:hAnsi="Times New Roman"/>
      <w:kern w:val="2"/>
      <w:sz w:val="24"/>
      <w:szCs w:val="24"/>
    </w:rPr>
  </w:style>
  <w:style w:type="character" w:customStyle="1" w:styleId="121">
    <w:name w:val="列出段落 Char"/>
    <w:qFormat/>
    <w:uiPriority w:val="34"/>
    <w:rPr>
      <w:rFonts w:ascii="Calibri" w:hAnsi="Calibri" w:eastAsia="宋体"/>
      <w:kern w:val="2"/>
      <w:sz w:val="21"/>
      <w:szCs w:val="22"/>
      <w:lang w:val="en-US" w:eastAsia="zh-CN" w:bidi="ar-SA"/>
    </w:rPr>
  </w:style>
  <w:style w:type="character" w:customStyle="1" w:styleId="122">
    <w:name w:val="black1"/>
    <w:qFormat/>
    <w:uiPriority w:val="0"/>
    <w:rPr>
      <w:color w:val="000000"/>
    </w:rPr>
  </w:style>
  <w:style w:type="character" w:customStyle="1" w:styleId="123">
    <w:name w:val="apple-style-span"/>
    <w:qFormat/>
    <w:uiPriority w:val="0"/>
    <w:rPr>
      <w:rFonts w:cs="Times New Roman"/>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列出段落 字符"/>
    <w:link w:val="67"/>
    <w:qFormat/>
    <w:uiPriority w:val="34"/>
    <w:rPr>
      <w:kern w:val="2"/>
      <w:sz w:val="21"/>
      <w:szCs w:val="22"/>
    </w:rPr>
  </w:style>
  <w:style w:type="character" w:customStyle="1" w:styleId="126">
    <w:name w:val="标题 Char"/>
    <w:qFormat/>
    <w:uiPriority w:val="99"/>
    <w:rPr>
      <w:b/>
      <w:kern w:val="2"/>
      <w:sz w:val="32"/>
    </w:rPr>
  </w:style>
  <w:style w:type="character" w:customStyle="1" w:styleId="127">
    <w:name w:val="纯文本 字符1"/>
    <w:qFormat/>
    <w:uiPriority w:val="0"/>
    <w:rPr>
      <w:rFonts w:ascii="宋体" w:hAnsi="Courier New"/>
    </w:rPr>
  </w:style>
  <w:style w:type="character" w:customStyle="1" w:styleId="128">
    <w:name w:val="标题 2 Char"/>
    <w:qFormat/>
    <w:uiPriority w:val="0"/>
    <w:rPr>
      <w:rFonts w:ascii="Arial" w:hAnsi="Arial" w:eastAsia="黑体"/>
      <w:b/>
      <w:sz w:val="30"/>
      <w:lang w:val="en-US" w:eastAsia="zh-CN" w:bidi="ar-SA"/>
    </w:rPr>
  </w:style>
  <w:style w:type="character" w:customStyle="1" w:styleId="129">
    <w:name w:val="标题 3 Char Char"/>
    <w:qFormat/>
    <w:uiPriority w:val="0"/>
    <w:rPr>
      <w:rFonts w:eastAsia="宋体"/>
      <w:b/>
      <w:bCs/>
      <w:kern w:val="2"/>
      <w:sz w:val="32"/>
      <w:szCs w:val="32"/>
      <w:lang w:val="en-US" w:eastAsia="zh-CN" w:bidi="ar-SA"/>
    </w:rPr>
  </w:style>
  <w:style w:type="character" w:customStyle="1" w:styleId="130">
    <w:name w:val="正文大标题 Char"/>
    <w:link w:val="131"/>
    <w:qFormat/>
    <w:uiPriority w:val="0"/>
    <w:rPr>
      <w:rFonts w:ascii="宋体" w:hAnsi="宋体"/>
      <w:b/>
      <w:color w:val="000000"/>
      <w:kern w:val="2"/>
      <w:sz w:val="28"/>
      <w:szCs w:val="21"/>
    </w:rPr>
  </w:style>
  <w:style w:type="paragraph" w:customStyle="1" w:styleId="131">
    <w:name w:val="正文大标题"/>
    <w:basedOn w:val="119"/>
    <w:next w:val="14"/>
    <w:link w:val="130"/>
    <w:qFormat/>
    <w:uiPriority w:val="0"/>
    <w:pPr>
      <w:jc w:val="center"/>
    </w:pPr>
    <w:rPr>
      <w:i w:val="0"/>
      <w:color w:val="000000"/>
      <w:sz w:val="28"/>
      <w:szCs w:val="21"/>
    </w:rPr>
  </w:style>
  <w:style w:type="character" w:customStyle="1" w:styleId="132">
    <w:name w:val="正文首行缩进 2 字符"/>
    <w:link w:val="51"/>
    <w:qFormat/>
    <w:uiPriority w:val="99"/>
    <w:rPr>
      <w:rFonts w:ascii="Times New Roman" w:hAnsi="Times New Roman"/>
      <w:kern w:val="2"/>
      <w:sz w:val="24"/>
    </w:rPr>
  </w:style>
  <w:style w:type="character" w:customStyle="1" w:styleId="133">
    <w:name w:val="title4"/>
    <w:qFormat/>
    <w:uiPriority w:val="0"/>
    <w:rPr>
      <w:b/>
      <w:bCs/>
      <w:color w:val="1D87B3"/>
      <w:sz w:val="15"/>
      <w:szCs w:val="15"/>
    </w:rPr>
  </w:style>
  <w:style w:type="character" w:customStyle="1" w:styleId="134">
    <w:name w:val="Char Char11"/>
    <w:qFormat/>
    <w:uiPriority w:val="0"/>
    <w:rPr>
      <w:rFonts w:ascii="宋体" w:eastAsia="宋体"/>
      <w:b/>
      <w:sz w:val="24"/>
      <w:u w:val="single"/>
      <w:lang w:val="en-US" w:eastAsia="zh-CN" w:bidi="ar-SA"/>
    </w:rPr>
  </w:style>
  <w:style w:type="character" w:customStyle="1" w:styleId="135">
    <w:name w:val="正文缩进 Char Char"/>
    <w:link w:val="136"/>
    <w:qFormat/>
    <w:uiPriority w:val="0"/>
    <w:rPr>
      <w:rFonts w:ascii="宋体"/>
      <w:snapToGrid w:val="0"/>
      <w:color w:val="000000"/>
      <w:kern w:val="28"/>
      <w:sz w:val="28"/>
    </w:rPr>
  </w:style>
  <w:style w:type="paragraph" w:customStyle="1" w:styleId="136">
    <w:name w:val="正文缩进1"/>
    <w:basedOn w:val="1"/>
    <w:link w:val="135"/>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7">
    <w:name w:val="批注文字 Char"/>
    <w:qFormat/>
    <w:uiPriority w:val="99"/>
    <w:rPr>
      <w:kern w:val="2"/>
      <w:sz w:val="21"/>
      <w:szCs w:val="24"/>
    </w:rPr>
  </w:style>
  <w:style w:type="character" w:customStyle="1" w:styleId="138">
    <w:name w:val="txt"/>
    <w:qFormat/>
    <w:uiPriority w:val="0"/>
  </w:style>
  <w:style w:type="character" w:customStyle="1" w:styleId="139">
    <w:name w:val="标题 2 Char Char"/>
    <w:qFormat/>
    <w:uiPriority w:val="0"/>
    <w:rPr>
      <w:rFonts w:ascii="Arial" w:hAnsi="Arial" w:eastAsia="黑体"/>
      <w:b/>
      <w:bCs/>
      <w:kern w:val="2"/>
      <w:sz w:val="32"/>
      <w:szCs w:val="32"/>
      <w:lang w:val="en-US" w:eastAsia="zh-CN" w:bidi="ar-SA"/>
    </w:rPr>
  </w:style>
  <w:style w:type="character" w:customStyle="1" w:styleId="140">
    <w:name w:val="chanpin1"/>
    <w:qFormat/>
    <w:uiPriority w:val="0"/>
    <w:rPr>
      <w:rFonts w:hint="default" w:ascii="ˎ̥" w:hAnsi="ˎ̥"/>
      <w:color w:val="000000"/>
      <w:sz w:val="20"/>
      <w:szCs w:val="20"/>
      <w:u w:val="none"/>
    </w:rPr>
  </w:style>
  <w:style w:type="character" w:customStyle="1" w:styleId="141">
    <w:name w:val="正文文本缩进 Char1"/>
    <w:link w:val="142"/>
    <w:qFormat/>
    <w:uiPriority w:val="0"/>
    <w:rPr>
      <w:rFonts w:ascii="宋体" w:hAnsi="宋体"/>
      <w:sz w:val="24"/>
      <w:szCs w:val="24"/>
    </w:rPr>
  </w:style>
  <w:style w:type="paragraph" w:customStyle="1" w:styleId="142">
    <w:name w:val="正文文本缩进1"/>
    <w:basedOn w:val="1"/>
    <w:link w:val="141"/>
    <w:qFormat/>
    <w:uiPriority w:val="0"/>
    <w:pPr>
      <w:spacing w:line="480" w:lineRule="exact"/>
      <w:ind w:firstLine="480" w:firstLineChars="200"/>
    </w:pPr>
    <w:rPr>
      <w:rFonts w:ascii="宋体" w:hAnsi="宋体"/>
      <w:kern w:val="0"/>
      <w:sz w:val="24"/>
    </w:rPr>
  </w:style>
  <w:style w:type="character" w:customStyle="1" w:styleId="143">
    <w:name w:val="正文文本 字符"/>
    <w:link w:val="2"/>
    <w:qFormat/>
    <w:uiPriority w:val="99"/>
    <w:rPr>
      <w:rFonts w:ascii="宋体" w:hAnsi="宋体"/>
      <w:kern w:val="2"/>
      <w:sz w:val="24"/>
      <w:szCs w:val="24"/>
    </w:rPr>
  </w:style>
  <w:style w:type="character" w:customStyle="1" w:styleId="144">
    <w:name w:val="c21"/>
    <w:qFormat/>
    <w:uiPriority w:val="0"/>
    <w:rPr>
      <w:rFonts w:hint="default" w:ascii="ˎ̥" w:hAnsi="ˎ̥"/>
      <w:color w:val="000000"/>
      <w:sz w:val="20"/>
      <w:szCs w:val="20"/>
      <w:u w:val="none"/>
    </w:rPr>
  </w:style>
  <w:style w:type="character" w:customStyle="1" w:styleId="145">
    <w:name w:val="正文文本缩进 字符"/>
    <w:link w:val="22"/>
    <w:qFormat/>
    <w:uiPriority w:val="99"/>
    <w:rPr>
      <w:rFonts w:ascii="Times New Roman" w:hAnsi="Times New Roman"/>
      <w:kern w:val="2"/>
      <w:sz w:val="24"/>
      <w:szCs w:val="24"/>
    </w:rPr>
  </w:style>
  <w:style w:type="character" w:customStyle="1" w:styleId="146">
    <w:name w:val="中等深浅网格 1 - 强调文字颜色 2 Char"/>
    <w:link w:val="147"/>
    <w:qFormat/>
    <w:uiPriority w:val="0"/>
    <w:rPr>
      <w:kern w:val="2"/>
      <w:sz w:val="21"/>
      <w:szCs w:val="24"/>
      <w:lang w:val="zh-CN"/>
    </w:rPr>
  </w:style>
  <w:style w:type="paragraph" w:customStyle="1" w:styleId="147">
    <w:name w:val="1"/>
    <w:link w:val="146"/>
    <w:qFormat/>
    <w:uiPriority w:val="0"/>
    <w:rPr>
      <w:rFonts w:ascii="Calibri" w:hAnsi="Calibri" w:eastAsia="宋体" w:cs="Times New Roman"/>
      <w:kern w:val="2"/>
      <w:sz w:val="21"/>
      <w:szCs w:val="24"/>
      <w:lang w:val="zh-CN" w:eastAsia="zh-CN" w:bidi="ar-SA"/>
    </w:rPr>
  </w:style>
  <w:style w:type="character" w:customStyle="1" w:styleId="148">
    <w:name w:val="street-address"/>
    <w:qFormat/>
    <w:uiPriority w:val="0"/>
  </w:style>
  <w:style w:type="character" w:customStyle="1" w:styleId="149">
    <w:name w:val="Char Char111"/>
    <w:qFormat/>
    <w:uiPriority w:val="0"/>
    <w:rPr>
      <w:rFonts w:ascii="宋体" w:eastAsia="宋体"/>
      <w:b/>
      <w:sz w:val="24"/>
      <w:u w:val="single"/>
      <w:lang w:val="en-US" w:eastAsia="zh-CN" w:bidi="ar-SA"/>
    </w:rPr>
  </w:style>
  <w:style w:type="character" w:customStyle="1" w:styleId="150">
    <w:name w:val="bjh-p"/>
    <w:qFormat/>
    <w:uiPriority w:val="0"/>
  </w:style>
  <w:style w:type="character" w:customStyle="1" w:styleId="151">
    <w:name w:val="纯文本 Char1"/>
    <w:qFormat/>
    <w:uiPriority w:val="99"/>
    <w:rPr>
      <w:rFonts w:ascii="宋体" w:hAnsi="Courier New" w:eastAsia="宋体"/>
      <w:kern w:val="2"/>
      <w:sz w:val="21"/>
      <w:lang w:val="en-US" w:eastAsia="zh-CN" w:bidi="ar-SA"/>
    </w:rPr>
  </w:style>
  <w:style w:type="paragraph" w:customStyle="1" w:styleId="15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3">
    <w:name w:val="一级条标题"/>
    <w:basedOn w:val="154"/>
    <w:next w:val="1"/>
    <w:qFormat/>
    <w:uiPriority w:val="0"/>
    <w:pPr>
      <w:numPr>
        <w:ilvl w:val="1"/>
      </w:numPr>
      <w:tabs>
        <w:tab w:val="left" w:pos="360"/>
        <w:tab w:val="left" w:pos="840"/>
      </w:tabs>
      <w:ind w:left="0" w:hanging="840"/>
      <w:outlineLvl w:val="1"/>
    </w:pPr>
  </w:style>
  <w:style w:type="paragraph" w:customStyle="1" w:styleId="15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7">
    <w:name w:val="图中文字"/>
    <w:basedOn w:val="1"/>
    <w:qFormat/>
    <w:uiPriority w:val="0"/>
    <w:pPr>
      <w:adjustRightInd w:val="0"/>
      <w:snapToGrid w:val="0"/>
      <w:spacing w:line="0" w:lineRule="atLeast"/>
      <w:jc w:val="center"/>
    </w:pPr>
    <w:rPr>
      <w:sz w:val="24"/>
      <w:szCs w:val="20"/>
    </w:rPr>
  </w:style>
  <w:style w:type="paragraph" w:customStyle="1" w:styleId="158">
    <w:name w:val="Char3 Char Char Char1"/>
    <w:basedOn w:val="1"/>
    <w:qFormat/>
    <w:uiPriority w:val="0"/>
    <w:rPr>
      <w:rFonts w:ascii="Tahoma" w:hAnsi="Tahoma"/>
      <w:sz w:val="24"/>
      <w:szCs w:val="20"/>
    </w:rPr>
  </w:style>
  <w:style w:type="paragraph" w:customStyle="1" w:styleId="159">
    <w:name w:val="项目编号2"/>
    <w:basedOn w:val="160"/>
    <w:qFormat/>
    <w:uiPriority w:val="0"/>
    <w:pPr>
      <w:numPr>
        <w:numId w:val="2"/>
      </w:numPr>
    </w:pPr>
  </w:style>
  <w:style w:type="paragraph" w:customStyle="1" w:styleId="16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1">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5">
    <w:name w:val="五级条标题"/>
    <w:basedOn w:val="166"/>
    <w:next w:val="1"/>
    <w:qFormat/>
    <w:uiPriority w:val="0"/>
    <w:pPr>
      <w:numPr>
        <w:ilvl w:val="5"/>
      </w:numPr>
      <w:tabs>
        <w:tab w:val="left" w:pos="360"/>
        <w:tab w:val="left" w:pos="840"/>
      </w:tabs>
      <w:ind w:left="0" w:hanging="840"/>
      <w:outlineLvl w:val="5"/>
    </w:pPr>
  </w:style>
  <w:style w:type="paragraph" w:customStyle="1" w:styleId="166">
    <w:name w:val="四级条标题"/>
    <w:basedOn w:val="167"/>
    <w:next w:val="1"/>
    <w:qFormat/>
    <w:uiPriority w:val="0"/>
    <w:pPr>
      <w:numPr>
        <w:ilvl w:val="4"/>
      </w:numPr>
      <w:tabs>
        <w:tab w:val="left" w:pos="360"/>
        <w:tab w:val="left" w:pos="840"/>
      </w:tabs>
      <w:ind w:left="0" w:hanging="840"/>
      <w:outlineLvl w:val="4"/>
    </w:pPr>
  </w:style>
  <w:style w:type="paragraph" w:customStyle="1" w:styleId="167">
    <w:name w:val="三级条标题"/>
    <w:basedOn w:val="168"/>
    <w:next w:val="1"/>
    <w:qFormat/>
    <w:uiPriority w:val="0"/>
    <w:pPr>
      <w:numPr>
        <w:ilvl w:val="3"/>
        <w:numId w:val="1"/>
      </w:numPr>
      <w:tabs>
        <w:tab w:val="left" w:pos="360"/>
        <w:tab w:val="left" w:pos="840"/>
      </w:tabs>
      <w:ind w:left="0" w:hanging="840"/>
      <w:outlineLvl w:val="3"/>
    </w:pPr>
  </w:style>
  <w:style w:type="paragraph" w:customStyle="1" w:styleId="168">
    <w:name w:val="二级条标题"/>
    <w:basedOn w:val="153"/>
    <w:next w:val="1"/>
    <w:qFormat/>
    <w:uiPriority w:val="0"/>
    <w:pPr>
      <w:numPr>
        <w:ilvl w:val="0"/>
        <w:numId w:val="0"/>
      </w:numPr>
      <w:ind w:hanging="840"/>
      <w:outlineLvl w:val="2"/>
    </w:pPr>
    <w:rPr>
      <w:rFonts w:ascii="宋体" w:eastAsia="宋体"/>
      <w:b w:val="0"/>
    </w:rPr>
  </w:style>
  <w:style w:type="paragraph" w:customStyle="1" w:styleId="169">
    <w:name w:val="font8"/>
    <w:basedOn w:val="1"/>
    <w:qFormat/>
    <w:uiPriority w:val="0"/>
    <w:pPr>
      <w:widowControl/>
      <w:spacing w:before="100" w:beforeAutospacing="1" w:after="100" w:afterAutospacing="1"/>
      <w:jc w:val="left"/>
    </w:pPr>
    <w:rPr>
      <w:kern w:val="0"/>
      <w:sz w:val="36"/>
      <w:szCs w:val="36"/>
    </w:rPr>
  </w:style>
  <w:style w:type="paragraph" w:customStyle="1" w:styleId="170">
    <w:name w:val="Char3 Char Char Char"/>
    <w:basedOn w:val="1"/>
    <w:qFormat/>
    <w:uiPriority w:val="0"/>
    <w:rPr>
      <w:rFonts w:ascii="Tahoma" w:hAnsi="Tahoma"/>
      <w:sz w:val="24"/>
      <w:szCs w:val="20"/>
    </w:rPr>
  </w:style>
  <w:style w:type="paragraph" w:customStyle="1" w:styleId="171">
    <w:name w:val="默认段落字体 Para Char Char Char Char"/>
    <w:basedOn w:val="1"/>
    <w:qFormat/>
    <w:uiPriority w:val="0"/>
    <w:rPr>
      <w:rFonts w:ascii="Arial" w:hAnsi="Arial" w:cs="Arial"/>
      <w:szCs w:val="21"/>
    </w:rPr>
  </w:style>
  <w:style w:type="paragraph" w:customStyle="1" w:styleId="172">
    <w:name w:val="缺省文本"/>
    <w:basedOn w:val="1"/>
    <w:qFormat/>
    <w:uiPriority w:val="0"/>
    <w:pPr>
      <w:autoSpaceDE w:val="0"/>
      <w:autoSpaceDN w:val="0"/>
      <w:adjustRightInd w:val="0"/>
      <w:jc w:val="left"/>
    </w:pPr>
    <w:rPr>
      <w:kern w:val="0"/>
      <w:sz w:val="24"/>
    </w:rPr>
  </w:style>
  <w:style w:type="paragraph" w:customStyle="1" w:styleId="173">
    <w:name w:val="字元 字元"/>
    <w:basedOn w:val="1"/>
    <w:qFormat/>
    <w:uiPriority w:val="0"/>
    <w:rPr>
      <w:rFonts w:ascii="Tahoma" w:hAnsi="Tahoma"/>
      <w:sz w:val="24"/>
      <w:szCs w:val="20"/>
    </w:rPr>
  </w:style>
  <w:style w:type="paragraph" w:customStyle="1" w:styleId="174">
    <w:name w:val="Char Char Char1 Char2"/>
    <w:basedOn w:val="1"/>
    <w:qFormat/>
    <w:uiPriority w:val="0"/>
    <w:rPr>
      <w:rFonts w:ascii="Tahoma" w:hAnsi="Tahoma"/>
      <w:sz w:val="24"/>
      <w:szCs w:val="20"/>
    </w:rPr>
  </w:style>
  <w:style w:type="paragraph" w:customStyle="1" w:styleId="17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7">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9">
    <w:name w:val="Char2"/>
    <w:basedOn w:val="1"/>
    <w:qFormat/>
    <w:uiPriority w:val="0"/>
    <w:rPr>
      <w:rFonts w:ascii="Tahoma" w:hAnsi="Tahoma"/>
      <w:sz w:val="24"/>
      <w:szCs w:val="20"/>
    </w:rPr>
  </w:style>
  <w:style w:type="paragraph" w:customStyle="1" w:styleId="180">
    <w:name w:val="图文"/>
    <w:basedOn w:val="1"/>
    <w:qFormat/>
    <w:uiPriority w:val="0"/>
    <w:pPr>
      <w:adjustRightInd w:val="0"/>
      <w:snapToGrid w:val="0"/>
      <w:spacing w:after="50" w:line="360" w:lineRule="auto"/>
    </w:pPr>
    <w:rPr>
      <w:sz w:val="24"/>
    </w:rPr>
  </w:style>
  <w:style w:type="paragraph" w:customStyle="1" w:styleId="181">
    <w:name w:val="Char1"/>
    <w:basedOn w:val="1"/>
    <w:qFormat/>
    <w:uiPriority w:val="0"/>
    <w:pPr>
      <w:tabs>
        <w:tab w:val="left" w:pos="360"/>
      </w:tabs>
    </w:pPr>
    <w:rPr>
      <w:sz w:val="24"/>
    </w:rPr>
  </w:style>
  <w:style w:type="paragraph" w:customStyle="1" w:styleId="182">
    <w:name w:val="Char2 Char Char Char Char Char Char1"/>
    <w:basedOn w:val="1"/>
    <w:qFormat/>
    <w:uiPriority w:val="0"/>
    <w:pPr>
      <w:widowControl/>
      <w:spacing w:line="400" w:lineRule="exact"/>
      <w:jc w:val="center"/>
    </w:pPr>
  </w:style>
  <w:style w:type="paragraph" w:customStyle="1" w:styleId="18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4">
    <w:name w:val="文档正文"/>
    <w:basedOn w:val="1"/>
    <w:qFormat/>
    <w:uiPriority w:val="0"/>
    <w:pPr>
      <w:snapToGrid w:val="0"/>
      <w:spacing w:before="120" w:after="120" w:line="180" w:lineRule="auto"/>
    </w:pPr>
    <w:rPr>
      <w:rFonts w:ascii="Arial" w:hAnsi="Arial"/>
      <w:szCs w:val="20"/>
    </w:rPr>
  </w:style>
  <w:style w:type="paragraph" w:customStyle="1" w:styleId="185">
    <w:name w:val="Char Char Char Char Char Char Char Char Char Char"/>
    <w:basedOn w:val="1"/>
    <w:qFormat/>
    <w:uiPriority w:val="0"/>
  </w:style>
  <w:style w:type="paragraph" w:customStyle="1" w:styleId="18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90">
    <w:name w:val="字元 字元2"/>
    <w:basedOn w:val="1"/>
    <w:qFormat/>
    <w:uiPriority w:val="0"/>
    <w:rPr>
      <w:rFonts w:ascii="Tahoma" w:hAnsi="Tahoma"/>
      <w:sz w:val="24"/>
      <w:szCs w:val="20"/>
    </w:rPr>
  </w:style>
  <w:style w:type="paragraph" w:customStyle="1" w:styleId="191">
    <w:name w:val="List Paragraph1"/>
    <w:basedOn w:val="1"/>
    <w:qFormat/>
    <w:uiPriority w:val="34"/>
    <w:pPr>
      <w:ind w:firstLine="420" w:firstLineChars="200"/>
    </w:pPr>
    <w:rPr>
      <w:rFonts w:ascii="Calibri" w:hAnsi="Calibri"/>
      <w:szCs w:val="22"/>
    </w:rPr>
  </w:style>
  <w:style w:type="paragraph" w:customStyle="1" w:styleId="192">
    <w:name w:val="1 Char Char Char Char"/>
    <w:basedOn w:val="1"/>
    <w:qFormat/>
    <w:uiPriority w:val="0"/>
    <w:rPr>
      <w:rFonts w:ascii="Tahoma" w:hAnsi="Tahoma"/>
      <w:sz w:val="24"/>
      <w:szCs w:val="20"/>
    </w:rPr>
  </w:style>
  <w:style w:type="paragraph" w:customStyle="1" w:styleId="19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4">
    <w:name w:val="Char Char Char1 Char"/>
    <w:basedOn w:val="1"/>
    <w:qFormat/>
    <w:uiPriority w:val="0"/>
    <w:rPr>
      <w:rFonts w:ascii="Tahoma" w:hAnsi="Tahoma"/>
      <w:sz w:val="24"/>
      <w:szCs w:val="20"/>
    </w:rPr>
  </w:style>
  <w:style w:type="paragraph" w:customStyle="1" w:styleId="1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6">
    <w:name w:val="列出段落1"/>
    <w:basedOn w:val="1"/>
    <w:qFormat/>
    <w:uiPriority w:val="34"/>
    <w:pPr>
      <w:ind w:firstLine="420" w:firstLineChars="200"/>
    </w:pPr>
    <w:rPr>
      <w:rFonts w:ascii="Calibri" w:hAnsi="Calibri"/>
      <w:szCs w:val="22"/>
    </w:rPr>
  </w:style>
  <w:style w:type="paragraph" w:customStyle="1" w:styleId="197">
    <w:name w:val="样式2"/>
    <w:basedOn w:val="47"/>
    <w:qFormat/>
    <w:uiPriority w:val="0"/>
    <w:pPr>
      <w:spacing w:line="360" w:lineRule="auto"/>
      <w:jc w:val="center"/>
    </w:pPr>
    <w:rPr>
      <w:sz w:val="24"/>
    </w:rPr>
  </w:style>
  <w:style w:type="paragraph" w:customStyle="1" w:styleId="198">
    <w:name w:val="正文文本样式 加粗"/>
    <w:basedOn w:val="199"/>
    <w:qFormat/>
    <w:uiPriority w:val="0"/>
    <w:rPr>
      <w:b/>
    </w:rPr>
  </w:style>
  <w:style w:type="paragraph" w:customStyle="1" w:styleId="199">
    <w:name w:val="正文文本样式"/>
    <w:basedOn w:val="1"/>
    <w:qFormat/>
    <w:uiPriority w:val="0"/>
    <w:pPr>
      <w:spacing w:line="360" w:lineRule="auto"/>
      <w:ind w:firstLine="482"/>
    </w:pPr>
    <w:rPr>
      <w:rFonts w:cs="宋体"/>
      <w:sz w:val="24"/>
      <w:szCs w:val="20"/>
    </w:rPr>
  </w:style>
  <w:style w:type="paragraph" w:customStyle="1" w:styleId="20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8">
    <w:name w:val="Char Char Char2"/>
    <w:basedOn w:val="1"/>
    <w:qFormat/>
    <w:uiPriority w:val="0"/>
    <w:rPr>
      <w:rFonts w:ascii="Tahoma" w:hAnsi="Tahoma"/>
      <w:sz w:val="24"/>
      <w:szCs w:val="20"/>
    </w:rPr>
  </w:style>
  <w:style w:type="paragraph" w:customStyle="1" w:styleId="209">
    <w:name w:val="Char21"/>
    <w:basedOn w:val="1"/>
    <w:qFormat/>
    <w:uiPriority w:val="0"/>
    <w:rPr>
      <w:rFonts w:ascii="Tahoma" w:hAnsi="Tahoma"/>
      <w:sz w:val="24"/>
      <w:szCs w:val="20"/>
    </w:rPr>
  </w:style>
  <w:style w:type="paragraph" w:customStyle="1" w:styleId="210">
    <w:name w:val="正文 + 楷体_GB2312"/>
    <w:basedOn w:val="1"/>
    <w:qFormat/>
    <w:uiPriority w:val="0"/>
    <w:pPr>
      <w:widowControl/>
      <w:jc w:val="left"/>
    </w:pPr>
    <w:rPr>
      <w:rFonts w:ascii="楷体_GB2312" w:eastAsia="楷体_GB2312" w:cs="Arial"/>
      <w:kern w:val="0"/>
      <w:sz w:val="24"/>
    </w:rPr>
  </w:style>
  <w:style w:type="paragraph" w:customStyle="1" w:styleId="21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3">
    <w:name w:val="Char Char Char"/>
    <w:basedOn w:val="1"/>
    <w:qFormat/>
    <w:uiPriority w:val="0"/>
    <w:rPr>
      <w:rFonts w:ascii="Tahoma" w:hAnsi="Tahoma"/>
      <w:sz w:val="24"/>
      <w:szCs w:val="20"/>
    </w:rPr>
  </w:style>
  <w:style w:type="paragraph" w:customStyle="1" w:styleId="214">
    <w:name w:val="修订1"/>
    <w:qFormat/>
    <w:uiPriority w:val="99"/>
    <w:rPr>
      <w:rFonts w:ascii="Times New Roman" w:hAnsi="Times New Roman" w:eastAsia="宋体" w:cs="Times New Roman"/>
      <w:kern w:val="2"/>
      <w:sz w:val="21"/>
      <w:szCs w:val="24"/>
      <w:lang w:val="en-US" w:eastAsia="zh-CN" w:bidi="ar-SA"/>
    </w:rPr>
  </w:style>
  <w:style w:type="paragraph" w:customStyle="1" w:styleId="215">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6">
    <w:name w:val="Char2 Char Char Char Char Char Char"/>
    <w:basedOn w:val="1"/>
    <w:qFormat/>
    <w:uiPriority w:val="0"/>
    <w:pPr>
      <w:widowControl/>
      <w:spacing w:line="400" w:lineRule="exact"/>
      <w:jc w:val="center"/>
    </w:pPr>
  </w:style>
  <w:style w:type="paragraph" w:customStyle="1" w:styleId="217">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8">
    <w:name w:val="字元 字元1"/>
    <w:basedOn w:val="1"/>
    <w:qFormat/>
    <w:uiPriority w:val="0"/>
    <w:rPr>
      <w:rFonts w:ascii="Tahoma" w:hAnsi="Tahoma"/>
      <w:sz w:val="24"/>
      <w:szCs w:val="20"/>
    </w:rPr>
  </w:style>
  <w:style w:type="paragraph" w:customStyle="1" w:styleId="2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20">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1">
    <w:name w:val="Char3"/>
    <w:basedOn w:val="1"/>
    <w:qFormat/>
    <w:uiPriority w:val="0"/>
    <w:pPr>
      <w:tabs>
        <w:tab w:val="left" w:pos="360"/>
      </w:tabs>
    </w:pPr>
    <w:rPr>
      <w:sz w:val="24"/>
    </w:rPr>
  </w:style>
  <w:style w:type="paragraph" w:customStyle="1" w:styleId="2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5">
    <w:name w:val="1名"/>
    <w:basedOn w:val="1"/>
    <w:qFormat/>
    <w:uiPriority w:val="0"/>
    <w:pPr>
      <w:numPr>
        <w:ilvl w:val="0"/>
        <w:numId w:val="5"/>
      </w:numPr>
      <w:spacing w:before="120"/>
    </w:pPr>
    <w:rPr>
      <w:rFonts w:ascii="宋体"/>
      <w:sz w:val="28"/>
      <w:szCs w:val="20"/>
    </w:rPr>
  </w:style>
  <w:style w:type="paragraph" w:customStyle="1" w:styleId="226">
    <w:name w:val="Char"/>
    <w:basedOn w:val="1"/>
    <w:qFormat/>
    <w:uiPriority w:val="0"/>
    <w:pPr>
      <w:tabs>
        <w:tab w:val="left" w:pos="360"/>
      </w:tabs>
    </w:pPr>
    <w:rPr>
      <w:sz w:val="24"/>
    </w:rPr>
  </w:style>
  <w:style w:type="paragraph" w:styleId="2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8">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 Char Char Char Char Char Char Char1"/>
    <w:basedOn w:val="1"/>
    <w:qFormat/>
    <w:uiPriority w:val="0"/>
    <w:rPr>
      <w:rFonts w:ascii="宋体" w:hAnsi="宋体" w:cs="Courier New"/>
      <w:sz w:val="32"/>
      <w:szCs w:val="32"/>
    </w:rPr>
  </w:style>
  <w:style w:type="paragraph" w:customStyle="1" w:styleId="234">
    <w:name w:val="Char Char1"/>
    <w:basedOn w:val="16"/>
    <w:qFormat/>
    <w:uiPriority w:val="0"/>
    <w:rPr>
      <w:rFonts w:ascii="Tahoma" w:hAnsi="Tahoma"/>
      <w:sz w:val="24"/>
    </w:rPr>
  </w:style>
  <w:style w:type="paragraph" w:customStyle="1" w:styleId="235">
    <w:name w:val="Char Char Char1 Char1"/>
    <w:basedOn w:val="1"/>
    <w:qFormat/>
    <w:uiPriority w:val="0"/>
    <w:rPr>
      <w:rFonts w:ascii="Tahoma" w:hAnsi="Tahoma"/>
      <w:sz w:val="24"/>
      <w:szCs w:val="20"/>
    </w:rPr>
  </w:style>
  <w:style w:type="paragraph" w:customStyle="1" w:styleId="23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7">
    <w:name w:val="表格1"/>
    <w:basedOn w:val="1"/>
    <w:qFormat/>
    <w:uiPriority w:val="0"/>
    <w:pPr>
      <w:ind w:firstLine="480" w:firstLineChars="200"/>
      <w:jc w:val="center"/>
    </w:pPr>
    <w:rPr>
      <w:sz w:val="24"/>
      <w:szCs w:val="20"/>
    </w:rPr>
  </w:style>
  <w:style w:type="paragraph" w:customStyle="1" w:styleId="23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9">
    <w:name w:val="Char1 Char Char Char1"/>
    <w:basedOn w:val="1"/>
    <w:qFormat/>
    <w:uiPriority w:val="0"/>
    <w:rPr>
      <w:rFonts w:ascii="Tahoma" w:hAnsi="Tahoma" w:cs="仿宋_GB2312"/>
      <w:sz w:val="24"/>
      <w:szCs w:val="28"/>
    </w:rPr>
  </w:style>
  <w:style w:type="paragraph" w:customStyle="1" w:styleId="240">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1">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3">
    <w:name w:val="项目符号1"/>
    <w:basedOn w:val="199"/>
    <w:qFormat/>
    <w:uiPriority w:val="0"/>
    <w:pPr>
      <w:ind w:left="-25" w:firstLine="0"/>
    </w:pPr>
  </w:style>
  <w:style w:type="paragraph" w:customStyle="1" w:styleId="2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5">
    <w:name w:val="_Style 160"/>
    <w:qFormat/>
    <w:uiPriority w:val="0"/>
    <w:rPr>
      <w:rFonts w:ascii="Times New Roman" w:hAnsi="Times New Roman" w:eastAsia="宋体" w:cs="Times New Roman"/>
      <w:kern w:val="2"/>
      <w:sz w:val="21"/>
      <w:szCs w:val="24"/>
      <w:lang w:val="en-US" w:eastAsia="zh-CN" w:bidi="ar-SA"/>
    </w:rPr>
  </w:style>
  <w:style w:type="paragraph" w:customStyle="1" w:styleId="246">
    <w:name w:val="Char3 Char Char Char2"/>
    <w:basedOn w:val="1"/>
    <w:qFormat/>
    <w:uiPriority w:val="0"/>
    <w:rPr>
      <w:rFonts w:ascii="Tahoma" w:hAnsi="Tahoma"/>
      <w:sz w:val="24"/>
      <w:szCs w:val="20"/>
    </w:rPr>
  </w:style>
  <w:style w:type="paragraph" w:customStyle="1" w:styleId="247">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24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9">
    <w:name w:val="图例"/>
    <w:basedOn w:val="1"/>
    <w:qFormat/>
    <w:uiPriority w:val="0"/>
    <w:pPr>
      <w:spacing w:before="120" w:after="120" w:line="360" w:lineRule="auto"/>
      <w:jc w:val="center"/>
    </w:pPr>
    <w:rPr>
      <w:rFonts w:eastAsia="仿宋_GB2312"/>
      <w:b/>
      <w:sz w:val="24"/>
      <w:szCs w:val="20"/>
    </w:rPr>
  </w:style>
  <w:style w:type="paragraph" w:customStyle="1" w:styleId="25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2">
    <w:name w:val="项目编号3"/>
    <w:basedOn w:val="199"/>
    <w:qFormat/>
    <w:uiPriority w:val="0"/>
    <w:pPr>
      <w:numPr>
        <w:ilvl w:val="0"/>
        <w:numId w:val="7"/>
      </w:numPr>
    </w:pPr>
  </w:style>
  <w:style w:type="paragraph" w:customStyle="1" w:styleId="253">
    <w:name w:val="Char Char4"/>
    <w:basedOn w:val="1"/>
    <w:qFormat/>
    <w:uiPriority w:val="0"/>
    <w:pPr>
      <w:widowControl/>
      <w:spacing w:line="400" w:lineRule="exact"/>
      <w:jc w:val="center"/>
    </w:pPr>
  </w:style>
  <w:style w:type="paragraph" w:customStyle="1" w:styleId="2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5">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6">
    <w:name w:val="标题1-附件"/>
    <w:basedOn w:val="3"/>
    <w:qFormat/>
    <w:uiPriority w:val="0"/>
    <w:pPr>
      <w:jc w:val="left"/>
    </w:pPr>
    <w:rPr>
      <w:sz w:val="24"/>
      <w:szCs w:val="24"/>
    </w:rPr>
  </w:style>
  <w:style w:type="paragraph" w:customStyle="1" w:styleId="25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60">
    <w:name w:val="Char Char Char Char Char Char Char Char Char Char2"/>
    <w:basedOn w:val="1"/>
    <w:qFormat/>
    <w:uiPriority w:val="0"/>
    <w:rPr>
      <w:rFonts w:ascii="宋体" w:hAnsi="宋体" w:cs="Courier New"/>
      <w:sz w:val="32"/>
      <w:szCs w:val="32"/>
    </w:rPr>
  </w:style>
  <w:style w:type="paragraph" w:customStyle="1" w:styleId="26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2">
    <w:name w:val="Char Char Char1"/>
    <w:basedOn w:val="1"/>
    <w:qFormat/>
    <w:uiPriority w:val="0"/>
    <w:rPr>
      <w:rFonts w:ascii="Tahoma" w:hAnsi="Tahoma"/>
      <w:sz w:val="24"/>
      <w:szCs w:val="20"/>
    </w:rPr>
  </w:style>
  <w:style w:type="paragraph" w:customStyle="1" w:styleId="2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5">
    <w:name w:val="Char Char41"/>
    <w:basedOn w:val="1"/>
    <w:qFormat/>
    <w:uiPriority w:val="0"/>
    <w:pPr>
      <w:widowControl/>
      <w:spacing w:line="400" w:lineRule="exact"/>
      <w:jc w:val="center"/>
    </w:pPr>
  </w:style>
  <w:style w:type="paragraph" w:customStyle="1" w:styleId="26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8">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9">
    <w:name w:val="Char22"/>
    <w:basedOn w:val="1"/>
    <w:qFormat/>
    <w:uiPriority w:val="0"/>
    <w:rPr>
      <w:rFonts w:ascii="Tahoma" w:hAnsi="Tahoma"/>
      <w:sz w:val="24"/>
      <w:szCs w:val="20"/>
    </w:rPr>
  </w:style>
  <w:style w:type="table" w:customStyle="1" w:styleId="270">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1">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2">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8">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9">
    <w:name w:val="修订2"/>
    <w:hidden/>
    <w:qFormat/>
    <w:uiPriority w:val="99"/>
    <w:rPr>
      <w:rFonts w:ascii="Times New Roman" w:hAnsi="Times New Roman" w:eastAsia="宋体" w:cs="Times New Roman"/>
      <w:kern w:val="2"/>
      <w:sz w:val="21"/>
      <w:szCs w:val="24"/>
      <w:lang w:val="en-US" w:eastAsia="zh-CN" w:bidi="ar-SA"/>
    </w:rPr>
  </w:style>
  <w:style w:type="paragraph" w:customStyle="1" w:styleId="280">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1">
    <w:name w:val="正文首行缩进 字符"/>
    <w:basedOn w:val="143"/>
    <w:link w:val="50"/>
    <w:qFormat/>
    <w:uiPriority w:val="0"/>
    <w:rPr>
      <w:rFonts w:ascii="Times New Roman" w:hAnsi="Times New Roman"/>
      <w:kern w:val="2"/>
      <w:sz w:val="21"/>
      <w:szCs w:val="24"/>
    </w:rPr>
  </w:style>
  <w:style w:type="character" w:customStyle="1" w:styleId="282">
    <w:name w:val="font21"/>
    <w:qFormat/>
    <w:uiPriority w:val="0"/>
    <w:rPr>
      <w:rFonts w:hint="default" w:ascii="Calibri" w:hAnsi="Calibri" w:cs="Calibri"/>
      <w:color w:val="000000"/>
      <w:sz w:val="21"/>
      <w:szCs w:val="21"/>
      <w:u w:val="none"/>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6"/>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 w:type="paragraph" w:customStyle="1" w:styleId="504">
    <w:name w:val="_Style 173"/>
    <w:basedOn w:val="1"/>
    <w:next w:val="67"/>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1</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2026-09-21T07:11:32Z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