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A69DC">
      <w:pPr>
        <w:widowControl w:val="0"/>
        <w:tabs>
          <w:tab w:val="left" w:pos="1630"/>
        </w:tabs>
        <w:autoSpaceDE w:val="0"/>
        <w:autoSpaceDN w:val="0"/>
        <w:spacing w:line="460" w:lineRule="exact"/>
        <w:ind w:left="8"/>
        <w:jc w:val="center"/>
        <w:outlineLvl w:val="0"/>
        <w:rPr>
          <w:rFonts w:ascii="宋体" w:hAnsi="宋体" w:eastAsia="宋体" w:cs="宋体"/>
          <w:b/>
          <w:bCs/>
          <w:sz w:val="36"/>
          <w:szCs w:val="36"/>
          <w:highlight w:val="none"/>
          <w:lang w:val="en-US" w:eastAsia="en-US" w:bidi="ar-SA"/>
        </w:rPr>
      </w:pPr>
      <w:bookmarkStart w:id="18" w:name="_GoBack"/>
      <w:r>
        <w:rPr>
          <w:rFonts w:hint="eastAsia" w:ascii="宋体" w:hAnsi="宋体" w:eastAsia="宋体" w:cs="宋体"/>
          <w:b/>
          <w:bCs/>
          <w:sz w:val="36"/>
          <w:szCs w:val="36"/>
          <w:highlight w:val="none"/>
          <w:lang w:val="en-US" w:eastAsia="en-US" w:bidi="ar-SA"/>
        </w:rPr>
        <w:t>采购需求</w:t>
      </w:r>
    </w:p>
    <w:p w14:paraId="78EAF2EB">
      <w:pPr>
        <w:rPr>
          <w:rFonts w:ascii="宋体" w:hAnsi="宋体" w:eastAsia="宋体" w:cs="宋体"/>
          <w:highlight w:val="none"/>
        </w:rPr>
      </w:pPr>
    </w:p>
    <w:p w14:paraId="03CDE313">
      <w:pPr>
        <w:widowControl w:val="0"/>
        <w:autoSpaceDE w:val="0"/>
        <w:autoSpaceDN w:val="0"/>
        <w:spacing w:before="1"/>
        <w:ind w:left="121"/>
        <w:rPr>
          <w:rFonts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一、采购标的</w:t>
      </w:r>
    </w:p>
    <w:p w14:paraId="4DB2B3A9">
      <w:pPr>
        <w:widowControl w:val="0"/>
        <w:tabs>
          <w:tab w:val="left" w:pos="470"/>
          <w:tab w:val="left" w:pos="7040"/>
        </w:tabs>
        <w:autoSpaceDE w:val="0"/>
        <w:autoSpaceDN w:val="0"/>
        <w:spacing w:before="154" w:line="360" w:lineRule="auto"/>
        <w:ind w:left="121" w:right="1830" w:firstLine="269" w:firstLineChars="100"/>
        <w:rPr>
          <w:rFonts w:ascii="宋体" w:hAnsi="宋体" w:eastAsia="宋体" w:cs="宋体"/>
          <w:sz w:val="24"/>
          <w:szCs w:val="22"/>
          <w:highlight w:val="none"/>
          <w:lang w:val="en-US" w:eastAsia="zh-CN" w:bidi="ar-SA"/>
        </w:rPr>
      </w:pPr>
      <w:r>
        <w:rPr>
          <w:rFonts w:hint="eastAsia" w:ascii="宋体" w:hAnsi="宋体" w:eastAsia="宋体" w:cs="宋体"/>
          <w:spacing w:val="-2"/>
          <w:w w:val="114"/>
          <w:sz w:val="24"/>
          <w:szCs w:val="24"/>
          <w:highlight w:val="none"/>
          <w:lang w:val="en-US" w:eastAsia="zh-CN" w:bidi="ar-SA"/>
        </w:rPr>
        <w:t>1.</w:t>
      </w:r>
      <w:r>
        <w:rPr>
          <w:rFonts w:hint="eastAsia" w:ascii="宋体" w:hAnsi="宋体" w:eastAsia="宋体" w:cs="宋体"/>
          <w:sz w:val="24"/>
          <w:szCs w:val="22"/>
          <w:highlight w:val="none"/>
          <w:lang w:val="en-US" w:eastAsia="zh-CN" w:bidi="ar-SA"/>
        </w:rPr>
        <w:t>采购标的（货物需求一览表）</w:t>
      </w:r>
    </w:p>
    <w:tbl>
      <w:tblPr>
        <w:tblStyle w:val="8"/>
        <w:tblW w:w="68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1549"/>
        <w:gridCol w:w="1500"/>
        <w:gridCol w:w="1500"/>
        <w:gridCol w:w="1495"/>
      </w:tblGrid>
      <w:tr w14:paraId="23D47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8698B">
            <w:pPr>
              <w:widowControl w:val="0"/>
              <w:autoSpaceDE w:val="0"/>
              <w:autoSpaceDN w:val="0"/>
              <w:jc w:val="center"/>
              <w:rPr>
                <w:rFonts w:hint="eastAsia" w:ascii="宋体" w:hAnsi="宋体" w:eastAsia="宋体" w:cs="宋体"/>
                <w:b/>
                <w:bCs/>
                <w:sz w:val="24"/>
                <w:szCs w:val="24"/>
                <w:highlight w:val="none"/>
                <w:lang w:val="en-US" w:eastAsia="zh-CN" w:bidi="ar-SA"/>
              </w:rPr>
            </w:pPr>
            <w:bookmarkStart w:id="0" w:name="RANGE!J9"/>
            <w:r>
              <w:rPr>
                <w:rFonts w:hint="eastAsia" w:ascii="宋体" w:hAnsi="宋体" w:eastAsia="宋体" w:cs="宋体"/>
                <w:b/>
                <w:bCs/>
                <w:sz w:val="24"/>
                <w:szCs w:val="24"/>
                <w:highlight w:val="none"/>
                <w:lang w:val="en-US" w:eastAsia="zh-CN" w:bidi="ar-SA"/>
              </w:rPr>
              <w:t>包号</w:t>
            </w:r>
            <w:bookmarkEnd w:id="0"/>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6F80C">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lang w:val="en-US" w:eastAsia="zh-CN" w:bidi="ar-SA"/>
              </w:rPr>
              <w:t>标的名称</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1F94">
            <w:pPr>
              <w:widowControl w:val="0"/>
              <w:autoSpaceDE w:val="0"/>
              <w:autoSpaceDN w:val="0"/>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数量</w:t>
            </w:r>
          </w:p>
          <w:p w14:paraId="5FDB43C4">
            <w:pPr>
              <w:widowControl w:val="0"/>
              <w:autoSpaceDE w:val="0"/>
              <w:autoSpaceDN w:val="0"/>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（台/套）</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674B">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是否允许采购进口产品</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38BD7">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质保期</w:t>
            </w:r>
          </w:p>
        </w:tc>
      </w:tr>
      <w:tr w14:paraId="4D4E8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blHeader/>
          <w:jc w:val="center"/>
        </w:trPr>
        <w:tc>
          <w:tcPr>
            <w:tcW w:w="823" w:type="dxa"/>
            <w:tcBorders>
              <w:top w:val="single" w:color="000000" w:sz="4" w:space="0"/>
              <w:left w:val="single" w:color="000000" w:sz="4" w:space="0"/>
              <w:right w:val="single" w:color="000000" w:sz="4" w:space="0"/>
            </w:tcBorders>
            <w:shd w:val="clear" w:color="auto" w:fill="auto"/>
            <w:vAlign w:val="center"/>
          </w:tcPr>
          <w:p w14:paraId="29DC9A51">
            <w:pPr>
              <w:widowControl w:val="0"/>
              <w:autoSpaceDE w:val="0"/>
              <w:autoSpaceDN w:val="0"/>
              <w:jc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01</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E267">
            <w:pPr>
              <w:widowControl w:val="0"/>
              <w:autoSpaceDE w:val="0"/>
              <w:autoSpaceDN w:val="0"/>
              <w:spacing w:line="240" w:lineRule="auto"/>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highlight w:val="none"/>
                <w:lang w:val="en-US" w:eastAsia="zh-CN" w:bidi="ar-SA"/>
              </w:rPr>
              <w:t>心电遥测</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1A59">
            <w:pPr>
              <w:keepNext w:val="0"/>
              <w:keepLines w:val="0"/>
              <w:widowControl/>
              <w:suppressLineNumbers w:val="0"/>
              <w:jc w:val="center"/>
              <w:textAlignment w:val="center"/>
              <w:rPr>
                <w:rFonts w:hint="default" w:ascii="宋体" w:hAnsi="宋体" w:eastAsia="宋体" w:cs="宋体"/>
                <w:b w:val="0"/>
                <w:bCs w:val="0"/>
                <w:sz w:val="24"/>
                <w:szCs w:val="24"/>
                <w:highlight w:val="none"/>
                <w:lang w:val="en-US"/>
              </w:rPr>
            </w:pPr>
            <w:r>
              <w:rPr>
                <w:rFonts w:hint="eastAsia" w:ascii="宋体" w:hAnsi="宋体" w:eastAsia="宋体" w:cs="宋体"/>
                <w:i w:val="0"/>
                <w:iCs w:val="0"/>
                <w:color w:val="000000"/>
                <w:kern w:val="0"/>
                <w:sz w:val="22"/>
                <w:szCs w:val="22"/>
                <w:u w:val="none"/>
                <w:lang w:val="en-US" w:eastAsia="zh-CN" w:bidi="ar"/>
              </w:rPr>
              <w:t>238</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4B518">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A2C9D">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3年</w:t>
            </w:r>
          </w:p>
        </w:tc>
      </w:tr>
    </w:tbl>
    <w:p w14:paraId="03658B21">
      <w:pPr>
        <w:widowControl w:val="0"/>
        <w:tabs>
          <w:tab w:val="left" w:pos="1197"/>
        </w:tabs>
        <w:autoSpaceDE w:val="0"/>
        <w:autoSpaceDN w:val="0"/>
        <w:spacing w:before="0" w:line="360" w:lineRule="auto"/>
        <w:ind w:left="0" w:right="233" w:firstLine="0"/>
        <w:jc w:val="both"/>
        <w:rPr>
          <w:rFonts w:hint="eastAsia" w:ascii="宋体" w:hAnsi="宋体" w:eastAsia="宋体" w:cs="宋体"/>
          <w:b/>
          <w:bCs/>
          <w:sz w:val="24"/>
          <w:szCs w:val="22"/>
          <w:highlight w:val="none"/>
          <w:lang w:val="en-US" w:eastAsia="zh-CN" w:bidi="ar-SA"/>
        </w:rPr>
      </w:pPr>
    </w:p>
    <w:p w14:paraId="2736105A">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2"/>
          <w:highlight w:val="none"/>
          <w:lang w:val="en-US" w:eastAsia="zh-CN" w:bidi="ar-SA"/>
        </w:rPr>
      </w:pPr>
      <w:r>
        <w:rPr>
          <w:rFonts w:hint="eastAsia" w:ascii="宋体" w:hAnsi="宋体" w:eastAsia="宋体" w:cs="宋体"/>
          <w:b/>
          <w:bCs/>
          <w:sz w:val="24"/>
          <w:szCs w:val="22"/>
          <w:highlight w:val="none"/>
          <w:lang w:val="en-US" w:eastAsia="zh-CN" w:bidi="ar-SA"/>
        </w:rPr>
        <w:t>二、商务要求</w:t>
      </w:r>
    </w:p>
    <w:p w14:paraId="5071ECB1">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1.交货时间和地点：</w:t>
      </w:r>
    </w:p>
    <w:p w14:paraId="6DCB4FE0">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bookmarkStart w:id="1" w:name="_Toc14802"/>
      <w:bookmarkStart w:id="2" w:name="_Toc256196753"/>
      <w:bookmarkStart w:id="3" w:name="_Toc23382"/>
      <w:bookmarkStart w:id="4" w:name="_Toc8925"/>
      <w:bookmarkStart w:id="5" w:name="_Toc24278"/>
      <w:r>
        <w:rPr>
          <w:rFonts w:hint="eastAsia" w:ascii="宋体" w:hAnsi="宋体" w:eastAsia="宋体" w:cs="宋体"/>
          <w:sz w:val="24"/>
          <w:szCs w:val="24"/>
          <w:highlight w:val="none"/>
          <w:lang w:val="en-US" w:eastAsia="zh-CN" w:bidi="ar-SA"/>
        </w:rPr>
        <w:t>1.1 交货时间：</w:t>
      </w:r>
      <w:bookmarkEnd w:id="1"/>
      <w:bookmarkEnd w:id="2"/>
      <w:bookmarkEnd w:id="3"/>
      <w:bookmarkEnd w:id="4"/>
      <w:bookmarkEnd w:id="5"/>
      <w:r>
        <w:rPr>
          <w:rFonts w:hint="eastAsia" w:ascii="宋体" w:hAnsi="宋体" w:eastAsia="宋体" w:cs="宋体"/>
          <w:sz w:val="24"/>
          <w:szCs w:val="24"/>
          <w:highlight w:val="none"/>
          <w:lang w:val="en-US" w:eastAsia="zh-CN" w:bidi="ar-SA"/>
        </w:rPr>
        <w:t>合同签订后三个月内</w:t>
      </w:r>
      <w:r>
        <w:rPr>
          <w:rFonts w:hint="eastAsia" w:ascii="宋体" w:hAnsi="宋体" w:eastAsia="宋体" w:cs="宋体"/>
          <w:color w:val="000000"/>
          <w:sz w:val="24"/>
          <w:szCs w:val="22"/>
          <w:highlight w:val="none"/>
          <w:lang w:val="en-US" w:eastAsia="zh-CN" w:bidi="ar-SA"/>
        </w:rPr>
        <w:t>。</w:t>
      </w:r>
    </w:p>
    <w:p w14:paraId="4AAABEDD">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bookmarkStart w:id="6" w:name="_Toc194115436"/>
      <w:bookmarkStart w:id="7" w:name="_Toc19535"/>
      <w:bookmarkStart w:id="8" w:name="_Toc8853"/>
      <w:bookmarkStart w:id="9" w:name="_Toc6107"/>
      <w:bookmarkStart w:id="10" w:name="_Toc30936"/>
      <w:r>
        <w:rPr>
          <w:rFonts w:hint="eastAsia" w:ascii="宋体" w:hAnsi="宋体" w:eastAsia="宋体" w:cs="宋体"/>
          <w:sz w:val="24"/>
          <w:szCs w:val="24"/>
          <w:highlight w:val="none"/>
          <w:lang w:val="en-US" w:eastAsia="zh-CN" w:bidi="ar-SA"/>
        </w:rPr>
        <w:t>1.2 交货地点：</w:t>
      </w:r>
      <w:bookmarkEnd w:id="6"/>
      <w:bookmarkEnd w:id="7"/>
      <w:bookmarkEnd w:id="8"/>
      <w:bookmarkEnd w:id="9"/>
      <w:bookmarkEnd w:id="10"/>
      <w:r>
        <w:rPr>
          <w:rFonts w:hint="eastAsia" w:ascii="宋体" w:hAnsi="宋体" w:eastAsia="宋体" w:cs="宋体"/>
          <w:sz w:val="24"/>
          <w:szCs w:val="24"/>
          <w:highlight w:val="none"/>
          <w:lang w:val="en-US" w:eastAsia="zh-CN" w:bidi="ar-SA"/>
        </w:rPr>
        <w:t>采购人指定地点。</w:t>
      </w:r>
    </w:p>
    <w:p w14:paraId="249766E6">
      <w:pPr>
        <w:widowControl w:val="0"/>
        <w:tabs>
          <w:tab w:val="left" w:pos="1197"/>
        </w:tabs>
        <w:autoSpaceDE w:val="0"/>
        <w:autoSpaceDN w:val="0"/>
        <w:spacing w:before="0" w:line="360" w:lineRule="auto"/>
        <w:ind w:left="0" w:right="233" w:firstLine="0"/>
        <w:jc w:val="both"/>
        <w:rPr>
          <w:rFonts w:hint="eastAsia"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2.付款条件（进度和方式）</w:t>
      </w:r>
      <w:r>
        <w:rPr>
          <w:rFonts w:hint="eastAsia" w:ascii="宋体" w:hAnsi="宋体" w:eastAsia="宋体" w:cs="宋体"/>
          <w:sz w:val="24"/>
          <w:szCs w:val="24"/>
          <w:highlight w:val="none"/>
          <w:lang w:val="en-US" w:eastAsia="zh-CN" w:bidi="ar-SA"/>
        </w:rPr>
        <w:t>：</w:t>
      </w:r>
    </w:p>
    <w:p w14:paraId="5BBEA713">
      <w:pPr>
        <w:widowControl w:val="0"/>
        <w:tabs>
          <w:tab w:val="left" w:pos="1197"/>
        </w:tabs>
        <w:autoSpaceDE w:val="0"/>
        <w:autoSpaceDN w:val="0"/>
        <w:spacing w:before="0" w:line="360" w:lineRule="auto"/>
        <w:ind w:left="1196" w:right="233" w:hanging="720"/>
        <w:jc w:val="both"/>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详见“拟签订的合同文本”。</w:t>
      </w:r>
    </w:p>
    <w:p w14:paraId="5246B667">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3.包装和运输（如适用，须满足《关于印发〈商品包装政府采购需求标准（试行）〉、〈快递包装政府采购需求标准（试行）〉的通知》（财办库﹝2020﹞123号））</w:t>
      </w:r>
    </w:p>
    <w:p w14:paraId="07693F0F">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4.质保服务：</w:t>
      </w:r>
    </w:p>
    <w:p w14:paraId="53C2586D">
      <w:pPr>
        <w:widowControl w:val="0"/>
        <w:autoSpaceDE w:val="0"/>
        <w:autoSpaceDN w:val="0"/>
        <w:spacing w:before="50" w:line="360" w:lineRule="auto"/>
        <w:ind w:left="720" w:leftChars="109" w:hanging="480" w:hangingChars="200"/>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4.</w:t>
      </w:r>
      <w:r>
        <w:rPr>
          <w:rFonts w:ascii="宋体" w:hAnsi="宋体" w:eastAsia="宋体" w:cs="宋体"/>
          <w:b w:val="0"/>
          <w:bCs w:val="0"/>
          <w:color w:val="auto"/>
          <w:sz w:val="24"/>
          <w:szCs w:val="24"/>
          <w:highlight w:val="none"/>
          <w:lang w:val="en-US" w:eastAsia="en-US" w:bidi="ar-SA"/>
        </w:rPr>
        <w:t>1</w:t>
      </w:r>
      <w:r>
        <w:rPr>
          <w:rFonts w:hint="eastAsia" w:ascii="宋体" w:hAnsi="宋体" w:eastAsia="宋体" w:cs="宋体"/>
          <w:b w:val="0"/>
          <w:bCs w:val="0"/>
          <w:color w:val="auto"/>
          <w:sz w:val="24"/>
          <w:szCs w:val="24"/>
          <w:highlight w:val="none"/>
          <w:lang w:val="en-US" w:eastAsia="zh-CN" w:bidi="ar-SA"/>
        </w:rPr>
        <w:t xml:space="preserve"> </w:t>
      </w:r>
      <w:r>
        <w:rPr>
          <w:rFonts w:hint="eastAsia" w:ascii="宋体" w:hAnsi="宋体" w:eastAsia="宋体" w:cs="宋体"/>
          <w:b w:val="0"/>
          <w:bCs w:val="0"/>
          <w:color w:val="auto"/>
          <w:sz w:val="24"/>
          <w:szCs w:val="24"/>
          <w:highlight w:val="none"/>
          <w:lang w:val="en-US" w:eastAsia="en-US" w:bidi="ar-SA"/>
        </w:rPr>
        <w:t>质量保证期及服务要求：自安装、调试、验收合格且完成资产入库之日</w:t>
      </w:r>
      <w:r>
        <w:rPr>
          <w:rFonts w:hint="eastAsia" w:ascii="宋体" w:hAnsi="宋体" w:eastAsia="宋体" w:cs="宋体"/>
          <w:b w:val="0"/>
          <w:bCs w:val="0"/>
          <w:color w:val="auto"/>
          <w:sz w:val="24"/>
          <w:szCs w:val="24"/>
          <w:highlight w:val="none"/>
          <w:lang w:val="en-US" w:eastAsia="zh-CN" w:bidi="ar-SA"/>
        </w:rPr>
        <w:t>3年</w:t>
      </w:r>
      <w:r>
        <w:rPr>
          <w:rFonts w:hint="eastAsia" w:ascii="宋体" w:hAnsi="宋体" w:eastAsia="宋体" w:cs="宋体"/>
          <w:b w:val="0"/>
          <w:bCs w:val="0"/>
          <w:color w:val="auto"/>
          <w:sz w:val="24"/>
          <w:szCs w:val="24"/>
          <w:highlight w:val="none"/>
          <w:lang w:val="en-US" w:eastAsia="en-US" w:bidi="ar-SA"/>
        </w:rPr>
        <w:t>。保修范围应包括提供的所有设备（含第三方设备或配件）和安装调试服务。在保修期内应提供维修和技术咨询服务，矫正和免费更换有缺陷的设备或部件、排除系统出现的故障。凡制造厂商未提供</w:t>
      </w:r>
      <w:r>
        <w:rPr>
          <w:rFonts w:hint="eastAsia" w:ascii="宋体" w:hAnsi="宋体" w:eastAsia="宋体" w:cs="宋体"/>
          <w:b w:val="0"/>
          <w:bCs w:val="0"/>
          <w:color w:val="auto"/>
          <w:sz w:val="24"/>
          <w:szCs w:val="24"/>
          <w:highlight w:val="none"/>
          <w:lang w:val="en-US" w:eastAsia="zh-CN" w:bidi="ar-SA"/>
        </w:rPr>
        <w:t>3年</w:t>
      </w:r>
      <w:r>
        <w:rPr>
          <w:rFonts w:hint="eastAsia" w:ascii="宋体" w:hAnsi="宋体" w:eastAsia="宋体" w:cs="宋体"/>
          <w:b w:val="0"/>
          <w:bCs w:val="0"/>
          <w:color w:val="auto"/>
          <w:sz w:val="24"/>
          <w:szCs w:val="24"/>
          <w:highlight w:val="none"/>
          <w:lang w:val="en-US" w:eastAsia="en-US" w:bidi="ar-SA"/>
        </w:rPr>
        <w:t>免费保修服务的产品，供应商应提供满足</w:t>
      </w:r>
      <w:r>
        <w:rPr>
          <w:rFonts w:hint="eastAsia" w:ascii="宋体" w:hAnsi="宋体" w:eastAsia="宋体" w:cs="宋体"/>
          <w:b w:val="0"/>
          <w:bCs w:val="0"/>
          <w:color w:val="auto"/>
          <w:sz w:val="24"/>
          <w:szCs w:val="24"/>
          <w:highlight w:val="none"/>
          <w:lang w:val="en-US" w:eastAsia="zh-CN" w:bidi="ar-SA"/>
        </w:rPr>
        <w:t>3年</w:t>
      </w:r>
      <w:r>
        <w:rPr>
          <w:rFonts w:hint="eastAsia" w:ascii="宋体" w:hAnsi="宋体" w:eastAsia="宋体" w:cs="宋体"/>
          <w:b w:val="0"/>
          <w:bCs w:val="0"/>
          <w:color w:val="auto"/>
          <w:sz w:val="24"/>
          <w:szCs w:val="24"/>
          <w:highlight w:val="none"/>
          <w:lang w:val="en-US" w:eastAsia="en-US" w:bidi="ar-SA"/>
        </w:rPr>
        <w:t>的保修服务的服务报价，该报价计入合同总价中。质量保证期内，供应商应对由于设计、工艺或材料的缺陷而发生的任何不足或故障负责，费用由</w:t>
      </w: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宋体"/>
          <w:b w:val="0"/>
          <w:bCs w:val="0"/>
          <w:color w:val="auto"/>
          <w:sz w:val="24"/>
          <w:szCs w:val="24"/>
          <w:highlight w:val="none"/>
          <w:lang w:val="en-US" w:eastAsia="en-US" w:bidi="ar-SA"/>
        </w:rPr>
        <w:t>负担。或因培训不到位造成的操作失误引起的故障。</w:t>
      </w:r>
      <w:r>
        <w:rPr>
          <w:rFonts w:hint="eastAsia" w:ascii="宋体" w:hAnsi="宋体" w:eastAsia="宋体" w:cs="Courier New"/>
          <w:sz w:val="24"/>
          <w:szCs w:val="21"/>
          <w:lang w:val="en-US" w:eastAsia="en-US" w:bidi="ar-SA"/>
        </w:rPr>
        <w:t>费用由乙方负担</w:t>
      </w:r>
      <w:r>
        <w:rPr>
          <w:rFonts w:hint="eastAsia" w:ascii="宋体" w:hAnsi="宋体" w:eastAsia="宋体" w:cs="Courier New"/>
          <w:sz w:val="24"/>
          <w:szCs w:val="21"/>
          <w:lang w:val="en-US" w:eastAsia="zh-CN" w:bidi="ar-SA"/>
        </w:rPr>
        <w:t>。</w:t>
      </w:r>
    </w:p>
    <w:p w14:paraId="10736029">
      <w:pPr>
        <w:widowControl w:val="0"/>
        <w:autoSpaceDE w:val="0"/>
        <w:autoSpaceDN w:val="0"/>
        <w:spacing w:before="50" w:line="360" w:lineRule="auto"/>
        <w:ind w:firstLine="720" w:firstLineChars="300"/>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en-US" w:bidi="ar-SA"/>
        </w:rPr>
        <w:t>质量保证期满，</w:t>
      </w: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宋体"/>
          <w:b w:val="0"/>
          <w:bCs w:val="0"/>
          <w:color w:val="auto"/>
          <w:sz w:val="24"/>
          <w:szCs w:val="24"/>
          <w:highlight w:val="none"/>
          <w:lang w:val="en-US" w:eastAsia="en-US" w:bidi="ar-SA"/>
        </w:rPr>
        <w:t>为</w:t>
      </w:r>
      <w:r>
        <w:rPr>
          <w:rFonts w:ascii="宋体" w:hAnsi="宋体" w:eastAsia="宋体" w:cs="Courier New"/>
          <w:b w:val="0"/>
          <w:bCs w:val="0"/>
          <w:color w:val="auto"/>
          <w:sz w:val="24"/>
          <w:szCs w:val="24"/>
          <w:highlight w:val="none"/>
          <w:lang w:val="en-US" w:eastAsia="en-US" w:bidi="ar-SA"/>
        </w:rPr>
        <w:t>采购人</w:t>
      </w:r>
      <w:r>
        <w:rPr>
          <w:rFonts w:hint="eastAsia" w:ascii="宋体" w:hAnsi="宋体" w:eastAsia="宋体" w:cs="宋体"/>
          <w:b w:val="0"/>
          <w:bCs w:val="0"/>
          <w:color w:val="auto"/>
          <w:sz w:val="24"/>
          <w:szCs w:val="24"/>
          <w:highlight w:val="none"/>
          <w:lang w:val="en-US" w:eastAsia="en-US" w:bidi="ar-SA"/>
        </w:rPr>
        <w:t>提供终身保修有偿服务。</w:t>
      </w:r>
    </w:p>
    <w:p w14:paraId="1D673E5A">
      <w:pPr>
        <w:widowControl w:val="0"/>
        <w:autoSpaceDE w:val="0"/>
        <w:autoSpaceDN w:val="0"/>
        <w:spacing w:before="50" w:line="360" w:lineRule="auto"/>
        <w:ind w:left="719" w:leftChars="327" w:firstLine="0" w:firstLineChars="0"/>
        <w:rPr>
          <w:rFonts w:hint="eastAsia" w:ascii="宋体" w:hAnsi="宋体" w:eastAsia="宋体" w:cs="宋体"/>
          <w:b w:val="0"/>
          <w:bCs w:val="0"/>
          <w:color w:val="auto"/>
          <w:sz w:val="24"/>
          <w:szCs w:val="24"/>
          <w:highlight w:val="none"/>
          <w:lang w:val="en-US" w:eastAsia="en-US" w:bidi="ar-SA"/>
        </w:rPr>
      </w:pP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Courier New"/>
          <w:sz w:val="24"/>
          <w:szCs w:val="21"/>
          <w:lang w:val="en-US" w:eastAsia="en-US" w:bidi="ar-SA"/>
        </w:rPr>
        <w:t>应在质保期满前三个月对设备做全面保养及性能检测，并出具相应的报告。</w:t>
      </w:r>
    </w:p>
    <w:p w14:paraId="386077AE">
      <w:pPr>
        <w:widowControl w:val="0"/>
        <w:numPr>
          <w:ilvl w:val="0"/>
          <w:numId w:val="0"/>
        </w:numPr>
        <w:autoSpaceDE w:val="0"/>
        <w:autoSpaceDN w:val="0"/>
        <w:spacing w:line="360" w:lineRule="auto"/>
        <w:ind w:left="720" w:leftChars="109" w:hanging="480" w:hangingChars="200"/>
        <w:rPr>
          <w:rFonts w:ascii="宋体" w:hAnsi="Courier New" w:eastAsia="宋体" w:cs="Courier New"/>
          <w:color w:val="auto"/>
          <w:sz w:val="24"/>
          <w:szCs w:val="21"/>
          <w:highlight w:val="none"/>
          <w:lang w:val="en-US" w:eastAsia="en-US" w:bidi="ar-SA"/>
        </w:rPr>
      </w:pPr>
      <w:r>
        <w:rPr>
          <w:rFonts w:hint="eastAsia" w:ascii="宋体" w:hAnsi="宋体" w:eastAsia="宋体" w:cs="Courier New"/>
          <w:b w:val="0"/>
          <w:bCs w:val="0"/>
          <w:color w:val="auto"/>
          <w:sz w:val="24"/>
          <w:szCs w:val="24"/>
          <w:highlight w:val="none"/>
          <w:lang w:val="en-US" w:eastAsia="zh-CN" w:bidi="ar-SA"/>
        </w:rPr>
        <w:t xml:space="preserve">4.2 </w:t>
      </w: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宋体"/>
          <w:b w:val="0"/>
          <w:bCs w:val="0"/>
          <w:color w:val="auto"/>
          <w:sz w:val="24"/>
          <w:szCs w:val="24"/>
          <w:highlight w:val="none"/>
          <w:lang w:val="en-US" w:eastAsia="en-US" w:bidi="ar-SA"/>
        </w:rPr>
        <w:t>还需要提供质量保证期（保修期）结束后，维保费用最高不超过合同金额5%的承诺。保修费用应含维保工时费、零配件费用和软件维护、升级费用，服务内容和细则与免费维保期相同。（含所有第三方辅助关联设备）</w:t>
      </w:r>
    </w:p>
    <w:p w14:paraId="3F8E2376">
      <w:pPr>
        <w:spacing w:line="360" w:lineRule="auto"/>
        <w:contextualSpacing/>
        <w:rPr>
          <w:rFonts w:hint="eastAsia" w:ascii="宋体" w:hAnsi="宋体" w:eastAsia="宋体" w:cs="宋体"/>
          <w:b/>
          <w:bCs/>
          <w:sz w:val="24"/>
          <w:szCs w:val="24"/>
          <w:highlight w:val="none"/>
          <w:lang w:val="en-US" w:eastAsia="zh-CN"/>
        </w:rPr>
      </w:pPr>
    </w:p>
    <w:p w14:paraId="6E18AA7C">
      <w:pPr>
        <w:spacing w:line="360" w:lineRule="auto"/>
        <w:contextualSpacing/>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三、技术要求</w:t>
      </w:r>
    </w:p>
    <w:p w14:paraId="65EF5420">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 基本要求</w:t>
      </w:r>
    </w:p>
    <w:p w14:paraId="553CEA05">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1.1 采购标的需实现的功能或者目标</w:t>
      </w:r>
    </w:p>
    <w:p w14:paraId="372C1765">
      <w:pPr>
        <w:adjustRightInd w:val="0"/>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本次招标采购是为</w:t>
      </w:r>
      <w:r>
        <w:rPr>
          <w:rFonts w:hint="eastAsia" w:ascii="宋体" w:hAnsi="宋体" w:eastAsia="宋体" w:cs="宋体"/>
          <w:kern w:val="2"/>
          <w:sz w:val="24"/>
          <w:szCs w:val="24"/>
          <w:highlight w:val="none"/>
          <w:lang w:eastAsia="zh-CN"/>
        </w:rPr>
        <w:t>首都医科大学附属北京天坛医院</w:t>
      </w:r>
      <w:r>
        <w:rPr>
          <w:rFonts w:hint="eastAsia" w:ascii="宋体" w:hAnsi="宋体" w:eastAsia="宋体" w:cs="宋体"/>
          <w:sz w:val="24"/>
          <w:highlight w:val="none"/>
          <w:lang w:eastAsia="zh-CN"/>
        </w:rPr>
        <w:t>配置</w:t>
      </w:r>
      <w:r>
        <w:rPr>
          <w:rFonts w:hint="eastAsia" w:ascii="宋体" w:hAnsi="宋体" w:eastAsia="宋体" w:cs="宋体"/>
          <w:i w:val="0"/>
          <w:iCs w:val="0"/>
          <w:color w:val="000000"/>
          <w:kern w:val="0"/>
          <w:sz w:val="24"/>
          <w:szCs w:val="24"/>
          <w:u w:val="none"/>
          <w:lang w:val="en-US" w:eastAsia="zh-CN" w:bidi="ar"/>
        </w:rPr>
        <w:t>血栓泵</w:t>
      </w:r>
      <w:r>
        <w:rPr>
          <w:rFonts w:hint="eastAsia" w:ascii="宋体" w:hAnsi="宋体" w:eastAsia="宋体" w:cs="宋体"/>
          <w:sz w:val="24"/>
          <w:szCs w:val="24"/>
          <w:highlight w:val="none"/>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328BDD2F">
      <w:pPr>
        <w:spacing w:line="360" w:lineRule="auto"/>
        <w:ind w:firstLine="241" w:firstLineChars="100"/>
        <w:contextualSpacing/>
        <w:rPr>
          <w:rFonts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1.2 需执行的国家相关标准、行业标准、地方标准或者其他标准、规范</w:t>
      </w:r>
    </w:p>
    <w:p w14:paraId="2D5921FE">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★(1)投标产品属于医疗器械的，应按原国家食品药品监督管理总局颁发的《医疗器械注册管理办法》，办理医疗器械注册证或者办理备案，供应商须提供有效的医疗器械注册证复印件或备案凭证并加盖公章。</w:t>
      </w:r>
    </w:p>
    <w:p w14:paraId="4181FF45">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投标产品属于医疗器械的，中华人民共和国境内制造商应按原国家食品药品监、督管理总局颁发的《医疗器械生产监督管理办法》，办理医疗器械生产许可证或者办理备案，供应商须提供医疗器械生产许可证复印件或备案凭证。</w:t>
      </w:r>
    </w:p>
    <w:p w14:paraId="4687F3FD">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5DE90900">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241" w:firstLineChars="100"/>
        <w:contextualSpacing/>
        <w:textAlignment w:val="auto"/>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2.服务内容及要求/货物技术要求</w:t>
      </w:r>
    </w:p>
    <w:p w14:paraId="7309EFF1">
      <w:pPr>
        <w:widowControl/>
        <w:spacing w:line="360" w:lineRule="auto"/>
        <w:ind w:left="-1" w:firstLine="241" w:firstLineChars="100"/>
        <w:contextualSpacing/>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2.1 采购标的需满足的性能、材料、结构、外观、质量、安全、技术规格、物理特性等要求；</w:t>
      </w:r>
    </w:p>
    <w:p w14:paraId="65C5F876">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auto"/>
        <w:rPr>
          <w:rFonts w:hint="eastAsia" w:ascii="宋体" w:hAnsi="宋体" w:eastAsia="宋体" w:cs="宋体"/>
          <w:b/>
          <w:bCs w:val="0"/>
          <w:sz w:val="24"/>
          <w:highlight w:val="none"/>
          <w:lang w:eastAsia="zh-CN"/>
        </w:rPr>
      </w:pPr>
      <w:r>
        <w:rPr>
          <w:rFonts w:hint="eastAsia" w:ascii="宋体" w:hAnsi="宋体" w:eastAsia="宋体" w:cs="宋体"/>
          <w:b/>
          <w:bCs w:val="0"/>
          <w:sz w:val="24"/>
          <w:highlight w:val="none"/>
          <w:lang w:val="en-US" w:eastAsia="zh-CN"/>
        </w:rPr>
        <w:t>01包</w:t>
      </w:r>
      <w:r>
        <w:rPr>
          <w:rFonts w:hint="eastAsia" w:ascii="宋体" w:hAnsi="宋体" w:eastAsia="宋体" w:cs="宋体"/>
          <w:b/>
          <w:bCs w:val="0"/>
          <w:sz w:val="24"/>
          <w:highlight w:val="none"/>
          <w:lang w:eastAsia="zh-CN"/>
        </w:rPr>
        <w:t>：心电遥测</w:t>
      </w:r>
    </w:p>
    <w:p w14:paraId="0B697D60">
      <w:pPr>
        <w:keepNext w:val="0"/>
        <w:keepLines w:val="0"/>
        <w:pageBreakBefore w:val="0"/>
        <w:kinsoku/>
        <w:wordWrap/>
        <w:overflowPunct/>
        <w:topLinePunct w:val="0"/>
        <w:autoSpaceDE/>
        <w:autoSpaceDN/>
        <w:bidi w:val="0"/>
        <w:adjustRightInd/>
        <w:snapToGrid/>
        <w:spacing w:line="360" w:lineRule="auto"/>
        <w:ind w:firstLine="0" w:firstLineChars="0"/>
        <w:jc w:val="left"/>
        <w:rPr>
          <w:rFonts w:hint="eastAsia" w:ascii="宋体" w:hAnsi="宋体" w:eastAsia="宋体" w:cs="宋体"/>
          <w:bCs/>
          <w:sz w:val="24"/>
          <w:szCs w:val="24"/>
        </w:rPr>
      </w:pPr>
      <w:r>
        <w:rPr>
          <w:rFonts w:hint="eastAsia" w:ascii="宋体" w:hAnsi="宋体" w:eastAsia="宋体" w:cs="宋体"/>
          <w:bCs/>
          <w:sz w:val="24"/>
          <w:szCs w:val="24"/>
        </w:rPr>
        <w:t>（一）遥测监护系统</w:t>
      </w:r>
    </w:p>
    <w:p w14:paraId="2768CD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kern w:val="2"/>
          <w:sz w:val="24"/>
          <w:szCs w:val="24"/>
          <w:lang w:val="en-US" w:eastAsia="zh-CN" w:bidi="ar-SA"/>
        </w:rPr>
        <w:t>1.</w:t>
      </w:r>
      <w:r>
        <w:rPr>
          <w:rFonts w:hint="eastAsia" w:ascii="宋体" w:hAnsi="宋体" w:eastAsia="宋体" w:cs="宋体"/>
          <w:bCs/>
          <w:sz w:val="24"/>
          <w:szCs w:val="24"/>
          <w:lang w:val="en-US" w:eastAsia="en-US" w:bidi="ar-SA"/>
        </w:rPr>
        <w:t>整机要求</w:t>
      </w:r>
    </w:p>
    <w:p w14:paraId="32EF85D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color w:val="984806"/>
          <w:sz w:val="24"/>
          <w:szCs w:val="24"/>
          <w:lang w:val="en-US" w:eastAsia="en-US" w:bidi="ar-SA"/>
        </w:rPr>
      </w:pPr>
      <w:r>
        <w:rPr>
          <w:rFonts w:hint="eastAsia" w:ascii="宋体" w:hAnsi="宋体" w:eastAsia="宋体" w:cs="宋体"/>
          <w:bCs/>
          <w:color w:val="000000"/>
          <w:sz w:val="24"/>
          <w:szCs w:val="24"/>
          <w:lang w:val="en-US" w:eastAsia="en-US" w:bidi="ar-SA"/>
        </w:rPr>
        <w:t>★</w:t>
      </w:r>
      <w:r>
        <w:rPr>
          <w:rFonts w:hint="default" w:ascii="宋体" w:hAnsi="宋体" w:eastAsia="宋体" w:cs="宋体"/>
          <w:bCs/>
          <w:color w:val="000000"/>
          <w:kern w:val="2"/>
          <w:sz w:val="24"/>
          <w:szCs w:val="24"/>
          <w:lang w:val="en-US" w:eastAsia="zh-CN" w:bidi="ar-SA"/>
        </w:rPr>
        <w:t>1.1</w:t>
      </w:r>
      <w:r>
        <w:rPr>
          <w:rFonts w:hint="eastAsia" w:ascii="宋体" w:hAnsi="宋体" w:eastAsia="宋体" w:cs="宋体"/>
          <w:bCs/>
          <w:color w:val="000000"/>
          <w:sz w:val="24"/>
          <w:szCs w:val="24"/>
          <w:lang w:val="en-US" w:eastAsia="en-US" w:bidi="ar-SA"/>
        </w:rPr>
        <w:t>遥测发射盒重量≤170克（含电池）。</w:t>
      </w:r>
    </w:p>
    <w:p w14:paraId="62C04C8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color w:val="EE0000"/>
          <w:sz w:val="24"/>
          <w:szCs w:val="24"/>
          <w:lang w:val="en-US" w:eastAsia="en-US" w:bidi="ar-SA"/>
        </w:rPr>
      </w:pPr>
      <w:r>
        <w:rPr>
          <w:rFonts w:hint="eastAsia" w:ascii="宋体" w:hAnsi="宋体" w:eastAsia="宋体" w:cs="宋体"/>
          <w:bCs/>
          <w:color w:val="000000"/>
          <w:sz w:val="24"/>
          <w:szCs w:val="24"/>
          <w:lang w:val="en-US" w:eastAsia="en-US" w:bidi="ar-SA"/>
        </w:rPr>
        <w:t>▲</w:t>
      </w:r>
      <w:r>
        <w:rPr>
          <w:rFonts w:hint="default" w:ascii="宋体" w:hAnsi="宋体" w:eastAsia="宋体" w:cs="宋体"/>
          <w:bCs/>
          <w:color w:val="000000"/>
          <w:kern w:val="2"/>
          <w:sz w:val="24"/>
          <w:szCs w:val="24"/>
          <w:lang w:val="en-US" w:eastAsia="zh-CN" w:bidi="ar-SA"/>
        </w:rPr>
        <w:t>1.2</w:t>
      </w:r>
      <w:r>
        <w:rPr>
          <w:rFonts w:hint="eastAsia" w:ascii="宋体" w:hAnsi="宋体" w:eastAsia="宋体" w:cs="宋体"/>
          <w:bCs/>
          <w:sz w:val="24"/>
          <w:szCs w:val="24"/>
          <w:lang w:val="en-US" w:eastAsia="en-US" w:bidi="ar-SA"/>
        </w:rPr>
        <w:t>遥测发射盒具备彩色屏，屏幕尺寸≥1.5英寸。</w:t>
      </w:r>
    </w:p>
    <w:p w14:paraId="73B34DB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color w:val="EE0000"/>
          <w:sz w:val="24"/>
          <w:szCs w:val="24"/>
          <w:lang w:val="en-US" w:eastAsia="en-US" w:bidi="ar-SA"/>
        </w:rPr>
      </w:pPr>
      <w:r>
        <w:rPr>
          <w:rFonts w:hint="default" w:ascii="宋体" w:hAnsi="宋体" w:eastAsia="宋体" w:cs="宋体"/>
          <w:bCs/>
          <w:color w:val="000000"/>
          <w:kern w:val="2"/>
          <w:sz w:val="24"/>
          <w:szCs w:val="24"/>
          <w:lang w:val="en-US" w:eastAsia="zh-CN" w:bidi="ar-SA"/>
        </w:rPr>
        <w:t>1.3</w:t>
      </w:r>
      <w:r>
        <w:rPr>
          <w:rFonts w:hint="eastAsia" w:ascii="宋体" w:hAnsi="宋体" w:eastAsia="宋体" w:cs="宋体"/>
          <w:bCs/>
          <w:sz w:val="24"/>
          <w:szCs w:val="24"/>
          <w:lang w:val="en-US" w:eastAsia="en-US" w:bidi="ar-SA"/>
        </w:rPr>
        <w:t>屏幕分辨率≥320*240像素。</w:t>
      </w:r>
    </w:p>
    <w:p w14:paraId="659DDE4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color w:val="EE0000"/>
          <w:sz w:val="24"/>
          <w:szCs w:val="24"/>
          <w:lang w:val="en-US" w:eastAsia="en-US" w:bidi="ar-SA"/>
        </w:rPr>
      </w:pPr>
      <w:r>
        <w:rPr>
          <w:rFonts w:hint="default" w:ascii="宋体" w:hAnsi="宋体" w:eastAsia="宋体" w:cs="宋体"/>
          <w:bCs/>
          <w:color w:val="000000"/>
          <w:kern w:val="2"/>
          <w:sz w:val="24"/>
          <w:szCs w:val="24"/>
          <w:lang w:val="en-US" w:eastAsia="zh-CN" w:bidi="ar-SA"/>
        </w:rPr>
        <w:t>1.4</w:t>
      </w:r>
      <w:r>
        <w:rPr>
          <w:rFonts w:hint="eastAsia" w:ascii="宋体" w:hAnsi="宋体" w:eastAsia="宋体" w:cs="宋体"/>
          <w:bCs/>
          <w:color w:val="000000"/>
          <w:sz w:val="24"/>
          <w:szCs w:val="24"/>
          <w:lang w:val="en-US" w:eastAsia="en-US" w:bidi="ar-SA"/>
        </w:rPr>
        <w:t>遥测发射盒</w:t>
      </w:r>
      <w:r>
        <w:rPr>
          <w:rFonts w:hint="eastAsia" w:ascii="宋体" w:hAnsi="宋体" w:eastAsia="宋体" w:cs="宋体"/>
          <w:bCs/>
          <w:sz w:val="24"/>
          <w:szCs w:val="24"/>
          <w:lang w:val="en-US" w:eastAsia="en-US" w:bidi="ar-SA"/>
        </w:rPr>
        <w:t>尺寸≤110（高）×65（宽）×30（厚）mm。</w:t>
      </w:r>
    </w:p>
    <w:p w14:paraId="44A7C50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color w:val="EE0000"/>
          <w:sz w:val="24"/>
          <w:szCs w:val="24"/>
          <w:lang w:val="en-US" w:eastAsia="en-US" w:bidi="ar-SA"/>
        </w:rPr>
      </w:pPr>
      <w:r>
        <w:rPr>
          <w:rFonts w:hint="eastAsia" w:ascii="宋体" w:hAnsi="宋体" w:eastAsia="宋体" w:cs="宋体"/>
          <w:bCs/>
          <w:color w:val="000000"/>
          <w:sz w:val="24"/>
          <w:szCs w:val="24"/>
          <w:lang w:val="en-US" w:eastAsia="en-US" w:bidi="ar-SA"/>
        </w:rPr>
        <w:t>★</w:t>
      </w:r>
      <w:r>
        <w:rPr>
          <w:rFonts w:hint="default" w:ascii="宋体" w:hAnsi="宋体" w:eastAsia="宋体" w:cs="宋体"/>
          <w:bCs/>
          <w:color w:val="000000"/>
          <w:kern w:val="2"/>
          <w:sz w:val="24"/>
          <w:szCs w:val="24"/>
          <w:lang w:val="en-US" w:eastAsia="zh-CN" w:bidi="ar-SA"/>
        </w:rPr>
        <w:t>1.5</w:t>
      </w:r>
      <w:r>
        <w:rPr>
          <w:rFonts w:hint="eastAsia" w:ascii="宋体" w:hAnsi="宋体" w:eastAsia="宋体" w:cs="宋体"/>
          <w:bCs/>
          <w:color w:val="000000"/>
          <w:sz w:val="24"/>
          <w:szCs w:val="24"/>
          <w:lang w:val="en-US" w:eastAsia="en-US" w:bidi="ar-SA"/>
        </w:rPr>
        <w:t>抗跌落测试通过1.5米跌落测试。</w:t>
      </w:r>
    </w:p>
    <w:p w14:paraId="4B2E437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color w:val="984806"/>
          <w:sz w:val="24"/>
          <w:szCs w:val="24"/>
          <w:lang w:val="en-US" w:eastAsia="en-US" w:bidi="ar-SA"/>
        </w:rPr>
      </w:pPr>
      <w:r>
        <w:rPr>
          <w:rFonts w:hint="default" w:ascii="宋体" w:hAnsi="宋体" w:eastAsia="宋体" w:cs="宋体"/>
          <w:bCs/>
          <w:color w:val="000000"/>
          <w:kern w:val="2"/>
          <w:sz w:val="24"/>
          <w:szCs w:val="24"/>
          <w:lang w:val="en-US" w:eastAsia="zh-CN" w:bidi="ar-SA"/>
        </w:rPr>
        <w:t>1.6</w:t>
      </w:r>
      <w:r>
        <w:rPr>
          <w:rFonts w:hint="eastAsia" w:ascii="宋体" w:hAnsi="宋体" w:eastAsia="宋体" w:cs="宋体"/>
          <w:bCs/>
          <w:sz w:val="24"/>
          <w:szCs w:val="24"/>
          <w:lang w:val="en-US" w:eastAsia="en-US" w:bidi="ar-SA"/>
        </w:rPr>
        <w:t>遥测发射盒屏幕可同时显示≥2个参数和≥1道波形。</w:t>
      </w:r>
    </w:p>
    <w:p w14:paraId="7C252F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contextualSpacing/>
        <w:rPr>
          <w:rFonts w:hint="default" w:ascii="宋体" w:hAnsi="宋体" w:eastAsia="宋体" w:cs="宋体"/>
          <w:bCs/>
          <w:kern w:val="2"/>
          <w:sz w:val="24"/>
          <w:szCs w:val="24"/>
          <w:lang w:val="en-US" w:eastAsia="zh-CN" w:bidi="ar-SA"/>
        </w:rPr>
      </w:pPr>
      <w:r>
        <w:rPr>
          <w:rFonts w:hint="default" w:ascii="宋体" w:hAnsi="宋体" w:eastAsia="宋体" w:cs="宋体"/>
          <w:bCs/>
          <w:kern w:val="2"/>
          <w:sz w:val="24"/>
          <w:szCs w:val="24"/>
          <w:lang w:val="en-US" w:eastAsia="zh-CN" w:bidi="ar-SA"/>
        </w:rPr>
        <w:t>1.7遥测发射盒防水等级符合IPX7要求，电击防护等级CF。</w:t>
      </w:r>
    </w:p>
    <w:p w14:paraId="62806A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kern w:val="2"/>
          <w:sz w:val="24"/>
          <w:szCs w:val="24"/>
          <w:lang w:val="en-US" w:eastAsia="zh-CN" w:bidi="ar-SA"/>
        </w:rPr>
        <w:t>2.</w:t>
      </w:r>
      <w:r>
        <w:rPr>
          <w:rFonts w:hint="eastAsia" w:ascii="宋体" w:hAnsi="宋体" w:eastAsia="宋体" w:cs="宋体"/>
          <w:bCs/>
          <w:sz w:val="24"/>
          <w:szCs w:val="24"/>
          <w:lang w:val="en-US" w:eastAsia="en-US" w:bidi="ar-SA"/>
        </w:rPr>
        <w:t>监测参数</w:t>
      </w:r>
    </w:p>
    <w:p w14:paraId="1609149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color w:val="000000"/>
          <w:kern w:val="2"/>
          <w:sz w:val="24"/>
          <w:szCs w:val="24"/>
          <w:lang w:val="en-US" w:eastAsia="zh-CN" w:bidi="ar-SA"/>
        </w:rPr>
        <w:t>2.1</w:t>
      </w:r>
      <w:r>
        <w:rPr>
          <w:rFonts w:hint="eastAsia" w:ascii="宋体" w:hAnsi="宋体" w:eastAsia="宋体" w:cs="宋体"/>
          <w:bCs/>
          <w:sz w:val="24"/>
          <w:szCs w:val="24"/>
          <w:lang w:val="en-US" w:eastAsia="en-US" w:bidi="ar-SA"/>
        </w:rPr>
        <w:t>配3/5导心电监护，提供HR，ST测量值（ST在中央站上显示）。</w:t>
      </w:r>
    </w:p>
    <w:p w14:paraId="0B3E7D0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eastAsia" w:ascii="宋体" w:hAnsi="宋体" w:eastAsia="宋体" w:cs="宋体"/>
          <w:bCs/>
          <w:sz w:val="24"/>
          <w:szCs w:val="24"/>
          <w:lang w:val="en-US" w:eastAsia="zh-CN" w:bidi="ar-SA"/>
        </w:rPr>
        <w:t>2.2</w:t>
      </w:r>
      <w:r>
        <w:rPr>
          <w:rFonts w:hint="eastAsia" w:ascii="宋体" w:hAnsi="宋体" w:eastAsia="宋体" w:cs="宋体"/>
          <w:bCs/>
          <w:sz w:val="24"/>
          <w:szCs w:val="24"/>
          <w:lang w:val="en-US" w:eastAsia="en-US" w:bidi="ar-SA"/>
        </w:rPr>
        <w:t>心率测量范围：成人15–300 bpm，小儿15–350 bpm。</w:t>
      </w:r>
    </w:p>
    <w:p w14:paraId="0CBF714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color w:val="000000"/>
          <w:kern w:val="2"/>
          <w:sz w:val="24"/>
          <w:szCs w:val="24"/>
          <w:lang w:val="en-US" w:eastAsia="zh-CN" w:bidi="ar-SA"/>
        </w:rPr>
        <w:t>2.</w:t>
      </w:r>
      <w:r>
        <w:rPr>
          <w:rFonts w:hint="eastAsia" w:ascii="宋体" w:hAnsi="宋体" w:eastAsia="宋体" w:cs="宋体"/>
          <w:bCs/>
          <w:color w:val="000000"/>
          <w:kern w:val="2"/>
          <w:sz w:val="24"/>
          <w:szCs w:val="24"/>
          <w:lang w:val="en-US" w:eastAsia="zh-CN" w:bidi="ar-SA"/>
        </w:rPr>
        <w:t>3</w:t>
      </w:r>
      <w:r>
        <w:rPr>
          <w:rFonts w:hint="eastAsia" w:ascii="宋体" w:hAnsi="宋体" w:eastAsia="宋体" w:cs="宋体"/>
          <w:bCs/>
          <w:sz w:val="24"/>
          <w:szCs w:val="24"/>
          <w:lang w:val="en-US" w:eastAsia="en-US" w:bidi="ar-SA"/>
        </w:rPr>
        <w:t>具有多参融合算法、抗运动算法等。</w:t>
      </w:r>
    </w:p>
    <w:p w14:paraId="77D4560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color w:val="000000"/>
          <w:kern w:val="2"/>
          <w:sz w:val="24"/>
          <w:szCs w:val="24"/>
          <w:lang w:val="en-US" w:eastAsia="zh-CN" w:bidi="ar-SA"/>
        </w:rPr>
        <w:t>2.</w:t>
      </w:r>
      <w:r>
        <w:rPr>
          <w:rFonts w:hint="eastAsia" w:ascii="宋体" w:hAnsi="宋体" w:eastAsia="宋体" w:cs="宋体"/>
          <w:bCs/>
          <w:color w:val="000000"/>
          <w:kern w:val="2"/>
          <w:sz w:val="24"/>
          <w:szCs w:val="24"/>
          <w:lang w:val="en-US" w:eastAsia="zh-CN" w:bidi="ar-SA"/>
        </w:rPr>
        <w:t>4</w:t>
      </w:r>
      <w:r>
        <w:rPr>
          <w:rFonts w:hint="eastAsia" w:ascii="宋体" w:hAnsi="宋体" w:eastAsia="宋体" w:cs="宋体"/>
          <w:bCs/>
          <w:sz w:val="24"/>
          <w:szCs w:val="24"/>
          <w:lang w:val="en-US" w:eastAsia="en-US" w:bidi="ar-SA"/>
        </w:rPr>
        <w:t>心电滤波模式：监护模式、ST模式、运动模式。</w:t>
      </w:r>
    </w:p>
    <w:p w14:paraId="78C13DA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default" w:ascii="宋体" w:hAnsi="宋体" w:eastAsia="宋体" w:cs="宋体"/>
          <w:bCs/>
          <w:color w:val="000000"/>
          <w:kern w:val="2"/>
          <w:sz w:val="24"/>
          <w:szCs w:val="24"/>
          <w:lang w:val="en-US" w:eastAsia="zh-CN" w:bidi="ar-SA"/>
        </w:rPr>
      </w:pPr>
      <w:r>
        <w:rPr>
          <w:rFonts w:hint="default" w:ascii="宋体" w:hAnsi="宋体" w:eastAsia="宋体" w:cs="宋体"/>
          <w:bCs/>
          <w:color w:val="000000"/>
          <w:kern w:val="2"/>
          <w:sz w:val="24"/>
          <w:szCs w:val="24"/>
          <w:lang w:val="en-US" w:eastAsia="zh-CN" w:bidi="ar-SA"/>
        </w:rPr>
        <w:t>2.</w:t>
      </w:r>
      <w:r>
        <w:rPr>
          <w:rFonts w:hint="eastAsia" w:ascii="宋体" w:hAnsi="宋体" w:eastAsia="宋体" w:cs="宋体"/>
          <w:bCs/>
          <w:color w:val="000000"/>
          <w:kern w:val="2"/>
          <w:sz w:val="24"/>
          <w:szCs w:val="24"/>
          <w:lang w:val="en-US" w:eastAsia="zh-CN" w:bidi="ar-SA"/>
        </w:rPr>
        <w:t>5</w:t>
      </w:r>
      <w:r>
        <w:rPr>
          <w:rFonts w:hint="default" w:ascii="宋体" w:hAnsi="宋体" w:eastAsia="宋体" w:cs="宋体"/>
          <w:bCs/>
          <w:color w:val="000000"/>
          <w:kern w:val="2"/>
          <w:sz w:val="24"/>
          <w:szCs w:val="24"/>
          <w:lang w:val="en-US" w:eastAsia="zh-CN" w:bidi="ar-SA"/>
        </w:rPr>
        <w:t>中央站上显示:具备ST段分析，具备ST值和每个ST的模板;具备ST图像化显示界面，可以快速查看ST值的变化;具备单个、多个ST值报警，支持报警限设置。具有QT/QTc测量功能，具备QT，QTc和ΔQTc参数值。</w:t>
      </w:r>
    </w:p>
    <w:p w14:paraId="33C36D7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default" w:ascii="宋体" w:hAnsi="宋体" w:eastAsia="宋体" w:cs="宋体"/>
          <w:bCs/>
          <w:color w:val="000000"/>
          <w:kern w:val="2"/>
          <w:sz w:val="24"/>
          <w:szCs w:val="24"/>
          <w:lang w:val="en-US" w:eastAsia="zh-CN" w:bidi="ar-SA"/>
        </w:rPr>
      </w:pPr>
      <w:r>
        <w:rPr>
          <w:rFonts w:hint="default" w:ascii="宋体" w:hAnsi="宋体" w:eastAsia="宋体" w:cs="宋体"/>
          <w:bCs/>
          <w:color w:val="000000"/>
          <w:kern w:val="2"/>
          <w:sz w:val="24"/>
          <w:szCs w:val="24"/>
          <w:lang w:val="en-US" w:eastAsia="zh-CN" w:bidi="ar-SA"/>
        </w:rPr>
        <w:t>2.</w:t>
      </w:r>
      <w:r>
        <w:rPr>
          <w:rFonts w:hint="eastAsia" w:ascii="宋体" w:hAnsi="宋体" w:eastAsia="宋体" w:cs="宋体"/>
          <w:bCs/>
          <w:color w:val="000000"/>
          <w:kern w:val="2"/>
          <w:sz w:val="24"/>
          <w:szCs w:val="24"/>
          <w:lang w:val="en-US" w:eastAsia="zh-CN" w:bidi="ar-SA"/>
        </w:rPr>
        <w:t>6</w:t>
      </w:r>
      <w:r>
        <w:rPr>
          <w:rFonts w:hint="default" w:ascii="宋体" w:hAnsi="宋体" w:eastAsia="宋体" w:cs="宋体"/>
          <w:bCs/>
          <w:color w:val="000000"/>
          <w:kern w:val="2"/>
          <w:sz w:val="24"/>
          <w:szCs w:val="24"/>
          <w:lang w:val="en-US" w:eastAsia="zh-CN" w:bidi="ar-SA"/>
        </w:rPr>
        <w:t>具备QTc计算公式 ：Bazett，Fridericia，Framingham，Hodges等。</w:t>
      </w:r>
    </w:p>
    <w:p w14:paraId="15F252C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color w:val="000000"/>
          <w:kern w:val="2"/>
          <w:sz w:val="24"/>
          <w:szCs w:val="24"/>
          <w:lang w:val="en-US" w:eastAsia="zh-CN" w:bidi="ar-SA"/>
        </w:rPr>
        <w:t>2.</w:t>
      </w:r>
      <w:r>
        <w:rPr>
          <w:rFonts w:hint="eastAsia" w:ascii="宋体" w:hAnsi="宋体" w:eastAsia="宋体" w:cs="宋体"/>
          <w:bCs/>
          <w:color w:val="000000"/>
          <w:kern w:val="2"/>
          <w:sz w:val="24"/>
          <w:szCs w:val="24"/>
          <w:lang w:val="en-US" w:eastAsia="zh-CN" w:bidi="ar-SA"/>
        </w:rPr>
        <w:t>7</w:t>
      </w:r>
      <w:r>
        <w:rPr>
          <w:rFonts w:hint="eastAsia" w:ascii="宋体" w:hAnsi="宋体" w:eastAsia="宋体" w:cs="宋体"/>
          <w:bCs/>
          <w:sz w:val="24"/>
          <w:szCs w:val="24"/>
          <w:lang w:val="en-US" w:eastAsia="en-US" w:bidi="ar-SA"/>
        </w:rPr>
        <w:t>具备起搏分析功能。</w:t>
      </w:r>
    </w:p>
    <w:p w14:paraId="7CA894E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color w:val="000000"/>
          <w:kern w:val="2"/>
          <w:sz w:val="24"/>
          <w:szCs w:val="24"/>
          <w:lang w:val="en-US" w:eastAsia="zh-CN" w:bidi="ar-SA"/>
        </w:rPr>
        <w:t>2.</w:t>
      </w:r>
      <w:r>
        <w:rPr>
          <w:rFonts w:hint="eastAsia" w:ascii="宋体" w:hAnsi="宋体" w:eastAsia="宋体" w:cs="宋体"/>
          <w:bCs/>
          <w:color w:val="000000"/>
          <w:kern w:val="2"/>
          <w:sz w:val="24"/>
          <w:szCs w:val="24"/>
          <w:lang w:val="en-US" w:eastAsia="zh-CN" w:bidi="ar-SA"/>
        </w:rPr>
        <w:t>8</w:t>
      </w:r>
      <w:r>
        <w:rPr>
          <w:rFonts w:hint="eastAsia" w:ascii="宋体" w:hAnsi="宋体" w:eastAsia="宋体" w:cs="宋体"/>
          <w:bCs/>
          <w:sz w:val="24"/>
          <w:szCs w:val="24"/>
          <w:lang w:val="en-US" w:eastAsia="en-US" w:bidi="ar-SA"/>
        </w:rPr>
        <w:t>支持房颤及室上性心律失常分析功能，如：室上性心动过速，SVCs/min等，标配支持≥27种实时心律失常分析。</w:t>
      </w:r>
    </w:p>
    <w:p w14:paraId="494816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kern w:val="2"/>
          <w:sz w:val="24"/>
          <w:szCs w:val="24"/>
          <w:lang w:val="en-US" w:eastAsia="zh-CN" w:bidi="ar-SA"/>
        </w:rPr>
        <w:t>3.</w:t>
      </w:r>
      <w:r>
        <w:rPr>
          <w:rFonts w:hint="eastAsia" w:ascii="宋体" w:hAnsi="宋体" w:eastAsia="宋体" w:cs="宋体"/>
          <w:bCs/>
          <w:sz w:val="24"/>
          <w:szCs w:val="24"/>
          <w:lang w:val="en-US" w:eastAsia="en-US" w:bidi="ar-SA"/>
        </w:rPr>
        <w:t>系统功能</w:t>
      </w:r>
    </w:p>
    <w:p w14:paraId="14781C4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color w:val="EE0000"/>
          <w:sz w:val="24"/>
          <w:szCs w:val="24"/>
          <w:lang w:val="en-US" w:eastAsia="en-US" w:bidi="ar-SA"/>
        </w:rPr>
      </w:pPr>
      <w:r>
        <w:rPr>
          <w:rFonts w:hint="default" w:ascii="宋体" w:hAnsi="宋体" w:eastAsia="宋体" w:cs="宋体"/>
          <w:bCs/>
          <w:color w:val="000000"/>
          <w:kern w:val="2"/>
          <w:sz w:val="24"/>
          <w:szCs w:val="24"/>
          <w:lang w:val="en-US" w:eastAsia="zh-CN" w:bidi="ar-SA"/>
        </w:rPr>
        <w:t>3.1</w:t>
      </w:r>
      <w:r>
        <w:rPr>
          <w:rFonts w:hint="eastAsia" w:ascii="宋体" w:hAnsi="宋体" w:eastAsia="宋体" w:cs="宋体"/>
          <w:bCs/>
          <w:sz w:val="24"/>
          <w:szCs w:val="24"/>
          <w:lang w:val="en-US" w:eastAsia="en-US" w:bidi="ar-SA"/>
        </w:rPr>
        <w:t>支持在同品牌监护仪上通过它床观察的方式查看连接到中央站的遥测监测数据和报警。</w:t>
      </w:r>
    </w:p>
    <w:p w14:paraId="1D7CB24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color w:val="FF0000"/>
          <w:sz w:val="24"/>
          <w:szCs w:val="24"/>
          <w:lang w:val="en-US" w:eastAsia="en-US" w:bidi="ar-SA"/>
        </w:rPr>
      </w:pPr>
      <w:r>
        <w:rPr>
          <w:rFonts w:hint="default" w:ascii="宋体" w:hAnsi="宋体" w:eastAsia="宋体" w:cs="宋体"/>
          <w:bCs/>
          <w:color w:val="000000"/>
          <w:kern w:val="2"/>
          <w:sz w:val="24"/>
          <w:szCs w:val="24"/>
          <w:lang w:val="en-US" w:eastAsia="zh-CN" w:bidi="ar-SA"/>
        </w:rPr>
        <w:t>3.2</w:t>
      </w:r>
      <w:r>
        <w:rPr>
          <w:rFonts w:hint="eastAsia" w:ascii="宋体" w:hAnsi="宋体" w:eastAsia="宋体" w:cs="宋体"/>
          <w:bCs/>
          <w:color w:val="000000"/>
          <w:sz w:val="24"/>
          <w:szCs w:val="24"/>
          <w:lang w:val="en-US" w:eastAsia="en-US" w:bidi="ar-SA"/>
        </w:rPr>
        <w:t>支持设备实时定位和设备历史位置追踪功能。</w:t>
      </w:r>
    </w:p>
    <w:p w14:paraId="79F25C7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color w:val="000000"/>
          <w:kern w:val="2"/>
          <w:sz w:val="24"/>
          <w:szCs w:val="24"/>
          <w:lang w:val="en-US" w:eastAsia="zh-CN" w:bidi="ar-SA"/>
        </w:rPr>
        <w:t>3.3</w:t>
      </w:r>
      <w:r>
        <w:rPr>
          <w:rFonts w:hint="eastAsia" w:ascii="宋体" w:hAnsi="宋体" w:eastAsia="宋体" w:cs="宋体"/>
          <w:bCs/>
          <w:sz w:val="24"/>
          <w:szCs w:val="24"/>
          <w:lang w:val="en-US" w:eastAsia="en-US" w:bidi="ar-SA"/>
        </w:rPr>
        <w:t>支持给患者发送消息。</w:t>
      </w:r>
    </w:p>
    <w:p w14:paraId="4D7C537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color w:val="000000"/>
          <w:kern w:val="2"/>
          <w:sz w:val="24"/>
          <w:szCs w:val="24"/>
          <w:lang w:val="en-US" w:eastAsia="zh-CN" w:bidi="ar-SA"/>
        </w:rPr>
        <w:t>3.4</w:t>
      </w:r>
      <w:r>
        <w:rPr>
          <w:rFonts w:hint="eastAsia" w:ascii="宋体" w:hAnsi="宋体" w:eastAsia="宋体" w:cs="宋体"/>
          <w:bCs/>
          <w:sz w:val="24"/>
          <w:szCs w:val="24"/>
          <w:lang w:val="en-US" w:eastAsia="en-US" w:bidi="ar-SA"/>
        </w:rPr>
        <w:t>提供≥1块可充电锂电池供电，使用全新充满电的锂电池工作时间≥160h。电池低电量报警功能 。</w:t>
      </w:r>
    </w:p>
    <w:p w14:paraId="0CB3F7A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default" w:ascii="宋体" w:hAnsi="宋体" w:eastAsia="宋体" w:cs="宋体"/>
          <w:bCs/>
          <w:color w:val="000000"/>
          <w:kern w:val="2"/>
          <w:sz w:val="24"/>
          <w:szCs w:val="24"/>
          <w:lang w:val="en-US" w:eastAsia="zh-CN" w:bidi="ar-SA"/>
        </w:rPr>
      </w:pPr>
      <w:r>
        <w:rPr>
          <w:rFonts w:hint="default" w:ascii="宋体" w:hAnsi="宋体" w:eastAsia="宋体" w:cs="宋体"/>
          <w:bCs/>
          <w:color w:val="000000"/>
          <w:kern w:val="2"/>
          <w:sz w:val="24"/>
          <w:szCs w:val="24"/>
          <w:lang w:val="en-US" w:eastAsia="zh-CN" w:bidi="ar-SA"/>
        </w:rPr>
        <w:t>3.5具备锂电池集中充电器，能同时充电≥10块电池 ，每个充电位都有电池充电状态指示灯。</w:t>
      </w:r>
    </w:p>
    <w:p w14:paraId="626733A5">
      <w:pPr>
        <w:keepNext w:val="0"/>
        <w:keepLines w:val="0"/>
        <w:pageBreakBefore w:val="0"/>
        <w:kinsoku/>
        <w:wordWrap/>
        <w:overflowPunct/>
        <w:topLinePunct w:val="0"/>
        <w:autoSpaceDE/>
        <w:autoSpaceDN/>
        <w:bidi w:val="0"/>
        <w:adjustRightInd/>
        <w:snapToGrid/>
        <w:spacing w:line="360" w:lineRule="auto"/>
        <w:ind w:firstLine="0" w:firstLineChars="0"/>
        <w:jc w:val="left"/>
        <w:rPr>
          <w:rFonts w:hint="eastAsia" w:ascii="宋体" w:hAnsi="宋体" w:eastAsia="宋体" w:cs="宋体"/>
          <w:bCs/>
          <w:sz w:val="24"/>
          <w:szCs w:val="24"/>
        </w:rPr>
      </w:pPr>
      <w:r>
        <w:rPr>
          <w:rFonts w:hint="eastAsia" w:ascii="宋体" w:hAnsi="宋体" w:eastAsia="宋体" w:cs="宋体"/>
          <w:bCs/>
          <w:sz w:val="24"/>
          <w:szCs w:val="24"/>
        </w:rPr>
        <w:t>（二）遥测中心监护系统</w:t>
      </w:r>
    </w:p>
    <w:p w14:paraId="5B510D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kern w:val="2"/>
          <w:sz w:val="24"/>
          <w:szCs w:val="24"/>
          <w:lang w:val="en-US" w:eastAsia="zh-CN" w:bidi="ar-SA"/>
        </w:rPr>
        <w:t>1.</w:t>
      </w:r>
      <w:r>
        <w:rPr>
          <w:rFonts w:hint="eastAsia" w:ascii="宋体" w:hAnsi="宋体" w:eastAsia="宋体" w:cs="宋体"/>
          <w:bCs/>
          <w:sz w:val="24"/>
          <w:szCs w:val="24"/>
          <w:lang w:val="en-US" w:eastAsia="en-US" w:bidi="ar-SA"/>
        </w:rPr>
        <w:t>基本功能</w:t>
      </w:r>
    </w:p>
    <w:p w14:paraId="337A5E5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default" w:ascii="宋体" w:hAnsi="宋体" w:eastAsia="宋体" w:cs="宋体"/>
          <w:bCs/>
          <w:kern w:val="2"/>
          <w:sz w:val="24"/>
          <w:szCs w:val="24"/>
          <w:lang w:val="en-US" w:eastAsia="zh-CN" w:bidi="ar-SA"/>
        </w:rPr>
      </w:pPr>
      <w:r>
        <w:rPr>
          <w:rFonts w:hint="default" w:ascii="宋体" w:hAnsi="宋体" w:eastAsia="宋体" w:cs="宋体"/>
          <w:bCs/>
          <w:kern w:val="2"/>
          <w:sz w:val="24"/>
          <w:szCs w:val="24"/>
          <w:lang w:val="en-US" w:eastAsia="zh-CN" w:bidi="ar-SA"/>
        </w:rPr>
        <w:t>1.1.中心监护系统支持中央站、工作站、 浏览站、远程查询系统等多种形式互联。</w:t>
      </w:r>
    </w:p>
    <w:p w14:paraId="1B71368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highlight w:val="none"/>
          <w:lang w:val="en-US" w:eastAsia="en-US" w:bidi="ar-SA"/>
        </w:rPr>
      </w:pPr>
      <w:r>
        <w:rPr>
          <w:rFonts w:hint="default" w:ascii="宋体" w:hAnsi="宋体" w:eastAsia="宋体" w:cs="宋体"/>
          <w:bCs/>
          <w:kern w:val="2"/>
          <w:sz w:val="24"/>
          <w:szCs w:val="24"/>
          <w:lang w:val="en-US" w:eastAsia="zh-CN" w:bidi="ar-SA"/>
        </w:rPr>
        <w:t>1.2.</w:t>
      </w:r>
      <w:r>
        <w:rPr>
          <w:rFonts w:hint="eastAsia" w:ascii="宋体" w:hAnsi="宋体" w:eastAsia="宋体" w:cs="宋体"/>
          <w:bCs/>
          <w:sz w:val="24"/>
          <w:szCs w:val="24"/>
          <w:highlight w:val="none"/>
          <w:lang w:val="en-US" w:eastAsia="en-US" w:bidi="ar-SA"/>
        </w:rPr>
        <w:t>支持EWS看板功能。</w:t>
      </w:r>
    </w:p>
    <w:p w14:paraId="79D1FAD4">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bCs/>
          <w:sz w:val="24"/>
          <w:szCs w:val="24"/>
          <w:highlight w:val="none"/>
        </w:rPr>
      </w:pPr>
      <w:r>
        <w:rPr>
          <w:rFonts w:hint="default" w:ascii="宋体" w:hAnsi="宋体" w:eastAsia="宋体" w:cs="宋体"/>
          <w:bCs/>
          <w:kern w:val="2"/>
          <w:sz w:val="24"/>
          <w:szCs w:val="24"/>
          <w:lang w:val="en-US" w:eastAsia="zh-CN" w:bidi="ar-SA"/>
        </w:rPr>
        <w:t>1.3.</w:t>
      </w:r>
      <w:r>
        <w:rPr>
          <w:rFonts w:hint="eastAsia" w:ascii="宋体" w:hAnsi="宋体" w:eastAsia="宋体" w:cs="宋体"/>
          <w:bCs/>
          <w:sz w:val="24"/>
          <w:szCs w:val="24"/>
          <w:highlight w:val="none"/>
        </w:rPr>
        <w:t>主机可支持连接≥4个显示屏，显示器尺寸≥2</w:t>
      </w:r>
      <w:r>
        <w:rPr>
          <w:rFonts w:hint="eastAsia" w:ascii="宋体" w:hAnsi="宋体" w:eastAsia="宋体" w:cs="宋体"/>
          <w:bCs/>
          <w:sz w:val="24"/>
          <w:szCs w:val="24"/>
          <w:highlight w:val="none"/>
          <w:lang w:val="en-US" w:eastAsia="zh-CN"/>
        </w:rPr>
        <w:t>4</w:t>
      </w:r>
      <w:r>
        <w:rPr>
          <w:rFonts w:hint="eastAsia" w:ascii="宋体" w:hAnsi="宋体" w:eastAsia="宋体" w:cs="宋体"/>
          <w:bCs/>
          <w:sz w:val="24"/>
          <w:szCs w:val="24"/>
          <w:highlight w:val="none"/>
        </w:rPr>
        <w:t>英寸，</w:t>
      </w:r>
      <w:r>
        <w:rPr>
          <w:rFonts w:hint="eastAsia" w:ascii="宋体" w:hAnsi="宋体" w:eastAsia="宋体" w:cs="宋体"/>
          <w:bCs/>
          <w:sz w:val="24"/>
          <w:szCs w:val="24"/>
          <w:highlight w:val="none"/>
          <w:lang w:val="en-US" w:eastAsia="zh-CN"/>
        </w:rPr>
        <w:t>分</w:t>
      </w:r>
      <w:r>
        <w:rPr>
          <w:rFonts w:hint="eastAsia" w:ascii="宋体" w:hAnsi="宋体" w:eastAsia="宋体" w:cs="宋体"/>
          <w:bCs/>
          <w:sz w:val="24"/>
          <w:szCs w:val="24"/>
          <w:highlight w:val="none"/>
        </w:rPr>
        <w:t>辨率≥1920X1080</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并且主机可支持分辨率≥3840*2160的显示器。</w:t>
      </w:r>
    </w:p>
    <w:p w14:paraId="194B2698">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bCs/>
          <w:sz w:val="24"/>
          <w:szCs w:val="24"/>
          <w:highlight w:val="none"/>
        </w:rPr>
      </w:pPr>
      <w:r>
        <w:rPr>
          <w:rFonts w:hint="default" w:ascii="宋体" w:hAnsi="宋体" w:eastAsia="宋体" w:cs="宋体"/>
          <w:bCs/>
          <w:kern w:val="2"/>
          <w:sz w:val="24"/>
          <w:szCs w:val="24"/>
          <w:lang w:val="en-US" w:eastAsia="zh-CN" w:bidi="ar-SA"/>
        </w:rPr>
        <w:t>1.4.</w:t>
      </w:r>
      <w:r>
        <w:rPr>
          <w:rFonts w:hint="eastAsia" w:ascii="宋体" w:hAnsi="宋体" w:eastAsia="宋体" w:cs="宋体"/>
          <w:bCs/>
          <w:sz w:val="24"/>
          <w:szCs w:val="24"/>
          <w:highlight w:val="none"/>
        </w:rPr>
        <w:t>系统整体确保医疗数据存储时间≥10天。</w:t>
      </w:r>
    </w:p>
    <w:p w14:paraId="46C831E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kern w:val="2"/>
          <w:sz w:val="24"/>
          <w:szCs w:val="24"/>
          <w:lang w:val="en-US" w:eastAsia="zh-CN" w:bidi="ar-SA"/>
        </w:rPr>
        <w:t>1.5.</w:t>
      </w:r>
      <w:r>
        <w:rPr>
          <w:rFonts w:hint="eastAsia" w:ascii="宋体" w:hAnsi="宋体" w:eastAsia="宋体" w:cs="宋体"/>
          <w:bCs/>
          <w:sz w:val="24"/>
          <w:szCs w:val="24"/>
          <w:highlight w:val="none"/>
          <w:lang w:val="en-US" w:eastAsia="en-US" w:bidi="ar-SA"/>
        </w:rPr>
        <w:t>支持集中显示所有连接的监护设备的使用率情况</w:t>
      </w:r>
      <w:r>
        <w:rPr>
          <w:rFonts w:hint="eastAsia" w:ascii="宋体" w:hAnsi="宋体" w:eastAsia="宋体" w:cs="宋体"/>
          <w:bCs/>
          <w:sz w:val="24"/>
          <w:szCs w:val="24"/>
          <w:lang w:val="en-US" w:eastAsia="en-US" w:bidi="ar-SA"/>
        </w:rPr>
        <w:t>，支持统计和输出设备在各科室内的使用率情况，并将设备的基本信息（如序列号，工作状态等）并以表格的形式进行导出。</w:t>
      </w:r>
    </w:p>
    <w:p w14:paraId="2AC8CDF1">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rPr>
          <w:rFonts w:hint="default" w:ascii="宋体" w:hAnsi="宋体" w:eastAsia="宋体" w:cs="宋体"/>
          <w:bCs/>
          <w:kern w:val="2"/>
          <w:sz w:val="24"/>
          <w:szCs w:val="24"/>
          <w:lang w:val="en-US" w:eastAsia="zh-CN" w:bidi="ar-SA"/>
        </w:rPr>
      </w:pPr>
      <w:r>
        <w:rPr>
          <w:rFonts w:hint="default" w:ascii="宋体" w:hAnsi="宋体" w:eastAsia="宋体" w:cs="宋体"/>
          <w:bCs/>
          <w:kern w:val="2"/>
          <w:sz w:val="24"/>
          <w:szCs w:val="24"/>
          <w:lang w:val="en-US" w:eastAsia="zh-CN" w:bidi="ar-SA"/>
        </w:rPr>
        <w:t>1.6.中央站兼容同品牌的所有监护仪、遥测产品、除颤（MED）等设备的信息集中显示，并可显示所有的参数及波形。</w:t>
      </w:r>
    </w:p>
    <w:p w14:paraId="381CD5E3">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rPr>
          <w:rFonts w:hint="eastAsia" w:ascii="宋体" w:hAnsi="宋体" w:eastAsia="宋体" w:cs="宋体"/>
          <w:bCs/>
          <w:sz w:val="24"/>
          <w:szCs w:val="24"/>
        </w:rPr>
      </w:pPr>
      <w:r>
        <w:rPr>
          <w:rFonts w:hint="default" w:ascii="宋体" w:hAnsi="宋体" w:eastAsia="宋体" w:cs="宋体"/>
          <w:bCs/>
          <w:kern w:val="2"/>
          <w:sz w:val="24"/>
          <w:szCs w:val="24"/>
          <w:lang w:val="en-US" w:eastAsia="zh-CN" w:bidi="ar-SA"/>
        </w:rPr>
        <w:t>2.</w:t>
      </w:r>
      <w:r>
        <w:rPr>
          <w:rFonts w:hint="eastAsia" w:ascii="宋体" w:hAnsi="宋体" w:eastAsia="宋体" w:cs="宋体"/>
          <w:bCs/>
          <w:sz w:val="24"/>
          <w:szCs w:val="24"/>
        </w:rPr>
        <w:t>系统功能</w:t>
      </w:r>
    </w:p>
    <w:p w14:paraId="4DCB3DC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color w:val="000000"/>
          <w:sz w:val="24"/>
          <w:szCs w:val="24"/>
          <w:lang w:val="en-US" w:eastAsia="en-US" w:bidi="ar-SA"/>
        </w:rPr>
      </w:pPr>
      <w:r>
        <w:rPr>
          <w:rFonts w:hint="default" w:ascii="宋体" w:hAnsi="宋体" w:eastAsia="宋体" w:cs="宋体"/>
          <w:bCs/>
          <w:color w:val="000000"/>
          <w:kern w:val="2"/>
          <w:sz w:val="24"/>
          <w:szCs w:val="24"/>
          <w:lang w:val="en-US" w:eastAsia="zh-CN" w:bidi="ar-SA"/>
        </w:rPr>
        <w:t>2.1.</w:t>
      </w:r>
      <w:r>
        <w:rPr>
          <w:rFonts w:hint="eastAsia" w:ascii="宋体" w:hAnsi="宋体" w:eastAsia="宋体" w:cs="宋体"/>
          <w:bCs/>
          <w:color w:val="000000"/>
          <w:sz w:val="24"/>
          <w:szCs w:val="24"/>
          <w:lang w:val="en-US" w:eastAsia="en-US" w:bidi="ar-SA"/>
        </w:rPr>
        <w:t>可以显示监护仪及被监护仪集成的其他床旁设备的报警信息，报警需满足YY0709标准。</w:t>
      </w:r>
    </w:p>
    <w:p w14:paraId="531322F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color w:val="000000"/>
          <w:sz w:val="24"/>
          <w:szCs w:val="24"/>
          <w:lang w:val="en-US" w:eastAsia="en-US" w:bidi="ar-SA"/>
        </w:rPr>
      </w:pPr>
      <w:r>
        <w:rPr>
          <w:rFonts w:hint="default" w:ascii="宋体" w:hAnsi="宋体" w:eastAsia="宋体" w:cs="宋体"/>
          <w:bCs/>
          <w:color w:val="000000"/>
          <w:kern w:val="2"/>
          <w:sz w:val="24"/>
          <w:szCs w:val="24"/>
          <w:lang w:val="en-US" w:eastAsia="zh-CN" w:bidi="ar-SA"/>
        </w:rPr>
        <w:t>2.2.</w:t>
      </w:r>
      <w:r>
        <w:rPr>
          <w:rFonts w:hint="eastAsia" w:ascii="宋体" w:hAnsi="宋体" w:eastAsia="宋体" w:cs="宋体"/>
          <w:bCs/>
          <w:color w:val="000000"/>
          <w:sz w:val="24"/>
          <w:szCs w:val="24"/>
          <w:lang w:val="en-US" w:eastAsia="en-US" w:bidi="ar-SA"/>
        </w:rPr>
        <w:t>具备报警复位功能，在报警触发后能够通过报警复位消除报警声音。具备报警集中设置功能。</w:t>
      </w:r>
    </w:p>
    <w:p w14:paraId="57268A4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kern w:val="2"/>
          <w:sz w:val="24"/>
          <w:szCs w:val="24"/>
          <w:lang w:val="en-US" w:eastAsia="zh-CN" w:bidi="ar-SA"/>
        </w:rPr>
        <w:t>2.3.</w:t>
      </w:r>
      <w:r>
        <w:rPr>
          <w:rFonts w:hint="eastAsia" w:ascii="宋体" w:hAnsi="宋体" w:eastAsia="宋体" w:cs="宋体"/>
          <w:bCs/>
          <w:sz w:val="24"/>
          <w:szCs w:val="24"/>
          <w:lang w:val="en-US" w:eastAsia="en-US" w:bidi="ar-SA"/>
        </w:rPr>
        <w:t>具备全局报警列表功能，可显示最近1小时内所有床的报警，支持排序调整，并可连接至事件回顾查看详细数据。</w:t>
      </w:r>
    </w:p>
    <w:p w14:paraId="4872B49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kern w:val="2"/>
          <w:sz w:val="24"/>
          <w:szCs w:val="24"/>
          <w:lang w:val="en-US" w:eastAsia="zh-CN" w:bidi="ar-SA"/>
        </w:rPr>
        <w:t>2.4.</w:t>
      </w:r>
      <w:r>
        <w:rPr>
          <w:rFonts w:hint="eastAsia" w:ascii="宋体" w:hAnsi="宋体" w:eastAsia="宋体" w:cs="宋体"/>
          <w:bCs/>
          <w:sz w:val="24"/>
          <w:szCs w:val="24"/>
          <w:lang w:val="en-US" w:eastAsia="en-US" w:bidi="ar-SA"/>
        </w:rPr>
        <w:t>具备中央站全局静音功能。</w:t>
      </w:r>
    </w:p>
    <w:p w14:paraId="17A5728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kern w:val="2"/>
          <w:sz w:val="24"/>
          <w:szCs w:val="24"/>
          <w:lang w:val="en-US" w:eastAsia="zh-CN" w:bidi="ar-SA"/>
        </w:rPr>
        <w:t>2.5.</w:t>
      </w:r>
      <w:r>
        <w:rPr>
          <w:rFonts w:hint="eastAsia" w:ascii="宋体" w:hAnsi="宋体" w:eastAsia="宋体" w:cs="宋体"/>
          <w:bCs/>
          <w:sz w:val="24"/>
          <w:szCs w:val="24"/>
          <w:lang w:val="en-US" w:eastAsia="en-US" w:bidi="ar-SA"/>
        </w:rPr>
        <w:t>中央站配置管理，可定制科室默认配置，并将科室默认配置应用至所有床。</w:t>
      </w:r>
    </w:p>
    <w:p w14:paraId="44DC346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kern w:val="2"/>
          <w:sz w:val="24"/>
          <w:szCs w:val="24"/>
          <w:lang w:val="en-US" w:eastAsia="zh-CN" w:bidi="ar-SA"/>
        </w:rPr>
        <w:t>2.6.</w:t>
      </w:r>
      <w:r>
        <w:rPr>
          <w:rFonts w:hint="eastAsia" w:ascii="宋体" w:hAnsi="宋体" w:eastAsia="宋体" w:cs="宋体"/>
          <w:bCs/>
          <w:sz w:val="24"/>
          <w:szCs w:val="24"/>
          <w:lang w:val="en-US" w:eastAsia="en-US" w:bidi="ar-SA"/>
        </w:rPr>
        <w:t>重点观察床支持趋势与实时参数波形同时显示，互不遮挡。</w:t>
      </w:r>
    </w:p>
    <w:p w14:paraId="464A5E6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eastAsia" w:ascii="宋体" w:hAnsi="宋体" w:eastAsia="宋体" w:cs="宋体"/>
          <w:bCs/>
          <w:color w:val="000000"/>
          <w:sz w:val="24"/>
          <w:szCs w:val="24"/>
          <w:lang w:val="en-US" w:eastAsia="en-US" w:bidi="ar-SA"/>
        </w:rPr>
        <w:t>▲</w:t>
      </w:r>
      <w:r>
        <w:rPr>
          <w:rFonts w:hint="default" w:ascii="宋体" w:hAnsi="宋体" w:eastAsia="宋体" w:cs="宋体"/>
          <w:bCs/>
          <w:kern w:val="2"/>
          <w:sz w:val="24"/>
          <w:szCs w:val="24"/>
          <w:lang w:val="en-US" w:eastAsia="zh-CN" w:bidi="ar-SA"/>
        </w:rPr>
        <w:t>2.7.</w:t>
      </w:r>
      <w:r>
        <w:rPr>
          <w:rFonts w:hint="eastAsia" w:ascii="宋体" w:hAnsi="宋体" w:eastAsia="宋体" w:cs="宋体"/>
          <w:bCs/>
          <w:color w:val="000000"/>
          <w:sz w:val="24"/>
          <w:szCs w:val="24"/>
          <w:lang w:val="en-US" w:eastAsia="en-US" w:bidi="ar-SA"/>
        </w:rPr>
        <w:t>具备≥240</w:t>
      </w:r>
      <w:r>
        <w:rPr>
          <w:rFonts w:hint="eastAsia" w:ascii="宋体" w:hAnsi="宋体" w:eastAsia="宋体" w:cs="宋体"/>
          <w:bCs/>
          <w:sz w:val="24"/>
          <w:szCs w:val="24"/>
          <w:lang w:val="en-US" w:eastAsia="en-US" w:bidi="ar-SA"/>
        </w:rPr>
        <w:t>小时趋势数据存储。</w:t>
      </w:r>
    </w:p>
    <w:p w14:paraId="41328E3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kern w:val="2"/>
          <w:sz w:val="24"/>
          <w:szCs w:val="24"/>
          <w:lang w:val="en-US" w:eastAsia="zh-CN" w:bidi="ar-SA"/>
        </w:rPr>
        <w:t>2.8.</w:t>
      </w:r>
      <w:r>
        <w:rPr>
          <w:rFonts w:hint="eastAsia" w:ascii="宋体" w:hAnsi="宋体" w:eastAsia="宋体" w:cs="宋体"/>
          <w:bCs/>
          <w:sz w:val="24"/>
          <w:szCs w:val="24"/>
          <w:lang w:val="en-US" w:eastAsia="en-US" w:bidi="ar-SA"/>
        </w:rPr>
        <w:t>具备≥240小时全息波形数据存储。</w:t>
      </w:r>
    </w:p>
    <w:p w14:paraId="5DB731B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kern w:val="2"/>
          <w:sz w:val="24"/>
          <w:szCs w:val="24"/>
          <w:lang w:val="en-US" w:eastAsia="zh-CN" w:bidi="ar-SA"/>
        </w:rPr>
        <w:t>2.9.</w:t>
      </w:r>
      <w:r>
        <w:rPr>
          <w:rFonts w:hint="eastAsia" w:ascii="宋体" w:hAnsi="宋体" w:eastAsia="宋体" w:cs="宋体"/>
          <w:bCs/>
          <w:sz w:val="24"/>
          <w:szCs w:val="24"/>
          <w:lang w:val="en-US" w:eastAsia="en-US" w:bidi="ar-SA"/>
        </w:rPr>
        <w:t>具备≥240小时ST片段数据存储。</w:t>
      </w:r>
    </w:p>
    <w:p w14:paraId="4897A5D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kern w:val="2"/>
          <w:sz w:val="24"/>
          <w:szCs w:val="24"/>
          <w:lang w:val="en-US" w:eastAsia="zh-CN" w:bidi="ar-SA"/>
        </w:rPr>
        <w:t>2.10.支持≥3000条事件存储，可存储报警事件发生时刻的参数和报警前后≥16秒波形。2.11.</w:t>
      </w:r>
      <w:r>
        <w:rPr>
          <w:rFonts w:hint="eastAsia" w:ascii="宋体" w:hAnsi="宋体" w:eastAsia="宋体" w:cs="宋体"/>
          <w:bCs/>
          <w:sz w:val="24"/>
          <w:szCs w:val="24"/>
          <w:lang w:val="en-US" w:eastAsia="en-US" w:bidi="ar-SA"/>
        </w:rPr>
        <w:t>支持≥240小时长趋势回顾和≥4小时短趋势回顾，≥240小时全息波形回顾，≥240小时的ST片段回顾，≥720条报警事件回顾等。</w:t>
      </w:r>
    </w:p>
    <w:p w14:paraId="1573667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lang w:val="en-US" w:eastAsia="en-US" w:bidi="ar-SA"/>
        </w:rPr>
      </w:pPr>
      <w:r>
        <w:rPr>
          <w:rFonts w:hint="default" w:ascii="宋体" w:hAnsi="宋体" w:eastAsia="宋体" w:cs="宋体"/>
          <w:bCs/>
          <w:kern w:val="2"/>
          <w:sz w:val="24"/>
          <w:szCs w:val="24"/>
          <w:lang w:val="en-US" w:eastAsia="zh-CN" w:bidi="ar-SA"/>
        </w:rPr>
        <w:t>2.12.</w:t>
      </w:r>
      <w:r>
        <w:rPr>
          <w:rFonts w:hint="eastAsia" w:ascii="宋体" w:hAnsi="宋体" w:eastAsia="宋体" w:cs="宋体"/>
          <w:bCs/>
          <w:sz w:val="24"/>
          <w:szCs w:val="24"/>
          <w:lang w:val="en-US" w:eastAsia="en-US" w:bidi="ar-SA"/>
        </w:rPr>
        <w:t>支持趋势图/表回顾功能。支持自定义趋势组功能，可由用户自行选择参数及调整参数顺序。</w:t>
      </w:r>
    </w:p>
    <w:p w14:paraId="3D421F7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highlight w:val="none"/>
          <w:lang w:val="en-US" w:eastAsia="en-US" w:bidi="ar-SA"/>
        </w:rPr>
      </w:pPr>
      <w:r>
        <w:rPr>
          <w:rFonts w:hint="eastAsia" w:ascii="宋体" w:hAnsi="宋体" w:eastAsia="宋体" w:cs="宋体"/>
          <w:bCs/>
          <w:color w:val="000000"/>
          <w:sz w:val="24"/>
          <w:szCs w:val="24"/>
          <w:highlight w:val="none"/>
          <w:lang w:val="en-US" w:eastAsia="en-US" w:bidi="ar-SA"/>
        </w:rPr>
        <w:t>▲</w:t>
      </w:r>
      <w:r>
        <w:rPr>
          <w:rFonts w:hint="default" w:ascii="宋体" w:hAnsi="宋体" w:eastAsia="宋体" w:cs="宋体"/>
          <w:bCs/>
          <w:kern w:val="2"/>
          <w:sz w:val="24"/>
          <w:szCs w:val="24"/>
          <w:highlight w:val="none"/>
          <w:lang w:val="en-US" w:eastAsia="zh-CN" w:bidi="ar-SA"/>
        </w:rPr>
        <w:t>2.13.</w:t>
      </w:r>
      <w:r>
        <w:rPr>
          <w:rFonts w:hint="eastAsia" w:ascii="宋体" w:hAnsi="宋体" w:eastAsia="宋体" w:cs="宋体"/>
          <w:bCs/>
          <w:sz w:val="24"/>
          <w:szCs w:val="24"/>
          <w:highlight w:val="none"/>
          <w:lang w:val="en-US" w:eastAsia="en-US" w:bidi="ar-SA"/>
        </w:rPr>
        <w:t>提供病人生命体征参数的变化趋势、报警事件统计信息，并支持报告打印。</w:t>
      </w:r>
    </w:p>
    <w:p w14:paraId="7BE4311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default" w:ascii="宋体" w:hAnsi="宋体" w:eastAsia="宋体" w:cs="宋体"/>
          <w:bCs/>
          <w:kern w:val="2"/>
          <w:sz w:val="24"/>
          <w:szCs w:val="24"/>
          <w:highlight w:val="none"/>
          <w:lang w:val="en-US" w:eastAsia="zh-CN" w:bidi="ar-SA"/>
        </w:rPr>
      </w:pPr>
      <w:r>
        <w:rPr>
          <w:rFonts w:hint="default" w:ascii="宋体" w:hAnsi="宋体" w:eastAsia="宋体" w:cs="宋体"/>
          <w:bCs/>
          <w:kern w:val="2"/>
          <w:sz w:val="24"/>
          <w:szCs w:val="24"/>
          <w:highlight w:val="none"/>
          <w:lang w:val="en-US" w:eastAsia="zh-CN" w:bidi="ar-SA"/>
        </w:rPr>
        <w:t>2.14.具备心律失常统计，回顾一段时间内心律失常统计结果。要求支持表格及图形回顾方式。</w:t>
      </w:r>
    </w:p>
    <w:p w14:paraId="083A9A2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highlight w:val="none"/>
          <w:lang w:val="en-US" w:eastAsia="en-US" w:bidi="ar-SA"/>
        </w:rPr>
      </w:pPr>
      <w:r>
        <w:rPr>
          <w:rFonts w:hint="default" w:ascii="宋体" w:hAnsi="宋体" w:eastAsia="宋体" w:cs="宋体"/>
          <w:bCs/>
          <w:kern w:val="2"/>
          <w:sz w:val="24"/>
          <w:szCs w:val="24"/>
          <w:highlight w:val="none"/>
          <w:lang w:val="en-US" w:eastAsia="zh-CN" w:bidi="ar-SA"/>
        </w:rPr>
        <w:t>2.15.</w:t>
      </w:r>
      <w:r>
        <w:rPr>
          <w:rFonts w:hint="eastAsia" w:ascii="宋体" w:hAnsi="宋体" w:eastAsia="宋体" w:cs="宋体"/>
          <w:bCs/>
          <w:sz w:val="24"/>
          <w:szCs w:val="24"/>
          <w:highlight w:val="none"/>
          <w:lang w:val="en-US" w:eastAsia="en-US" w:bidi="ar-SA"/>
        </w:rPr>
        <w:t>支持升级对病人24小时心电数据进行统计分析，提供HR、ST、QT/QTc、心律失常、起搏的统计结果，并能够查看相关细节。</w:t>
      </w:r>
    </w:p>
    <w:p w14:paraId="4CD7F84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highlight w:val="none"/>
          <w:lang w:val="en-US" w:eastAsia="en-US" w:bidi="ar-SA"/>
        </w:rPr>
      </w:pPr>
      <w:r>
        <w:rPr>
          <w:rFonts w:hint="default" w:ascii="宋体" w:hAnsi="宋体" w:eastAsia="宋体" w:cs="宋体"/>
          <w:bCs/>
          <w:kern w:val="2"/>
          <w:sz w:val="24"/>
          <w:szCs w:val="24"/>
          <w:highlight w:val="none"/>
          <w:lang w:val="en-US" w:eastAsia="zh-CN" w:bidi="ar-SA"/>
        </w:rPr>
        <w:t>2.16.</w:t>
      </w:r>
      <w:r>
        <w:rPr>
          <w:rFonts w:hint="eastAsia" w:ascii="宋体" w:hAnsi="宋体" w:eastAsia="宋体" w:cs="宋体"/>
          <w:bCs/>
          <w:sz w:val="24"/>
          <w:szCs w:val="24"/>
          <w:highlight w:val="none"/>
          <w:lang w:val="en-US" w:eastAsia="en-US" w:bidi="ar-SA"/>
        </w:rPr>
        <w:t>支持升级连续血压分析功能，可对监护仪NIBP测量结果，进行综合分析。</w:t>
      </w:r>
    </w:p>
    <w:p w14:paraId="7751A3B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highlight w:val="none"/>
          <w:lang w:val="en-US" w:eastAsia="en-US" w:bidi="ar-SA"/>
        </w:rPr>
      </w:pPr>
      <w:r>
        <w:rPr>
          <w:rFonts w:hint="default" w:ascii="宋体" w:hAnsi="宋体" w:eastAsia="宋体" w:cs="宋体"/>
          <w:bCs/>
          <w:kern w:val="2"/>
          <w:sz w:val="24"/>
          <w:szCs w:val="24"/>
          <w:highlight w:val="none"/>
          <w:lang w:val="en-US" w:eastAsia="zh-CN" w:bidi="ar-SA"/>
        </w:rPr>
        <w:t>2.17.</w:t>
      </w:r>
      <w:r>
        <w:rPr>
          <w:rFonts w:hint="eastAsia" w:ascii="宋体" w:hAnsi="宋体" w:eastAsia="宋体" w:cs="宋体"/>
          <w:bCs/>
          <w:sz w:val="24"/>
          <w:szCs w:val="24"/>
          <w:highlight w:val="none"/>
          <w:lang w:val="en-US" w:eastAsia="en-US" w:bidi="ar-SA"/>
        </w:rPr>
        <w:t>支持升级对病人室性心律失常事件和室性类心电活动的进行统计，支持查看典型心电图，并支持报告打印。</w:t>
      </w:r>
    </w:p>
    <w:p w14:paraId="671713E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contextualSpacing/>
        <w:rPr>
          <w:rFonts w:hint="eastAsia" w:ascii="宋体" w:hAnsi="宋体" w:eastAsia="宋体" w:cs="宋体"/>
          <w:bCs/>
          <w:sz w:val="24"/>
          <w:szCs w:val="24"/>
          <w:highlight w:val="none"/>
          <w:lang w:val="en-US" w:eastAsia="en-US" w:bidi="ar-SA"/>
        </w:rPr>
      </w:pPr>
      <w:r>
        <w:rPr>
          <w:rFonts w:hint="default" w:ascii="宋体" w:hAnsi="宋体" w:eastAsia="宋体" w:cs="宋体"/>
          <w:bCs/>
          <w:kern w:val="2"/>
          <w:sz w:val="24"/>
          <w:szCs w:val="24"/>
          <w:highlight w:val="none"/>
          <w:lang w:val="en-US" w:eastAsia="zh-CN" w:bidi="ar-SA"/>
        </w:rPr>
        <w:t>2.18.</w:t>
      </w:r>
      <w:r>
        <w:rPr>
          <w:rFonts w:hint="eastAsia" w:ascii="宋体" w:hAnsi="宋体" w:eastAsia="宋体" w:cs="宋体"/>
          <w:bCs/>
          <w:sz w:val="24"/>
          <w:szCs w:val="24"/>
          <w:highlight w:val="none"/>
          <w:lang w:val="en-US" w:eastAsia="en-US" w:bidi="ar-SA"/>
        </w:rPr>
        <w:t>支持升级病人的房颤事件的统计信息和生命体征参数趋势，并支持报告打印。</w:t>
      </w:r>
    </w:p>
    <w:p w14:paraId="3B7B6082">
      <w:pPr>
        <w:keepNext w:val="0"/>
        <w:keepLines w:val="0"/>
        <w:pageBreakBefore w:val="0"/>
        <w:kinsoku/>
        <w:wordWrap/>
        <w:overflowPunct/>
        <w:topLinePunct w:val="0"/>
        <w:autoSpaceDE/>
        <w:autoSpaceDN/>
        <w:bidi w:val="0"/>
        <w:adjustRightInd/>
        <w:snapToGrid/>
        <w:spacing w:line="360" w:lineRule="auto"/>
        <w:ind w:firstLine="0" w:firstLineChars="0"/>
        <w:jc w:val="left"/>
        <w:rPr>
          <w:rFonts w:hint="default" w:ascii="宋体" w:hAnsi="宋体" w:eastAsia="宋体" w:cs="宋体"/>
          <w:bCs/>
          <w:kern w:val="2"/>
          <w:sz w:val="24"/>
          <w:szCs w:val="24"/>
          <w:highlight w:val="none"/>
          <w:lang w:val="en-US" w:eastAsia="zh-CN" w:bidi="ar-SA"/>
        </w:rPr>
      </w:pPr>
      <w:r>
        <w:rPr>
          <w:rFonts w:hint="default" w:ascii="宋体" w:hAnsi="宋体" w:eastAsia="宋体" w:cs="宋体"/>
          <w:bCs/>
          <w:kern w:val="2"/>
          <w:sz w:val="24"/>
          <w:szCs w:val="24"/>
          <w:highlight w:val="none"/>
          <w:lang w:val="en-US" w:eastAsia="zh-CN" w:bidi="ar-SA"/>
        </w:rPr>
        <w:t>2.19.中央站可显示参数：ECG、ST、QT/QTc、 RESP、SPO2、PR、TEMP、NIBP、IBP、C.O.、CCO、ScvO2、ICG、BIS、RM、CO2、AG、EEG、NMT、rSO2等。</w:t>
      </w:r>
    </w:p>
    <w:p w14:paraId="3B8B9BC6">
      <w:pPr>
        <w:keepNext w:val="0"/>
        <w:keepLines w:val="0"/>
        <w:pageBreakBefore w:val="0"/>
        <w:kinsoku/>
        <w:wordWrap/>
        <w:overflowPunct/>
        <w:topLinePunct w:val="0"/>
        <w:autoSpaceDE/>
        <w:autoSpaceDN/>
        <w:bidi w:val="0"/>
        <w:adjustRightInd/>
        <w:snapToGrid/>
        <w:spacing w:line="360" w:lineRule="auto"/>
        <w:ind w:firstLine="0" w:firstLineChars="0"/>
        <w:jc w:val="left"/>
        <w:rPr>
          <w:rFonts w:hint="eastAsia" w:ascii="宋体" w:hAnsi="宋体" w:eastAsia="宋体" w:cs="宋体"/>
          <w:bCs/>
          <w:sz w:val="24"/>
          <w:szCs w:val="24"/>
          <w:highlight w:val="none"/>
          <w:lang w:eastAsia="zh-CN"/>
        </w:rPr>
      </w:pPr>
      <w:r>
        <w:rPr>
          <w:rFonts w:hint="default" w:ascii="宋体" w:hAnsi="宋体" w:eastAsia="宋体" w:cs="宋体"/>
          <w:bCs/>
          <w:kern w:val="2"/>
          <w:sz w:val="24"/>
          <w:szCs w:val="24"/>
          <w:highlight w:val="none"/>
          <w:lang w:val="en-US" w:eastAsia="zh-CN" w:bidi="ar-SA"/>
        </w:rPr>
        <w:t>2.20.设备应具备开放数据接口，承诺配合完成医院相关信息系统对接，软件终身免费升级</w:t>
      </w:r>
      <w:r>
        <w:rPr>
          <w:rFonts w:hint="eastAsia" w:ascii="宋体" w:hAnsi="宋体" w:eastAsia="宋体" w:cs="宋体"/>
          <w:bCs/>
          <w:kern w:val="2"/>
          <w:sz w:val="24"/>
          <w:szCs w:val="24"/>
          <w:highlight w:val="none"/>
          <w:lang w:val="en-US" w:eastAsia="zh-CN" w:bidi="ar-SA"/>
        </w:rPr>
        <w:t>。</w:t>
      </w:r>
    </w:p>
    <w:p w14:paraId="63D75327">
      <w:pPr>
        <w:keepNext w:val="0"/>
        <w:keepLines w:val="0"/>
        <w:pageBreakBefore w:val="0"/>
        <w:kinsoku/>
        <w:wordWrap/>
        <w:overflowPunct/>
        <w:topLinePunct w:val="0"/>
        <w:autoSpaceDE/>
        <w:autoSpaceDN/>
        <w:bidi w:val="0"/>
        <w:adjustRightInd/>
        <w:snapToGrid/>
        <w:spacing w:line="360" w:lineRule="auto"/>
        <w:ind w:firstLine="0" w:firstLineChars="0"/>
        <w:jc w:val="left"/>
        <w:rPr>
          <w:rFonts w:hint="eastAsia" w:ascii="宋体" w:hAnsi="宋体" w:eastAsia="宋体" w:cs="宋体"/>
          <w:bCs/>
          <w:sz w:val="24"/>
          <w:szCs w:val="24"/>
          <w:highlight w:val="none"/>
        </w:rPr>
      </w:pP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三</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配置单</w:t>
      </w:r>
    </w:p>
    <w:p w14:paraId="6EA2BA94">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1、遥测发射盒：238 个</w:t>
      </w:r>
    </w:p>
    <w:p w14:paraId="36CDBDDA">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2、3/5导心电导联线：238 套</w:t>
      </w:r>
    </w:p>
    <w:p w14:paraId="23D5DA15">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3、心电电极：2380 套</w:t>
      </w:r>
    </w:p>
    <w:p w14:paraId="01FE1451">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4、背带：238 个</w:t>
      </w:r>
    </w:p>
    <w:p w14:paraId="5D425437">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5、遥测中央站（单屏）：26套（软硬件）</w:t>
      </w:r>
    </w:p>
    <w:p w14:paraId="60333ED6">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6、遥测中央站（双屏）：2 套（软硬件）</w:t>
      </w:r>
    </w:p>
    <w:p w14:paraId="4024B5DC">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7、遥测查看站（单屏）：9 套（软硬件）</w:t>
      </w:r>
    </w:p>
    <w:p w14:paraId="69E2EE9F">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8、锂电池：238 个</w:t>
      </w:r>
    </w:p>
    <w:p w14:paraId="33921257">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9、中央充电站：26套</w:t>
      </w:r>
    </w:p>
    <w:p w14:paraId="75677945">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10、备用背带：160 个</w:t>
      </w:r>
    </w:p>
    <w:p w14:paraId="49803822">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11、备用锂电池：48个</w:t>
      </w:r>
    </w:p>
    <w:p w14:paraId="7AF3F1BF">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auto"/>
        <w:rPr>
          <w:rFonts w:hint="eastAsia" w:ascii="宋体" w:hAnsi="宋体" w:eastAsia="宋体" w:cs="宋体"/>
          <w:bCs/>
          <w:sz w:val="24"/>
          <w:highlight w:val="none"/>
          <w:lang w:eastAsia="zh-CN"/>
        </w:rPr>
      </w:pPr>
    </w:p>
    <w:p w14:paraId="38DB85A6">
      <w:pPr>
        <w:keepNext w:val="0"/>
        <w:keepLines w:val="0"/>
        <w:pageBreakBefore w:val="0"/>
        <w:widowControl/>
        <w:kinsoku/>
        <w:wordWrap/>
        <w:overflowPunct/>
        <w:topLinePunct w:val="0"/>
        <w:autoSpaceDE w:val="0"/>
        <w:autoSpaceDN w:val="0"/>
        <w:bidi w:val="0"/>
        <w:adjustRightInd w:val="0"/>
        <w:snapToGrid w:val="0"/>
        <w:spacing w:before="157" w:beforeLines="50" w:line="360" w:lineRule="auto"/>
        <w:textAlignment w:val="auto"/>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2.2 采购标的需满足的服务标准、期限、效率等要求；</w:t>
      </w:r>
    </w:p>
    <w:p w14:paraId="0ED19DD1">
      <w:pPr>
        <w:tabs>
          <w:tab w:val="left" w:pos="900"/>
        </w:tabs>
        <w:autoSpaceDE/>
        <w:autoSpaceDN/>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（1）采购标的需满足的服务标准、效率要求</w:t>
      </w:r>
    </w:p>
    <w:p w14:paraId="547AB1CD">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47E78D5B">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445763B9">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供应商应有能力做好售后服务工作和提供技术保障。供应商或投标产品制造商应设有专业的售后服务维修机构，有充足的零件储备和能力相当的技术服务人员，</w:t>
      </w:r>
      <w:r>
        <w:rPr>
          <w:rFonts w:hint="eastAsia" w:ascii="宋体" w:hAnsi="宋体" w:eastAsia="宋体" w:cs="宋体"/>
          <w:b w:val="0"/>
          <w:bCs w:val="0"/>
          <w:color w:val="auto"/>
          <w:sz w:val="24"/>
          <w:szCs w:val="24"/>
          <w:highlight w:val="none"/>
          <w:lang w:val="en-US" w:eastAsia="zh-CN"/>
        </w:rPr>
        <w:t>并保证投标产品停产后至少10年的备件供应。</w:t>
      </w:r>
    </w:p>
    <w:p w14:paraId="22517487">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4.应提供原厂维修配件明细表及报价单(如提供公开信息渠道可查询到的，可免提供，但须注明查询方法及来源)。</w:t>
      </w:r>
    </w:p>
    <w:p w14:paraId="375DD1E9">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5.</w:t>
      </w:r>
      <w:r>
        <w:rPr>
          <w:rFonts w:hint="eastAsia" w:ascii="宋体" w:hAnsi="宋体" w:eastAsia="宋体" w:cs="宋体"/>
          <w:b w:val="0"/>
          <w:bCs w:val="0"/>
          <w:color w:val="auto"/>
          <w:sz w:val="24"/>
          <w:szCs w:val="24"/>
          <w:highlight w:val="none"/>
          <w:lang w:val="en-US" w:eastAsia="en-US" w:bidi="ar-SA"/>
        </w:rPr>
        <w:t>供应商应负责投标货物质量保证期内的免费维修和配件供应，供应商售后服务维修机构应备有所购货物及时维修所需的关键零部件。</w:t>
      </w:r>
    </w:p>
    <w:p w14:paraId="35D8C643">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6.</w:t>
      </w:r>
      <w:r>
        <w:rPr>
          <w:rFonts w:hint="eastAsia" w:ascii="宋体" w:hAnsi="宋体" w:eastAsia="宋体" w:cs="宋体"/>
          <w:b w:val="0"/>
          <w:bCs w:val="0"/>
          <w:color w:val="auto"/>
          <w:sz w:val="24"/>
          <w:szCs w:val="24"/>
          <w:highlight w:val="none"/>
          <w:lang w:val="en-US" w:eastAsia="en-US" w:bidi="ar-SA"/>
        </w:rPr>
        <w:t>供应商应保证在质量保证期内提供投标货物专用的软件和相应数据库资料的免费升级服务。（如果有）</w:t>
      </w:r>
    </w:p>
    <w:p w14:paraId="5FB1823C">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7.</w:t>
      </w:r>
      <w:r>
        <w:rPr>
          <w:rFonts w:hint="eastAsia" w:ascii="宋体" w:hAnsi="宋体" w:eastAsia="宋体" w:cs="宋体"/>
          <w:b w:val="0"/>
          <w:bCs w:val="0"/>
          <w:color w:val="auto"/>
          <w:sz w:val="24"/>
          <w:szCs w:val="24"/>
          <w:highlight w:val="none"/>
          <w:lang w:val="en-US" w:eastAsia="en-US" w:bidi="ar-SA"/>
        </w:rPr>
        <w:t>在合同执行期和质量保证期内，供应商应保证在收到要求提供维修服务的通知后</w:t>
      </w:r>
      <w:r>
        <w:rPr>
          <w:rFonts w:hint="eastAsia" w:ascii="宋体" w:hAnsi="宋体" w:eastAsia="宋体" w:cs="宋体"/>
          <w:b w:val="0"/>
          <w:bCs w:val="0"/>
          <w:color w:val="auto"/>
          <w:sz w:val="24"/>
          <w:szCs w:val="24"/>
          <w:highlight w:val="none"/>
          <w:u w:val="single"/>
          <w:lang w:val="en-US" w:eastAsia="zh-CN" w:bidi="ar-SA"/>
        </w:rPr>
        <w:t>1</w:t>
      </w:r>
      <w:r>
        <w:rPr>
          <w:rFonts w:hint="eastAsia" w:ascii="宋体" w:hAnsi="宋体" w:eastAsia="宋体" w:cs="宋体"/>
          <w:b w:val="0"/>
          <w:bCs w:val="0"/>
          <w:color w:val="auto"/>
          <w:sz w:val="24"/>
          <w:szCs w:val="24"/>
          <w:highlight w:val="none"/>
          <w:lang w:val="en-US" w:eastAsia="en-US" w:bidi="ar-SA"/>
        </w:rPr>
        <w:t>小时内给予反馈，</w:t>
      </w:r>
      <w:r>
        <w:rPr>
          <w:rFonts w:hint="eastAsia" w:ascii="宋体" w:hAnsi="宋体" w:eastAsia="宋体" w:cs="宋体"/>
          <w:b w:val="0"/>
          <w:bCs w:val="0"/>
          <w:color w:val="auto"/>
          <w:sz w:val="24"/>
          <w:szCs w:val="24"/>
          <w:highlight w:val="none"/>
          <w:u w:val="single"/>
          <w:lang w:val="en-US" w:eastAsia="zh-CN" w:bidi="ar-SA"/>
        </w:rPr>
        <w:t>4</w:t>
      </w:r>
      <w:r>
        <w:rPr>
          <w:rFonts w:hint="eastAsia" w:ascii="宋体" w:hAnsi="宋体" w:eastAsia="宋体" w:cs="宋体"/>
          <w:b w:val="0"/>
          <w:bCs w:val="0"/>
          <w:color w:val="auto"/>
          <w:sz w:val="24"/>
          <w:szCs w:val="24"/>
          <w:highlight w:val="none"/>
          <w:lang w:val="en-US" w:eastAsia="en-US" w:bidi="ar-SA"/>
        </w:rPr>
        <w:t>小时内派合格的技术人员赴现场提供免费服务，解决问题。如不能按采购人要求的时间予以修复，供应商应保证免费提供同类备用设备，供采购人使用。</w:t>
      </w:r>
    </w:p>
    <w:p w14:paraId="1AF5D51C">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8.</w:t>
      </w:r>
      <w:r>
        <w:rPr>
          <w:rFonts w:hint="eastAsia" w:ascii="宋体" w:hAnsi="宋体" w:eastAsia="宋体" w:cs="宋体"/>
          <w:b w:val="0"/>
          <w:bCs w:val="0"/>
          <w:color w:val="auto"/>
          <w:sz w:val="24"/>
          <w:szCs w:val="24"/>
          <w:highlight w:val="none"/>
          <w:lang w:val="en-US" w:eastAsia="en-US" w:bidi="ar-SA"/>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78056A64">
      <w:pPr>
        <w:widowControl w:val="0"/>
        <w:autoSpaceDE w:val="0"/>
        <w:autoSpaceDN w:val="0"/>
        <w:spacing w:before="50" w:line="360" w:lineRule="auto"/>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9.</w:t>
      </w:r>
      <w:r>
        <w:rPr>
          <w:rFonts w:hint="eastAsia" w:ascii="宋体" w:hAnsi="宋体" w:eastAsia="宋体" w:cs="宋体"/>
          <w:b w:val="0"/>
          <w:bCs w:val="0"/>
          <w:color w:val="auto"/>
          <w:sz w:val="24"/>
          <w:szCs w:val="24"/>
          <w:highlight w:val="none"/>
          <w:lang w:val="en-US" w:eastAsia="en-US" w:bidi="ar-SA"/>
        </w:rPr>
        <w:t>货物运输符合的相关国际惯例，试剂、耗材运达所产生的费用由供应商负责。运输途中的货物破损及损失风险由供应商承担，供应商承担运费。</w:t>
      </w:r>
    </w:p>
    <w:p w14:paraId="675A12CC">
      <w:pPr>
        <w:widowControl w:val="0"/>
        <w:autoSpaceDE w:val="0"/>
        <w:autoSpaceDN w:val="0"/>
        <w:spacing w:before="50" w:line="360" w:lineRule="auto"/>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（2）采购标的需满足的服务期限要求</w:t>
      </w:r>
    </w:p>
    <w:p w14:paraId="71F957B8">
      <w:pPr>
        <w:widowControl w:val="0"/>
        <w:autoSpaceDE w:val="0"/>
        <w:autoSpaceDN w:val="0"/>
        <w:spacing w:line="360" w:lineRule="auto"/>
        <w:ind w:firstLine="480" w:firstLineChars="200"/>
        <w:rPr>
          <w:rFonts w:ascii="宋体" w:hAnsi="宋体" w:eastAsia="宋体" w:cs="宋体"/>
          <w:b/>
          <w:bCs/>
          <w:sz w:val="24"/>
          <w:szCs w:val="24"/>
          <w:highlight w:val="none"/>
          <w:lang w:val="en-US" w:eastAsia="zh-CN" w:bidi="ar-SA"/>
        </w:rPr>
      </w:pPr>
      <w:r>
        <w:rPr>
          <w:rFonts w:hint="eastAsia" w:ascii="宋体" w:hAnsi="宋体" w:eastAsia="宋体" w:cs="宋体"/>
          <w:sz w:val="24"/>
          <w:szCs w:val="24"/>
          <w:highlight w:val="none"/>
          <w:lang w:val="en-US" w:eastAsia="zh-CN" w:bidi="ar-SA"/>
        </w:rPr>
        <w:t>1. 质量保证期（保修期）及服务要求：详见本章“采购需求中商务要求4.质保服务”。</w:t>
      </w:r>
    </w:p>
    <w:p w14:paraId="2EE00403">
      <w:pPr>
        <w:tabs>
          <w:tab w:val="left" w:pos="900"/>
        </w:tabs>
        <w:spacing w:before="156" w:beforeLines="5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2.3为落实政府采购政策需满足的要求；</w:t>
      </w:r>
    </w:p>
    <w:p w14:paraId="5DAD2ABF">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1A0E4E0A">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highlight w:val="none"/>
          <w:lang w:eastAsia="zh-CN"/>
        </w:rPr>
        <w:t>。（专门面向中小企业采购或预留份额的情况不适用）</w:t>
      </w:r>
    </w:p>
    <w:p w14:paraId="1D55BDBB">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1074464C">
      <w:pPr>
        <w:autoSpaceDE/>
        <w:autoSpaceDN/>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1B93202D">
      <w:pPr>
        <w:autoSpaceDE/>
        <w:autoSpaceDN/>
        <w:spacing w:before="20" w:line="360" w:lineRule="auto"/>
        <w:ind w:firstLine="480" w:firstLineChars="200"/>
        <w:rPr>
          <w:rFonts w:hint="eastAsia" w:ascii="宋体" w:hAnsi="宋体" w:eastAsia="宋体" w:cs="宋体"/>
          <w:b/>
          <w:bCs/>
          <w:sz w:val="24"/>
          <w:szCs w:val="24"/>
          <w:highlight w:val="none"/>
          <w:lang w:eastAsia="zh-CN"/>
        </w:rPr>
      </w:pPr>
      <w:r>
        <w:rPr>
          <w:rFonts w:hint="eastAsia" w:ascii="宋体" w:hAnsi="宋体" w:eastAsia="宋体" w:cs="宋体"/>
          <w:sz w:val="24"/>
          <w:szCs w:val="24"/>
          <w:highlight w:val="none"/>
          <w:lang w:val="en-US" w:eastAsia="zh-CN"/>
        </w:rPr>
        <w:t>5）实施本国产品标准及相关政策：依据《</w:t>
      </w:r>
      <w:r>
        <w:rPr>
          <w:rFonts w:hint="eastAsia" w:ascii="宋体" w:hAnsi="宋体" w:eastAsia="宋体" w:cs="宋体"/>
          <w:i w:val="0"/>
          <w:iCs w:val="0"/>
          <w:caps w:val="0"/>
          <w:color w:val="000000"/>
          <w:spacing w:val="0"/>
          <w:sz w:val="24"/>
          <w:szCs w:val="24"/>
          <w:highlight w:val="none"/>
          <w:shd w:val="clear" w:fill="FFFFFF"/>
        </w:rPr>
        <w:t>国务院办公厅关于在政府采购中实施本国产品标准及相关政策的通知</w:t>
      </w:r>
      <w:r>
        <w:rPr>
          <w:rFonts w:hint="eastAsia" w:ascii="宋体" w:hAnsi="宋体" w:eastAsia="宋体" w:cs="宋体"/>
          <w:sz w:val="24"/>
          <w:szCs w:val="24"/>
          <w:highlight w:val="none"/>
          <w:lang w:val="en-US" w:eastAsia="zh-CN"/>
        </w:rPr>
        <w:t>》（国办发〔2025〕34号）规定，</w:t>
      </w:r>
      <w:r>
        <w:rPr>
          <w:rFonts w:hint="eastAsia" w:ascii="宋体" w:hAnsi="宋体" w:eastAsia="宋体" w:cs="宋体"/>
          <w:sz w:val="24"/>
          <w:szCs w:val="24"/>
          <w:highlight w:val="none"/>
        </w:rPr>
        <w:t>本项目供应商所投产品</w:t>
      </w:r>
      <w:r>
        <w:rPr>
          <w:rFonts w:hint="eastAsia" w:ascii="宋体" w:hAnsi="宋体" w:eastAsia="宋体" w:cs="宋体"/>
          <w:i w:val="0"/>
          <w:iCs w:val="0"/>
          <w:caps w:val="0"/>
          <w:color w:val="000000"/>
          <w:spacing w:val="0"/>
          <w:sz w:val="24"/>
          <w:szCs w:val="24"/>
          <w:highlight w:val="none"/>
          <w:shd w:val="clear" w:fill="FFFFFF"/>
        </w:rPr>
        <w:t>在中国境内生产，即在中华人民共和国关境内实现从原材料、组件到产品的属性改变。</w:t>
      </w:r>
      <w:r>
        <w:rPr>
          <w:rFonts w:hint="eastAsia" w:ascii="宋体" w:hAnsi="宋体" w:eastAsia="宋体" w:cs="宋体"/>
          <w:i w:val="0"/>
          <w:iCs w:val="0"/>
          <w:caps w:val="0"/>
          <w:color w:val="000000"/>
          <w:spacing w:val="0"/>
          <w:sz w:val="24"/>
          <w:szCs w:val="24"/>
          <w:highlight w:val="none"/>
          <w:shd w:val="clear" w:fill="FFFFFF"/>
          <w:lang w:val="en-US" w:eastAsia="zh-CN"/>
        </w:rPr>
        <w:t>且</w:t>
      </w:r>
      <w:r>
        <w:rPr>
          <w:rFonts w:hint="eastAsia" w:ascii="宋体" w:hAnsi="宋体" w:eastAsia="宋体" w:cs="宋体"/>
          <w:i w:val="0"/>
          <w:iCs w:val="0"/>
          <w:caps w:val="0"/>
          <w:color w:val="000000"/>
          <w:spacing w:val="0"/>
          <w:sz w:val="24"/>
          <w:szCs w:val="24"/>
          <w:highlight w:val="none"/>
          <w:shd w:val="clear" w:fill="FFFFFF"/>
        </w:rPr>
        <w:t>在中国境内生产的组件成本占比应当达到规定比例</w:t>
      </w:r>
      <w:r>
        <w:rPr>
          <w:rFonts w:hint="eastAsia" w:ascii="宋体" w:hAnsi="宋体" w:eastAsia="宋体" w:cs="宋体"/>
          <w:sz w:val="24"/>
          <w:szCs w:val="24"/>
          <w:highlight w:val="none"/>
        </w:rPr>
        <w:t>，</w:t>
      </w:r>
      <w:r>
        <w:rPr>
          <w:rFonts w:hint="eastAsia" w:ascii="宋体" w:hAnsi="宋体" w:eastAsia="宋体" w:cs="宋体"/>
          <w:i w:val="0"/>
          <w:iCs w:val="0"/>
          <w:caps w:val="0"/>
          <w:color w:val="000000"/>
          <w:spacing w:val="0"/>
          <w:sz w:val="24"/>
          <w:szCs w:val="24"/>
          <w:highlight w:val="none"/>
          <w:shd w:val="clear" w:fill="FFFFFF"/>
        </w:rPr>
        <w:t>依法对本国产品给予价格评审优惠，对本国产品的报价给予20%的价格扣除，用扣除后的价格参与评审。</w:t>
      </w:r>
      <w:r>
        <w:rPr>
          <w:rFonts w:hint="eastAsia" w:ascii="宋体" w:hAnsi="宋体" w:eastAsia="宋体" w:cs="宋体"/>
          <w:b/>
          <w:bCs/>
          <w:sz w:val="24"/>
          <w:szCs w:val="24"/>
          <w:highlight w:val="none"/>
        </w:rPr>
        <w:t>供应商应出具招标文件要求的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给予证明，否则评标时不予认可</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rPr>
        <w:t>供应商应对提交的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真实性负责，</w:t>
      </w:r>
      <w:r>
        <w:rPr>
          <w:rFonts w:hint="eastAsia" w:ascii="宋体" w:hAnsi="宋体" w:eastAsia="宋体" w:cs="宋体"/>
          <w:sz w:val="24"/>
          <w:szCs w:val="24"/>
          <w:highlight w:val="none"/>
        </w:rPr>
        <w:t>提交</w:t>
      </w:r>
      <w:r>
        <w:rPr>
          <w:rFonts w:hint="eastAsia" w:ascii="宋体" w:hAnsi="宋体" w:eastAsia="宋体" w:cs="宋体"/>
          <w:sz w:val="24"/>
          <w:szCs w:val="24"/>
          <w:highlight w:val="none"/>
          <w:lang w:val="en-US" w:eastAsia="zh-CN"/>
        </w:rPr>
        <w:t>证明材料</w:t>
      </w:r>
      <w:r>
        <w:rPr>
          <w:rFonts w:hint="eastAsia" w:ascii="宋体" w:hAnsi="宋体" w:eastAsia="宋体" w:cs="宋体"/>
          <w:sz w:val="24"/>
          <w:szCs w:val="24"/>
          <w:highlight w:val="none"/>
        </w:rPr>
        <w:t>不真实的，应承担相应的法律责任。</w:t>
      </w:r>
    </w:p>
    <w:p w14:paraId="034327AF">
      <w:pPr>
        <w:autoSpaceDE/>
        <w:autoSpaceDN/>
        <w:spacing w:before="2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2.4采购标的的其他技术、服务等要求；</w:t>
      </w:r>
    </w:p>
    <w:p w14:paraId="41CC7ACC">
      <w:pPr>
        <w:tabs>
          <w:tab w:val="left" w:pos="900"/>
        </w:tabs>
        <w:spacing w:line="360" w:lineRule="auto"/>
        <w:ind w:firstLine="482" w:firstLineChars="200"/>
        <w:rPr>
          <w:rFonts w:ascii="宋体" w:hAnsi="宋体" w:eastAsia="宋体" w:cs="宋体"/>
          <w:b/>
          <w:bCs/>
          <w:iCs/>
          <w:sz w:val="24"/>
          <w:szCs w:val="24"/>
          <w:highlight w:val="none"/>
          <w:lang w:eastAsia="zh-CN"/>
        </w:rPr>
      </w:pPr>
      <w:bookmarkStart w:id="11" w:name="_Toc7340"/>
      <w:r>
        <w:rPr>
          <w:rFonts w:hint="eastAsia" w:ascii="宋体" w:hAnsi="宋体" w:eastAsia="宋体" w:cs="宋体"/>
          <w:b/>
          <w:bCs/>
          <w:sz w:val="24"/>
          <w:szCs w:val="24"/>
          <w:highlight w:val="none"/>
          <w:lang w:eastAsia="zh-CN"/>
        </w:rPr>
        <w:t>（1）对于技术规格中标注“★”号的技术参数代表实质性指标，不满足该指标项将直接导致投标被拒绝。</w:t>
      </w:r>
    </w:p>
    <w:p w14:paraId="45B85808">
      <w:pPr>
        <w:tabs>
          <w:tab w:val="left" w:pos="900"/>
        </w:tabs>
        <w:spacing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（2）须在投标文件中提供所投设备油印彩页并加盖公章。</w:t>
      </w:r>
    </w:p>
    <w:p w14:paraId="14840B0D">
      <w:pPr>
        <w:tabs>
          <w:tab w:val="left" w:pos="900"/>
        </w:tabs>
        <w:spacing w:line="360" w:lineRule="auto"/>
        <w:ind w:firstLine="482" w:firstLineChars="200"/>
        <w:rPr>
          <w:rFonts w:ascii="宋体" w:hAnsi="宋体" w:eastAsia="宋体" w:cs="宋体"/>
          <w:b/>
          <w:bCs/>
          <w:iCs/>
          <w:sz w:val="24"/>
          <w:szCs w:val="24"/>
          <w:highlight w:val="none"/>
          <w:lang w:eastAsia="zh-CN"/>
        </w:rPr>
      </w:pPr>
      <w:r>
        <w:rPr>
          <w:rFonts w:hint="eastAsia" w:ascii="宋体" w:hAnsi="宋体" w:eastAsia="宋体" w:cs="宋体"/>
          <w:b/>
          <w:bCs/>
          <w:sz w:val="24"/>
          <w:szCs w:val="24"/>
          <w:highlight w:val="none"/>
          <w:lang w:eastAsia="zh-CN"/>
        </w:rPr>
        <w:t>（3）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r>
        <w:rPr>
          <w:rFonts w:hint="eastAsia" w:ascii="宋体" w:hAnsi="宋体" w:eastAsia="宋体" w:cs="宋体"/>
          <w:b/>
          <w:bCs/>
          <w:iCs/>
          <w:sz w:val="24"/>
          <w:szCs w:val="24"/>
          <w:highlight w:val="none"/>
          <w:lang w:eastAsia="zh-CN"/>
        </w:rPr>
        <w:t xml:space="preserve">。 </w:t>
      </w:r>
    </w:p>
    <w:p w14:paraId="1784D314">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（4）</w:t>
      </w:r>
      <w:r>
        <w:rPr>
          <w:rFonts w:hint="eastAsia" w:ascii="宋体" w:hAnsi="宋体" w:eastAsia="宋体" w:cs="宋体"/>
          <w:iCs/>
          <w:sz w:val="24"/>
          <w:szCs w:val="24"/>
          <w:highlight w:val="none"/>
          <w:lang w:eastAsia="zh-CN"/>
        </w:rPr>
        <w:t xml:space="preserve">投标人所提供的部件之间及设备之间的连线或接插件均视为设备内部部件，应包含在相应的配置中。 </w:t>
      </w:r>
    </w:p>
    <w:p w14:paraId="5C238DC5">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（5）</w:t>
      </w:r>
      <w:r>
        <w:rPr>
          <w:rFonts w:hint="eastAsia" w:ascii="宋体" w:hAnsi="宋体" w:eastAsia="宋体" w:cs="宋体"/>
          <w:iCs/>
          <w:sz w:val="24"/>
          <w:szCs w:val="24"/>
          <w:highlight w:val="none"/>
          <w:lang w:eastAsia="zh-CN"/>
        </w:rPr>
        <w:t xml:space="preserve">工作条件：除了在技术规格中另有规定外，投标人提供的一切仪器、设备和系统，应符合下列条件： </w:t>
      </w:r>
    </w:p>
    <w:p w14:paraId="01B360E3">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 xml:space="preserve">1）仪器设备的插头要符合中国电工标准。如不符合，则应提供适合仪器插头的插座，必须要有接地。 </w:t>
      </w:r>
    </w:p>
    <w:p w14:paraId="5184CB6E">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2）如果仪器设备需特殊的工作条件（如：水、电源、磁场强度、特殊温度、湿度、震动强度等），投标人应在有关投标文件中加以说明。</w:t>
      </w:r>
    </w:p>
    <w:p w14:paraId="6912B523">
      <w:pPr>
        <w:tabs>
          <w:tab w:val="left" w:pos="900"/>
        </w:tabs>
        <w:spacing w:line="360" w:lineRule="auto"/>
        <w:ind w:firstLine="480" w:firstLineChars="200"/>
        <w:rPr>
          <w:rFonts w:ascii="宋体" w:hAnsi="宋体" w:eastAsia="宋体" w:cs="宋体"/>
          <w:iCs/>
          <w:color w:val="FF0000"/>
          <w:sz w:val="24"/>
          <w:szCs w:val="24"/>
          <w:highlight w:val="none"/>
          <w:lang w:eastAsia="zh-CN"/>
        </w:rPr>
      </w:pPr>
      <w:r>
        <w:rPr>
          <w:rFonts w:hint="eastAsia" w:ascii="宋体" w:hAnsi="宋体" w:eastAsia="宋体" w:cs="宋体"/>
          <w:iCs/>
          <w:sz w:val="24"/>
          <w:szCs w:val="24"/>
          <w:highlight w:val="none"/>
          <w:lang w:eastAsia="zh-CN"/>
        </w:rPr>
        <w:t xml:space="preserve">（6）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  </w:t>
      </w:r>
    </w:p>
    <w:bookmarkEnd w:id="11"/>
    <w:p w14:paraId="3D9DBA46">
      <w:pPr>
        <w:tabs>
          <w:tab w:val="left" w:pos="900"/>
        </w:tabs>
        <w:spacing w:before="156" w:beforeLines="50" w:line="360" w:lineRule="auto"/>
        <w:ind w:firstLine="482" w:firstLineChars="200"/>
        <w:rPr>
          <w:rFonts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3.采购标的的验收标准</w:t>
      </w:r>
    </w:p>
    <w:p w14:paraId="02D199D3">
      <w:pPr>
        <w:autoSpaceDE/>
        <w:autoSpaceDN/>
        <w:spacing w:line="360" w:lineRule="auto"/>
        <w:ind w:firstLine="480" w:firstLineChars="200"/>
        <w:rPr>
          <w:rFonts w:hint="eastAsia" w:ascii="宋体" w:hAnsi="宋体" w:eastAsia="宋体" w:cs="宋体"/>
          <w:b w:val="0"/>
          <w:bCs/>
          <w:sz w:val="24"/>
          <w:szCs w:val="21"/>
          <w:highlight w:val="none"/>
          <w:lang w:eastAsia="zh-CN"/>
        </w:rPr>
      </w:pPr>
      <w:r>
        <w:rPr>
          <w:rFonts w:hint="eastAsia" w:ascii="宋体" w:hAnsi="宋体" w:eastAsia="宋体" w:cs="宋体"/>
          <w:b w:val="0"/>
          <w:bCs/>
          <w:sz w:val="24"/>
          <w:szCs w:val="21"/>
          <w:highlight w:val="none"/>
          <w:lang w:val="en-US" w:eastAsia="zh-CN"/>
        </w:rPr>
        <w:t>3.</w:t>
      </w:r>
      <w:r>
        <w:rPr>
          <w:rFonts w:hint="eastAsia" w:ascii="宋体" w:hAnsi="宋体" w:eastAsia="宋体" w:cs="宋体"/>
          <w:b w:val="0"/>
          <w:bCs/>
          <w:sz w:val="24"/>
          <w:szCs w:val="21"/>
          <w:highlight w:val="none"/>
          <w:lang w:eastAsia="zh-CN"/>
        </w:rPr>
        <w:t>1、采购标的的验收标准</w:t>
      </w:r>
    </w:p>
    <w:p w14:paraId="75E9B8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 </w:t>
      </w:r>
    </w:p>
    <w:p w14:paraId="459E08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（2）货物运抵采购项目（标的）交付的地点后，采购人将在 7 个工作日内组织验收，由采购人组织验收小组，对货物的数量、外观、包装、质量、安全、功能及性能等进行验收，项目验收依据为采购合同、招标文件和投标文件。验收小组将根据验收情况制作验</w:t>
      </w:r>
      <w:r>
        <w:rPr>
          <w:rFonts w:hint="eastAsia" w:ascii="宋体" w:hAnsi="宋体" w:eastAsia="宋体" w:cs="宋体"/>
          <w:color w:val="auto"/>
          <w:kern w:val="0"/>
          <w:sz w:val="24"/>
          <w:szCs w:val="24"/>
          <w:highlight w:val="none"/>
          <w:lang w:val="en-US" w:eastAsia="zh-CN"/>
        </w:rPr>
        <w:t xml:space="preserve">收备忘录并签署验收意见。 </w:t>
      </w:r>
    </w:p>
    <w:p w14:paraId="1BA9A1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bookmarkStart w:id="12" w:name="_Toc24181"/>
      <w:r>
        <w:rPr>
          <w:rFonts w:hint="eastAsia" w:ascii="宋体" w:hAnsi="宋体" w:eastAsia="宋体" w:cs="宋体"/>
          <w:color w:val="auto"/>
          <w:kern w:val="0"/>
          <w:sz w:val="24"/>
          <w:szCs w:val="24"/>
          <w:highlight w:val="none"/>
          <w:lang w:val="en-US" w:eastAsia="zh-CN"/>
        </w:rPr>
        <w:t xml:space="preserve">  </w:t>
      </w:r>
      <w:bookmarkStart w:id="13" w:name="_Toc7740"/>
      <w:bookmarkStart w:id="14" w:name="_Toc13153"/>
      <w:r>
        <w:rPr>
          <w:rFonts w:hint="eastAsia" w:ascii="宋体" w:hAnsi="宋体" w:eastAsia="宋体" w:cs="宋体"/>
          <w:color w:val="auto"/>
          <w:kern w:val="0"/>
          <w:sz w:val="24"/>
          <w:szCs w:val="24"/>
          <w:highlight w:val="none"/>
          <w:lang w:val="en-US" w:eastAsia="zh-CN"/>
        </w:rPr>
        <w:t>（3）投标人应负责使所供计量仪器通过计量部门的验收，并承担相关费用（包括运</w:t>
      </w:r>
      <w:bookmarkEnd w:id="13"/>
      <w:bookmarkEnd w:id="14"/>
      <w:bookmarkStart w:id="15" w:name="_Toc14846"/>
      <w:bookmarkStart w:id="16" w:name="_Toc28918"/>
      <w:r>
        <w:rPr>
          <w:rFonts w:hint="eastAsia" w:ascii="宋体" w:hAnsi="宋体" w:eastAsia="宋体" w:cs="宋体"/>
          <w:color w:val="auto"/>
          <w:kern w:val="0"/>
          <w:sz w:val="24"/>
          <w:szCs w:val="24"/>
          <w:highlight w:val="none"/>
          <w:lang w:val="en-US" w:eastAsia="zh-CN"/>
        </w:rPr>
        <w:t>费）。若</w:t>
      </w:r>
      <w:bookmarkEnd w:id="12"/>
      <w:bookmarkStart w:id="17" w:name="_Toc14175"/>
      <w:r>
        <w:rPr>
          <w:rFonts w:hint="eastAsia" w:ascii="宋体" w:hAnsi="宋体" w:eastAsia="宋体" w:cs="宋体"/>
          <w:color w:val="auto"/>
          <w:kern w:val="0"/>
          <w:sz w:val="24"/>
          <w:szCs w:val="24"/>
          <w:highlight w:val="none"/>
          <w:lang w:val="en-US" w:eastAsia="zh-CN"/>
        </w:rPr>
        <w:t>需要，应在检测期间提供备用仪器，以便不影响采购人的使用。</w:t>
      </w:r>
      <w:bookmarkEnd w:id="15"/>
      <w:bookmarkEnd w:id="16"/>
      <w:bookmarkEnd w:id="17"/>
    </w:p>
    <w:bookmarkEnd w:id="1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decorative"/>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444C26"/>
    <w:rsid w:val="1DC0363D"/>
    <w:rsid w:val="25D043BC"/>
    <w:rsid w:val="2EA258C3"/>
    <w:rsid w:val="36B80769"/>
    <w:rsid w:val="38444C26"/>
    <w:rsid w:val="3E530FD1"/>
    <w:rsid w:val="4B4344E5"/>
    <w:rsid w:val="57D05FA1"/>
    <w:rsid w:val="692844CB"/>
    <w:rsid w:val="7B2F6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1"/>
    <w:qFormat/>
    <w:uiPriority w:val="1"/>
    <w:pPr>
      <w:ind w:left="121"/>
      <w:outlineLvl w:val="1"/>
    </w:pPr>
    <w:rPr>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sz w:val="24"/>
      <w:szCs w:val="24"/>
    </w:rPr>
  </w:style>
  <w:style w:type="paragraph" w:styleId="5">
    <w:name w:val="Plain Text"/>
    <w:basedOn w:val="1"/>
    <w:unhideWhenUsed/>
    <w:qFormat/>
    <w:uiPriority w:val="0"/>
    <w:rPr>
      <w:rFonts w:hAnsi="Courier New" w:cs="Courier New"/>
      <w:sz w:val="24"/>
      <w:szCs w:val="21"/>
    </w:rPr>
  </w:style>
  <w:style w:type="paragraph" w:styleId="6">
    <w:name w:val="toc 2"/>
    <w:basedOn w:val="1"/>
    <w:next w:val="1"/>
    <w:qFormat/>
    <w:uiPriority w:val="39"/>
    <w:pPr>
      <w:tabs>
        <w:tab w:val="right" w:leader="dot" w:pos="8937"/>
      </w:tabs>
      <w:spacing w:line="312" w:lineRule="auto"/>
      <w:ind w:left="420" w:leftChars="200"/>
    </w:pPr>
  </w:style>
  <w:style w:type="paragraph" w:styleId="7">
    <w:name w:val="Title"/>
    <w:basedOn w:val="1"/>
    <w:qFormat/>
    <w:uiPriority w:val="0"/>
    <w:pPr>
      <w:jc w:val="center"/>
      <w:outlineLvl w:val="0"/>
    </w:pPr>
    <w:rPr>
      <w:b/>
      <w:sz w:val="32"/>
      <w:szCs w:val="20"/>
    </w:rPr>
  </w:style>
  <w:style w:type="paragraph" w:customStyle="1" w:styleId="10">
    <w:name w:val="列表段落1"/>
    <w:basedOn w:val="1"/>
    <w:qFormat/>
    <w:uiPriority w:val="1"/>
    <w:pPr>
      <w:spacing w:before="134"/>
      <w:ind w:left="1196" w:hanging="720"/>
    </w:pPr>
    <w:rPr>
      <w:sz w:val="20"/>
    </w:rPr>
  </w:style>
  <w:style w:type="paragraph" w:customStyle="1" w:styleId="11">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4876</Words>
  <Characters>5094</Characters>
  <Lines>0</Lines>
  <Paragraphs>0</Paragraphs>
  <TotalTime>0</TotalTime>
  <ScaleCrop>false</ScaleCrop>
  <LinksUpToDate>false</LinksUpToDate>
  <CharactersWithSpaces>5167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2026-05-26T09:23:00Z</dcterms:created>
  <dc:creator>王崴</dc:creator>
  <cp:lastModifiedBy>Serena</cp:lastModifiedBy>
  <dcterms:modified xsi:type="dcterms:W3CDTF">2026-10-21T06:22:35Z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AAF2E0C7C6124112BB1D7BCBD48612D1_11</vt:lpwstr>
  </property>
  <property fmtid="{D5CDD505-2E9C-101B-9397-08002B2CF9AE}" pid="4" name="KSOTemplateDocerSaveRecord">
    <vt:lpwstr>eyJoZGlkIjoiMTUxNjU4Y2I1ZTg1ZmY0MTJiZWRhYWQxYzNmOTNlNDEiLCJ1c2VySWQiOiIyMTg5Mjc5NjMifQ==</vt:lpwstr>
  </property>
</Properties>
</file>