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643C002F">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4116"/>
        <w:gridCol w:w="1133"/>
        <w:gridCol w:w="1527"/>
      </w:tblGrid>
      <w:tr w14:paraId="7E5D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Align w:val="center"/>
          </w:tcPr>
          <w:p w14:paraId="33484CE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包号</w:t>
            </w:r>
          </w:p>
        </w:tc>
        <w:tc>
          <w:tcPr>
            <w:tcW w:w="578" w:type="pct"/>
            <w:vAlign w:val="center"/>
          </w:tcPr>
          <w:p w14:paraId="4C6432A6">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品目号</w:t>
            </w:r>
          </w:p>
        </w:tc>
        <w:tc>
          <w:tcPr>
            <w:tcW w:w="2398" w:type="pct"/>
            <w:shd w:val="clear" w:color="000000" w:fill="FFFFFF"/>
            <w:vAlign w:val="center"/>
          </w:tcPr>
          <w:p w14:paraId="6A93DB1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4A69D3E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43C11F1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b/>
                <w:sz w:val="24"/>
              </w:rPr>
            </w:pPr>
            <w:r>
              <w:rPr>
                <w:rFonts w:hint="eastAsia" w:ascii="仿宋" w:hAnsi="仿宋" w:eastAsia="仿宋"/>
                <w:b/>
                <w:sz w:val="24"/>
              </w:rPr>
              <w:t>是否接受进口产品</w:t>
            </w:r>
          </w:p>
        </w:tc>
      </w:tr>
      <w:tr w14:paraId="2F97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restart"/>
            <w:vAlign w:val="center"/>
          </w:tcPr>
          <w:p w14:paraId="310BD0D7">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w:t>
            </w:r>
          </w:p>
        </w:tc>
        <w:tc>
          <w:tcPr>
            <w:tcW w:w="578" w:type="pct"/>
            <w:vAlign w:val="center"/>
          </w:tcPr>
          <w:p w14:paraId="21B698FA">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6-1</w:t>
            </w:r>
          </w:p>
        </w:tc>
        <w:tc>
          <w:tcPr>
            <w:tcW w:w="2398" w:type="pct"/>
            <w:shd w:val="clear" w:color="000000" w:fill="FFFFFF"/>
            <w:vAlign w:val="center"/>
          </w:tcPr>
          <w:p w14:paraId="10BEC5E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电子胃肠镜系统12</w:t>
            </w:r>
          </w:p>
        </w:tc>
        <w:tc>
          <w:tcPr>
            <w:tcW w:w="660" w:type="pct"/>
            <w:shd w:val="clear" w:color="000000" w:fill="FFFFFF"/>
            <w:vAlign w:val="center"/>
          </w:tcPr>
          <w:p w14:paraId="14D19982">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3099B35B">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r w14:paraId="0C36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3" w:type="pct"/>
            <w:vMerge w:val="continue"/>
            <w:vAlign w:val="center"/>
          </w:tcPr>
          <w:p w14:paraId="3FBE989D">
            <w:pPr>
              <w:keepNext w:val="0"/>
              <w:keepLines w:val="0"/>
              <w:pageBreakBefore w:val="0"/>
              <w:widowControl/>
              <w:kinsoku/>
              <w:wordWrap/>
              <w:overflowPunct/>
              <w:topLinePunct w:val="0"/>
              <w:autoSpaceDE/>
              <w:autoSpaceDN/>
              <w:bidi w:val="0"/>
              <w:adjustRightInd/>
              <w:snapToGrid/>
              <w:spacing w:before="157" w:beforeLines="50" w:line="240" w:lineRule="auto"/>
              <w:jc w:val="left"/>
              <w:textAlignment w:val="auto"/>
              <w:rPr>
                <w:rFonts w:ascii="仿宋" w:hAnsi="仿宋" w:eastAsia="仿宋" w:cs="宋体"/>
                <w:kern w:val="0"/>
                <w:sz w:val="24"/>
              </w:rPr>
            </w:pPr>
          </w:p>
        </w:tc>
        <w:tc>
          <w:tcPr>
            <w:tcW w:w="578" w:type="pct"/>
            <w:vAlign w:val="center"/>
          </w:tcPr>
          <w:p w14:paraId="5C931490">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6-2</w:t>
            </w:r>
          </w:p>
        </w:tc>
        <w:tc>
          <w:tcPr>
            <w:tcW w:w="2398" w:type="pct"/>
            <w:shd w:val="clear" w:color="000000" w:fill="FFFFFF"/>
            <w:vAlign w:val="center"/>
          </w:tcPr>
          <w:p w14:paraId="6700668E">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电子胃肠镜系统13</w:t>
            </w:r>
          </w:p>
        </w:tc>
        <w:tc>
          <w:tcPr>
            <w:tcW w:w="660" w:type="pct"/>
            <w:shd w:val="clear" w:color="000000" w:fill="FFFFFF"/>
            <w:vAlign w:val="center"/>
          </w:tcPr>
          <w:p w14:paraId="378090CD">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rPr>
                <w:rFonts w:ascii="仿宋" w:hAnsi="仿宋" w:eastAsia="仿宋" w:cs="宋体"/>
                <w:kern w:val="0"/>
                <w:sz w:val="24"/>
              </w:rPr>
            </w:pPr>
            <w:r>
              <w:rPr>
                <w:rFonts w:hint="eastAsia" w:ascii="仿宋" w:hAnsi="仿宋" w:eastAsia="仿宋" w:cs="宋体"/>
                <w:kern w:val="0"/>
                <w:sz w:val="24"/>
              </w:rPr>
              <w:t>1</w:t>
            </w:r>
          </w:p>
        </w:tc>
        <w:tc>
          <w:tcPr>
            <w:tcW w:w="889" w:type="pct"/>
            <w:shd w:val="clear" w:color="000000" w:fill="FFFFFF"/>
            <w:vAlign w:val="center"/>
          </w:tcPr>
          <w:p w14:paraId="5194B7C4">
            <w:pPr>
              <w:keepNext w:val="0"/>
              <w:keepLines w:val="0"/>
              <w:pageBreakBefore w:val="0"/>
              <w:kinsoku/>
              <w:wordWrap/>
              <w:overflowPunct/>
              <w:topLinePunct w:val="0"/>
              <w:autoSpaceDE/>
              <w:autoSpaceDN/>
              <w:bidi w:val="0"/>
              <w:adjustRightInd/>
              <w:snapToGrid/>
              <w:spacing w:before="157" w:beforeLines="50" w:line="240" w:lineRule="auto"/>
              <w:jc w:val="center"/>
              <w:textAlignment w:val="auto"/>
              <w:rPr>
                <w:rFonts w:ascii="仿宋" w:hAnsi="仿宋" w:eastAsia="仿宋"/>
                <w:sz w:val="24"/>
              </w:rPr>
            </w:pPr>
            <w:r>
              <w:rPr>
                <w:rFonts w:hint="eastAsia" w:ascii="仿宋" w:hAnsi="仿宋" w:eastAsia="仿宋"/>
                <w:sz w:val="24"/>
              </w:rPr>
              <w:t>否</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2" w:name="OLE_LINK179"/>
      <w:bookmarkStart w:id="3" w:name="OLE_LINK178"/>
      <w:r>
        <w:rPr>
          <w:rFonts w:hint="eastAsia" w:ascii="仿宋" w:hAnsi="仿宋" w:eastAsia="仿宋"/>
          <w:sz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5778CB6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
          <w:bCs/>
          <w:sz w:val="24"/>
        </w:rPr>
      </w:pPr>
      <w:r>
        <w:rPr>
          <w:rFonts w:hint="eastAsia" w:ascii="仿宋" w:hAnsi="仿宋" w:eastAsia="仿宋" w:cs="仿宋"/>
          <w:bCs/>
          <w:sz w:val="24"/>
        </w:rPr>
        <w:t>（四）</w:t>
      </w:r>
      <w:bookmarkStart w:id="4" w:name="OLE_LINK367"/>
      <w:bookmarkStart w:id="5" w:name="OLE_LINK27"/>
      <w:bookmarkStart w:id="6" w:name="OLE_LINK26"/>
      <w:r>
        <w:rPr>
          <w:rFonts w:hint="eastAsia" w:ascii="仿宋" w:hAnsi="仿宋" w:eastAsia="仿宋" w:cs="仿宋"/>
          <w:bCs/>
          <w:sz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20" w:firstLineChars="200"/>
        <w:contextualSpacing/>
        <w:textAlignment w:val="auto"/>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textAlignment w:val="auto"/>
        <w:rPr>
          <w:rFonts w:ascii="仿宋" w:hAnsi="仿宋" w:eastAsia="仿宋" w:cs="仿宋"/>
          <w:b/>
          <w:bCs/>
          <w:sz w:val="24"/>
        </w:rPr>
      </w:pPr>
      <w:r>
        <w:rPr>
          <w:rFonts w:hint="eastAsia" w:ascii="仿宋" w:hAnsi="仿宋" w:eastAsia="仿宋" w:cs="仿宋"/>
          <w:b/>
          <w:bCs/>
          <w:sz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textAlignment w:val="auto"/>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2A26D3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b/>
          <w:sz w:val="24"/>
        </w:rPr>
      </w:pPr>
      <w:bookmarkStart w:id="8" w:name="OLE_LINK53"/>
      <w:r>
        <w:rPr>
          <w:rFonts w:ascii="仿宋" w:hAnsi="仿宋" w:eastAsia="仿宋"/>
          <w:b/>
          <w:sz w:val="24"/>
        </w:rPr>
        <w:br w:type="page"/>
      </w:r>
    </w:p>
    <w:bookmarkEnd w:id="8"/>
    <w:p w14:paraId="7A90F328">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cs="仿宋"/>
          <w:bCs/>
          <w:sz w:val="24"/>
        </w:rPr>
      </w:pPr>
      <w:bookmarkStart w:id="9" w:name="OLE_LINK103"/>
      <w:bookmarkStart w:id="10" w:name="OLE_LINK102"/>
      <w:r>
        <w:rPr>
          <w:rFonts w:hint="eastAsia" w:ascii="仿宋" w:hAnsi="仿宋" w:eastAsia="仿宋"/>
          <w:b/>
          <w:sz w:val="24"/>
        </w:rPr>
        <w:t>第6包</w:t>
      </w:r>
      <w:r>
        <w:rPr>
          <w:rFonts w:hint="eastAsia" w:ascii="仿宋" w:hAnsi="仿宋" w:eastAsia="仿宋"/>
          <w:b/>
          <w:sz w:val="24"/>
        </w:rPr>
        <w:tab/>
      </w:r>
      <w:r>
        <w:rPr>
          <w:rFonts w:hint="eastAsia" w:ascii="仿宋" w:hAnsi="仿宋" w:eastAsia="仿宋"/>
          <w:b/>
          <w:sz w:val="24"/>
        </w:rPr>
        <w:t>品目6-1</w:t>
      </w:r>
      <w:r>
        <w:rPr>
          <w:rFonts w:hint="eastAsia" w:ascii="仿宋" w:hAnsi="仿宋" w:eastAsia="仿宋"/>
          <w:b/>
          <w:sz w:val="24"/>
        </w:rPr>
        <w:tab/>
      </w:r>
      <w:r>
        <w:rPr>
          <w:rFonts w:hint="eastAsia" w:ascii="仿宋" w:hAnsi="仿宋" w:eastAsia="仿宋"/>
          <w:b/>
          <w:sz w:val="24"/>
        </w:rPr>
        <w:t>电子胃肠镜系统12、品目6-2</w:t>
      </w:r>
      <w:r>
        <w:rPr>
          <w:rFonts w:hint="eastAsia" w:ascii="仿宋" w:hAnsi="仿宋" w:eastAsia="仿宋"/>
          <w:b/>
          <w:sz w:val="24"/>
        </w:rPr>
        <w:tab/>
      </w:r>
      <w:r>
        <w:rPr>
          <w:rFonts w:hint="eastAsia" w:ascii="仿宋" w:hAnsi="仿宋" w:eastAsia="仿宋"/>
          <w:b/>
          <w:sz w:val="24"/>
        </w:rPr>
        <w:t>电子胃肠镜系统13</w:t>
      </w:r>
    </w:p>
    <w:p w14:paraId="417C2B8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1、技术参数</w:t>
      </w:r>
    </w:p>
    <w:p w14:paraId="0D14D13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1.1、磁控主机：</w:t>
      </w:r>
    </w:p>
    <w:p w14:paraId="0E2709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1.1.1、磁体：永磁体；数量：≥1个。</w:t>
      </w:r>
    </w:p>
    <w:p w14:paraId="2AF808F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#1.1.2、磁场强度：</w:t>
      </w:r>
      <w:r>
        <w:rPr>
          <w:rFonts w:hint="eastAsia"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lang w:val="en-US" w:eastAsia="zh-CN"/>
          <w14:textFill>
            <w14:solidFill>
              <w14:schemeClr w14:val="tx1"/>
            </w14:solidFill>
          </w14:textFill>
        </w:rPr>
        <w:t>400</w:t>
      </w:r>
      <w:r>
        <w:rPr>
          <w:rFonts w:ascii="仿宋" w:hAnsi="仿宋" w:eastAsia="仿宋" w:cs="宋体"/>
          <w:color w:val="000000"/>
          <w:kern w:val="0"/>
          <w:sz w:val="24"/>
        </w:rPr>
        <w:t>mT。</w:t>
      </w:r>
    </w:p>
    <w:p w14:paraId="4F86365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w:t>
      </w:r>
      <w:r>
        <w:rPr>
          <w:rFonts w:ascii="仿宋" w:hAnsi="仿宋" w:eastAsia="仿宋" w:cs="宋体"/>
          <w:color w:val="000000"/>
          <w:kern w:val="0"/>
          <w:sz w:val="24"/>
        </w:rPr>
        <w:t>3</w:t>
      </w:r>
      <w:r>
        <w:rPr>
          <w:rFonts w:hint="eastAsia" w:ascii="仿宋" w:hAnsi="仿宋" w:eastAsia="仿宋" w:cs="宋体"/>
          <w:color w:val="000000"/>
          <w:kern w:val="0"/>
          <w:sz w:val="24"/>
        </w:rPr>
        <w:t>、磁体可多维直线、旋转运动。</w:t>
      </w:r>
    </w:p>
    <w:p w14:paraId="07C7AAD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▲1.1.4、有效工作距离 ：0mm～200mm。</w:t>
      </w:r>
    </w:p>
    <w:p w14:paraId="152EB48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1.1.5、主机外形尺寸：长度≤1500mm，宽度≤1100mm，高度≤1500mm。</w:t>
      </w:r>
    </w:p>
    <w:p w14:paraId="359755F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1.1.6、工作噪音：≤65 dB。</w:t>
      </w:r>
    </w:p>
    <w:p w14:paraId="7CF5C0C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1.2、检查床（长×宽）：1900mm×700mm，可上下浮动10%；高度≤600mm。</w:t>
      </w:r>
    </w:p>
    <w:p w14:paraId="7A3AF93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1.3、图像接收器：</w:t>
      </w:r>
    </w:p>
    <w:p w14:paraId="5F52A24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#1.3.1、重量:≤1.8kg。</w:t>
      </w:r>
    </w:p>
    <w:p w14:paraId="32973D6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1.3.2、充电电池:≥3400mAh。</w:t>
      </w:r>
    </w:p>
    <w:p w14:paraId="4434649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1.3.4、存储卡容量:≥4GB。</w:t>
      </w:r>
    </w:p>
    <w:p w14:paraId="2AF584C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1.3.5、可提示工作状态，异常状态可声音提示；可在图像分析软件上进行设备的检测，存储空间不足时可提示。</w:t>
      </w:r>
    </w:p>
    <w:p w14:paraId="22F8D9E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1.4、控制系统：</w:t>
      </w:r>
    </w:p>
    <w:p w14:paraId="248EE23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1.4.1、控制方式：工作站和摇杆操作。</w:t>
      </w:r>
    </w:p>
    <w:p w14:paraId="1BAE618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1.4.2、操作台：</w:t>
      </w:r>
    </w:p>
    <w:p w14:paraId="7567552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▲1.4.2.2、位置摇杆：控制胶囊在设备垂直平面上的上、下、左、右以及右上、左上、右下、左下共 8 个方向的移动。</w:t>
      </w:r>
    </w:p>
    <w:p w14:paraId="4FCBF4E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▲1.4.2.3、姿态摇杆：控制胶囊翻滚、旋转。</w:t>
      </w:r>
    </w:p>
    <w:p w14:paraId="79C0DD4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1.4.2.4、按下任意一个摇杆顶端的控制按钮，将对实时图像进行捕获。</w:t>
      </w:r>
    </w:p>
    <w:p w14:paraId="0CF0902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1.4.3、采集、控制工作站：</w:t>
      </w:r>
    </w:p>
    <w:p w14:paraId="52DC59B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1.4.3.1、内存≥8G；硬盘≥512G；彩色液晶显示器≥23英寸；打印机：彩色激光打印机。</w:t>
      </w:r>
    </w:p>
    <w:p w14:paraId="092F0E3E">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1.4.3.2、中文操作界面。</w:t>
      </w:r>
    </w:p>
    <w:p w14:paraId="5DB88FE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1.4.3.3、具备受检者信息的管理功能，包括录入、查询、受检者信息。</w:t>
      </w:r>
    </w:p>
    <w:p w14:paraId="18A7D37B">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1.4.3.4、可绑定胶囊，可模拟胶囊姿态。</w:t>
      </w:r>
    </w:p>
    <w:p w14:paraId="00E42DA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1.4.3.5、可控制胶囊的位置、姿态，包括：镜头朝向控制、截面扫描等；可一键还原初始位。</w:t>
      </w:r>
    </w:p>
    <w:p w14:paraId="2D23BE2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1.4.3.6、可通过有线或无线的方式查看小肠实时图像、胃实时图像。</w:t>
      </w:r>
    </w:p>
    <w:p w14:paraId="1D4DEEB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1.4.3.7、图片导出格式：JPG，视频导出格式：MP4；报告导出格式：PDF。</w:t>
      </w:r>
    </w:p>
    <w:p w14:paraId="6DCCA0C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1.4.3.8、具备图像浏览功能。</w:t>
      </w:r>
    </w:p>
    <w:p w14:paraId="757941F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1.4.3.9、图像播放速度调节范围：1～30fps。</w:t>
      </w:r>
    </w:p>
    <w:p w14:paraId="1BF00EE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1.4.3.10、具有多幅显示功能，最多可显示≥18幅图像。</w:t>
      </w:r>
    </w:p>
    <w:p w14:paraId="0EA6C6E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1.4.3.11、可对图像进行备注、标记；可多标记以及撤销标记。</w:t>
      </w:r>
    </w:p>
    <w:p w14:paraId="69E195A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1.4.3.12、可对图像进行消化道各段开始帧和部位的标注。</w:t>
      </w:r>
    </w:p>
    <w:p w14:paraId="68D7A6ED">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1.4.3.13、具备图像的播放、回放，图像缩放、图像旋转和图像捕获功能。</w:t>
      </w:r>
    </w:p>
    <w:p w14:paraId="754358C4">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1.4.3.14、可调整清晰度、亮度、颜色、饱和度以及去除图像噪音，具备血红蛋白增强、电子染色功能。</w:t>
      </w:r>
    </w:p>
    <w:p w14:paraId="555897A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1.4.3.15、图谱库管理：具备图谱添加、图谱分类、图谱对比功能。</w:t>
      </w:r>
    </w:p>
    <w:p w14:paraId="73039B1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1.4.3.16、具备报告编辑和打印、报告模版自定义、常用词汇自定义功能，可自定义常用疾病模版的。</w:t>
      </w:r>
    </w:p>
    <w:p w14:paraId="75336F91">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1.4.3.17、具备用户管理功能，包括操作者和阅片医生权限管理。</w:t>
      </w:r>
    </w:p>
    <w:p w14:paraId="18CE894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1.4.3.18、可统计、导出受检者数据信息。</w:t>
      </w:r>
    </w:p>
    <w:p w14:paraId="6E2DC14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1.4.3.19、可与医院的信息系统进行数据交换。</w:t>
      </w:r>
    </w:p>
    <w:p w14:paraId="3E7D18F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1.4.4、胶囊式内窥镜：</w:t>
      </w:r>
    </w:p>
    <w:p w14:paraId="25AD127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▲1.4.4.1、胶囊直径：≤13mm，胶囊长度：≤28mm ，胶囊重量：≤6g。</w:t>
      </w:r>
    </w:p>
    <w:p w14:paraId="604B51D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1.4.4.2、密度：等水。</w:t>
      </w:r>
    </w:p>
    <w:p w14:paraId="38C161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1.4.4.3、材料：医用高分子材料。</w:t>
      </w:r>
    </w:p>
    <w:p w14:paraId="1FC3FD79">
      <w:pPr>
        <w:keepNext w:val="0"/>
        <w:keepLines w:val="0"/>
        <w:pageBreakBefore w:val="0"/>
        <w:widowControl/>
        <w:kinsoku/>
        <w:wordWrap/>
        <w:overflowPunct/>
        <w:topLinePunct w:val="0"/>
        <w:bidi w:val="0"/>
        <w:spacing w:before="157" w:beforeLines="50" w:line="360" w:lineRule="auto"/>
        <w:jc w:val="left"/>
        <w:textAlignment w:val="auto"/>
        <w:rPr>
          <w:rFonts w:hint="eastAsia" w:ascii="仿宋" w:hAnsi="仿宋" w:eastAsia="仿宋" w:cs="宋体"/>
          <w:color w:val="000000"/>
          <w:kern w:val="0"/>
          <w:sz w:val="24"/>
        </w:rPr>
      </w:pPr>
      <w:r>
        <w:rPr>
          <w:rFonts w:hint="eastAsia" w:ascii="仿宋" w:hAnsi="仿宋" w:eastAsia="仿宋" w:cs="宋体"/>
          <w:bCs w:val="0"/>
          <w:color w:val="000000"/>
          <w:kern w:val="0"/>
          <w:sz w:val="24"/>
          <w:szCs w:val="24"/>
        </w:rPr>
        <w:t>1.4.4.4、支持胶囊式内窥镜连续工作时间:≥8h。</w:t>
      </w:r>
    </w:p>
    <w:p w14:paraId="5F67534A">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1.4.4.5、视角（空气中）：≥140°。</w:t>
      </w:r>
    </w:p>
    <w:p w14:paraId="3C1A72F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#1.4.4.6、最大景深:≥30mm。</w:t>
      </w:r>
    </w:p>
    <w:p w14:paraId="1EDCF8B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1.4.4.7、胶囊拍摄模式：胃模式和肠道模式。</w:t>
      </w:r>
    </w:p>
    <w:p w14:paraId="7990DFC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1.4.4.9、采样速率调节范围：2～6fps。</w:t>
      </w:r>
    </w:p>
    <w:p w14:paraId="5DDC90E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1.4.4.10、图像分辨力：≥8Lp/mm。</w:t>
      </w:r>
    </w:p>
    <w:p w14:paraId="4FF73E1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1.4.4.12、图像无线传输。</w:t>
      </w:r>
    </w:p>
    <w:p w14:paraId="2982690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color w:val="000000"/>
          <w:kern w:val="0"/>
          <w:sz w:val="24"/>
        </w:rPr>
      </w:pPr>
      <w:r>
        <w:rPr>
          <w:rFonts w:hint="eastAsia" w:ascii="仿宋" w:hAnsi="仿宋" w:eastAsia="仿宋" w:cs="宋体"/>
          <w:color w:val="000000"/>
          <w:kern w:val="0"/>
          <w:sz w:val="24"/>
        </w:rPr>
        <w:t>1.4.4.13、密封性：IPX8。</w:t>
      </w:r>
    </w:p>
    <w:p w14:paraId="0BFD3297">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★2、主要配置</w:t>
      </w:r>
      <w:r>
        <w:rPr>
          <w:rFonts w:hint="eastAsia" w:ascii="仿宋" w:hAnsi="仿宋" w:eastAsia="仿宋" w:cs="宋体"/>
          <w:b/>
          <w:kern w:val="0"/>
          <w:sz w:val="24"/>
          <w:lang w:eastAsia="zh-CN"/>
        </w:rPr>
        <w:t>（应提供配置清单并加盖投标人公章）</w:t>
      </w:r>
      <w:r>
        <w:rPr>
          <w:rFonts w:hint="eastAsia" w:ascii="仿宋" w:hAnsi="仿宋" w:eastAsia="仿宋" w:cs="宋体"/>
          <w:b/>
          <w:color w:val="000000"/>
          <w:kern w:val="0"/>
          <w:sz w:val="24"/>
        </w:rPr>
        <w:t>：</w:t>
      </w:r>
    </w:p>
    <w:p w14:paraId="533402B8">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2.1、品目6-1：</w:t>
      </w:r>
    </w:p>
    <w:p w14:paraId="7DB92A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2.1.1、磁控主机：1台。</w:t>
      </w:r>
    </w:p>
    <w:p w14:paraId="293E0662">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2.1.2、检查床：1张。</w:t>
      </w:r>
    </w:p>
    <w:p w14:paraId="51F05B6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2.1.3、图像接收存储器：3套。</w:t>
      </w:r>
    </w:p>
    <w:p w14:paraId="27F8B53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2.1.4、控制系统：1套。</w:t>
      </w:r>
    </w:p>
    <w:p w14:paraId="3BCBCD0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2.1.5、巡航工作站：1套。</w:t>
      </w:r>
    </w:p>
    <w:p w14:paraId="631CEE3F">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2.1.6、胶囊式内窥镜：30个。</w:t>
      </w:r>
    </w:p>
    <w:p w14:paraId="36018299">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2.2、品目6-2：</w:t>
      </w:r>
    </w:p>
    <w:p w14:paraId="5A7D8275">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2.2.1、磁控主机：1台。</w:t>
      </w:r>
    </w:p>
    <w:p w14:paraId="54159946">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2.2.2、检查床：1张。</w:t>
      </w:r>
    </w:p>
    <w:p w14:paraId="4AB34BE0">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2.2.3、胶囊式内窥镜：10个。</w:t>
      </w:r>
    </w:p>
    <w:p w14:paraId="6FDEDD73">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cs="宋体"/>
          <w:b/>
          <w:color w:val="000000"/>
          <w:kern w:val="0"/>
          <w:sz w:val="24"/>
        </w:rPr>
      </w:pPr>
      <w:r>
        <w:rPr>
          <w:rFonts w:hint="eastAsia" w:ascii="仿宋" w:hAnsi="仿宋" w:eastAsia="仿宋" w:cs="宋体"/>
          <w:b/>
          <w:color w:val="000000"/>
          <w:kern w:val="0"/>
          <w:sz w:val="24"/>
        </w:rPr>
        <w:t>2.2.4、图像接收存储器：3套。</w:t>
      </w:r>
    </w:p>
    <w:p w14:paraId="4A2A1F1C">
      <w:pPr>
        <w:keepNext w:val="0"/>
        <w:keepLines w:val="0"/>
        <w:pageBreakBefore w:val="0"/>
        <w:widowControl/>
        <w:kinsoku/>
        <w:wordWrap/>
        <w:overflowPunct/>
        <w:topLinePunct w:val="0"/>
        <w:bidi w:val="0"/>
        <w:spacing w:before="157" w:beforeLines="50" w:line="360" w:lineRule="auto"/>
        <w:jc w:val="left"/>
        <w:textAlignment w:val="auto"/>
        <w:rPr>
          <w:rFonts w:ascii="仿宋" w:hAnsi="仿宋" w:eastAsia="仿宋"/>
          <w:sz w:val="24"/>
        </w:rPr>
      </w:pPr>
      <w:r>
        <w:rPr>
          <w:rFonts w:hint="eastAsia" w:ascii="仿宋" w:hAnsi="仿宋" w:eastAsia="仿宋" w:cs="宋体"/>
          <w:b/>
          <w:color w:val="000000"/>
          <w:kern w:val="0"/>
          <w:sz w:val="24"/>
        </w:rPr>
        <w:t>2.2.5、控制系统：1套。</w:t>
      </w:r>
    </w:p>
    <w:p w14:paraId="35C72D70">
      <w:pPr>
        <w:keepNext w:val="0"/>
        <w:keepLines w:val="0"/>
        <w:pageBreakBefore w:val="0"/>
        <w:kinsoku/>
        <w:wordWrap/>
        <w:overflowPunct/>
        <w:topLinePunct w:val="0"/>
        <w:bidi w:val="0"/>
        <w:snapToGrid w:val="0"/>
        <w:spacing w:before="157" w:beforeLines="50" w:line="360" w:lineRule="auto"/>
        <w:ind w:firstLine="482" w:firstLineChars="200"/>
        <w:jc w:val="center"/>
        <w:textAlignment w:val="auto"/>
        <w:rPr>
          <w:rFonts w:ascii="仿宋" w:hAnsi="仿宋" w:eastAsia="仿宋"/>
          <w:b/>
          <w:sz w:val="24"/>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899C62D">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26D67B1">
      <w:pPr>
        <w:keepNext w:val="0"/>
        <w:keepLines w:val="0"/>
        <w:pageBreakBefore w:val="0"/>
        <w:kinsoku/>
        <w:wordWrap/>
        <w:overflowPunct/>
        <w:topLinePunct w:val="0"/>
        <w:bidi w:val="0"/>
        <w:spacing w:before="157" w:beforeLines="50" w:line="360" w:lineRule="auto"/>
        <w:ind w:firstLine="420" w:firstLineChars="175"/>
        <w:textAlignment w:val="auto"/>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1"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2" w:name="OLE_LINK56"/>
      <w:bookmarkStart w:id="13" w:name="OLE_LINK55"/>
      <w:r>
        <w:rPr>
          <w:rFonts w:hint="eastAsia" w:ascii="仿宋" w:hAnsi="仿宋" w:eastAsia="仿宋" w:cs="仿宋"/>
          <w:b/>
          <w:bCs/>
          <w:sz w:val="24"/>
        </w:rPr>
        <w:t>投标人</w:t>
      </w:r>
      <w:bookmarkEnd w:id="12"/>
      <w:bookmarkEnd w:id="13"/>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1"/>
    </w:p>
    <w:p w14:paraId="2C9B1F02">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sz w:val="24"/>
          <w:lang w:eastAsia="zh-CN"/>
        </w:rPr>
        <w:t>“</w:t>
      </w:r>
      <w:r>
        <w:rPr>
          <w:rFonts w:hint="eastAsia" w:ascii="仿宋" w:hAnsi="仿宋" w:eastAsia="仿宋"/>
          <w:b/>
          <w:sz w:val="24"/>
          <w:lang w:val="en-US" w:eastAsia="zh-CN"/>
        </w:rPr>
        <w:t>#</w:t>
      </w:r>
      <w:r>
        <w:rPr>
          <w:rFonts w:hint="eastAsia" w:ascii="仿宋" w:hAnsi="仿宋" w:eastAsia="仿宋"/>
          <w:b/>
          <w:sz w:val="24"/>
          <w:lang w:eastAsia="zh-CN"/>
        </w:rPr>
        <w:t>”</w:t>
      </w:r>
      <w:r>
        <w:rPr>
          <w:rFonts w:hint="eastAsia" w:ascii="仿宋" w:hAnsi="仿宋" w:eastAsia="仿宋"/>
          <w:b/>
          <w:sz w:val="24"/>
        </w:rPr>
        <w:t>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textAlignment w:val="auto"/>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textAlignment w:val="auto"/>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bookmarkStart w:id="14" w:name="OLE_LINK202"/>
      <w:bookmarkStart w:id="15" w:name="OLE_LINK203"/>
      <w:r>
        <w:rPr>
          <w:rFonts w:hint="eastAsia" w:ascii="仿宋" w:hAnsi="仿宋" w:eastAsia="仿宋" w:cs="仿宋"/>
          <w:bCs/>
          <w:sz w:val="24"/>
        </w:rPr>
        <w:t>4.3.1、</w:t>
      </w:r>
      <w:bookmarkEnd w:id="14"/>
      <w:bookmarkEnd w:id="15"/>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textAlignment w:val="auto"/>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textAlignment w:val="auto"/>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textAlignment w:val="auto"/>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（四）其他要求</w:t>
      </w:r>
    </w:p>
    <w:p w14:paraId="7DFF1014">
      <w:pPr>
        <w:pStyle w:val="2"/>
        <w:keepNext w:val="0"/>
        <w:keepLines w:val="0"/>
        <w:pageBreakBefore w:val="0"/>
        <w:kinsoku/>
        <w:wordWrap/>
        <w:overflowPunct/>
        <w:topLinePunct w:val="0"/>
        <w:bidi w:val="0"/>
        <w:spacing w:before="157" w:beforeLines="50" w:line="360" w:lineRule="auto"/>
        <w:textAlignment w:val="auto"/>
      </w:pPr>
      <w:r>
        <w:rPr>
          <w:rFonts w:hint="eastAsia" w:ascii="仿宋" w:hAnsi="仿宋" w:eastAsia="仿宋" w:cs="仿宋"/>
          <w:bCs/>
        </w:rPr>
        <w:t>无</w:t>
      </w:r>
      <w:r>
        <w:rPr>
          <w:rFonts w:hint="eastAsia" w:ascii="仿宋" w:hAnsi="仿宋" w:eastAsia="仿宋"/>
        </w:rPr>
        <w:t>。</w:t>
      </w:r>
      <w:bookmarkStart w:id="16" w:name="_GoBack"/>
      <w:bookmarkEnd w:id="1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190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2026-10-28T16:18:02Z</dcterms:created>
  <dc:creator>zhang</dc:creator>
  <cp:lastModifiedBy>zhang</cp:lastModifiedBy>
  <dcterms:modified xsi:type="dcterms:W3CDTF">2026-10-28T16:18:28Z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eyJoZGlkIjoiYjk5ODM0YmMxOWJiYWQyNDU4MGIzYWRmYTA0ZmI5NDciLCJ1c2VySWQiOiIzMzk2OTcwOTkifQ==</vt:lpwstr>
  </property>
  <property fmtid="{D5CDD505-2E9C-101B-9397-08002B2CF9AE}" pid="4" name="ICV">
    <vt:lpwstr>077AA7E2F7CC4D57A7D8ABAE655ECD8E_12</vt:lpwstr>
  </property>
</Properties>
</file>