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202EE4">
      <w:pPr>
        <w:widowControl w:val="0"/>
        <w:numPr>
          <w:ilvl w:val="0"/>
          <w:numId w:val="0"/>
        </w:numPr>
        <w:tabs>
          <w:tab w:val="left" w:pos="1630"/>
        </w:tabs>
        <w:autoSpaceDE w:val="0"/>
        <w:autoSpaceDN w:val="0"/>
        <w:spacing w:line="460" w:lineRule="exact"/>
        <w:ind w:left="8" w:leftChars="0"/>
        <w:jc w:val="center"/>
        <w:outlineLvl w:val="0"/>
        <w:rPr>
          <w:rFonts w:ascii="宋体" w:hAnsi="宋体" w:eastAsia="宋体" w:cs="宋体"/>
          <w:b/>
          <w:bCs/>
          <w:sz w:val="36"/>
          <w:szCs w:val="36"/>
          <w:lang w:val="en-US" w:eastAsia="en-US" w:bidi="ar-SA"/>
        </w:rPr>
      </w:pPr>
      <w:bookmarkStart w:id="0" w:name="_Toc10273"/>
      <w:bookmarkStart w:id="1" w:name="_Toc1685"/>
      <w:bookmarkStart w:id="10" w:name="_GoBack"/>
      <w:bookmarkEnd w:id="10"/>
      <w:r>
        <w:rPr>
          <w:rFonts w:hint="eastAsia" w:ascii="宋体" w:hAnsi="宋体" w:eastAsia="宋体" w:cs="宋体"/>
          <w:b/>
          <w:bCs/>
          <w:sz w:val="36"/>
          <w:szCs w:val="36"/>
          <w:lang w:val="en-US" w:eastAsia="en-US" w:bidi="ar-SA"/>
        </w:rPr>
        <w:t>采购需求</w:t>
      </w:r>
      <w:bookmarkEnd w:id="0"/>
      <w:bookmarkEnd w:id="1"/>
    </w:p>
    <w:p w14:paraId="7989F728">
      <w:pPr>
        <w:autoSpaceDE w:val="0"/>
        <w:autoSpaceDN w:val="0"/>
        <w:jc w:val="left"/>
        <w:rPr>
          <w:rFonts w:ascii="宋体" w:hAnsi="宋体" w:eastAsia="宋体" w:cs="宋体"/>
          <w:kern w:val="0"/>
          <w:sz w:val="22"/>
          <w:szCs w:val="22"/>
          <w:lang w:eastAsia="en-US"/>
        </w:rPr>
      </w:pPr>
    </w:p>
    <w:p w14:paraId="32481681">
      <w:pPr>
        <w:widowControl w:val="0"/>
        <w:autoSpaceDE w:val="0"/>
        <w:autoSpaceDN w:val="0"/>
        <w:spacing w:before="1"/>
        <w:ind w:left="121"/>
        <w:rPr>
          <w:rFonts w:ascii="宋体" w:hAnsi="宋体" w:eastAsia="宋体" w:cs="宋体"/>
          <w:b/>
          <w:bCs/>
          <w:sz w:val="24"/>
          <w:szCs w:val="24"/>
          <w:lang w:val="en-US" w:eastAsia="en-US" w:bidi="ar-SA"/>
        </w:rPr>
      </w:pPr>
      <w:r>
        <w:rPr>
          <w:rFonts w:hint="eastAsia" w:ascii="宋体" w:hAnsi="宋体" w:eastAsia="宋体" w:cs="宋体"/>
          <w:b/>
          <w:bCs/>
          <w:sz w:val="24"/>
          <w:szCs w:val="24"/>
          <w:lang w:val="en-US" w:eastAsia="en-US" w:bidi="ar-SA"/>
        </w:rPr>
        <w:t>一、采购标的</w:t>
      </w:r>
    </w:p>
    <w:p w14:paraId="1DAA14A8">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sz w:val="24"/>
          <w:szCs w:val="22"/>
          <w:lang w:val="en-US" w:eastAsia="zh-CN" w:bidi="ar-SA"/>
        </w:rPr>
      </w:pPr>
      <w:r>
        <w:rPr>
          <w:rFonts w:hint="eastAsia" w:ascii="宋体" w:hAnsi="宋体" w:eastAsia="宋体" w:cs="宋体"/>
          <w:spacing w:val="-2"/>
          <w:w w:val="114"/>
          <w:sz w:val="24"/>
          <w:szCs w:val="24"/>
          <w:lang w:val="en-US" w:eastAsia="zh-CN" w:bidi="ar-SA"/>
        </w:rPr>
        <w:t>1.</w:t>
      </w:r>
      <w:r>
        <w:rPr>
          <w:rFonts w:hint="eastAsia" w:ascii="宋体" w:hAnsi="宋体" w:eastAsia="宋体" w:cs="宋体"/>
          <w:sz w:val="24"/>
          <w:szCs w:val="22"/>
          <w:lang w:val="en-US" w:eastAsia="zh-CN" w:bidi="ar-SA"/>
        </w:rPr>
        <w:t>采购标的（需求一览表）</w:t>
      </w:r>
    </w:p>
    <w:tbl>
      <w:tblPr>
        <w:tblStyle w:val="2"/>
        <w:tblW w:w="763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5"/>
        <w:gridCol w:w="3708"/>
        <w:gridCol w:w="2200"/>
      </w:tblGrid>
      <w:tr w14:paraId="5C199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1725" w:type="dxa"/>
            <w:vAlign w:val="center"/>
          </w:tcPr>
          <w:p w14:paraId="11753068">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包号</w:t>
            </w:r>
          </w:p>
        </w:tc>
        <w:tc>
          <w:tcPr>
            <w:tcW w:w="3708" w:type="dxa"/>
            <w:vAlign w:val="center"/>
          </w:tcPr>
          <w:p w14:paraId="36851289">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标的名称</w:t>
            </w:r>
          </w:p>
        </w:tc>
        <w:tc>
          <w:tcPr>
            <w:tcW w:w="2200" w:type="dxa"/>
            <w:vAlign w:val="center"/>
          </w:tcPr>
          <w:p w14:paraId="35399425">
            <w:pPr>
              <w:widowControl w:val="0"/>
              <w:autoSpaceDE w:val="0"/>
              <w:autoSpaceDN w:val="0"/>
              <w:jc w:val="center"/>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en-US" w:bidi="ar-SA"/>
              </w:rPr>
              <w:t>数量</w:t>
            </w:r>
          </w:p>
        </w:tc>
      </w:tr>
      <w:tr w14:paraId="528E5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1725" w:type="dxa"/>
            <w:vAlign w:val="center"/>
          </w:tcPr>
          <w:p w14:paraId="52AFBED8">
            <w:pPr>
              <w:widowControl w:val="0"/>
              <w:autoSpaceDE w:val="0"/>
              <w:autoSpaceDN w:val="0"/>
              <w:jc w:val="center"/>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w:t>
            </w:r>
          </w:p>
        </w:tc>
        <w:tc>
          <w:tcPr>
            <w:tcW w:w="3708" w:type="dxa"/>
            <w:vAlign w:val="center"/>
          </w:tcPr>
          <w:p w14:paraId="2B691B6D">
            <w:pPr>
              <w:widowControl/>
              <w:autoSpaceDE w:val="0"/>
              <w:autoSpaceDN w:val="0"/>
              <w:jc w:val="center"/>
              <w:textAlignment w:val="center"/>
              <w:rPr>
                <w:rFonts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临床数据中心</w:t>
            </w:r>
          </w:p>
        </w:tc>
        <w:tc>
          <w:tcPr>
            <w:tcW w:w="2200" w:type="dxa"/>
            <w:vAlign w:val="center"/>
          </w:tcPr>
          <w:p w14:paraId="115B7797">
            <w:pPr>
              <w:widowControl/>
              <w:autoSpaceDE w:val="0"/>
              <w:autoSpaceDN w:val="0"/>
              <w:jc w:val="center"/>
              <w:textAlignment w:val="center"/>
              <w:rPr>
                <w:rFonts w:ascii="宋体" w:hAnsi="宋体" w:eastAsia="宋体" w:cs="宋体"/>
                <w:kern w:val="0"/>
                <w:sz w:val="24"/>
                <w:szCs w:val="24"/>
                <w:lang w:eastAsia="zh-CN"/>
              </w:rPr>
            </w:pPr>
            <w:r>
              <w:rPr>
                <w:rFonts w:hint="eastAsia" w:ascii="宋体" w:hAnsi="宋体" w:eastAsia="宋体" w:cs="宋体"/>
                <w:kern w:val="0"/>
                <w:sz w:val="24"/>
                <w:szCs w:val="24"/>
                <w:lang w:eastAsia="zh-CN"/>
              </w:rPr>
              <w:t>1项</w:t>
            </w:r>
          </w:p>
        </w:tc>
      </w:tr>
    </w:tbl>
    <w:p w14:paraId="07624E46">
      <w:pPr>
        <w:widowControl w:val="0"/>
        <w:tabs>
          <w:tab w:val="left" w:pos="1197"/>
        </w:tabs>
        <w:autoSpaceDE w:val="0"/>
        <w:autoSpaceDN w:val="0"/>
        <w:spacing w:before="0" w:line="486" w:lineRule="exact"/>
        <w:ind w:left="0" w:right="233" w:firstLine="0"/>
        <w:jc w:val="both"/>
        <w:rPr>
          <w:rFonts w:hint="eastAsia" w:ascii="宋体" w:hAnsi="宋体" w:eastAsia="宋体" w:cs="宋体"/>
          <w:b/>
          <w:bCs/>
          <w:sz w:val="24"/>
          <w:szCs w:val="22"/>
          <w:lang w:val="en-US" w:eastAsia="zh-CN" w:bidi="ar-SA"/>
        </w:rPr>
      </w:pPr>
    </w:p>
    <w:p w14:paraId="2441DD7D">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2"/>
          <w:lang w:val="en-US" w:eastAsia="zh-CN" w:bidi="ar-SA"/>
        </w:rPr>
      </w:pPr>
      <w:r>
        <w:rPr>
          <w:rFonts w:hint="eastAsia" w:ascii="宋体" w:hAnsi="宋体" w:eastAsia="宋体" w:cs="宋体"/>
          <w:b/>
          <w:bCs/>
          <w:sz w:val="24"/>
          <w:szCs w:val="22"/>
          <w:lang w:val="en-US" w:eastAsia="zh-CN" w:bidi="ar-SA"/>
        </w:rPr>
        <w:t>二、商务要求</w:t>
      </w:r>
    </w:p>
    <w:p w14:paraId="17B1D636">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1.采购项目交付或者服务的时间和地点：</w:t>
      </w:r>
    </w:p>
    <w:p w14:paraId="73EA59C7">
      <w:pPr>
        <w:widowControl w:val="0"/>
        <w:tabs>
          <w:tab w:val="left" w:pos="1197"/>
        </w:tabs>
        <w:autoSpaceDE w:val="0"/>
        <w:autoSpaceDN w:val="0"/>
        <w:spacing w:before="0" w:line="486" w:lineRule="exact"/>
        <w:ind w:left="0" w:right="233" w:firstLine="0"/>
        <w:jc w:val="both"/>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1.1实施期限：六个月</w:t>
      </w:r>
    </w:p>
    <w:p w14:paraId="2218793B">
      <w:pPr>
        <w:widowControl w:val="0"/>
        <w:tabs>
          <w:tab w:val="left" w:pos="1197"/>
        </w:tabs>
        <w:autoSpaceDE w:val="0"/>
        <w:autoSpaceDN w:val="0"/>
        <w:spacing w:before="0" w:line="486" w:lineRule="exact"/>
        <w:ind w:left="0" w:right="233" w:firstLine="0"/>
        <w:jc w:val="both"/>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1.2实施地点：</w:t>
      </w:r>
      <w:r>
        <w:rPr>
          <w:rFonts w:hint="eastAsia" w:ascii="宋体" w:hAnsi="宋体" w:eastAsia="宋体" w:cs="宋体"/>
          <w:color w:val="auto"/>
          <w:sz w:val="24"/>
          <w:szCs w:val="24"/>
          <w:highlight w:val="none"/>
          <w:lang w:val="en-US" w:eastAsia="zh-CN" w:bidi="ar-SA"/>
        </w:rPr>
        <w:t>采购人指定地点</w:t>
      </w:r>
    </w:p>
    <w:p w14:paraId="724B00AF">
      <w:pPr>
        <w:widowControl w:val="0"/>
        <w:tabs>
          <w:tab w:val="left" w:pos="1197"/>
        </w:tabs>
        <w:autoSpaceDE w:val="0"/>
        <w:autoSpaceDN w:val="0"/>
        <w:spacing w:before="0" w:line="486" w:lineRule="exact"/>
        <w:ind w:left="0" w:right="233" w:firstLine="0"/>
        <w:jc w:val="both"/>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2.付款条件（进度和方式）</w:t>
      </w:r>
      <w:r>
        <w:rPr>
          <w:rFonts w:hint="eastAsia" w:ascii="宋体" w:hAnsi="宋体" w:eastAsia="宋体" w:cs="宋体"/>
          <w:sz w:val="24"/>
          <w:szCs w:val="24"/>
          <w:lang w:val="en-US" w:eastAsia="zh-CN" w:bidi="ar-SA"/>
        </w:rPr>
        <w:t>：签订合同后，收到对方开具增值税全额发票后15个工作日内支付合同总价的25%；项目开发完毕并验收合格，15个工作日内支付合同总价的70%；5%货款</w:t>
      </w:r>
      <w:r>
        <w:rPr>
          <w:rFonts w:hint="eastAsia" w:ascii="宋体" w:hAnsi="宋体" w:eastAsia="宋体" w:cs="宋体"/>
          <w:sz w:val="24"/>
          <w:szCs w:val="22"/>
          <w:lang w:val="en-US" w:eastAsia="en-US" w:bidi="ar-SA"/>
        </w:rPr>
        <w:t>待系统运行平稳且免费维保期满后</w:t>
      </w:r>
      <w:r>
        <w:rPr>
          <w:rFonts w:hint="eastAsia" w:ascii="宋体" w:hAnsi="宋体" w:eastAsia="宋体" w:cs="宋体"/>
          <w:sz w:val="24"/>
          <w:szCs w:val="24"/>
          <w:lang w:val="en-US" w:eastAsia="zh-CN" w:bidi="ar-SA"/>
        </w:rPr>
        <w:t>进行支付。具体详见“拟签订的合同文本”。</w:t>
      </w:r>
    </w:p>
    <w:p w14:paraId="33CC1F70">
      <w:pPr>
        <w:widowControl w:val="0"/>
        <w:tabs>
          <w:tab w:val="left" w:pos="1197"/>
        </w:tabs>
        <w:autoSpaceDE w:val="0"/>
        <w:autoSpaceDN w:val="0"/>
        <w:spacing w:before="0" w:line="486" w:lineRule="exact"/>
        <w:ind w:left="0" w:right="233" w:firstLine="0"/>
        <w:jc w:val="both"/>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3.包装和运输：</w:t>
      </w:r>
      <w:r>
        <w:rPr>
          <w:rFonts w:hint="eastAsia" w:ascii="宋体" w:hAnsi="宋体" w:eastAsia="宋体" w:cs="宋体"/>
          <w:sz w:val="24"/>
          <w:szCs w:val="24"/>
          <w:lang w:val="en-US" w:eastAsia="zh-CN" w:bidi="ar-SA"/>
        </w:rPr>
        <w:t>须满足《关于印发〈商品包装政府采购需求标准（试行）〉、〈快递包装政府采购需求标准（试行）〉的通知》（财办库﹝2020﹞123 号））。</w:t>
      </w:r>
    </w:p>
    <w:p w14:paraId="759B0990">
      <w:pPr>
        <w:widowControl w:val="0"/>
        <w:tabs>
          <w:tab w:val="left" w:pos="470"/>
        </w:tabs>
        <w:autoSpaceDE w:val="0"/>
        <w:autoSpaceDN w:val="0"/>
        <w:spacing w:before="0" w:line="486" w:lineRule="exact"/>
        <w:ind w:left="0" w:right="-38" w:firstLine="0"/>
        <w:jc w:val="both"/>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★4.质保期：</w:t>
      </w:r>
      <w:r>
        <w:rPr>
          <w:rFonts w:hint="eastAsia" w:ascii="宋体" w:hAnsi="宋体" w:eastAsia="宋体" w:cs="宋体"/>
          <w:sz w:val="24"/>
          <w:szCs w:val="24"/>
          <w:lang w:val="en-US" w:eastAsia="en-US" w:bidi="ar-SA"/>
        </w:rPr>
        <w:t>质保期（免费运维）不低于3年，免费维护期结束后，后续每年维护费不高于系统报价的10%。</w:t>
      </w:r>
      <w:r>
        <w:rPr>
          <w:rFonts w:hint="eastAsia" w:ascii="宋体" w:hAnsi="宋体" w:eastAsia="宋体" w:cs="Times New Roman"/>
          <w:sz w:val="24"/>
          <w:szCs w:val="22"/>
          <w:lang w:val="en-US" w:eastAsia="en-US" w:bidi="ar-SA"/>
        </w:rPr>
        <w:t>提供承诺函并加盖投标人公章（格式自拟）</w:t>
      </w:r>
    </w:p>
    <w:p w14:paraId="19EACB62">
      <w:pPr>
        <w:widowControl w:val="0"/>
        <w:tabs>
          <w:tab w:val="left" w:pos="470"/>
        </w:tabs>
        <w:autoSpaceDE w:val="0"/>
        <w:autoSpaceDN w:val="0"/>
        <w:spacing w:before="0" w:line="486" w:lineRule="exact"/>
        <w:ind w:left="0" w:right="7155" w:firstLine="0"/>
        <w:jc w:val="both"/>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三、技术要求</w:t>
      </w:r>
    </w:p>
    <w:p w14:paraId="533F7CBD">
      <w:pPr>
        <w:autoSpaceDE w:val="0"/>
        <w:autoSpaceDN w:val="0"/>
        <w:spacing w:line="486" w:lineRule="exact"/>
        <w:ind w:firstLine="241" w:firstLineChars="100"/>
        <w:contextualSpacing/>
        <w:jc w:val="left"/>
        <w:rPr>
          <w:rFonts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1. 基本要求</w:t>
      </w:r>
    </w:p>
    <w:p w14:paraId="7F581565">
      <w:pPr>
        <w:autoSpaceDE w:val="0"/>
        <w:autoSpaceDN w:val="0"/>
        <w:spacing w:line="486" w:lineRule="exact"/>
        <w:ind w:firstLine="241" w:firstLineChars="100"/>
        <w:contextualSpacing/>
        <w:jc w:val="left"/>
        <w:rPr>
          <w:rFonts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1.1 采购标的需实现的功能或者目标</w:t>
      </w:r>
    </w:p>
    <w:p w14:paraId="39C1873B">
      <w:pPr>
        <w:autoSpaceDE w:val="0"/>
        <w:autoSpaceDN w:val="0"/>
        <w:adjustRightInd w:val="0"/>
        <w:spacing w:line="486"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en-US"/>
        </w:rPr>
        <w:t>本项目整合院内各业务系统临床诊疗数据，建设临床数据中心、患者360视图</w:t>
      </w:r>
      <w:r>
        <w:rPr>
          <w:rFonts w:hint="eastAsia" w:ascii="宋体" w:hAnsi="宋体" w:eastAsia="宋体" w:cs="宋体"/>
          <w:kern w:val="0"/>
          <w:sz w:val="24"/>
          <w:szCs w:val="24"/>
          <w:lang w:eastAsia="zh-CN"/>
        </w:rPr>
        <w:t>、统一用户管理与单点登录</w:t>
      </w:r>
      <w:r>
        <w:rPr>
          <w:rFonts w:hint="eastAsia" w:ascii="宋体" w:hAnsi="宋体" w:eastAsia="宋体" w:cs="宋体"/>
          <w:kern w:val="0"/>
          <w:sz w:val="24"/>
          <w:szCs w:val="24"/>
          <w:lang w:eastAsia="en-US"/>
        </w:rPr>
        <w:t>及临床辅助决策支持</w:t>
      </w:r>
      <w:r>
        <w:rPr>
          <w:rFonts w:hint="eastAsia" w:ascii="宋体" w:hAnsi="宋体" w:eastAsia="宋体" w:cs="宋体"/>
          <w:kern w:val="0"/>
          <w:sz w:val="24"/>
          <w:szCs w:val="24"/>
          <w:lang w:val="en-US" w:eastAsia="zh-CN"/>
        </w:rPr>
        <w:t>等</w:t>
      </w:r>
      <w:r>
        <w:rPr>
          <w:rFonts w:hint="eastAsia" w:ascii="宋体" w:hAnsi="宋体" w:eastAsia="宋体" w:cs="宋体"/>
          <w:kern w:val="0"/>
          <w:sz w:val="24"/>
          <w:szCs w:val="24"/>
          <w:lang w:eastAsia="en-US"/>
        </w:rPr>
        <w:t>系统，实现数据集中管理、患者信息全息展示和诊疗智能辅助，提升医疗服务质量与科学管理水平。</w:t>
      </w:r>
    </w:p>
    <w:p w14:paraId="30AF5334">
      <w:pPr>
        <w:autoSpaceDE w:val="0"/>
        <w:autoSpaceDN w:val="0"/>
        <w:adjustRightInd w:val="0"/>
        <w:spacing w:line="486"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本次招标采购是为北京小汤山医院提供</w:t>
      </w:r>
      <w:r>
        <w:rPr>
          <w:rFonts w:hint="eastAsia" w:ascii="宋体" w:hAnsi="宋体" w:eastAsia="宋体" w:cs="宋体"/>
          <w:kern w:val="0"/>
          <w:sz w:val="24"/>
          <w:szCs w:val="24"/>
          <w:highlight w:val="none"/>
          <w:lang w:eastAsia="zh-CN"/>
        </w:rPr>
        <w:t>临床数据中心</w:t>
      </w:r>
      <w:r>
        <w:rPr>
          <w:rFonts w:hint="eastAsia" w:ascii="宋体" w:hAnsi="宋体" w:eastAsia="宋体" w:cs="宋体"/>
          <w:kern w:val="0"/>
          <w:sz w:val="24"/>
          <w:szCs w:val="24"/>
          <w:highlight w:val="none"/>
          <w:lang w:val="en-US" w:eastAsia="zh-CN"/>
        </w:rPr>
        <w:t>建设</w:t>
      </w:r>
      <w:r>
        <w:rPr>
          <w:rFonts w:hint="eastAsia" w:ascii="宋体" w:hAnsi="宋体" w:eastAsia="宋体" w:cs="宋体"/>
          <w:kern w:val="0"/>
          <w:sz w:val="24"/>
          <w:szCs w:val="24"/>
          <w:lang w:eastAsia="zh-CN"/>
        </w:rPr>
        <w:t>，供应商应根据招标文件所提出的技术规格和服务要求，以先进的技术、优良的服务和优惠的价格，充分显示自己的竞争实力。</w:t>
      </w:r>
    </w:p>
    <w:p w14:paraId="6D782FF7">
      <w:pPr>
        <w:widowControl/>
        <w:autoSpaceDE/>
        <w:autoSpaceDN/>
        <w:spacing w:before="0" w:after="0" w:line="360" w:lineRule="auto"/>
        <w:ind w:firstLine="480"/>
        <w:jc w:val="left"/>
        <w:rPr>
          <w:rFonts w:hint="eastAsia" w:ascii="宋体" w:hAnsi="宋体" w:eastAsia="宋体" w:cs="Times New Roman"/>
          <w:kern w:val="0"/>
          <w:sz w:val="24"/>
          <w:szCs w:val="22"/>
          <w:lang w:eastAsia="zh-CN"/>
        </w:rPr>
      </w:pPr>
      <w:r>
        <w:rPr>
          <w:rFonts w:hint="eastAsia" w:ascii="宋体" w:hAnsi="宋体" w:eastAsia="宋体" w:cs="Times New Roman"/>
          <w:kern w:val="0"/>
          <w:sz w:val="24"/>
          <w:szCs w:val="22"/>
          <w:lang w:val="en-US" w:eastAsia="en-US"/>
        </w:rPr>
        <w:t>建设目标</w:t>
      </w:r>
      <w:r>
        <w:rPr>
          <w:rFonts w:hint="eastAsia" w:ascii="宋体" w:hAnsi="宋体" w:eastAsia="宋体" w:cs="Times New Roman"/>
          <w:kern w:val="0"/>
          <w:sz w:val="24"/>
          <w:szCs w:val="22"/>
          <w:lang w:val="en-US" w:eastAsia="zh-CN"/>
        </w:rPr>
        <w:t>：</w:t>
      </w:r>
    </w:p>
    <w:p w14:paraId="6BC7B158">
      <w:pPr>
        <w:widowControl/>
        <w:autoSpaceDE/>
        <w:autoSpaceDN/>
        <w:spacing w:before="0" w:after="0" w:line="360" w:lineRule="auto"/>
        <w:ind w:firstLine="480"/>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1. 建立统一临床数据中心，整合HIS、EMR、LIS、PACS等系统数据，实现</w:t>
      </w:r>
      <w:r>
        <w:rPr>
          <w:rFonts w:hint="eastAsia" w:ascii="宋体" w:hAnsi="宋体" w:eastAsia="宋体" w:cs="Times New Roman"/>
          <w:kern w:val="0"/>
          <w:sz w:val="24"/>
          <w:szCs w:val="22"/>
          <w:lang w:val="en-US" w:eastAsia="en-US" w:bidi="ar-SA"/>
        </w:rPr>
        <w:t>统一、标准、高质量、安全可控的临床数据资源</w:t>
      </w:r>
      <w:r>
        <w:rPr>
          <w:rFonts w:hint="eastAsia" w:ascii="宋体" w:hAnsi="宋体" w:eastAsia="宋体" w:cs="Times New Roman"/>
          <w:kern w:val="0"/>
          <w:sz w:val="24"/>
          <w:szCs w:val="22"/>
          <w:lang w:val="en-US" w:eastAsia="zh-CN" w:bidi="ar-SA"/>
        </w:rPr>
        <w:t>，便于管理与共享。</w:t>
      </w:r>
    </w:p>
    <w:p w14:paraId="781A0360">
      <w:pPr>
        <w:widowControl/>
        <w:autoSpaceDE/>
        <w:autoSpaceDN/>
        <w:spacing w:before="0" w:after="0" w:line="360" w:lineRule="auto"/>
        <w:ind w:firstLine="480"/>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2. 构建患者360全息视图，以时间轴展示患者全周期诊疗信息。</w:t>
      </w:r>
    </w:p>
    <w:p w14:paraId="6A1668B4">
      <w:pPr>
        <w:widowControl/>
        <w:autoSpaceDE/>
        <w:autoSpaceDN/>
        <w:spacing w:before="0" w:after="0" w:line="360" w:lineRule="auto"/>
        <w:ind w:firstLine="480"/>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3. 建设临床辅助决策支持系统（CDSS），提供诊断、治疗、预警智能辅助。</w:t>
      </w:r>
    </w:p>
    <w:p w14:paraId="3B358459">
      <w:pPr>
        <w:widowControl/>
        <w:autoSpaceDE/>
        <w:autoSpaceDN/>
        <w:spacing w:before="0" w:after="0" w:line="360" w:lineRule="auto"/>
        <w:ind w:firstLine="480"/>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4. 建立完整性、有效性、准确性、一致性、及时性、唯一性六维数据质量管控体系，实现异常数据闭环处理。</w:t>
      </w:r>
    </w:p>
    <w:p w14:paraId="0AA10CF8">
      <w:pPr>
        <w:widowControl/>
        <w:autoSpaceDE/>
        <w:autoSpaceDN/>
        <w:spacing w:before="0" w:after="0" w:line="360" w:lineRule="auto"/>
        <w:ind w:firstLine="480"/>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5. 实现统一用户管理与单点登录，支持多因子身份认证。</w:t>
      </w:r>
    </w:p>
    <w:p w14:paraId="64E7121F">
      <w:pPr>
        <w:widowControl/>
        <w:autoSpaceDE/>
        <w:autoSpaceDN/>
        <w:spacing w:before="0" w:after="0" w:line="360" w:lineRule="auto"/>
        <w:ind w:firstLine="480"/>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6. 符合国家卫健委互联互通标准化成熟度测评要求，至少满足电子病历系统应用水平分级评价5级。</w:t>
      </w:r>
    </w:p>
    <w:p w14:paraId="63C7D728">
      <w:pPr>
        <w:widowControl/>
        <w:autoSpaceDE/>
        <w:autoSpaceDN/>
        <w:spacing w:before="0" w:after="0" w:line="360" w:lineRule="auto"/>
        <w:ind w:firstLine="480"/>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7. 采用先进成熟架构，满足未来五年使用需求，具备良好可扩展性。</w:t>
      </w:r>
    </w:p>
    <w:p w14:paraId="488EBAE5">
      <w:pPr>
        <w:autoSpaceDE w:val="0"/>
        <w:autoSpaceDN w:val="0"/>
        <w:spacing w:line="486" w:lineRule="exact"/>
        <w:ind w:firstLine="241" w:firstLineChars="100"/>
        <w:contextualSpacing/>
        <w:jc w:val="left"/>
        <w:rPr>
          <w:rFonts w:ascii="宋体" w:hAnsi="宋体" w:eastAsia="宋体" w:cs="宋体"/>
          <w:kern w:val="0"/>
          <w:sz w:val="24"/>
          <w:szCs w:val="24"/>
          <w:lang w:eastAsia="zh-CN"/>
        </w:rPr>
      </w:pPr>
      <w:r>
        <w:rPr>
          <w:rFonts w:hint="eastAsia" w:ascii="宋体" w:hAnsi="宋体" w:eastAsia="宋体" w:cs="宋体"/>
          <w:b/>
          <w:bCs/>
          <w:kern w:val="0"/>
          <w:sz w:val="24"/>
          <w:szCs w:val="24"/>
          <w:lang w:eastAsia="zh-CN"/>
        </w:rPr>
        <w:t>1.2 需执行的国家相关标准、行业标准、地方标准或者其他标准、规范</w:t>
      </w:r>
    </w:p>
    <w:p w14:paraId="518D512C">
      <w:pPr>
        <w:autoSpaceDE w:val="0"/>
        <w:autoSpaceDN w:val="0"/>
        <w:spacing w:line="486" w:lineRule="exact"/>
        <w:ind w:firstLine="240" w:firstLineChars="100"/>
        <w:contextualSpacing/>
        <w:jc w:val="left"/>
        <w:rPr>
          <w:rFonts w:hint="eastAsia" w:ascii="宋体" w:hAnsi="宋体" w:eastAsia="宋体" w:cs="宋体"/>
          <w:kern w:val="0"/>
          <w:sz w:val="24"/>
          <w:szCs w:val="24"/>
          <w:highlight w:val="none"/>
          <w:lang w:val="en-US" w:eastAsia="zh-CN"/>
        </w:rPr>
      </w:pPr>
      <w:r>
        <w:rPr>
          <w:rFonts w:hint="eastAsia" w:ascii="宋体" w:hAnsi="宋体" w:eastAsia="宋体" w:cs="宋体"/>
          <w:b w:val="0"/>
          <w:bCs w:val="0"/>
          <w:color w:val="auto"/>
          <w:kern w:val="0"/>
          <w:sz w:val="24"/>
          <w:szCs w:val="24"/>
          <w:highlight w:val="none"/>
          <w:lang w:eastAsia="zh-CN"/>
        </w:rPr>
        <w:t>供应商应保证所提供的服务符合国家相关法律法规的要求。</w:t>
      </w:r>
    </w:p>
    <w:p w14:paraId="570C9B1B">
      <w:pPr>
        <w:autoSpaceDE w:val="0"/>
        <w:autoSpaceDN w:val="0"/>
        <w:spacing w:line="486" w:lineRule="exact"/>
        <w:ind w:firstLine="241" w:firstLineChars="100"/>
        <w:contextualSpacing/>
        <w:jc w:val="left"/>
        <w:rPr>
          <w:rFonts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2.服务内容及要求</w:t>
      </w:r>
    </w:p>
    <w:p w14:paraId="7796B2D8">
      <w:pPr>
        <w:widowControl/>
        <w:autoSpaceDE w:val="0"/>
        <w:autoSpaceDN w:val="0"/>
        <w:spacing w:line="486" w:lineRule="exact"/>
        <w:ind w:left="-1" w:firstLine="241" w:firstLineChars="100"/>
        <w:contextualSpacing/>
        <w:jc w:val="left"/>
        <w:rPr>
          <w:rFonts w:ascii="宋体" w:hAnsi="宋体" w:eastAsia="宋体" w:cs="宋体"/>
          <w:kern w:val="0"/>
          <w:sz w:val="22"/>
          <w:szCs w:val="22"/>
          <w:lang w:eastAsia="en-US"/>
        </w:rPr>
      </w:pPr>
      <w:r>
        <w:rPr>
          <w:rFonts w:hint="eastAsia" w:ascii="宋体" w:hAnsi="宋体" w:eastAsia="宋体" w:cs="宋体"/>
          <w:b/>
          <w:bCs/>
          <w:kern w:val="0"/>
          <w:sz w:val="24"/>
          <w:szCs w:val="24"/>
          <w:lang w:eastAsia="zh-CN"/>
        </w:rPr>
        <w:t>2.1 采购标的需满足的质量、安全、技术规格、物理特性等要求；</w:t>
      </w:r>
    </w:p>
    <w:p w14:paraId="0FBBEBD1">
      <w:pPr>
        <w:keepNext/>
        <w:keepLines/>
        <w:autoSpaceDE w:val="0"/>
        <w:autoSpaceDN w:val="0"/>
        <w:spacing w:before="280" w:after="120" w:line="360" w:lineRule="auto"/>
        <w:ind w:firstLine="0"/>
        <w:jc w:val="left"/>
        <w:outlineLvl w:val="0"/>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2.1.1</w:t>
      </w:r>
      <w:r>
        <w:rPr>
          <w:rFonts w:hint="eastAsia" w:ascii="宋体" w:hAnsi="宋体" w:eastAsia="宋体" w:cs="宋体"/>
          <w:b/>
          <w:bCs/>
          <w:color w:val="000000"/>
          <w:kern w:val="0"/>
          <w:sz w:val="24"/>
          <w:szCs w:val="24"/>
          <w:lang w:val="en-US" w:eastAsia="en-US" w:bidi="ar-SA"/>
        </w:rPr>
        <w:t>采购需求汇总表</w:t>
      </w:r>
    </w:p>
    <w:tbl>
      <w:tblPr>
        <w:tblStyle w:val="3"/>
        <w:tblW w:w="85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878"/>
        <w:gridCol w:w="1940"/>
        <w:gridCol w:w="1878"/>
      </w:tblGrid>
      <w:tr w14:paraId="625B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D9D9D9"/>
          </w:tcPr>
          <w:p w14:paraId="69EFBF53">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kern w:val="2"/>
                <w:sz w:val="24"/>
                <w:szCs w:val="24"/>
                <w:lang w:eastAsia="en-US"/>
              </w:rPr>
              <w:t>序号</w:t>
            </w:r>
          </w:p>
        </w:tc>
        <w:tc>
          <w:tcPr>
            <w:tcW w:w="3878" w:type="dxa"/>
            <w:shd w:val="clear" w:color="auto" w:fill="D9D9D9"/>
          </w:tcPr>
          <w:p w14:paraId="44DA72BC">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kern w:val="2"/>
                <w:sz w:val="24"/>
                <w:szCs w:val="24"/>
                <w:lang w:eastAsia="en-US"/>
              </w:rPr>
              <w:t>采购内容</w:t>
            </w:r>
          </w:p>
        </w:tc>
        <w:tc>
          <w:tcPr>
            <w:tcW w:w="1940" w:type="dxa"/>
            <w:shd w:val="clear" w:color="auto" w:fill="D9D9D9"/>
          </w:tcPr>
          <w:p w14:paraId="2FC4CC8C">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kern w:val="2"/>
                <w:sz w:val="24"/>
                <w:szCs w:val="24"/>
                <w:lang w:eastAsia="en-US"/>
              </w:rPr>
              <w:t>单位</w:t>
            </w:r>
          </w:p>
        </w:tc>
        <w:tc>
          <w:tcPr>
            <w:tcW w:w="1878" w:type="dxa"/>
            <w:shd w:val="clear" w:color="auto" w:fill="D9D9D9"/>
          </w:tcPr>
          <w:p w14:paraId="2BE78225">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kern w:val="2"/>
                <w:sz w:val="24"/>
                <w:szCs w:val="24"/>
                <w:lang w:eastAsia="en-US"/>
              </w:rPr>
              <w:t>数量</w:t>
            </w:r>
          </w:p>
        </w:tc>
      </w:tr>
      <w:tr w14:paraId="68FE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03396EA">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1</w:t>
            </w:r>
          </w:p>
        </w:tc>
        <w:tc>
          <w:tcPr>
            <w:tcW w:w="3878" w:type="dxa"/>
          </w:tcPr>
          <w:p w14:paraId="1E7C1412">
            <w:pPr>
              <w:widowControl/>
              <w:autoSpaceDE/>
              <w:autoSpaceDN/>
              <w:spacing w:before="0" w:after="0" w:line="276" w:lineRule="auto"/>
              <w:ind w:firstLine="0"/>
              <w:jc w:val="left"/>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数据中心基础平台</w:t>
            </w:r>
          </w:p>
        </w:tc>
        <w:tc>
          <w:tcPr>
            <w:tcW w:w="1940" w:type="dxa"/>
          </w:tcPr>
          <w:p w14:paraId="0863573C">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套</w:t>
            </w:r>
          </w:p>
        </w:tc>
        <w:tc>
          <w:tcPr>
            <w:tcW w:w="1878" w:type="dxa"/>
          </w:tcPr>
          <w:p w14:paraId="6E162C2B">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1</w:t>
            </w:r>
          </w:p>
        </w:tc>
      </w:tr>
      <w:tr w14:paraId="4B87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274644D">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2</w:t>
            </w:r>
          </w:p>
        </w:tc>
        <w:tc>
          <w:tcPr>
            <w:tcW w:w="3878" w:type="dxa"/>
          </w:tcPr>
          <w:p w14:paraId="6F7A7B28">
            <w:pPr>
              <w:widowControl/>
              <w:autoSpaceDE/>
              <w:autoSpaceDN/>
              <w:spacing w:before="0" w:after="0" w:line="276" w:lineRule="auto"/>
              <w:ind w:firstLine="0"/>
              <w:jc w:val="left"/>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临床数据中心（CDR）</w:t>
            </w:r>
          </w:p>
        </w:tc>
        <w:tc>
          <w:tcPr>
            <w:tcW w:w="1940" w:type="dxa"/>
          </w:tcPr>
          <w:p w14:paraId="4B21DE08">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套</w:t>
            </w:r>
          </w:p>
        </w:tc>
        <w:tc>
          <w:tcPr>
            <w:tcW w:w="1878" w:type="dxa"/>
          </w:tcPr>
          <w:p w14:paraId="01B6EB36">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1</w:t>
            </w:r>
          </w:p>
        </w:tc>
      </w:tr>
      <w:tr w14:paraId="1C8D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19325AF">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3</w:t>
            </w:r>
          </w:p>
        </w:tc>
        <w:tc>
          <w:tcPr>
            <w:tcW w:w="3878" w:type="dxa"/>
          </w:tcPr>
          <w:p w14:paraId="3804685A">
            <w:pPr>
              <w:widowControl/>
              <w:autoSpaceDE/>
              <w:autoSpaceDN/>
              <w:spacing w:before="0" w:after="0" w:line="276" w:lineRule="auto"/>
              <w:ind w:firstLine="0"/>
              <w:jc w:val="left"/>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患者360视图</w:t>
            </w:r>
          </w:p>
        </w:tc>
        <w:tc>
          <w:tcPr>
            <w:tcW w:w="1940" w:type="dxa"/>
          </w:tcPr>
          <w:p w14:paraId="4468A4C0">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套</w:t>
            </w:r>
          </w:p>
        </w:tc>
        <w:tc>
          <w:tcPr>
            <w:tcW w:w="1878" w:type="dxa"/>
          </w:tcPr>
          <w:p w14:paraId="4A648C10">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1</w:t>
            </w:r>
          </w:p>
        </w:tc>
      </w:tr>
      <w:tr w14:paraId="5474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E123369">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4</w:t>
            </w:r>
          </w:p>
        </w:tc>
        <w:tc>
          <w:tcPr>
            <w:tcW w:w="3878" w:type="dxa"/>
          </w:tcPr>
          <w:p w14:paraId="196ADFC5">
            <w:pPr>
              <w:widowControl/>
              <w:autoSpaceDE/>
              <w:autoSpaceDN/>
              <w:spacing w:before="0" w:after="0" w:line="276" w:lineRule="auto"/>
              <w:ind w:firstLine="0"/>
              <w:jc w:val="left"/>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统一用户管理与单点登录系统</w:t>
            </w:r>
          </w:p>
        </w:tc>
        <w:tc>
          <w:tcPr>
            <w:tcW w:w="1940" w:type="dxa"/>
          </w:tcPr>
          <w:p w14:paraId="0BA41707">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套</w:t>
            </w:r>
          </w:p>
        </w:tc>
        <w:tc>
          <w:tcPr>
            <w:tcW w:w="1878" w:type="dxa"/>
          </w:tcPr>
          <w:p w14:paraId="7EE9BAE3">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1</w:t>
            </w:r>
          </w:p>
        </w:tc>
      </w:tr>
      <w:tr w14:paraId="1AA4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0A1E152">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5</w:t>
            </w:r>
          </w:p>
        </w:tc>
        <w:tc>
          <w:tcPr>
            <w:tcW w:w="3878" w:type="dxa"/>
          </w:tcPr>
          <w:p w14:paraId="3B3097E0">
            <w:pPr>
              <w:widowControl/>
              <w:autoSpaceDE/>
              <w:autoSpaceDN/>
              <w:spacing w:before="0" w:after="0" w:line="276" w:lineRule="auto"/>
              <w:ind w:firstLine="0"/>
              <w:jc w:val="left"/>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临床辅助决策支持系统（CDSS）</w:t>
            </w:r>
          </w:p>
        </w:tc>
        <w:tc>
          <w:tcPr>
            <w:tcW w:w="1940" w:type="dxa"/>
          </w:tcPr>
          <w:p w14:paraId="408B03E0">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套</w:t>
            </w:r>
          </w:p>
        </w:tc>
        <w:tc>
          <w:tcPr>
            <w:tcW w:w="1878" w:type="dxa"/>
          </w:tcPr>
          <w:p w14:paraId="7C6D9DA7">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1</w:t>
            </w:r>
          </w:p>
        </w:tc>
      </w:tr>
      <w:tr w14:paraId="43B4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E943173">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6</w:t>
            </w:r>
          </w:p>
        </w:tc>
        <w:tc>
          <w:tcPr>
            <w:tcW w:w="3878" w:type="dxa"/>
          </w:tcPr>
          <w:p w14:paraId="434DF725">
            <w:pPr>
              <w:widowControl/>
              <w:autoSpaceDE/>
              <w:autoSpaceDN/>
              <w:spacing w:before="0" w:after="0" w:line="276" w:lineRule="auto"/>
              <w:ind w:firstLine="0"/>
              <w:jc w:val="left"/>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系统集成与接口对接</w:t>
            </w:r>
          </w:p>
        </w:tc>
        <w:tc>
          <w:tcPr>
            <w:tcW w:w="1940" w:type="dxa"/>
          </w:tcPr>
          <w:p w14:paraId="6697667E">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项</w:t>
            </w:r>
          </w:p>
        </w:tc>
        <w:tc>
          <w:tcPr>
            <w:tcW w:w="1878" w:type="dxa"/>
          </w:tcPr>
          <w:p w14:paraId="02B2D75E">
            <w:pPr>
              <w:widowControl/>
              <w:autoSpaceDE/>
              <w:autoSpaceDN/>
              <w:spacing w:before="0" w:after="0" w:line="276" w:lineRule="auto"/>
              <w:ind w:firstLine="0"/>
              <w:jc w:val="center"/>
              <w:rPr>
                <w:rFonts w:hint="eastAsia" w:ascii="宋体" w:hAnsi="宋体" w:eastAsia="宋体" w:cs="宋体"/>
                <w:kern w:val="2"/>
                <w:sz w:val="24"/>
                <w:szCs w:val="24"/>
                <w:lang w:eastAsia="en-US"/>
              </w:rPr>
            </w:pPr>
            <w:r>
              <w:rPr>
                <w:rFonts w:hint="eastAsia" w:ascii="宋体" w:hAnsi="宋体" w:eastAsia="宋体" w:cs="宋体"/>
                <w:b w:val="0"/>
                <w:kern w:val="2"/>
                <w:sz w:val="24"/>
                <w:szCs w:val="24"/>
                <w:lang w:eastAsia="en-US"/>
              </w:rPr>
              <w:t>1</w:t>
            </w:r>
          </w:p>
        </w:tc>
      </w:tr>
    </w:tbl>
    <w:p w14:paraId="413B2534">
      <w:pPr>
        <w:keepNext/>
        <w:keepLines/>
        <w:pageBreakBefore w:val="0"/>
        <w:widowControl/>
        <w:kinsoku/>
        <w:wordWrap/>
        <w:overflowPunct/>
        <w:topLinePunct w:val="0"/>
        <w:autoSpaceDE/>
        <w:autoSpaceDN/>
        <w:bidi w:val="0"/>
        <w:adjustRightInd/>
        <w:snapToGrid/>
        <w:spacing w:before="157" w:beforeLines="50" w:after="0" w:line="360" w:lineRule="auto"/>
        <w:ind w:firstLine="0"/>
        <w:jc w:val="left"/>
        <w:textAlignment w:val="auto"/>
        <w:outlineLvl w:val="0"/>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2.1.2</w:t>
      </w:r>
      <w:r>
        <w:rPr>
          <w:rFonts w:hint="eastAsia" w:ascii="宋体" w:hAnsi="宋体" w:eastAsia="宋体" w:cs="宋体"/>
          <w:b/>
          <w:bCs/>
          <w:color w:val="000000"/>
          <w:kern w:val="0"/>
          <w:sz w:val="24"/>
          <w:szCs w:val="24"/>
          <w:lang w:val="en-US" w:eastAsia="en-US" w:bidi="ar-SA"/>
        </w:rPr>
        <w:t>总体技术要求</w:t>
      </w:r>
    </w:p>
    <w:p w14:paraId="7D8778F7">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2.1.2.1</w:t>
      </w:r>
      <w:r>
        <w:rPr>
          <w:rFonts w:hint="eastAsia" w:ascii="宋体" w:hAnsi="宋体" w:eastAsia="宋体" w:cs="宋体"/>
          <w:b/>
          <w:bCs/>
          <w:color w:val="000000"/>
          <w:kern w:val="0"/>
          <w:sz w:val="24"/>
          <w:szCs w:val="24"/>
          <w:lang w:val="en-US" w:eastAsia="en-US" w:bidi="ar-SA"/>
        </w:rPr>
        <w:t>总体要求</w:t>
      </w:r>
    </w:p>
    <w:p w14:paraId="5929B789">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1. 采用医疗信息领域先进成熟、国内大型医院广泛应用的技术路线。</w:t>
      </w:r>
    </w:p>
    <w:p w14:paraId="72FACBE9">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2. 符合医院整体发展规划，满足未来五年使用需求，兼顾当前需要与前瞻性，可合理增补扩建。</w:t>
      </w:r>
    </w:p>
    <w:p w14:paraId="671F4453">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3. 设计完整合理，海量数据的存储、处理、传输、备份等满足可靠、高效、安全要求。</w:t>
      </w:r>
    </w:p>
    <w:p w14:paraId="0C306DC4">
      <w:pPr>
        <w:pageBreakBefore w:val="0"/>
        <w:widowControl/>
        <w:kinsoku/>
        <w:wordWrap/>
        <w:overflowPunct/>
        <w:topLinePunct w:val="0"/>
        <w:autoSpaceDE/>
        <w:autoSpaceDN/>
        <w:bidi w:val="0"/>
        <w:adjustRightInd/>
        <w:snapToGrid/>
        <w:spacing w:line="360" w:lineRule="auto"/>
        <w:ind w:firstLine="480"/>
        <w:jc w:val="left"/>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 投标人须承诺所投软件可以与国产化软硬件适配，并出具承诺函。</w:t>
      </w:r>
    </w:p>
    <w:p w14:paraId="60A99D92">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2.1.2.2</w:t>
      </w:r>
      <w:r>
        <w:rPr>
          <w:rFonts w:hint="eastAsia" w:ascii="宋体" w:hAnsi="宋体" w:eastAsia="宋体" w:cs="宋体"/>
          <w:b/>
          <w:bCs/>
          <w:color w:val="000000"/>
          <w:kern w:val="0"/>
          <w:sz w:val="24"/>
          <w:szCs w:val="24"/>
          <w:lang w:val="en-US" w:eastAsia="en-US" w:bidi="ar-SA"/>
        </w:rPr>
        <w:t>设计原则</w:t>
      </w:r>
    </w:p>
    <w:p w14:paraId="16FF2159">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1. 以人为本、实用易用：优化业务流程，全中文人性化界面，内置操作说明，菜单层级不超过三级，支持界面自定义与拖拽生成报表。</w:t>
      </w:r>
    </w:p>
    <w:p w14:paraId="3E6C8CBF">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2. 标准化：符合互联互通标准化成熟度测评要求，</w:t>
      </w:r>
      <w:r>
        <w:rPr>
          <w:rFonts w:hint="eastAsia" w:ascii="宋体" w:hAnsi="宋体" w:eastAsia="宋体" w:cs="Times New Roman"/>
          <w:kern w:val="0"/>
          <w:sz w:val="24"/>
          <w:szCs w:val="22"/>
          <w:lang w:val="en-US" w:eastAsia="en-US" w:bidi="ar-SA"/>
        </w:rPr>
        <w:t>采用国标、行标统一数据元、数据集</w:t>
      </w:r>
      <w:r>
        <w:rPr>
          <w:rFonts w:hint="eastAsia" w:ascii="宋体" w:hAnsi="宋体" w:eastAsia="宋体" w:cs="Times New Roman"/>
          <w:kern w:val="0"/>
          <w:sz w:val="24"/>
          <w:szCs w:val="22"/>
          <w:lang w:val="en-US" w:eastAsia="zh-CN" w:bidi="ar-SA"/>
        </w:rPr>
        <w:t>、</w:t>
      </w:r>
      <w:r>
        <w:rPr>
          <w:rFonts w:hint="eastAsia" w:ascii="宋体" w:hAnsi="宋体" w:eastAsia="宋体" w:cs="Times New Roman"/>
          <w:kern w:val="0"/>
          <w:sz w:val="24"/>
          <w:szCs w:val="22"/>
          <w:lang w:val="en-US" w:eastAsia="en-US" w:bidi="ar-SA"/>
        </w:rPr>
        <w:t>术语编码</w:t>
      </w:r>
      <w:r>
        <w:rPr>
          <w:rFonts w:hint="eastAsia" w:ascii="宋体" w:hAnsi="宋体" w:eastAsia="宋体" w:cs="Times New Roman"/>
          <w:kern w:val="0"/>
          <w:sz w:val="24"/>
          <w:szCs w:val="22"/>
          <w:lang w:val="en-US" w:eastAsia="zh-CN" w:bidi="ar-SA"/>
        </w:rPr>
        <w:t>，</w:t>
      </w:r>
      <w:r>
        <w:rPr>
          <w:rFonts w:hint="eastAsia" w:ascii="宋体" w:hAnsi="宋体" w:eastAsia="宋体" w:cs="宋体"/>
          <w:kern w:val="0"/>
          <w:sz w:val="24"/>
          <w:szCs w:val="24"/>
          <w:lang w:eastAsia="en-US"/>
        </w:rPr>
        <w:t>支持HL7、ICD-10/11、TCD、SNOMED、DICOM及结构化电子病历XML。</w:t>
      </w:r>
    </w:p>
    <w:p w14:paraId="3EF14701">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3. 先进成熟、可扩展：采用多层框架和模块化设计，支持负载均衡与服务能力线性扩展，模块可拆接组合，预留函数、动态库、中间件、HL7等接口。</w:t>
      </w:r>
    </w:p>
    <w:p w14:paraId="3E743B1E">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4. 可定制、可维护：采用组件技术，支持不修改主程序的客户化定制；免客户端维护，服务器端提供统一管理工具及清晰错误提示。</w:t>
      </w:r>
    </w:p>
    <w:p w14:paraId="3CE4A51F">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5. 安全可靠：7×24小时连续运行，具备故障恢复与应急措施；实行层级授权和多层级电子签名，符合电子签名法和CA认证要求，超级用户及高危操作留痕，开发遵循ISO9001和CMMI规范。</w:t>
      </w:r>
    </w:p>
    <w:p w14:paraId="043486C5">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2.1.2.3</w:t>
      </w:r>
      <w:r>
        <w:rPr>
          <w:rFonts w:hint="eastAsia" w:ascii="宋体" w:hAnsi="宋体" w:eastAsia="宋体" w:cs="宋体"/>
          <w:b/>
          <w:bCs/>
          <w:color w:val="000000"/>
          <w:kern w:val="0"/>
          <w:sz w:val="24"/>
          <w:szCs w:val="24"/>
          <w:lang w:val="en-US" w:eastAsia="en-US" w:bidi="ar-SA"/>
        </w:rPr>
        <w:t>架构要求</w:t>
      </w:r>
    </w:p>
    <w:p w14:paraId="063826AF">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1. 基于医院信息平台，通过ETL工具完成各系统临床数据抽取、清洗、转换、装载和分类存储；患者视图涵盖就诊、诊断、医嘱、用药、检查检验、手术、输血、会诊、护理、电子病历等全部临床信息，支持角色权限管控和跨院区调阅。</w:t>
      </w:r>
    </w:p>
    <w:p w14:paraId="5713D6E6">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2. 数据架构分底层数据存储、临床数据中心加工处理、顶层数据展现三层，投标人应提供技术架构设计图。</w:t>
      </w:r>
    </w:p>
    <w:p w14:paraId="2D9D6577">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3. 数据经采集、质控、标化后形成临床数据库，为各应用系统提供查询、校验、共享等数据服务。</w:t>
      </w:r>
    </w:p>
    <w:p w14:paraId="55DE69FF">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2.1.2.4</w:t>
      </w:r>
      <w:r>
        <w:rPr>
          <w:rFonts w:hint="eastAsia" w:ascii="宋体" w:hAnsi="宋体" w:eastAsia="宋体" w:cs="宋体"/>
          <w:b/>
          <w:bCs/>
          <w:color w:val="000000"/>
          <w:kern w:val="0"/>
          <w:sz w:val="24"/>
          <w:szCs w:val="24"/>
          <w:lang w:val="en-US" w:eastAsia="en-US" w:bidi="ar-SA"/>
        </w:rPr>
        <w:t>标准规范要求</w:t>
      </w:r>
    </w:p>
    <w:p w14:paraId="75C98430">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系统建设应符合国家现行法律法规、网络安全等级保护及卫生行业标准规范，包括但不限于《医院信息系统基本功能规范》《电子病历系统功能规范》《医院信息互联互通标准化成熟度测评方案》、WS 445电子病历基本数据集、WS/T 447基于电子病历的医院信息平台技术规范、WS/T 500电子病历共享文档规范、WS/T 482卫生信息共享文档编制规范及卫生信息数据元系列标准，并遵循HL7、IHE、DICOM、IQIP等国际标准，满足网络安全法、数据安全法、个人信息保护法要求。</w:t>
      </w:r>
    </w:p>
    <w:p w14:paraId="5C2DC9CB">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2.1.2.5</w:t>
      </w:r>
      <w:r>
        <w:rPr>
          <w:rFonts w:hint="eastAsia" w:ascii="宋体" w:hAnsi="宋体" w:eastAsia="宋体" w:cs="宋体"/>
          <w:b/>
          <w:bCs/>
          <w:color w:val="000000"/>
          <w:kern w:val="0"/>
          <w:sz w:val="24"/>
          <w:szCs w:val="24"/>
          <w:lang w:val="en-US" w:eastAsia="en-US" w:bidi="ar-SA"/>
        </w:rPr>
        <w:t>操作系统与数据库要求</w:t>
      </w:r>
    </w:p>
    <w:p w14:paraId="2F79AD2D">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服务器可采用Unix、Linux、Windows等主流操作系统；数据库管理系统应支持主流软硬件平台、B/S架构、关系模型与分布式处理、主流网络协议及异种数据库访问。</w:t>
      </w:r>
    </w:p>
    <w:p w14:paraId="318B47DA">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2.1.2.6</w:t>
      </w:r>
      <w:r>
        <w:rPr>
          <w:rFonts w:hint="eastAsia" w:ascii="宋体" w:hAnsi="宋体" w:eastAsia="宋体" w:cs="宋体"/>
          <w:b/>
          <w:bCs/>
          <w:color w:val="000000"/>
          <w:kern w:val="0"/>
          <w:sz w:val="24"/>
          <w:szCs w:val="24"/>
          <w:lang w:val="en-US" w:eastAsia="en-US" w:bidi="ar-SA"/>
        </w:rPr>
        <w:t>平台总体要求</w:t>
      </w:r>
    </w:p>
    <w:p w14:paraId="52F0E58A">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平台以消息机制为核心，支撑集团化业务协同与统一管理；通过预制适配器集成.NET、JAVA等技术及ORACLE、Caché、SYBASE、SQL Server等数据库，支持定制化适配器；支持HL7、XML、TCP/IP、WEB SERVICES及复合应用开发，提供性能监视器及工作流、过程、规则管理工具。</w:t>
      </w:r>
    </w:p>
    <w:p w14:paraId="2EF17F1C">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2.1.2.7</w:t>
      </w:r>
      <w:r>
        <w:rPr>
          <w:rFonts w:hint="eastAsia" w:ascii="宋体" w:hAnsi="宋体" w:eastAsia="宋体" w:cs="宋体"/>
          <w:b/>
          <w:bCs/>
          <w:color w:val="000000"/>
          <w:kern w:val="0"/>
          <w:sz w:val="24"/>
          <w:szCs w:val="24"/>
          <w:lang w:val="en-US" w:eastAsia="en-US" w:bidi="ar-SA"/>
        </w:rPr>
        <w:t>非功能性技术要求</w:t>
      </w:r>
    </w:p>
    <w:p w14:paraId="31A4ABA7">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★1. 系统性能：支持至少并发300用户，平均请求响应时间≤1秒。</w:t>
      </w:r>
    </w:p>
    <w:p w14:paraId="3BA81343">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2. 采用多层应用架构，支持IE8及以上、Chrome、Firefox、Safari等主流浏览器。</w:t>
      </w:r>
    </w:p>
    <w:p w14:paraId="5F4EEC4B">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3. 与HIS、EMR、LIS、RIS等系统无缝集成与数据共享。</w:t>
      </w:r>
    </w:p>
    <w:p w14:paraId="44D35C22">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4. 满足网络安全法、数据安全法、个人信息保护法要求，落实网络安全等级保护制度。</w:t>
      </w:r>
    </w:p>
    <w:p w14:paraId="71764EA4">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5. 留存审计日志，支持使用情况溯源评价。</w:t>
      </w:r>
    </w:p>
    <w:p w14:paraId="5E402530">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★6.本项目建设完成后，系统功能、数据集成、知识库、决策支持能力</w:t>
      </w:r>
      <w:r>
        <w:rPr>
          <w:rFonts w:hint="eastAsia" w:ascii="宋体" w:hAnsi="宋体" w:eastAsia="宋体" w:cs="宋体"/>
          <w:kern w:val="0"/>
          <w:sz w:val="24"/>
          <w:szCs w:val="24"/>
          <w:lang w:val="en-US" w:eastAsia="zh-CN"/>
        </w:rPr>
        <w:t>等</w:t>
      </w:r>
      <w:r>
        <w:rPr>
          <w:rFonts w:hint="eastAsia" w:ascii="宋体" w:hAnsi="宋体" w:eastAsia="宋体" w:cs="宋体"/>
          <w:kern w:val="0"/>
          <w:sz w:val="24"/>
          <w:szCs w:val="24"/>
          <w:lang w:eastAsia="en-US"/>
        </w:rPr>
        <w:t>须满足电子病历系统应用水平分级评价5 级的要求。</w:t>
      </w:r>
    </w:p>
    <w:p w14:paraId="7FEECB5C">
      <w:pPr>
        <w:pageBreakBefore w:val="0"/>
        <w:widowControl/>
        <w:kinsoku/>
        <w:wordWrap/>
        <w:overflowPunct/>
        <w:topLinePunct w:val="0"/>
        <w:autoSpaceDE/>
        <w:autoSpaceDN/>
        <w:bidi w:val="0"/>
        <w:adjustRightInd/>
        <w:snapToGrid/>
        <w:spacing w:line="360" w:lineRule="auto"/>
        <w:ind w:firstLine="480"/>
        <w:jc w:val="left"/>
        <w:textAlignment w:val="auto"/>
        <w:outlineLvl w:val="0"/>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2.1.3</w:t>
      </w:r>
      <w:r>
        <w:rPr>
          <w:rFonts w:hint="eastAsia" w:ascii="宋体" w:hAnsi="宋体" w:eastAsia="宋体" w:cs="宋体"/>
          <w:b/>
          <w:bCs/>
          <w:color w:val="000000"/>
          <w:kern w:val="0"/>
          <w:sz w:val="24"/>
          <w:szCs w:val="24"/>
          <w:lang w:val="en-US" w:eastAsia="en-US" w:bidi="ar-SA"/>
        </w:rPr>
        <w:t>详细功能需求</w:t>
      </w:r>
    </w:p>
    <w:p w14:paraId="1953B0FC">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2.1.3.1</w:t>
      </w:r>
      <w:r>
        <w:rPr>
          <w:rFonts w:hint="eastAsia" w:ascii="宋体" w:hAnsi="宋体" w:eastAsia="宋体" w:cs="宋体"/>
          <w:b/>
          <w:bCs/>
          <w:color w:val="000000"/>
          <w:kern w:val="0"/>
          <w:sz w:val="24"/>
          <w:szCs w:val="24"/>
          <w:lang w:val="en-US" w:eastAsia="en-US" w:bidi="ar-SA"/>
        </w:rPr>
        <w:t>数据中心基础平台</w:t>
      </w:r>
    </w:p>
    <w:p w14:paraId="235557E0">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2"/>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en-US" w:bidi="ar-SA"/>
        </w:rPr>
        <w:t>1</w:t>
      </w:r>
      <w:r>
        <w:rPr>
          <w:rFonts w:hint="eastAsia" w:ascii="宋体" w:hAnsi="宋体" w:eastAsia="宋体" w:cs="宋体"/>
          <w:kern w:val="0"/>
          <w:sz w:val="24"/>
          <w:szCs w:val="24"/>
          <w:lang w:val="en-US" w:eastAsia="zh-CN" w:bidi="ar-SA"/>
        </w:rPr>
        <w:t>）</w:t>
      </w:r>
      <w:r>
        <w:rPr>
          <w:rFonts w:hint="eastAsia" w:ascii="宋体" w:hAnsi="宋体" w:eastAsia="宋体" w:cs="宋体"/>
          <w:b/>
          <w:bCs/>
          <w:color w:val="000000"/>
          <w:kern w:val="0"/>
          <w:sz w:val="24"/>
          <w:szCs w:val="24"/>
          <w:lang w:val="en-US" w:eastAsia="en-US" w:bidi="ar-SA"/>
        </w:rPr>
        <w:t>数据采集</w:t>
      </w:r>
    </w:p>
    <w:p w14:paraId="51BEB2C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1.1 数据采集组件库：应内置完善的组件管理体系，组件按功能角色划分为输入组件、转换组件和输出组件三大类。组件应支持“启用”和“发布”两个状态开关，只有同时开启的组件方可被流程设计器识别和调用。</w:t>
      </w:r>
    </w:p>
    <w:p w14:paraId="65115EA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eastAsia="en-US"/>
        </w:rPr>
      </w:pPr>
      <w:r>
        <w:rPr>
          <w:rFonts w:ascii="宋体" w:hAnsi="宋体" w:eastAsia="宋体" w:cs="宋体"/>
          <w:kern w:val="0"/>
          <w:sz w:val="24"/>
          <w:szCs w:val="24"/>
          <w:lang w:eastAsia="en-US"/>
        </w:rPr>
        <w:t>▲</w:t>
      </w:r>
      <w:r>
        <w:rPr>
          <w:rFonts w:hint="eastAsia" w:ascii="宋体" w:hAnsi="宋体" w:eastAsia="宋体" w:cs="宋体"/>
          <w:kern w:val="0"/>
          <w:sz w:val="24"/>
          <w:szCs w:val="24"/>
          <w:lang w:eastAsia="en-US"/>
        </w:rPr>
        <w:t>1.2 可视化流程设计器：应提供图形化、拖拽式的流程设计器，支持从组件库中拖拽输入、转换、输出三类组件并按顺序连接，形成完整的数据采集流水线。设计器应支持组件连接、删除、复制数量配置、发送模式（复制/分发）设定以及错误处理步骤绑定，实现低代码或无代码的采集流程构建。</w:t>
      </w:r>
    </w:p>
    <w:p w14:paraId="6569F370">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1.3 智能调度与多维度任务管理：应提供多层次的数据采集调度与管理机制，支持一次性执行测试、定时周期性调度，并支持预览任务的下次执行时间。调度任务</w:t>
      </w:r>
      <w:r>
        <w:rPr>
          <w:rFonts w:hint="eastAsia" w:ascii="宋体" w:hAnsi="宋体" w:eastAsia="宋体" w:cs="宋体"/>
          <w:kern w:val="0"/>
          <w:sz w:val="24"/>
          <w:szCs w:val="24"/>
          <w:lang w:val="en-US" w:eastAsia="zh-CN"/>
        </w:rPr>
        <w:t>支持</w:t>
      </w:r>
      <w:r>
        <w:rPr>
          <w:rFonts w:hint="eastAsia" w:ascii="宋体" w:hAnsi="宋体" w:eastAsia="宋体" w:cs="宋体"/>
          <w:kern w:val="0"/>
          <w:sz w:val="24"/>
          <w:szCs w:val="24"/>
          <w:lang w:eastAsia="en-US"/>
        </w:rPr>
        <w:t>关联多个采集流程。</w:t>
      </w:r>
    </w:p>
    <w:p w14:paraId="7E70CC6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1.4 数据批量采集：应提供专门的数据批量采集模块，支持大批量历史数据的按表管理和并发控制。用户应能够在任务详情中启动或停止单个表的采集，配置默认SQL（支持生成全表查询SQL并按需修改），同时能够查看采集日志，实现精细化的历史数据迁移控制。</w:t>
      </w:r>
    </w:p>
    <w:p w14:paraId="4F5FAC68">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w:t>
      </w:r>
      <w:r>
        <w:rPr>
          <w:rFonts w:hint="eastAsia" w:ascii="宋体" w:hAnsi="宋体" w:eastAsia="宋体" w:cs="宋体"/>
          <w:b/>
          <w:bCs/>
          <w:color w:val="000000"/>
          <w:kern w:val="0"/>
          <w:sz w:val="24"/>
          <w:szCs w:val="24"/>
          <w:lang w:val="en-US" w:eastAsia="en-US" w:bidi="ar-SA"/>
        </w:rPr>
        <w:t>2</w:t>
      </w:r>
      <w:r>
        <w:rPr>
          <w:rFonts w:hint="eastAsia" w:ascii="宋体" w:hAnsi="宋体" w:eastAsia="宋体" w:cs="宋体"/>
          <w:b/>
          <w:bCs/>
          <w:color w:val="000000"/>
          <w:kern w:val="0"/>
          <w:sz w:val="24"/>
          <w:szCs w:val="24"/>
          <w:lang w:val="en-US" w:eastAsia="zh-CN" w:bidi="ar-SA"/>
        </w:rPr>
        <w:t>）</w:t>
      </w:r>
      <w:r>
        <w:rPr>
          <w:rFonts w:hint="eastAsia" w:ascii="宋体" w:hAnsi="宋体" w:eastAsia="宋体" w:cs="宋体"/>
          <w:b/>
          <w:bCs/>
          <w:color w:val="000000"/>
          <w:kern w:val="0"/>
          <w:sz w:val="24"/>
          <w:szCs w:val="24"/>
          <w:lang w:val="en-US" w:eastAsia="en-US" w:bidi="ar-SA"/>
        </w:rPr>
        <w:t>数据质量</w:t>
      </w:r>
    </w:p>
    <w:p w14:paraId="27263C1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ascii="宋体" w:hAnsi="宋体" w:eastAsia="宋体" w:cs="宋体"/>
          <w:kern w:val="0"/>
          <w:sz w:val="24"/>
          <w:szCs w:val="24"/>
          <w:lang w:eastAsia="en-US"/>
        </w:rPr>
        <w:t>▲</w:t>
      </w:r>
      <w:r>
        <w:rPr>
          <w:rFonts w:hint="eastAsia" w:ascii="宋体" w:hAnsi="宋体" w:eastAsia="宋体" w:cs="宋体"/>
          <w:kern w:val="0"/>
          <w:sz w:val="24"/>
          <w:szCs w:val="24"/>
          <w:lang w:eastAsia="en-US"/>
        </w:rPr>
        <w:t>2.1 多维度质量特性与规则类型体系：应内置完整的数据质量特性分类体系，至少包含完整性、有效性、准确性、一致性、及时性、唯一性六大核心维度。系统支持在每个质量特性下自定义规则类型，包括但不限于不可为空类、长度约束类、格式规范类、值域约束类、语法约束类、外关联约束类等。规则类型支持配置处理方式（如流处理、SQL语句、自定义表达式）、是否启用等属性。</w:t>
      </w:r>
    </w:p>
    <w:p w14:paraId="5F84E42A">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2.2 规则校验类型：</w:t>
      </w:r>
      <w:r>
        <w:rPr>
          <w:rFonts w:hint="eastAsia" w:ascii="宋体" w:hAnsi="宋体" w:eastAsia="宋体" w:cs="宋体"/>
          <w:kern w:val="0"/>
          <w:sz w:val="24"/>
          <w:szCs w:val="24"/>
          <w:lang w:val="en-US" w:eastAsia="zh-CN"/>
        </w:rPr>
        <w:t>具有</w:t>
      </w:r>
      <w:r>
        <w:rPr>
          <w:rFonts w:hint="eastAsia" w:ascii="宋体" w:hAnsi="宋体" w:eastAsia="宋体" w:cs="宋体"/>
          <w:kern w:val="0"/>
          <w:sz w:val="24"/>
          <w:szCs w:val="24"/>
          <w:lang w:eastAsia="en-US"/>
        </w:rPr>
        <w:t>全面的规则校验能力，支持单表字段级校验（包括空值检查、格式校验、长度校验、值域校验、语法校验等），具备跨表关联校验能力，至少包括外关联约束类、跨表等值约束一致类、入库及时类（支持天/时/分/秒粒度配置）、单表值域逻辑约束类及跨表值域逻辑约束类（支持ICD编码等复杂值域范围的校验）。系统支持为每条规则独立配置启用状态。</w:t>
      </w:r>
    </w:p>
    <w:p w14:paraId="7CCF71C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2.3 数量核对与内容核对：</w:t>
      </w:r>
      <w:r>
        <w:rPr>
          <w:rFonts w:hint="eastAsia" w:ascii="宋体" w:hAnsi="宋体" w:eastAsia="宋体" w:cs="Times New Roman"/>
          <w:kern w:val="0"/>
          <w:sz w:val="24"/>
          <w:szCs w:val="22"/>
          <w:lang w:val="en-US" w:eastAsia="zh-CN" w:bidi="ar-SA"/>
        </w:rPr>
        <w:t>具备</w:t>
      </w:r>
      <w:r>
        <w:rPr>
          <w:rFonts w:hint="eastAsia" w:ascii="宋体" w:hAnsi="宋体" w:eastAsia="宋体" w:cs="宋体"/>
          <w:kern w:val="0"/>
          <w:sz w:val="24"/>
          <w:szCs w:val="24"/>
          <w:lang w:eastAsia="en-US"/>
        </w:rPr>
        <w:t>内置数量核对功能，支持通过比对源端和目标端的数据总条目数，快速发现数据的缺失或冗余问题；</w:t>
      </w:r>
      <w:r>
        <w:rPr>
          <w:rFonts w:hint="eastAsia" w:ascii="宋体" w:hAnsi="宋体" w:eastAsia="宋体" w:cs="Times New Roman"/>
          <w:kern w:val="0"/>
          <w:sz w:val="24"/>
          <w:szCs w:val="22"/>
          <w:lang w:val="en-US" w:eastAsia="zh-CN" w:bidi="ar-SA"/>
        </w:rPr>
        <w:t>具备</w:t>
      </w:r>
      <w:r>
        <w:rPr>
          <w:rFonts w:hint="eastAsia" w:ascii="宋体" w:hAnsi="宋体" w:eastAsia="宋体" w:cs="宋体"/>
          <w:kern w:val="0"/>
          <w:sz w:val="24"/>
          <w:szCs w:val="24"/>
          <w:lang w:eastAsia="en-US"/>
        </w:rPr>
        <w:t>内置内容核对功能，支持深入到字段级别，通过配置源端和目标端字段的关联关系，逐字段比对数据内容的一致性。两种核对方式均支持单表新增和批量新增模式。</w:t>
      </w:r>
    </w:p>
    <w:p w14:paraId="6F571873">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2.4 异常处理与流程闭环管理：</w:t>
      </w:r>
      <w:r>
        <w:rPr>
          <w:rFonts w:hint="eastAsia" w:ascii="宋体" w:hAnsi="宋体" w:eastAsia="宋体" w:cs="宋体"/>
          <w:kern w:val="0"/>
          <w:sz w:val="24"/>
          <w:szCs w:val="24"/>
          <w:lang w:val="en-US" w:eastAsia="zh-CN"/>
        </w:rPr>
        <w:t>通过</w:t>
      </w:r>
      <w:r>
        <w:rPr>
          <w:rFonts w:hint="eastAsia" w:ascii="宋体" w:hAnsi="宋体" w:eastAsia="宋体" w:cs="宋体"/>
          <w:kern w:val="0"/>
          <w:sz w:val="24"/>
          <w:szCs w:val="24"/>
          <w:lang w:eastAsia="en-US"/>
        </w:rPr>
        <w:t>异常数据集中处理模块，</w:t>
      </w:r>
      <w:r>
        <w:rPr>
          <w:rFonts w:hint="eastAsia" w:ascii="宋体" w:hAnsi="宋体" w:eastAsia="宋体" w:cs="宋体"/>
          <w:kern w:val="0"/>
          <w:sz w:val="24"/>
          <w:szCs w:val="24"/>
          <w:lang w:val="en-US" w:eastAsia="zh-CN"/>
        </w:rPr>
        <w:t>具备</w:t>
      </w:r>
      <w:r>
        <w:rPr>
          <w:rFonts w:hint="eastAsia" w:ascii="宋体" w:hAnsi="宋体" w:eastAsia="宋体" w:cs="宋体"/>
          <w:kern w:val="0"/>
          <w:sz w:val="24"/>
          <w:szCs w:val="24"/>
          <w:lang w:eastAsia="en-US"/>
        </w:rPr>
        <w:t>针对规则核对、数量核对和内容核对发现的异常数据进行统一管理与闭环处理</w:t>
      </w:r>
      <w:r>
        <w:rPr>
          <w:rFonts w:hint="eastAsia" w:ascii="宋体" w:hAnsi="宋体" w:eastAsia="宋体" w:cs="Times New Roman"/>
          <w:kern w:val="0"/>
          <w:sz w:val="24"/>
          <w:szCs w:val="22"/>
          <w:lang w:val="en-US" w:eastAsia="zh-CN" w:bidi="ar-SA"/>
        </w:rPr>
        <w:t>的能力</w:t>
      </w:r>
      <w:r>
        <w:rPr>
          <w:rFonts w:hint="eastAsia" w:ascii="宋体" w:hAnsi="宋体" w:eastAsia="宋体" w:cs="宋体"/>
          <w:kern w:val="0"/>
          <w:sz w:val="24"/>
          <w:szCs w:val="24"/>
          <w:lang w:eastAsia="en-US"/>
        </w:rPr>
        <w:t>。系统支持创建异常数据补传流程，配置源端数据源、目标端数据源及异常数据存储位置；</w:t>
      </w:r>
      <w:r>
        <w:rPr>
          <w:rFonts w:hint="eastAsia" w:ascii="宋体" w:hAnsi="宋体" w:eastAsia="宋体" w:cs="Times New Roman"/>
          <w:kern w:val="0"/>
          <w:sz w:val="24"/>
          <w:szCs w:val="22"/>
          <w:lang w:val="en-US" w:eastAsia="zh-CN" w:bidi="ar-SA"/>
        </w:rPr>
        <w:t>具有</w:t>
      </w:r>
      <w:r>
        <w:rPr>
          <w:rFonts w:hint="eastAsia" w:ascii="宋体" w:hAnsi="宋体" w:eastAsia="宋体" w:cs="宋体"/>
          <w:kern w:val="0"/>
          <w:sz w:val="24"/>
          <w:szCs w:val="24"/>
          <w:lang w:eastAsia="en-US"/>
        </w:rPr>
        <w:t>清晰的待处理表格视图，展示每张表的源目标表总量、缺失数量、冗余数量及核对状态，并支持跳转到采集系统进行流程设计编排。</w:t>
      </w:r>
    </w:p>
    <w:p w14:paraId="24E69A9D">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w:t>
      </w:r>
      <w:r>
        <w:rPr>
          <w:rFonts w:hint="eastAsia" w:ascii="宋体" w:hAnsi="宋体" w:eastAsia="宋体" w:cs="宋体"/>
          <w:b/>
          <w:bCs/>
          <w:color w:val="000000"/>
          <w:kern w:val="0"/>
          <w:sz w:val="24"/>
          <w:szCs w:val="24"/>
          <w:lang w:val="en-US" w:eastAsia="en-US" w:bidi="ar-SA"/>
        </w:rPr>
        <w:t>3</w:t>
      </w:r>
      <w:r>
        <w:rPr>
          <w:rFonts w:hint="eastAsia" w:ascii="宋体" w:hAnsi="宋体" w:eastAsia="宋体" w:cs="宋体"/>
          <w:b/>
          <w:bCs/>
          <w:color w:val="000000"/>
          <w:kern w:val="0"/>
          <w:sz w:val="24"/>
          <w:szCs w:val="24"/>
          <w:lang w:val="en-US" w:eastAsia="zh-CN" w:bidi="ar-SA"/>
        </w:rPr>
        <w:t>）</w:t>
      </w:r>
      <w:r>
        <w:rPr>
          <w:rFonts w:hint="eastAsia" w:ascii="宋体" w:hAnsi="宋体" w:eastAsia="宋体" w:cs="宋体"/>
          <w:b/>
          <w:bCs/>
          <w:color w:val="000000"/>
          <w:kern w:val="0"/>
          <w:sz w:val="24"/>
          <w:szCs w:val="24"/>
          <w:lang w:val="en-US" w:eastAsia="en-US" w:bidi="ar-SA"/>
        </w:rPr>
        <w:t>数据检索与数据服务</w:t>
      </w:r>
    </w:p>
    <w:p w14:paraId="06A26D0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ascii="宋体" w:hAnsi="宋体" w:eastAsia="宋体" w:cs="宋体"/>
          <w:kern w:val="0"/>
          <w:sz w:val="24"/>
          <w:szCs w:val="24"/>
          <w:lang w:eastAsia="en-US"/>
        </w:rPr>
        <w:t>▲</w:t>
      </w:r>
      <w:r>
        <w:rPr>
          <w:rFonts w:hint="eastAsia" w:ascii="宋体" w:hAnsi="宋体" w:eastAsia="宋体" w:cs="宋体"/>
          <w:kern w:val="0"/>
          <w:sz w:val="24"/>
          <w:szCs w:val="24"/>
          <w:lang w:eastAsia="en-US"/>
        </w:rPr>
        <w:t>3.1 多模式融合的查询构建体系：</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融合SQL语句编写、可拖拽视图、存储过程语句三种模式的查询构建体系。可拖拽视图模式提供完全图形化的交互环境，支持通过拖拽表节点、勾选字段、拖拽连线建立表关联（至少支持左连接、右连接、内连接、全连接四种关联方式），支持条件编辑和排序配置，自动生成完整的SQL语句；SQL语句模式应支持直接在编辑区手写或粘贴代码，配备条件参数编辑、格式化SQL、预览最大条数控制等调试工具；存储过程语句模式支持存储过程的编写、编译。</w:t>
      </w:r>
    </w:p>
    <w:p w14:paraId="17A3260B">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3.2 数据服务API构建体系：</w:t>
      </w:r>
      <w:r>
        <w:rPr>
          <w:rFonts w:hint="eastAsia" w:ascii="宋体" w:hAnsi="宋体" w:eastAsia="宋体" w:cs="宋体"/>
          <w:kern w:val="0"/>
          <w:sz w:val="24"/>
          <w:szCs w:val="24"/>
          <w:lang w:val="en-US" w:eastAsia="zh-CN"/>
        </w:rPr>
        <w:t>支持</w:t>
      </w:r>
      <w:r>
        <w:rPr>
          <w:rFonts w:hint="eastAsia" w:ascii="宋体" w:hAnsi="宋体" w:eastAsia="宋体" w:cs="宋体"/>
          <w:kern w:val="0"/>
          <w:sz w:val="24"/>
          <w:szCs w:val="24"/>
          <w:lang w:eastAsia="en-US"/>
        </w:rPr>
        <w:t>向导模式、SQL模式、存储过程模式三种数据服务API创建方式。向导模式支持通过勾选数据树中的表字段自动生成查询逻辑；SQL模式支持直接手写或拖拽生成SQL语句，支持问号占位符参数化查询功能；存储过程模式支持编写、编译及执行数据库存储过程函数。三种模式均支持完整的可视化配置流程，包括API基础信息配置、请求参数与分页参数设定等。</w:t>
      </w:r>
    </w:p>
    <w:p w14:paraId="617D3977">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2.1.3.2</w:t>
      </w:r>
      <w:r>
        <w:rPr>
          <w:rFonts w:hint="eastAsia" w:ascii="宋体" w:hAnsi="宋体" w:eastAsia="宋体" w:cs="宋体"/>
          <w:b/>
          <w:bCs/>
          <w:color w:val="000000"/>
          <w:kern w:val="0"/>
          <w:sz w:val="24"/>
          <w:szCs w:val="24"/>
          <w:lang w:val="en-US" w:eastAsia="en-US" w:bidi="ar-SA"/>
        </w:rPr>
        <w:t>临床数据中心（CDR）</w:t>
      </w:r>
    </w:p>
    <w:p w14:paraId="6179EB30">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w:t>
      </w:r>
      <w:r>
        <w:rPr>
          <w:rFonts w:hint="eastAsia" w:ascii="宋体" w:hAnsi="宋体" w:eastAsia="宋体" w:cs="宋体"/>
          <w:b/>
          <w:bCs/>
          <w:color w:val="000000"/>
          <w:kern w:val="0"/>
          <w:sz w:val="24"/>
          <w:szCs w:val="24"/>
          <w:lang w:val="en-US" w:eastAsia="en-US" w:bidi="ar-SA"/>
        </w:rPr>
        <w:t>1</w:t>
      </w:r>
      <w:r>
        <w:rPr>
          <w:rFonts w:hint="eastAsia" w:ascii="宋体" w:hAnsi="宋体" w:eastAsia="宋体" w:cs="宋体"/>
          <w:b/>
          <w:bCs/>
          <w:color w:val="000000"/>
          <w:kern w:val="0"/>
          <w:sz w:val="24"/>
          <w:szCs w:val="24"/>
          <w:lang w:val="en-US" w:eastAsia="zh-CN" w:bidi="ar-SA"/>
        </w:rPr>
        <w:t>）</w:t>
      </w:r>
      <w:r>
        <w:rPr>
          <w:rFonts w:hint="eastAsia" w:ascii="宋体" w:hAnsi="宋体" w:eastAsia="宋体" w:cs="宋体"/>
          <w:b/>
          <w:bCs/>
          <w:color w:val="000000"/>
          <w:kern w:val="0"/>
          <w:sz w:val="24"/>
          <w:szCs w:val="24"/>
          <w:lang w:val="en-US" w:eastAsia="en-US" w:bidi="ar-SA"/>
        </w:rPr>
        <w:t xml:space="preserve"> 数据建模</w:t>
      </w:r>
    </w:p>
    <w:p w14:paraId="7EA3F7C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1.1 元数据导入与模型自动生成：支持将已发布的临床数据中心元数据一键导入CDR模型列表，自动生成可配置的业务表/字典表模型。导入后，模型能够完整查看字段、数据类型、主键、索引等元数据详情，无需手动重复定义。</w:t>
      </w:r>
    </w:p>
    <w:p w14:paraId="13B188D3">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1.2 CDR模型自定义建表与管理：支持不依赖物理数据库，直接在平台内创建CDR模型表，并允许用户灵活自定义字段名称、数据类型、主键及索引。同时，系统支持对模型表进行绑定数据采集流程的操作，支持一表多流程配置，实现从贴源层到CDR层的自动化数据采集；并支持批量删除模型表中的元数据信息（不删除数据库物理表）。</w:t>
      </w:r>
    </w:p>
    <w:p w14:paraId="228603B2">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w:t>
      </w:r>
      <w:r>
        <w:rPr>
          <w:rFonts w:hint="eastAsia" w:ascii="宋体" w:hAnsi="宋体" w:eastAsia="宋体" w:cs="宋体"/>
          <w:b/>
          <w:bCs/>
          <w:color w:val="000000"/>
          <w:kern w:val="0"/>
          <w:sz w:val="24"/>
          <w:szCs w:val="24"/>
          <w:lang w:val="en-US" w:eastAsia="en-US" w:bidi="ar-SA"/>
        </w:rPr>
        <w:t>数据检索</w:t>
      </w:r>
    </w:p>
    <w:p w14:paraId="5BA332B1">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2.1 全维度组合检索与患者视图调阅：</w:t>
      </w:r>
      <w:r>
        <w:rPr>
          <w:rFonts w:hint="eastAsia" w:ascii="宋体" w:hAnsi="宋体" w:eastAsia="宋体" w:cs="宋体"/>
          <w:kern w:val="0"/>
          <w:sz w:val="24"/>
          <w:szCs w:val="24"/>
          <w:lang w:val="en-US" w:eastAsia="zh-CN"/>
        </w:rPr>
        <w:t>具有</w:t>
      </w:r>
      <w:r>
        <w:rPr>
          <w:rFonts w:hint="eastAsia" w:ascii="宋体" w:hAnsi="宋体" w:eastAsia="宋体" w:cs="宋体"/>
          <w:kern w:val="0"/>
          <w:sz w:val="24"/>
          <w:szCs w:val="24"/>
          <w:lang w:eastAsia="en-US"/>
        </w:rPr>
        <w:t>基于临床数据中心的一站式数据检索工具，支持患者信息、医嘱、检查、手术、就诊、检验六大维度组合检索，</w:t>
      </w:r>
      <w:r>
        <w:rPr>
          <w:rFonts w:hint="eastAsia" w:ascii="宋体" w:hAnsi="宋体" w:eastAsia="宋体" w:cs="宋体"/>
          <w:kern w:val="0"/>
          <w:sz w:val="24"/>
          <w:szCs w:val="24"/>
          <w:lang w:val="en-US" w:eastAsia="zh-CN"/>
        </w:rPr>
        <w:t>具有</w:t>
      </w:r>
      <w:r>
        <w:rPr>
          <w:rFonts w:hint="eastAsia" w:ascii="宋体" w:hAnsi="宋体" w:eastAsia="宋体" w:cs="宋体"/>
          <w:kern w:val="0"/>
          <w:sz w:val="24"/>
          <w:szCs w:val="24"/>
          <w:lang w:eastAsia="en-US"/>
        </w:rPr>
        <w:t>精确查询与模糊查询两种模式，支持通过登记号、姓名、日期、科室、项目名称、检验指标等多条件灵活筛选。检索结果支持一键跳转至患者全息视图。</w:t>
      </w:r>
    </w:p>
    <w:p w14:paraId="310F84C0">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ascii="宋体" w:hAnsi="宋体" w:eastAsia="宋体" w:cs="宋体"/>
          <w:kern w:val="0"/>
          <w:sz w:val="24"/>
          <w:szCs w:val="24"/>
          <w:lang w:eastAsia="en-US"/>
        </w:rPr>
        <w:t>▲</w:t>
      </w:r>
      <w:r>
        <w:rPr>
          <w:rFonts w:hint="eastAsia" w:ascii="宋体" w:hAnsi="宋体" w:eastAsia="宋体" w:cs="宋体"/>
          <w:kern w:val="0"/>
          <w:sz w:val="24"/>
          <w:szCs w:val="24"/>
          <w:lang w:eastAsia="en-US"/>
        </w:rPr>
        <w:t>2.2 AI病历智能筛选与导出：具备基于AI的病历精筛功能，用户可通过自然语言输入筛选条件（如“糖化血红蛋白大于7%的糖尿病患者”），后台联动AI服务，结合MCP服务提取的患者相关诊疗数据进行智能判断，给出符合或不符合的结果意见及溯源依据。针对大数据量检索任务，支持后台异步执行并提供历史任务查询界面。具备完善的数据导出能力，支持自定义勾选患者、医嘱、检验、检查、手术、就诊等多模块的导出字段，</w:t>
      </w:r>
      <w:r>
        <w:rPr>
          <w:rFonts w:hint="eastAsia" w:ascii="宋体" w:hAnsi="宋体" w:eastAsia="宋体" w:cs="宋体"/>
          <w:kern w:val="0"/>
          <w:sz w:val="24"/>
          <w:szCs w:val="24"/>
          <w:lang w:val="en-US" w:eastAsia="zh-CN"/>
        </w:rPr>
        <w:t>具备</w:t>
      </w:r>
      <w:r>
        <w:rPr>
          <w:rFonts w:hint="eastAsia" w:ascii="宋体" w:hAnsi="宋体" w:eastAsia="宋体" w:cs="宋体"/>
          <w:kern w:val="0"/>
          <w:sz w:val="24"/>
          <w:szCs w:val="24"/>
          <w:lang w:eastAsia="en-US"/>
        </w:rPr>
        <w:t>导出预览、申请审批及下载功能。</w:t>
      </w:r>
    </w:p>
    <w:p w14:paraId="60CE328F">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2.1.3.3</w:t>
      </w:r>
      <w:r>
        <w:rPr>
          <w:rFonts w:hint="eastAsia" w:ascii="宋体" w:hAnsi="宋体" w:eastAsia="宋体" w:cs="宋体"/>
          <w:b/>
          <w:bCs/>
          <w:color w:val="000000"/>
          <w:kern w:val="0"/>
          <w:sz w:val="24"/>
          <w:szCs w:val="24"/>
          <w:lang w:val="en-US" w:eastAsia="en-US" w:bidi="ar-SA"/>
        </w:rPr>
        <w:t>患者360视图</w:t>
      </w:r>
    </w:p>
    <w:p w14:paraId="15F084E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ascii="宋体" w:hAnsi="宋体" w:eastAsia="宋体" w:cs="宋体"/>
          <w:kern w:val="0"/>
          <w:sz w:val="24"/>
          <w:szCs w:val="24"/>
          <w:lang w:eastAsia="en-US"/>
        </w:rPr>
        <w:t>▲</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多源数据集成与时间轴展示：应整合来自HIS、EMR、LIS、PACS、手麻、重症等不同业务系统的患者全周期诊疗数据，并以时间轴方式直观呈现，全面展示就诊记录、诊断记录、医嘱信息、用药信息、检验信息、检查信息、输血信息、手术信息、会诊信息、生命体征及相关文书等各类临床数据。时间轴支持按就诊时间和业务类型进行分组展示。</w:t>
      </w:r>
    </w:p>
    <w:p w14:paraId="0CA453EE">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检验指标趋势化展示：支持在患者360视图中对检验指标进行趋势化展示，支持以指标对比曲线图形式呈现重点检验项目的历史变化趋势。</w:t>
      </w:r>
    </w:p>
    <w:p w14:paraId="1224324A">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诊疗闭环流程可视化配置与全程追溯：</w:t>
      </w:r>
      <w:r>
        <w:rPr>
          <w:rFonts w:hint="eastAsia" w:ascii="宋体" w:hAnsi="宋体" w:eastAsia="宋体" w:cs="宋体"/>
          <w:kern w:val="0"/>
          <w:sz w:val="24"/>
          <w:szCs w:val="24"/>
          <w:lang w:val="en-US" w:eastAsia="zh-CN"/>
        </w:rPr>
        <w:t>具备</w:t>
      </w:r>
      <w:r>
        <w:rPr>
          <w:rFonts w:hint="eastAsia" w:ascii="宋体" w:hAnsi="宋体" w:eastAsia="宋体" w:cs="宋体"/>
          <w:kern w:val="0"/>
          <w:sz w:val="24"/>
          <w:szCs w:val="24"/>
          <w:lang w:eastAsia="en-US"/>
        </w:rPr>
        <w:t>闭环配置模块，支持对用药执行闭环、检查检验闭环、输血闭环、手术闭环、危急值闭环等诊疗业务流程进行节点定义、状态流转与可视化展示。</w:t>
      </w:r>
      <w:r>
        <w:rPr>
          <w:rFonts w:hint="eastAsia" w:ascii="宋体" w:hAnsi="宋体" w:eastAsia="宋体" w:cs="宋体"/>
          <w:kern w:val="0"/>
          <w:sz w:val="24"/>
          <w:szCs w:val="24"/>
          <w:lang w:val="en-US" w:eastAsia="zh-CN"/>
        </w:rPr>
        <w:t>支持</w:t>
      </w:r>
      <w:r>
        <w:rPr>
          <w:rFonts w:hint="eastAsia" w:ascii="宋体" w:hAnsi="宋体" w:eastAsia="宋体" w:cs="宋体"/>
          <w:kern w:val="0"/>
          <w:sz w:val="24"/>
          <w:szCs w:val="24"/>
          <w:lang w:eastAsia="en-US"/>
        </w:rPr>
        <w:t>管理员配置闭环流程的节点定义、节点状态、流转规则，自定义节点的图标、颜色与展示顺序，并支持点击节点查看对应的操作记录、责任人、时间戳等详情信息。支持闭环质控功能，通过预定义规则自动核查流程完整性、内容规范性、双签要求、节点时效性、逻辑顺序与逻辑完整性，并对闭环数据进行统一展示。</w:t>
      </w:r>
    </w:p>
    <w:p w14:paraId="128BDDDD">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ascii="宋体" w:hAnsi="宋体" w:eastAsia="宋体" w:cs="宋体"/>
          <w:kern w:val="0"/>
          <w:sz w:val="24"/>
          <w:szCs w:val="24"/>
          <w:lang w:eastAsia="en-US"/>
        </w:rPr>
        <w:t>▲</w:t>
      </w: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敏感数据隐私化处理与脱敏管控：</w:t>
      </w:r>
      <w:r>
        <w:rPr>
          <w:rFonts w:hint="eastAsia" w:ascii="宋体" w:hAnsi="宋体" w:eastAsia="宋体" w:cs="宋体"/>
          <w:kern w:val="0"/>
          <w:sz w:val="24"/>
          <w:szCs w:val="24"/>
          <w:lang w:val="en-US" w:eastAsia="zh-CN"/>
        </w:rPr>
        <w:t>具备</w:t>
      </w:r>
      <w:r>
        <w:rPr>
          <w:rFonts w:hint="eastAsia" w:ascii="宋体" w:hAnsi="宋体" w:eastAsia="宋体" w:cs="宋体"/>
          <w:kern w:val="0"/>
          <w:sz w:val="24"/>
          <w:szCs w:val="24"/>
          <w:lang w:eastAsia="en-US"/>
        </w:rPr>
        <w:t>隐私管理模块，</w:t>
      </w:r>
      <w:r>
        <w:rPr>
          <w:rFonts w:hint="eastAsia" w:ascii="宋体" w:hAnsi="宋体" w:eastAsia="宋体" w:cs="宋体"/>
          <w:kern w:val="0"/>
          <w:sz w:val="24"/>
          <w:szCs w:val="24"/>
          <w:lang w:val="en-US" w:eastAsia="zh-CN"/>
        </w:rPr>
        <w:t>支持对</w:t>
      </w:r>
      <w:r>
        <w:rPr>
          <w:rFonts w:hint="eastAsia" w:ascii="宋体" w:hAnsi="宋体" w:eastAsia="宋体" w:cs="宋体"/>
          <w:kern w:val="0"/>
          <w:sz w:val="24"/>
          <w:szCs w:val="24"/>
          <w:lang w:eastAsia="en-US"/>
        </w:rPr>
        <w:t>敏感字段、敏感规则、正则规则等</w:t>
      </w:r>
      <w:r>
        <w:rPr>
          <w:rFonts w:hint="eastAsia" w:ascii="宋体" w:hAnsi="宋体" w:eastAsia="宋体" w:cs="Times New Roman"/>
          <w:kern w:val="0"/>
          <w:sz w:val="24"/>
          <w:szCs w:val="22"/>
          <w:lang w:val="en-US" w:eastAsia="zh-CN" w:bidi="ar-SA"/>
        </w:rPr>
        <w:t>进行配置</w:t>
      </w:r>
      <w:r>
        <w:rPr>
          <w:rFonts w:hint="eastAsia" w:ascii="宋体" w:hAnsi="宋体" w:eastAsia="宋体" w:cs="宋体"/>
          <w:kern w:val="0"/>
          <w:sz w:val="24"/>
          <w:szCs w:val="24"/>
          <w:lang w:eastAsia="en-US"/>
        </w:rPr>
        <w:t>。敏感字段配置支持对患者姓名、联系方式、诊断名称、就诊号、医嘱项目、患者生日等核心敏感字段进行统一维护与管理，支持新增、编辑、删除敏感字段，配置字段的敏感处理类型（字段级、文档级脱敏）。敏感规则配置</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屏蔽、取整、截断、替换、MD5哈希、AES对称加密、RSA非对称加密多种规则类型，支持针对不同数据类型自定义保留位数、填充字符、加密密钥等参数。正则配置支持通过自定义正则表达式，对身份证号、手机号、就诊号、登记号等具备固定格式的敏感数据进行精准匹配提取、格式校验与规范化处理。</w:t>
      </w:r>
    </w:p>
    <w:p w14:paraId="7058B59A">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en-US"/>
        </w:rPr>
        <w:t>结构化数据表格可视化配置：</w:t>
      </w:r>
      <w:r>
        <w:rPr>
          <w:rFonts w:hint="eastAsia" w:ascii="宋体" w:hAnsi="宋体" w:eastAsia="宋体" w:cs="宋体"/>
          <w:kern w:val="0"/>
          <w:sz w:val="24"/>
          <w:szCs w:val="24"/>
          <w:lang w:val="en-US" w:eastAsia="zh-CN"/>
        </w:rPr>
        <w:t>具备</w:t>
      </w:r>
      <w:r>
        <w:rPr>
          <w:rFonts w:hint="eastAsia" w:ascii="宋体" w:hAnsi="宋体" w:eastAsia="宋体" w:cs="宋体"/>
          <w:kern w:val="0"/>
          <w:sz w:val="24"/>
          <w:szCs w:val="24"/>
          <w:lang w:eastAsia="en-US"/>
        </w:rPr>
        <w:t>表格配置模块，支持自定义各类诊疗数据表格（如就诊记录表格、医嘱表格、检查检验结果表格、用药记录表格等）的列字段、展示规则、数据来源与交互方式，支持配置列的排序、筛选、导出功能及单元格的格式显示。</w:t>
      </w:r>
    </w:p>
    <w:p w14:paraId="52FE4139">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eastAsia="en-US"/>
        </w:rPr>
        <w:t>系统集成与第三方系统注册：支持患者360视图以集成视图方式嵌入医生、护士、医技等各类临床工作站。</w:t>
      </w:r>
      <w:r>
        <w:rPr>
          <w:rFonts w:hint="eastAsia" w:ascii="宋体" w:hAnsi="宋体" w:eastAsia="宋体" w:cs="Times New Roman"/>
          <w:kern w:val="0"/>
          <w:sz w:val="24"/>
          <w:szCs w:val="22"/>
          <w:lang w:val="en-US" w:eastAsia="zh-CN" w:bidi="ar-SA"/>
        </w:rPr>
        <w:t>具备</w:t>
      </w:r>
      <w:r>
        <w:rPr>
          <w:rFonts w:hint="eastAsia" w:ascii="宋体" w:hAnsi="宋体" w:eastAsia="宋体" w:cs="宋体"/>
          <w:kern w:val="0"/>
          <w:sz w:val="24"/>
          <w:szCs w:val="24"/>
          <w:lang w:eastAsia="en-US"/>
        </w:rPr>
        <w:t>调用系统注册管理功能，支持外部第三方系统通过系统管理模块进行注册申请，注册成功后自动生成唯一的系统密钥，该密钥应作为加密参数供第三方系统调用患者视图时传入使用。</w:t>
      </w:r>
    </w:p>
    <w:p w14:paraId="1CCD444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eastAsia="en-US"/>
        </w:rPr>
        <w:t>角色与菜单细粒度权限管控：</w:t>
      </w:r>
      <w:r>
        <w:rPr>
          <w:rFonts w:hint="eastAsia" w:ascii="宋体" w:hAnsi="宋体" w:eastAsia="宋体" w:cs="Times New Roman"/>
          <w:kern w:val="0"/>
          <w:sz w:val="24"/>
          <w:szCs w:val="22"/>
          <w:lang w:val="en-US" w:eastAsia="zh-CN" w:bidi="ar-SA"/>
        </w:rPr>
        <w:t>具备</w:t>
      </w:r>
      <w:r>
        <w:rPr>
          <w:rFonts w:hint="eastAsia" w:ascii="宋体" w:hAnsi="宋体" w:eastAsia="宋体" w:cs="宋体"/>
          <w:kern w:val="0"/>
          <w:sz w:val="24"/>
          <w:szCs w:val="24"/>
          <w:lang w:eastAsia="en-US"/>
        </w:rPr>
        <w:t>角色管理模块，支持创建、编辑、删除角色，并为角色分配菜单访问权限、功能操作权限（如查看、编辑、配置等），支持“角色-用户”的批量授权管理。</w:t>
      </w:r>
      <w:r>
        <w:rPr>
          <w:rFonts w:hint="eastAsia" w:ascii="宋体" w:hAnsi="宋体" w:eastAsia="宋体" w:cs="Times New Roman"/>
          <w:kern w:val="0"/>
          <w:sz w:val="24"/>
          <w:szCs w:val="22"/>
          <w:lang w:val="en-US" w:eastAsia="zh-CN" w:bidi="ar-SA"/>
        </w:rPr>
        <w:t>具备</w:t>
      </w:r>
      <w:r>
        <w:rPr>
          <w:rFonts w:hint="eastAsia" w:ascii="宋体" w:hAnsi="宋体" w:eastAsia="宋体" w:cs="宋体"/>
          <w:kern w:val="0"/>
          <w:sz w:val="24"/>
          <w:szCs w:val="24"/>
          <w:lang w:eastAsia="en-US"/>
        </w:rPr>
        <w:t>菜单管理模块，支持对视图菜单进行注册、编辑、排序与权限分配，支持添加系统内置菜单与第三方外链菜单，支持为菜单绑定就诊类型、住院类型等访问限制条件，并支持为第三方菜单配置固定参数与动态参数，实现与HIS、EMR等外部系统的无缝跳转。</w:t>
      </w:r>
    </w:p>
    <w:p w14:paraId="6B1F0CD1">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2.1.3.4</w:t>
      </w:r>
      <w:r>
        <w:rPr>
          <w:rFonts w:hint="eastAsia" w:ascii="宋体" w:hAnsi="宋体" w:eastAsia="宋体" w:cs="宋体"/>
          <w:b/>
          <w:bCs/>
          <w:color w:val="000000"/>
          <w:kern w:val="0"/>
          <w:sz w:val="24"/>
          <w:szCs w:val="24"/>
          <w:lang w:val="en-US" w:eastAsia="en-US" w:bidi="ar-SA"/>
        </w:rPr>
        <w:t>统一用户管理与单点登录</w:t>
      </w:r>
    </w:p>
    <w:p w14:paraId="76B52702">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（1）</w:t>
      </w:r>
      <w:r>
        <w:rPr>
          <w:rFonts w:hint="eastAsia" w:ascii="宋体" w:hAnsi="宋体" w:eastAsia="宋体" w:cs="宋体"/>
          <w:b/>
          <w:bCs/>
          <w:color w:val="000000"/>
          <w:kern w:val="0"/>
          <w:sz w:val="24"/>
          <w:szCs w:val="24"/>
          <w:lang w:val="en-US" w:eastAsia="en-US" w:bidi="ar-SA"/>
        </w:rPr>
        <w:t>用户管理</w:t>
      </w:r>
    </w:p>
    <w:p w14:paraId="40D3B87B">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 xml:space="preserve"> 用户信息维护：</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用户的新增、删除（逻辑删除）、修改等操作，用户基本信息包括用户头像上传、用户登录名、姓名、出生年月、邮箱、固话、移动电话、工作职称、入职时间、生效日期、失效日期、所属角色、所属科室等。</w:t>
      </w:r>
    </w:p>
    <w:p w14:paraId="5D342D5A">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 xml:space="preserve"> 用户批量导入：</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从业务系统中通过接口直接读取用户信息并导入到平台中，同时支持按excel模板格式整理用户信息并一次性导入平台。</w:t>
      </w:r>
    </w:p>
    <w:p w14:paraId="300FC8B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用户批量导出：支持将平台中的用户信息批量导出成excel文件，方便其他第三方系统使用。</w:t>
      </w:r>
    </w:p>
    <w:p w14:paraId="52D81B63">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用户对照：</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对已经存在的第三方系统，平台中的用户与第三方系统用户之间建立对照关系。</w:t>
      </w:r>
    </w:p>
    <w:p w14:paraId="3AC635CB">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w:t>
      </w:r>
      <w:r>
        <w:rPr>
          <w:rFonts w:hint="eastAsia" w:ascii="宋体" w:hAnsi="宋体" w:eastAsia="宋体" w:cs="宋体"/>
          <w:b/>
          <w:bCs/>
          <w:color w:val="000000"/>
          <w:kern w:val="0"/>
          <w:sz w:val="24"/>
          <w:szCs w:val="24"/>
          <w:lang w:val="en-US" w:eastAsia="en-US" w:bidi="ar-SA"/>
        </w:rPr>
        <w:t xml:space="preserve"> 组织机构管理</w:t>
      </w:r>
    </w:p>
    <w:p w14:paraId="22D68825">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机构信息维护：</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组织机构的增加、删除（逻辑删除）、修改等操作，组织机构信息包括组织编号、组织名称、科室类型、父组织、组织电话、组织地址等。</w:t>
      </w:r>
    </w:p>
    <w:p w14:paraId="688F8204">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组织机构批量导入：支持从业务系统中通过接口读取组织机构信息并导入到平台中，同时支持按excel模板格式整理组织机构信息一次性导入平台。</w:t>
      </w:r>
    </w:p>
    <w:p w14:paraId="2EBEBC31">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 xml:space="preserve"> 组织机构批量导出：支持将平台中的组织机构信息批量导出成excel文件。</w:t>
      </w:r>
    </w:p>
    <w:p w14:paraId="6B06FF7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组织机构对照：</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对已经存在的第三方系统，平台中的组织机构与第三方系统的组织机构之间建立对照关系。</w:t>
      </w:r>
    </w:p>
    <w:p w14:paraId="14FDC2BE">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（3）</w:t>
      </w:r>
      <w:r>
        <w:rPr>
          <w:rFonts w:hint="eastAsia" w:ascii="宋体" w:hAnsi="宋体" w:eastAsia="宋体" w:cs="宋体"/>
          <w:b/>
          <w:bCs/>
          <w:color w:val="000000"/>
          <w:kern w:val="0"/>
          <w:sz w:val="24"/>
          <w:szCs w:val="24"/>
          <w:lang w:val="en-US" w:eastAsia="en-US" w:bidi="ar-SA"/>
        </w:rPr>
        <w:t xml:space="preserve"> 应用管理</w:t>
      </w:r>
    </w:p>
    <w:p w14:paraId="5EDD3188">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应用信息维护：</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第三方应用的增加、删除（逻辑删除）、修改等操作，应用基本信息包括应用名称、应用编号、应用简称、是否激活、业务管理员等。</w:t>
      </w:r>
    </w:p>
    <w:p w14:paraId="5643AE2A">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应用接口管理：</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管理第三方应用提供的接口地址，接口包括【用户同步接口】、【组织结构同步接口】、【角色同步接口】、【权限管理页面地址】等。</w:t>
      </w:r>
    </w:p>
    <w:p w14:paraId="3B25E466">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应用单点登录配置：</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维护第三方应用接入单点登录的基本配置，包括第三方应用地址、单点登录协议类型、应用类型（B/S或C/S）、打开浏览器类型（IE、Chrome、Firefox等）。</w:t>
      </w:r>
    </w:p>
    <w:p w14:paraId="4299A1E7">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 xml:space="preserve"> 应用角色同步：</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平台中应用角色与第三方应用角色同步。</w:t>
      </w:r>
    </w:p>
    <w:p w14:paraId="2557CBF2">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（4）</w:t>
      </w:r>
      <w:r>
        <w:rPr>
          <w:rFonts w:hint="eastAsia" w:ascii="宋体" w:hAnsi="宋体" w:eastAsia="宋体" w:cs="宋体"/>
          <w:b/>
          <w:bCs/>
          <w:color w:val="000000"/>
          <w:kern w:val="0"/>
          <w:sz w:val="24"/>
          <w:szCs w:val="24"/>
          <w:lang w:val="en-US" w:eastAsia="en-US" w:bidi="ar-SA"/>
        </w:rPr>
        <w:t xml:space="preserve"> 应用账号管理</w:t>
      </w:r>
    </w:p>
    <w:p w14:paraId="18A104B6">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 xml:space="preserve"> 应用账号维护：</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向第三方应用中推送用户并创建应用账号、启用或停用第三方应用中的账号、修改第三方应用中对应的用户名。</w:t>
      </w:r>
    </w:p>
    <w:p w14:paraId="3FB23181">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 xml:space="preserve"> 应用账号权限管理：</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对第三方应用中用户的相关权限进行管理，直接在平台中调用第三方应用中权限管理页面进行操作。</w:t>
      </w:r>
    </w:p>
    <w:p w14:paraId="1927264B">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账号角色维护：</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修改用户在第三方应用中的角色，以修改用户在第三方应用中的权限。</w:t>
      </w:r>
    </w:p>
    <w:p w14:paraId="29C50783">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（5）</w:t>
      </w:r>
      <w:r>
        <w:rPr>
          <w:rFonts w:hint="eastAsia" w:ascii="宋体" w:hAnsi="宋体" w:eastAsia="宋体" w:cs="宋体"/>
          <w:b/>
          <w:bCs/>
          <w:color w:val="000000"/>
          <w:kern w:val="0"/>
          <w:sz w:val="24"/>
          <w:szCs w:val="24"/>
          <w:lang w:val="en-US" w:eastAsia="en-US" w:bidi="ar-SA"/>
        </w:rPr>
        <w:t>审计日志</w:t>
      </w:r>
    </w:p>
    <w:p w14:paraId="28332481">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 xml:space="preserve"> 操作日志查询：</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后台管理维护的操作日志以及数据同步的日志查询。</w:t>
      </w:r>
    </w:p>
    <w:p w14:paraId="6CD0B433">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访问日志查询：</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登录平台以及所有第三方应用的登录日志查询，可按时间段、用户、应用系统进行查询。</w:t>
      </w:r>
    </w:p>
    <w:p w14:paraId="11A83C6B">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 xml:space="preserve"> 访问统计分析：</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对第三方应用的登录日志进行统计，并分析各应用的访问量和高峰期。</w:t>
      </w:r>
    </w:p>
    <w:p w14:paraId="37592B9B">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 xml:space="preserve"> 异常访问提醒：</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对超出访问权限的操作进行记录，并向相关人员推送消息进行操作。</w:t>
      </w:r>
    </w:p>
    <w:p w14:paraId="0CE1FB64">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（6）</w:t>
      </w:r>
      <w:r>
        <w:rPr>
          <w:rFonts w:hint="eastAsia" w:ascii="宋体" w:hAnsi="宋体" w:eastAsia="宋体" w:cs="宋体"/>
          <w:b/>
          <w:bCs/>
          <w:color w:val="000000"/>
          <w:kern w:val="0"/>
          <w:sz w:val="24"/>
          <w:szCs w:val="24"/>
          <w:lang w:val="en-US" w:eastAsia="en-US" w:bidi="ar-SA"/>
        </w:rPr>
        <w:t>用户数据同步服务</w:t>
      </w:r>
    </w:p>
    <w:p w14:paraId="4532D611">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 xml:space="preserve"> 为保证用户信息在各应用系统中的一致性，统一用户管理平台</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与各应用系统实现同步机制，实现用户信息一次维护同步修改各应用系统中的信息。</w:t>
      </w:r>
    </w:p>
    <w:p w14:paraId="1E7D1AA9">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（7）</w:t>
      </w:r>
      <w:r>
        <w:rPr>
          <w:rFonts w:hint="eastAsia" w:ascii="宋体" w:hAnsi="宋体" w:eastAsia="宋体" w:cs="宋体"/>
          <w:b/>
          <w:bCs/>
          <w:color w:val="000000"/>
          <w:kern w:val="0"/>
          <w:sz w:val="24"/>
          <w:szCs w:val="24"/>
          <w:lang w:val="en-US" w:eastAsia="en-US" w:bidi="ar-SA"/>
        </w:rPr>
        <w:t>统一接入服务</w:t>
      </w:r>
    </w:p>
    <w:p w14:paraId="2693D95E">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提供OAuth2.0协议标准接口，应用通过配置或改造调用统一认证服务，满足OAuth2.0协议标准，实现单点登录。</w:t>
      </w:r>
    </w:p>
    <w:p w14:paraId="033E21E0">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（8）</w:t>
      </w:r>
      <w:r>
        <w:rPr>
          <w:rFonts w:hint="eastAsia" w:ascii="宋体" w:hAnsi="宋体" w:eastAsia="宋体" w:cs="宋体"/>
          <w:b/>
          <w:bCs/>
          <w:color w:val="000000"/>
          <w:kern w:val="0"/>
          <w:sz w:val="24"/>
          <w:szCs w:val="24"/>
          <w:lang w:val="en-US" w:eastAsia="en-US" w:bidi="ar-SA"/>
        </w:rPr>
        <w:t>统一认证服务</w:t>
      </w:r>
    </w:p>
    <w:p w14:paraId="567E3832">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ascii="宋体" w:hAnsi="宋体" w:eastAsia="宋体" w:cs="宋体"/>
          <w:kern w:val="0"/>
          <w:sz w:val="24"/>
          <w:szCs w:val="24"/>
          <w:lang w:eastAsia="en-US"/>
        </w:rPr>
        <w:t>▲</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提供支持用户名+密码验证、动态口令、CA证书、Usb-Key等认证方式的多因子身份验证（MFA）。</w:t>
      </w:r>
    </w:p>
    <w:p w14:paraId="567B1AF9">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2.1.3.5</w:t>
      </w:r>
      <w:r>
        <w:rPr>
          <w:rFonts w:hint="eastAsia" w:ascii="宋体" w:hAnsi="宋体" w:eastAsia="宋体" w:cs="宋体"/>
          <w:b/>
          <w:bCs/>
          <w:color w:val="000000"/>
          <w:kern w:val="0"/>
          <w:sz w:val="24"/>
          <w:szCs w:val="24"/>
          <w:lang w:val="en-US" w:eastAsia="en-US" w:bidi="ar-SA"/>
        </w:rPr>
        <w:t>临床辅助决策支持系统（CDSS）</w:t>
      </w:r>
    </w:p>
    <w:p w14:paraId="3DBAF066">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（1）</w:t>
      </w:r>
      <w:r>
        <w:rPr>
          <w:rFonts w:hint="eastAsia" w:ascii="宋体" w:hAnsi="宋体" w:eastAsia="宋体" w:cs="宋体"/>
          <w:b/>
          <w:bCs/>
          <w:color w:val="000000"/>
          <w:kern w:val="0"/>
          <w:sz w:val="24"/>
          <w:szCs w:val="24"/>
          <w:lang w:val="en-US" w:eastAsia="en-US" w:bidi="ar-SA"/>
        </w:rPr>
        <w:t xml:space="preserve"> 诊断决策支持</w:t>
      </w:r>
    </w:p>
    <w:p w14:paraId="0F83AAB9">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ascii="宋体" w:hAnsi="宋体" w:eastAsia="宋体" w:cs="宋体"/>
          <w:kern w:val="0"/>
          <w:sz w:val="24"/>
          <w:szCs w:val="24"/>
          <w:lang w:eastAsia="en-US"/>
        </w:rPr>
        <w:t>▲</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疑似诊断推荐：</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基于患者主诉、现病史、既往史、体格检查、已有检查检验结果等综合信息，智能推荐疑似疾病列表，按可能性从高到低排列，并显示诊断可能性权重。系统应支持中医诊断推荐。</w:t>
      </w:r>
    </w:p>
    <w:p w14:paraId="3772DD21">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鉴别诊断：</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针对疑似诊断，自动生成鉴别诊断列表，提供各鉴别诊断的依据和关键区分要点。</w:t>
      </w:r>
    </w:p>
    <w:p w14:paraId="57526033">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疑似罕见病提示：当患者症状体征与罕见病特征匹配时，系统</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主动提示疑似罕见病可能，并提供罕见病相关知识链接。</w:t>
      </w:r>
    </w:p>
    <w:p w14:paraId="68961787">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辅助检查检验推荐：</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根据疑似诊断和鉴别诊断需求，智能推荐确诊检查、鉴别检查、合并症检查等检查检验项目，并说明各项检查目的。</w:t>
      </w:r>
    </w:p>
    <w:p w14:paraId="5F093144">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en-US"/>
        </w:rPr>
        <w:t>诊断详情浏览：</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疾病定义、病因、病理、临床表现、检查、并发症、诊断标准、鉴别诊断、治疗方案、预防等完整信息浏览功能。</w:t>
      </w:r>
    </w:p>
    <w:p w14:paraId="3C251F77">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lang w:eastAsia="en-US"/>
        </w:rPr>
        <w:t>诊断检索：支持按疾病名称、ICD编码、症状、关键词等多维度检索诊断相关知识。</w:t>
      </w:r>
    </w:p>
    <w:p w14:paraId="0AEDF060">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lang w:eastAsia="en-US"/>
        </w:rPr>
        <w:t>可解释性要求：所有诊断推荐结果必须提供清晰的可解释性依据，说明匹配到的具体症状、检验指标、体征等依据。</w:t>
      </w:r>
    </w:p>
    <w:p w14:paraId="55AD4974">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w:t>
      </w:r>
      <w:r>
        <w:rPr>
          <w:rFonts w:hint="eastAsia" w:ascii="宋体" w:hAnsi="宋体" w:eastAsia="宋体" w:cs="宋体"/>
          <w:b/>
          <w:bCs/>
          <w:color w:val="000000"/>
          <w:kern w:val="0"/>
          <w:sz w:val="24"/>
          <w:szCs w:val="24"/>
          <w:lang w:val="en-US" w:eastAsia="en-US" w:bidi="ar-SA"/>
        </w:rPr>
        <w:t xml:space="preserve"> 治疗决策支持</w:t>
      </w:r>
    </w:p>
    <w:p w14:paraId="46D41BB0">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评分表推荐：根据患者诊断及病情，自动推荐适用的临床评分量表、评估工具，如GCS评分、APACHE II评分等。</w:t>
      </w:r>
    </w:p>
    <w:p w14:paraId="13A05529">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 xml:space="preserve"> 治疗方案推荐：</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基于患者诊断、分型分期、检查结果、合并症等信息，智能推荐包含药物治疗、非药物治疗在内的综合治疗方案。支持中医中药方剂、针灸取穴方案推荐。</w:t>
      </w:r>
    </w:p>
    <w:p w14:paraId="3347E0BD">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用药推荐：</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在医生开药环节，根据患者诊断及病情，主动推荐合适的药品及治疗方案。</w:t>
      </w:r>
    </w:p>
    <w:p w14:paraId="141262C6">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手术或操作推荐：</w:t>
      </w:r>
      <w:r>
        <w:rPr>
          <w:rFonts w:hint="eastAsia" w:ascii="宋体" w:hAnsi="宋体" w:eastAsia="宋体" w:cs="Times New Roman"/>
          <w:kern w:val="0"/>
          <w:sz w:val="24"/>
          <w:szCs w:val="22"/>
          <w:lang w:val="en-US" w:eastAsia="en-US" w:bidi="ar-SA"/>
        </w:rPr>
        <w:t>支持</w:t>
      </w:r>
      <w:r>
        <w:rPr>
          <w:rFonts w:hint="eastAsia" w:ascii="宋体" w:hAnsi="宋体" w:eastAsia="宋体" w:cs="宋体"/>
          <w:kern w:val="0"/>
          <w:sz w:val="24"/>
          <w:szCs w:val="24"/>
          <w:lang w:eastAsia="en-US"/>
        </w:rPr>
        <w:t>根据患者诊断，推荐可能需要的手术或操作方案。</w:t>
      </w:r>
    </w:p>
    <w:p w14:paraId="56B99155">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en-US"/>
        </w:rPr>
        <w:t>方案评估与最佳方案推荐：</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对多个推荐方案进行评估比较，标注各方案的循证依据等级，推荐最佳治疗方案。</w:t>
      </w:r>
    </w:p>
    <w:p w14:paraId="348ABAF5">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lang w:eastAsia="en-US"/>
        </w:rPr>
        <w:t xml:space="preserve"> 治疗方案回写：支持将选定的治疗方案内容回写至病历文书或医嘱系统。</w:t>
      </w:r>
    </w:p>
    <w:p w14:paraId="06D615BE">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（3）</w:t>
      </w:r>
      <w:r>
        <w:rPr>
          <w:rFonts w:hint="eastAsia" w:ascii="宋体" w:hAnsi="宋体" w:eastAsia="宋体" w:cs="宋体"/>
          <w:b/>
          <w:bCs/>
          <w:color w:val="000000"/>
          <w:kern w:val="0"/>
          <w:sz w:val="24"/>
          <w:szCs w:val="24"/>
          <w:lang w:val="en-US" w:eastAsia="en-US" w:bidi="ar-SA"/>
        </w:rPr>
        <w:t xml:space="preserve"> 预警决策支持</w:t>
      </w:r>
    </w:p>
    <w:p w14:paraId="165F6EF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ascii="宋体" w:hAnsi="宋体" w:eastAsia="宋体" w:cs="宋体"/>
          <w:kern w:val="0"/>
          <w:sz w:val="24"/>
          <w:szCs w:val="24"/>
          <w:lang w:eastAsia="en-US"/>
        </w:rPr>
        <w:t>▲</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用药合理性审核：在开立药物医嘱时，</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基于患者性别、年龄、诊断、过敏史、肝肾功能、检验检查结果、正在使用的其他药物等信息，实时审核用药合理性。中药医嘱须进行十八反、十九畏等配伍禁忌检查。</w:t>
      </w:r>
    </w:p>
    <w:p w14:paraId="76208C50">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药品不良反应预警：</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实时监测患者用药过程中可能出现的不良反应，主动预警提示。</w:t>
      </w:r>
    </w:p>
    <w:p w14:paraId="64861DA6">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检查申请合理性审核：在下达检查申请时，</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结合患者基础信息、诊断、既往检查结果等，审核申请合理性。支持对短期内重复开具同一项目的审核提示，重复检查时间阈值应支持可配置。</w:t>
      </w:r>
    </w:p>
    <w:p w14:paraId="109A589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 xml:space="preserve"> 检验申请合理性审核：在下达检验申请时，</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审核检验项目合理性，对禁忌项目进行实时提醒。</w:t>
      </w:r>
    </w:p>
    <w:p w14:paraId="18A35253">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en-US"/>
        </w:rPr>
        <w:t xml:space="preserve"> 手术或操作合理性审核：在开具手术或操作申请时，</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根据患者症状、诊断、检查检验结果，审核手术禁忌症及风险评估。</w:t>
      </w:r>
    </w:p>
    <w:p w14:paraId="0AB3246A">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lang w:eastAsia="en-US"/>
        </w:rPr>
        <w:t>治疗合理性审核：</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对治疗医嘱的合理性进行审核，对禁忌和相对禁忌项目主动提示。</w:t>
      </w:r>
    </w:p>
    <w:p w14:paraId="6D335D24">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lang w:eastAsia="en-US"/>
        </w:rPr>
        <w:t>预警可解释性：所有预警提示须明确展示触发规则的制定依据（如指南来源），以及患者触发该规则的具体依据。</w:t>
      </w:r>
    </w:p>
    <w:p w14:paraId="64CCD814">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（4）</w:t>
      </w:r>
      <w:r>
        <w:rPr>
          <w:rFonts w:hint="eastAsia" w:ascii="宋体" w:hAnsi="宋体" w:eastAsia="宋体" w:cs="宋体"/>
          <w:b/>
          <w:bCs/>
          <w:color w:val="000000"/>
          <w:kern w:val="0"/>
          <w:sz w:val="24"/>
          <w:szCs w:val="24"/>
          <w:lang w:val="en-US" w:eastAsia="en-US" w:bidi="ar-SA"/>
        </w:rPr>
        <w:t xml:space="preserve"> 患者画像</w:t>
      </w:r>
    </w:p>
    <w:p w14:paraId="630A681B">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患者病史模型：</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依据患者信息，智能生成患者病史模型，以二维图表形式展示既往史、家族史、个人史、婚育史等信息。</w:t>
      </w:r>
    </w:p>
    <w:p w14:paraId="43573BDD">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 xml:space="preserve"> 时间轴展示：支持以时间轴方式展示患者诊疗历程，包括历次就诊记录、检查检验结果变化趋势等。</w:t>
      </w:r>
    </w:p>
    <w:p w14:paraId="04E83559">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数据整合：患者画像整合来自HIS、EMR、LIS、RIS等多个系统的结构化与非结构化数据。</w:t>
      </w:r>
    </w:p>
    <w:p w14:paraId="76B6E856">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（5）</w:t>
      </w:r>
      <w:r>
        <w:rPr>
          <w:rFonts w:hint="eastAsia" w:ascii="宋体" w:hAnsi="宋体" w:eastAsia="宋体" w:cs="宋体"/>
          <w:b/>
          <w:bCs/>
          <w:color w:val="000000"/>
          <w:kern w:val="0"/>
          <w:sz w:val="24"/>
          <w:szCs w:val="24"/>
          <w:lang w:val="en-US" w:eastAsia="en-US" w:bidi="ar-SA"/>
        </w:rPr>
        <w:t>知识库维护</w:t>
      </w:r>
    </w:p>
    <w:p w14:paraId="1A2443C7">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 xml:space="preserve"> 疾病知识库维护：支持不少于3000种疾病知识的新增、编辑、审核、发布、下线全流程管理，每条知识需包含定义、病因、临床表现、检查、并发症、诊断、鉴别诊断、治疗、预防等完整信息。</w:t>
      </w:r>
    </w:p>
    <w:p w14:paraId="3CF31914">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检查知识库维护：支持不少于1400条检查项目说明维护，内容涵盖检查项目定义、适用范围及影像学结果说明，系统内置不少于1000个检查合理性质控点。</w:t>
      </w:r>
    </w:p>
    <w:p w14:paraId="48CEAF32">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检验知识库维护：支持不少于1400条检验项目说明维护，内容涵盖检验项定义、合理参考范围、临床意义，系统应内置不少于1000个检验合理性质控点。</w:t>
      </w:r>
    </w:p>
    <w:p w14:paraId="09AD2A81">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手术知识库维护：支持不少于400种术式知识维护，包含术式编码、适应症、术前准备、手术步骤、术后处理等，系统内置不少于2000个手术合理性质控点。</w:t>
      </w:r>
    </w:p>
    <w:p w14:paraId="4A5E4DC5">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ascii="宋体" w:hAnsi="宋体" w:eastAsia="宋体" w:cs="宋体"/>
          <w:kern w:val="0"/>
          <w:sz w:val="24"/>
          <w:szCs w:val="24"/>
          <w:lang w:eastAsia="en-US"/>
        </w:rPr>
        <w:t>▲</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en-US"/>
        </w:rPr>
        <w:t>药品知识库维护：支持不少于10000种药品信息维护，包含药名、剂型、药理作用、适应证、禁忌证、不良反应、用法用量、药物相互作用等，系统应内置不少于5000个药品合理性质控点。知识库须包含特殊人群（儿童、老年、肝肾功能损害、妊娠期和哺乳期）的禁慎信息。</w:t>
      </w:r>
    </w:p>
    <w:p w14:paraId="6AD5EA00">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lang w:eastAsia="en-US"/>
        </w:rPr>
        <w:t>护理知识库维护：支持不少于700篇护理知识维护，包含操作前准备、操作程序、适应症、禁忌症、注意事项、患者健康指导、护理措施等。</w:t>
      </w:r>
    </w:p>
    <w:p w14:paraId="4D8E45AA">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lang w:eastAsia="en-US"/>
        </w:rPr>
        <w:t>中医知识库维护：支持不少于1100种中医诊断知识维护，包含疾病定义、病因、临床表现、治疗等中医特色内容。</w:t>
      </w:r>
    </w:p>
    <w:p w14:paraId="629D56E2">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lang w:eastAsia="en-US"/>
        </w:rPr>
        <w:t>质控规则图形化配置：</w:t>
      </w:r>
      <w:r>
        <w:rPr>
          <w:rFonts w:hint="eastAsia" w:ascii="宋体" w:hAnsi="宋体" w:eastAsia="宋体" w:cs="宋体"/>
          <w:kern w:val="0"/>
          <w:sz w:val="24"/>
          <w:szCs w:val="24"/>
          <w:lang w:val="en-US" w:eastAsia="zh-CN"/>
        </w:rPr>
        <w:t>具备</w:t>
      </w:r>
      <w:r>
        <w:rPr>
          <w:rFonts w:hint="eastAsia" w:ascii="宋体" w:hAnsi="宋体" w:eastAsia="宋体" w:cs="宋体"/>
          <w:kern w:val="0"/>
          <w:sz w:val="24"/>
          <w:szCs w:val="24"/>
          <w:lang w:eastAsia="en-US"/>
        </w:rPr>
        <w:t>图形化规则配置界面，支持且、或等复杂逻辑组合，可关联患者症状、诊断、检验结果、性别、年龄等多维数据。</w:t>
      </w:r>
    </w:p>
    <w:p w14:paraId="756AF4B9">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lang w:eastAsia="en-US"/>
        </w:rPr>
        <w:t>字典对照：支持系统标准字典与院内HIS、EMR系统字典的对照映射，覆盖药品、检验检查、手术、药品频率、护理医嘱等类型。</w:t>
      </w:r>
    </w:p>
    <w:p w14:paraId="35414BD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10）</w:t>
      </w:r>
      <w:r>
        <w:rPr>
          <w:rFonts w:hint="eastAsia" w:ascii="宋体" w:hAnsi="宋体" w:eastAsia="宋体" w:cs="宋体"/>
          <w:kern w:val="0"/>
          <w:sz w:val="24"/>
          <w:szCs w:val="24"/>
          <w:lang w:eastAsia="en-US"/>
        </w:rPr>
        <w:t xml:space="preserve"> 修改记录审计：</w:t>
      </w:r>
      <w:r>
        <w:rPr>
          <w:rFonts w:hint="eastAsia" w:ascii="宋体" w:hAnsi="宋体" w:eastAsia="宋体" w:cs="宋体"/>
          <w:kern w:val="0"/>
          <w:sz w:val="24"/>
          <w:szCs w:val="24"/>
          <w:lang w:val="en-US" w:eastAsia="zh-CN"/>
        </w:rPr>
        <w:t>支持</w:t>
      </w:r>
      <w:r>
        <w:rPr>
          <w:rFonts w:hint="eastAsia" w:ascii="宋体" w:hAnsi="宋体" w:eastAsia="宋体" w:cs="宋体"/>
          <w:kern w:val="0"/>
          <w:sz w:val="24"/>
          <w:szCs w:val="24"/>
          <w:lang w:eastAsia="en-US"/>
        </w:rPr>
        <w:t>完整记录所有知识库修改历史，包括修改人、修改时间、修改前后内容，支持追溯审计。</w:t>
      </w:r>
    </w:p>
    <w:p w14:paraId="5DF492BE">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w:t>
      </w:r>
      <w:r>
        <w:rPr>
          <w:rFonts w:hint="eastAsia" w:ascii="宋体" w:hAnsi="宋体" w:eastAsia="宋体" w:cs="宋体"/>
          <w:kern w:val="0"/>
          <w:sz w:val="24"/>
          <w:szCs w:val="24"/>
          <w:lang w:val="en-US" w:eastAsia="zh-CN"/>
        </w:rPr>
        <w:t>11）</w:t>
      </w:r>
      <w:r>
        <w:rPr>
          <w:rFonts w:hint="eastAsia" w:ascii="宋体" w:hAnsi="宋体" w:eastAsia="宋体" w:cs="宋体"/>
          <w:kern w:val="0"/>
          <w:sz w:val="24"/>
          <w:szCs w:val="24"/>
          <w:lang w:eastAsia="en-US"/>
        </w:rPr>
        <w:t xml:space="preserve"> 知识库更新：供应商承诺知识库更新频率不低于每年2次，更新内容包括疾病指南、药品说明书、合理用药规则等核心知识。</w:t>
      </w:r>
      <w:r>
        <w:rPr>
          <w:rFonts w:hint="eastAsia" w:ascii="宋体" w:hAnsi="宋体" w:eastAsia="宋体" w:cs="Times New Roman"/>
          <w:kern w:val="0"/>
          <w:sz w:val="24"/>
          <w:szCs w:val="22"/>
          <w:lang w:val="en-US" w:eastAsia="zh-CN" w:bidi="ar-SA"/>
        </w:rPr>
        <w:t>提供承诺函并加盖投标人公章（格式自拟）</w:t>
      </w:r>
    </w:p>
    <w:p w14:paraId="001BBBC2">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（6）</w:t>
      </w:r>
      <w:r>
        <w:rPr>
          <w:rFonts w:hint="eastAsia" w:ascii="宋体" w:hAnsi="宋体" w:eastAsia="宋体" w:cs="宋体"/>
          <w:b/>
          <w:bCs/>
          <w:color w:val="000000"/>
          <w:kern w:val="0"/>
          <w:sz w:val="24"/>
          <w:szCs w:val="24"/>
          <w:lang w:val="en-US" w:eastAsia="en-US" w:bidi="ar-SA"/>
        </w:rPr>
        <w:t xml:space="preserve"> 医疗百科</w:t>
      </w:r>
    </w:p>
    <w:p w14:paraId="31FFAD81">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百科内容覆盖：支持维护疾病、症状、检查、检验、手术、护理等百科知识。</w:t>
      </w:r>
    </w:p>
    <w:p w14:paraId="2C518DC7">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百科展示方式：以类似百度百科的方式展示医疗知识，包含结构化信息展示、相关词条链接、参考资料标注等。</w:t>
      </w:r>
    </w:p>
    <w:p w14:paraId="524D89FC">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百科检索：支持关键词检索、拼音首字母检索、分类浏览等多种检索方式。</w:t>
      </w:r>
    </w:p>
    <w:p w14:paraId="73D61ADE">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 xml:space="preserve"> 内容来源标注：所有百科知识须标注权威来源，如临床指南、权威教材、药品说明书等。</w:t>
      </w:r>
    </w:p>
    <w:p w14:paraId="07D53212">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2"/>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（7）</w:t>
      </w:r>
      <w:r>
        <w:rPr>
          <w:rFonts w:hint="eastAsia" w:ascii="宋体" w:hAnsi="宋体" w:eastAsia="宋体" w:cs="宋体"/>
          <w:b/>
          <w:bCs/>
          <w:color w:val="000000"/>
          <w:kern w:val="0"/>
          <w:sz w:val="24"/>
          <w:szCs w:val="24"/>
          <w:lang w:val="en-US" w:eastAsia="en-US" w:bidi="ar-SA"/>
        </w:rPr>
        <w:t>数据统计</w:t>
      </w:r>
    </w:p>
    <w:p w14:paraId="0D34D206">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en-US"/>
        </w:rPr>
        <w:t>推荐记录统计：</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自动记录每次诊断推荐、治疗方案推荐、评估表推荐等操作信息，以图形化方式展示。</w:t>
      </w:r>
    </w:p>
    <w:p w14:paraId="5497DA57">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en-US"/>
        </w:rPr>
        <w:t xml:space="preserve"> 预警记录统计：</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自动记录每次预警触发信息，按预警类型分类统计与排名，预警类型包括用药、检验、检查、手术、诊断等。</w:t>
      </w:r>
    </w:p>
    <w:p w14:paraId="0DDFCFED">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en-US"/>
        </w:rPr>
        <w:t>采纳率分析：</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统计推荐结果被医生采纳的比率，可按科室、医生进行下钻分析。</w:t>
      </w:r>
    </w:p>
    <w:p w14:paraId="78F10833">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en-US"/>
        </w:rPr>
        <w:t xml:space="preserve"> 使用率统计：</w:t>
      </w:r>
      <w:r>
        <w:rPr>
          <w:rFonts w:hint="eastAsia" w:ascii="宋体" w:hAnsi="宋体" w:eastAsia="宋体" w:cs="Times New Roman"/>
          <w:kern w:val="0"/>
          <w:sz w:val="24"/>
          <w:szCs w:val="22"/>
          <w:lang w:val="en-US" w:eastAsia="zh-CN" w:bidi="ar-SA"/>
        </w:rPr>
        <w:t>支持</w:t>
      </w:r>
      <w:r>
        <w:rPr>
          <w:rFonts w:hint="eastAsia" w:ascii="宋体" w:hAnsi="宋体" w:eastAsia="宋体" w:cs="宋体"/>
          <w:kern w:val="0"/>
          <w:sz w:val="24"/>
          <w:szCs w:val="24"/>
          <w:lang w:eastAsia="en-US"/>
        </w:rPr>
        <w:t>统计医护人员对CDSS各类功能的点击次数、覆盖患者数、覆盖医生数及时间趋势。</w:t>
      </w:r>
    </w:p>
    <w:p w14:paraId="1914AF21">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en-US"/>
        </w:rPr>
        <w:t>预警审核：支持管理员对触发的预警进行事后人工审核，标注通过、不通过或备</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lang w:eastAsia="en-US"/>
        </w:rPr>
        <w:t>数据导出：支持统计数据的导出与下载功能。</w:t>
      </w:r>
    </w:p>
    <w:p w14:paraId="5C7D0188">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0"/>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2.1.4</w:t>
      </w:r>
      <w:r>
        <w:rPr>
          <w:rFonts w:hint="eastAsia" w:ascii="宋体" w:hAnsi="宋体" w:eastAsia="宋体" w:cs="宋体"/>
          <w:b/>
          <w:bCs/>
          <w:color w:val="000000"/>
          <w:kern w:val="0"/>
          <w:sz w:val="24"/>
          <w:szCs w:val="24"/>
          <w:lang w:val="en-US" w:eastAsia="en-US" w:bidi="ar-SA"/>
        </w:rPr>
        <w:t>项目实施与服务要求</w:t>
      </w:r>
    </w:p>
    <w:p w14:paraId="11BB4A7C">
      <w:pPr>
        <w:keepNext/>
        <w:keepLines/>
        <w:pageBreakBefore w:val="0"/>
        <w:widowControl/>
        <w:kinsoku/>
        <w:wordWrap/>
        <w:overflowPunct/>
        <w:topLinePunct w:val="0"/>
        <w:autoSpaceDE/>
        <w:autoSpaceDN/>
        <w:bidi w:val="0"/>
        <w:adjustRightInd/>
        <w:snapToGrid/>
        <w:spacing w:before="0" w:after="0" w:line="360" w:lineRule="auto"/>
        <w:ind w:firstLine="0"/>
        <w:jc w:val="left"/>
        <w:textAlignment w:val="auto"/>
        <w:outlineLvl w:val="1"/>
        <w:rPr>
          <w:rFonts w:hint="eastAsia" w:ascii="宋体" w:hAnsi="宋体" w:eastAsia="宋体" w:cs="宋体"/>
          <w:b/>
          <w:bCs/>
          <w:color w:val="000000"/>
          <w:kern w:val="0"/>
          <w:sz w:val="24"/>
          <w:szCs w:val="24"/>
          <w:lang w:val="en-US" w:eastAsia="en-US" w:bidi="ar-SA"/>
        </w:rPr>
      </w:pPr>
      <w:r>
        <w:rPr>
          <w:rFonts w:hint="eastAsia" w:ascii="宋体" w:hAnsi="宋体" w:eastAsia="宋体" w:cs="宋体"/>
          <w:b/>
          <w:bCs/>
          <w:color w:val="000000"/>
          <w:kern w:val="0"/>
          <w:sz w:val="24"/>
          <w:szCs w:val="24"/>
          <w:lang w:val="en-US" w:eastAsia="zh-CN" w:bidi="ar-SA"/>
        </w:rPr>
        <w:t>2.1.4.1</w:t>
      </w:r>
      <w:r>
        <w:rPr>
          <w:rFonts w:hint="eastAsia" w:ascii="宋体" w:hAnsi="宋体" w:eastAsia="宋体" w:cs="宋体"/>
          <w:b/>
          <w:bCs/>
          <w:color w:val="000000"/>
          <w:kern w:val="0"/>
          <w:sz w:val="24"/>
          <w:szCs w:val="24"/>
          <w:lang w:val="en-US" w:eastAsia="en-US" w:bidi="ar-SA"/>
        </w:rPr>
        <w:t>系统对接要求</w:t>
      </w:r>
    </w:p>
    <w:p w14:paraId="272B3F19">
      <w:pPr>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kern w:val="0"/>
          <w:sz w:val="24"/>
          <w:szCs w:val="24"/>
          <w:lang w:eastAsia="en-US"/>
        </w:rPr>
      </w:pPr>
      <w:r>
        <w:rPr>
          <w:rFonts w:hint="eastAsia" w:ascii="宋体" w:hAnsi="宋体" w:eastAsia="宋体" w:cs="宋体"/>
          <w:kern w:val="0"/>
          <w:sz w:val="24"/>
          <w:szCs w:val="24"/>
          <w:lang w:eastAsia="en-US"/>
        </w:rPr>
        <w:t>★系统集成与接口对接：支持与医院现有</w:t>
      </w:r>
      <w:r>
        <w:rPr>
          <w:rFonts w:hint="eastAsia" w:ascii="宋体" w:hAnsi="宋体" w:eastAsia="宋体" w:cs="宋体"/>
          <w:kern w:val="0"/>
          <w:sz w:val="24"/>
          <w:szCs w:val="24"/>
          <w:lang w:val="en-US" w:eastAsia="zh-CN"/>
        </w:rPr>
        <w:t>信息</w:t>
      </w:r>
      <w:r>
        <w:rPr>
          <w:rFonts w:hint="eastAsia" w:ascii="宋体" w:hAnsi="宋体" w:eastAsia="宋体" w:cs="宋体"/>
          <w:kern w:val="0"/>
          <w:sz w:val="24"/>
          <w:szCs w:val="24"/>
          <w:lang w:eastAsia="en-US"/>
        </w:rPr>
        <w:t>系统进行对接，包括但不限于HIS系统（医院信息系统）、LIS系统（检验信息系统）、PACS系统（医学影像归档与通信系统）、电子病历系统、病案首页系统等。中标企业须负责完成上述系统的对接工作，并承担对接过程中由第三方公司产生的全部接口费用</w:t>
      </w:r>
      <w:r>
        <w:rPr>
          <w:rFonts w:hint="eastAsia" w:ascii="宋体" w:hAnsi="宋体" w:eastAsia="宋体" w:cs="宋体"/>
          <w:kern w:val="0"/>
          <w:sz w:val="24"/>
          <w:szCs w:val="24"/>
          <w:lang w:eastAsia="zh-CN"/>
        </w:rPr>
        <w:t>，</w:t>
      </w:r>
      <w:r>
        <w:rPr>
          <w:rFonts w:hint="eastAsia" w:ascii="宋体" w:hAnsi="宋体" w:eastAsia="宋体" w:cs="Times New Roman"/>
          <w:kern w:val="0"/>
          <w:sz w:val="24"/>
          <w:szCs w:val="22"/>
          <w:lang w:val="en-US" w:eastAsia="zh-CN" w:bidi="ar-SA"/>
        </w:rPr>
        <w:t>提供承诺函并加盖投标人公章（格式自拟）</w:t>
      </w:r>
      <w:r>
        <w:rPr>
          <w:rFonts w:hint="eastAsia" w:ascii="宋体" w:hAnsi="宋体" w:eastAsia="宋体" w:cs="宋体"/>
          <w:kern w:val="0"/>
          <w:sz w:val="24"/>
          <w:szCs w:val="24"/>
          <w:lang w:eastAsia="en-US"/>
        </w:rPr>
        <w:t>。</w:t>
      </w:r>
    </w:p>
    <w:p w14:paraId="3C90C933">
      <w:pPr>
        <w:pageBreakBefore w:val="0"/>
        <w:widowControl/>
        <w:kinsoku/>
        <w:wordWrap/>
        <w:overflowPunct/>
        <w:topLinePunct w:val="0"/>
        <w:autoSpaceDE/>
        <w:autoSpaceDN/>
        <w:bidi w:val="0"/>
        <w:adjustRightInd/>
        <w:snapToGrid/>
        <w:spacing w:line="360" w:lineRule="auto"/>
        <w:ind w:firstLine="0"/>
        <w:jc w:val="left"/>
        <w:textAlignment w:val="auto"/>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2.1.4.2其他功能要求</w:t>
      </w:r>
    </w:p>
    <w:p w14:paraId="14E497F0">
      <w:pPr>
        <w:pageBreakBefore w:val="0"/>
        <w:widowControl/>
        <w:kinsoku/>
        <w:wordWrap/>
        <w:overflowPunct/>
        <w:topLinePunct w:val="0"/>
        <w:autoSpaceDE/>
        <w:autoSpaceDN/>
        <w:bidi w:val="0"/>
        <w:adjustRightInd/>
        <w:snapToGrid/>
        <w:spacing w:line="360" w:lineRule="auto"/>
        <w:ind w:firstLine="0"/>
        <w:jc w:val="left"/>
        <w:textAlignment w:val="auto"/>
        <w:rPr>
          <w:rFonts w:hint="default"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（1）</w:t>
      </w:r>
      <w:r>
        <w:rPr>
          <w:rFonts w:hint="default" w:ascii="宋体" w:hAnsi="宋体" w:eastAsia="宋体" w:cs="宋体"/>
          <w:b w:val="0"/>
          <w:bCs w:val="0"/>
          <w:kern w:val="0"/>
          <w:sz w:val="24"/>
          <w:szCs w:val="24"/>
          <w:lang w:val="en-US" w:eastAsia="zh-CN"/>
        </w:rPr>
        <w:t>安全要求</w:t>
      </w:r>
    </w:p>
    <w:p w14:paraId="032A9B6C">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kern w:val="0"/>
          <w:sz w:val="24"/>
          <w:szCs w:val="24"/>
          <w:lang w:val="en-US" w:eastAsia="zh-CN"/>
        </w:rPr>
      </w:pPr>
      <w:r>
        <w:rPr>
          <w:rFonts w:hint="default" w:ascii="宋体" w:hAnsi="宋体" w:eastAsia="宋体" w:cs="宋体"/>
          <w:b w:val="0"/>
          <w:bCs w:val="0"/>
          <w:kern w:val="0"/>
          <w:sz w:val="24"/>
          <w:szCs w:val="24"/>
          <w:lang w:val="en-US" w:eastAsia="zh-CN"/>
        </w:rPr>
        <w:t>系统须</w:t>
      </w:r>
      <w:r>
        <w:rPr>
          <w:rFonts w:hint="eastAsia" w:ascii="宋体" w:hAnsi="宋体" w:eastAsia="宋体" w:cs="宋体"/>
          <w:b w:val="0"/>
          <w:bCs w:val="0"/>
          <w:kern w:val="0"/>
          <w:sz w:val="24"/>
          <w:szCs w:val="24"/>
          <w:lang w:val="en-US" w:eastAsia="zh-CN"/>
        </w:rPr>
        <w:t>满足</w:t>
      </w:r>
      <w:r>
        <w:rPr>
          <w:rFonts w:hint="default" w:ascii="宋体" w:hAnsi="宋体" w:eastAsia="宋体" w:cs="宋体"/>
          <w:b w:val="0"/>
          <w:bCs w:val="0"/>
          <w:kern w:val="0"/>
          <w:sz w:val="24"/>
          <w:szCs w:val="24"/>
          <w:lang w:val="en-US" w:eastAsia="zh-CN"/>
        </w:rPr>
        <w:t>网络安全等级保护 2.0 三级测评</w:t>
      </w:r>
      <w:r>
        <w:rPr>
          <w:rFonts w:hint="eastAsia" w:ascii="宋体" w:hAnsi="宋体" w:eastAsia="宋体" w:cs="宋体"/>
          <w:b w:val="0"/>
          <w:bCs w:val="0"/>
          <w:kern w:val="0"/>
          <w:sz w:val="24"/>
          <w:szCs w:val="24"/>
          <w:lang w:val="en-US" w:eastAsia="zh-CN"/>
        </w:rPr>
        <w:t>要求</w:t>
      </w:r>
      <w:r>
        <w:rPr>
          <w:rFonts w:hint="default" w:ascii="宋体" w:hAnsi="宋体" w:eastAsia="宋体" w:cs="宋体"/>
          <w:b w:val="0"/>
          <w:bCs w:val="0"/>
          <w:kern w:val="0"/>
          <w:sz w:val="24"/>
          <w:szCs w:val="24"/>
          <w:lang w:val="en-US" w:eastAsia="zh-CN"/>
        </w:rPr>
        <w:t>，按数据分级分类要求对患者敏感信息脱敏展示；实行最小权限访问控制，数据查询、导出、修改全程留痕审计，日志保存不少于 6 个月；提供数据库定期备份与恢复预案，制定数据安全事件应急预案并每年至少演练一次。</w:t>
      </w:r>
    </w:p>
    <w:p w14:paraId="34739976">
      <w:pPr>
        <w:pageBreakBefore w:val="0"/>
        <w:widowControl/>
        <w:kinsoku/>
        <w:wordWrap/>
        <w:overflowPunct/>
        <w:topLinePunct w:val="0"/>
        <w:autoSpaceDE/>
        <w:autoSpaceDN/>
        <w:bidi w:val="0"/>
        <w:adjustRightInd/>
        <w:snapToGrid/>
        <w:spacing w:line="360" w:lineRule="auto"/>
        <w:ind w:firstLine="0"/>
        <w:jc w:val="left"/>
        <w:textAlignment w:val="auto"/>
        <w:rPr>
          <w:rFonts w:hint="default"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（2）</w:t>
      </w:r>
      <w:r>
        <w:rPr>
          <w:rFonts w:hint="default" w:ascii="宋体" w:hAnsi="宋体" w:eastAsia="宋体" w:cs="宋体"/>
          <w:b w:val="0"/>
          <w:bCs w:val="0"/>
          <w:kern w:val="0"/>
          <w:sz w:val="24"/>
          <w:szCs w:val="24"/>
          <w:lang w:val="en-US" w:eastAsia="zh-CN"/>
        </w:rPr>
        <w:t>项目团队要求</w:t>
      </w:r>
    </w:p>
    <w:p w14:paraId="48D11A61">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kern w:val="0"/>
          <w:sz w:val="24"/>
          <w:szCs w:val="24"/>
          <w:lang w:val="en-US" w:eastAsia="zh-CN"/>
        </w:rPr>
      </w:pPr>
      <w:r>
        <w:rPr>
          <w:rFonts w:hint="default" w:ascii="宋体" w:hAnsi="宋体" w:eastAsia="宋体" w:cs="宋体"/>
          <w:b w:val="0"/>
          <w:bCs w:val="0"/>
          <w:kern w:val="0"/>
          <w:sz w:val="24"/>
          <w:szCs w:val="24"/>
          <w:lang w:val="en-US" w:eastAsia="zh-CN"/>
        </w:rPr>
        <w:t>投标人拟派项目经理须持有信息系统项目管理师（高级）专业人士证书；团队配备项目管理、软件开发、数据治理、现场实施及售后服务等专职人员；项目经理须具有不少于 2 个临床数据中心（CDR）或同类数据平台项目实施经验，并提供原厂商技术支持与售后服务承诺。</w:t>
      </w:r>
    </w:p>
    <w:p w14:paraId="19404793">
      <w:pPr>
        <w:widowControl/>
        <w:autoSpaceDE w:val="0"/>
        <w:autoSpaceDN w:val="0"/>
        <w:spacing w:line="486" w:lineRule="exact"/>
        <w:ind w:firstLine="241" w:firstLineChars="100"/>
        <w:contextualSpacing/>
        <w:jc w:val="left"/>
        <w:rPr>
          <w:rFonts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2.</w:t>
      </w:r>
      <w:r>
        <w:rPr>
          <w:rFonts w:hint="default" w:ascii="宋体" w:hAnsi="宋体" w:eastAsia="宋体" w:cs="宋体"/>
          <w:b/>
          <w:bCs/>
          <w:kern w:val="0"/>
          <w:sz w:val="24"/>
          <w:szCs w:val="24"/>
          <w:lang w:val="en-US" w:eastAsia="zh-CN"/>
        </w:rPr>
        <w:t>2</w:t>
      </w:r>
      <w:r>
        <w:rPr>
          <w:rFonts w:hint="eastAsia" w:ascii="宋体" w:hAnsi="宋体" w:eastAsia="宋体" w:cs="宋体"/>
          <w:b/>
          <w:bCs/>
          <w:kern w:val="0"/>
          <w:sz w:val="24"/>
          <w:szCs w:val="24"/>
          <w:lang w:eastAsia="zh-CN"/>
        </w:rPr>
        <w:t>采购标的需满足的服务标准、期限、效率等要求；</w:t>
      </w:r>
    </w:p>
    <w:p w14:paraId="3BCBABCE">
      <w:pPr>
        <w:tabs>
          <w:tab w:val="left" w:pos="900"/>
        </w:tabs>
        <w:autoSpaceDE/>
        <w:autoSpaceDN/>
        <w:spacing w:line="486" w:lineRule="exact"/>
        <w:ind w:firstLine="240" w:firstLineChars="100"/>
        <w:jc w:val="left"/>
        <w:rPr>
          <w:rFonts w:ascii="宋体" w:hAnsi="宋体" w:eastAsia="宋体" w:cs="宋体"/>
          <w:kern w:val="0"/>
          <w:sz w:val="24"/>
          <w:szCs w:val="24"/>
          <w:lang w:eastAsia="zh-CN"/>
        </w:rPr>
      </w:pPr>
      <w:r>
        <w:rPr>
          <w:rFonts w:hint="eastAsia" w:ascii="宋体" w:hAnsi="宋体" w:eastAsia="宋体" w:cs="宋体"/>
          <w:kern w:val="0"/>
          <w:sz w:val="24"/>
          <w:szCs w:val="24"/>
          <w:lang w:eastAsia="zh-CN"/>
        </w:rPr>
        <w:t>（1）采购标的需满足的服务标准、效率要求</w:t>
      </w:r>
    </w:p>
    <w:p w14:paraId="25230915">
      <w:pPr>
        <w:autoSpaceDE w:val="0"/>
        <w:autoSpaceDN w:val="0"/>
        <w:spacing w:line="486" w:lineRule="exact"/>
        <w:ind w:firstLine="480" w:firstLineChars="200"/>
        <w:contextualSpacing/>
        <w:jc w:val="left"/>
        <w:rPr>
          <w:rFonts w:ascii="宋体" w:hAnsi="宋体" w:eastAsia="宋体" w:cs="宋体"/>
          <w:kern w:val="0"/>
          <w:sz w:val="24"/>
          <w:szCs w:val="24"/>
          <w:lang w:eastAsia="zh-CN"/>
        </w:rPr>
      </w:pPr>
      <w:r>
        <w:rPr>
          <w:rFonts w:hint="eastAsia" w:ascii="宋体" w:hAnsi="宋体" w:eastAsia="宋体" w:cs="宋体"/>
          <w:kern w:val="0"/>
          <w:sz w:val="24"/>
          <w:szCs w:val="24"/>
          <w:lang w:eastAsia="zh-CN"/>
        </w:rPr>
        <w:t>详见 需满足的质量、安全、技术规格、物理特性等要求。</w:t>
      </w:r>
    </w:p>
    <w:p w14:paraId="235A3AC8">
      <w:pPr>
        <w:widowControl w:val="0"/>
        <w:autoSpaceDE w:val="0"/>
        <w:autoSpaceDN w:val="0"/>
        <w:spacing w:before="50" w:line="486" w:lineRule="exact"/>
        <w:ind w:firstLine="240" w:firstLineChars="1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（2）采购标的需满足的服务期限要求</w:t>
      </w:r>
    </w:p>
    <w:p w14:paraId="40034EF4">
      <w:pPr>
        <w:autoSpaceDE w:val="0"/>
        <w:autoSpaceDN w:val="0"/>
        <w:spacing w:line="486" w:lineRule="exact"/>
        <w:ind w:firstLine="480" w:firstLineChars="200"/>
        <w:contextualSpacing/>
        <w:jc w:val="left"/>
        <w:rPr>
          <w:rFonts w:hint="eastAsia" w:ascii="宋体" w:hAnsi="宋体" w:eastAsia="宋体" w:cs="宋体"/>
          <w:kern w:val="0"/>
          <w:sz w:val="24"/>
          <w:szCs w:val="24"/>
          <w:highlight w:val="yellow"/>
          <w:lang w:eastAsia="zh-CN"/>
        </w:rPr>
      </w:pPr>
      <w:r>
        <w:rPr>
          <w:rFonts w:hint="eastAsia" w:ascii="宋体" w:hAnsi="宋体" w:eastAsia="宋体" w:cs="宋体"/>
          <w:kern w:val="0"/>
          <w:sz w:val="24"/>
          <w:szCs w:val="24"/>
          <w:lang w:eastAsia="zh-CN"/>
        </w:rPr>
        <w:t>详见 需满足的质量、安全、技术规格、物理特性等要求。</w:t>
      </w:r>
    </w:p>
    <w:p w14:paraId="06A439C4">
      <w:pPr>
        <w:tabs>
          <w:tab w:val="left" w:pos="900"/>
        </w:tabs>
        <w:autoSpaceDE w:val="0"/>
        <w:autoSpaceDN w:val="0"/>
        <w:spacing w:before="156" w:beforeLines="50" w:line="486" w:lineRule="exact"/>
        <w:ind w:firstLine="241" w:firstLineChars="100"/>
        <w:jc w:val="left"/>
        <w:rPr>
          <w:rFonts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2.</w:t>
      </w:r>
      <w:r>
        <w:rPr>
          <w:rFonts w:hint="default" w:ascii="宋体" w:hAnsi="宋体" w:eastAsia="宋体" w:cs="宋体"/>
          <w:b/>
          <w:bCs/>
          <w:kern w:val="0"/>
          <w:sz w:val="24"/>
          <w:szCs w:val="24"/>
          <w:lang w:val="en-US" w:eastAsia="zh-CN"/>
        </w:rPr>
        <w:t>3</w:t>
      </w:r>
      <w:r>
        <w:rPr>
          <w:rFonts w:hint="eastAsia" w:ascii="宋体" w:hAnsi="宋体" w:eastAsia="宋体" w:cs="宋体"/>
          <w:b/>
          <w:bCs/>
          <w:kern w:val="0"/>
          <w:sz w:val="24"/>
          <w:szCs w:val="24"/>
          <w:lang w:eastAsia="zh-CN"/>
        </w:rPr>
        <w:t>为落实政府采购政策需满足的要求；</w:t>
      </w:r>
    </w:p>
    <w:p w14:paraId="5E9F2DBF">
      <w:pPr>
        <w:tabs>
          <w:tab w:val="left" w:pos="900"/>
        </w:tabs>
        <w:autoSpaceDE w:val="0"/>
        <w:autoSpaceDN w:val="0"/>
        <w:spacing w:line="486" w:lineRule="exact"/>
        <w:ind w:firstLine="480" w:firstLineChars="200"/>
        <w:jc w:val="left"/>
        <w:rPr>
          <w:rFonts w:ascii="宋体" w:hAnsi="宋体" w:eastAsia="宋体" w:cs="宋体"/>
          <w:kern w:val="0"/>
          <w:sz w:val="24"/>
          <w:szCs w:val="24"/>
          <w:lang w:eastAsia="zh-CN"/>
        </w:rPr>
      </w:pPr>
      <w:r>
        <w:rPr>
          <w:rFonts w:hint="eastAsia" w:ascii="宋体" w:hAnsi="宋体" w:eastAsia="宋体" w:cs="宋体"/>
          <w:kern w:val="0"/>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18471620">
      <w:pPr>
        <w:tabs>
          <w:tab w:val="left" w:pos="900"/>
        </w:tabs>
        <w:autoSpaceDE w:val="0"/>
        <w:autoSpaceDN w:val="0"/>
        <w:spacing w:line="486" w:lineRule="exact"/>
        <w:ind w:firstLine="480" w:firstLineChars="200"/>
        <w:jc w:val="left"/>
        <w:rPr>
          <w:rFonts w:ascii="宋体" w:hAnsi="宋体" w:eastAsia="宋体" w:cs="宋体"/>
          <w:kern w:val="0"/>
          <w:sz w:val="24"/>
          <w:szCs w:val="24"/>
          <w:lang w:eastAsia="zh-CN"/>
        </w:rPr>
      </w:pPr>
      <w:r>
        <w:rPr>
          <w:rFonts w:hint="eastAsia" w:ascii="宋体" w:hAnsi="宋体" w:eastAsia="宋体" w:cs="宋体"/>
          <w:kern w:val="0"/>
          <w:sz w:val="24"/>
          <w:szCs w:val="24"/>
          <w:lang w:eastAsia="zh-CN"/>
        </w:rPr>
        <w:t>（2）监狱企业扶持政策：供应商所投产品为监狱企业制造的，将视同为小型或微型企业，将对该投标产品的投标价给予10%的扣除。</w:t>
      </w:r>
      <w:r>
        <w:rPr>
          <w:rFonts w:hint="eastAsia" w:ascii="宋体" w:hAnsi="宋体" w:eastAsia="宋体" w:cs="宋体"/>
          <w:iCs/>
          <w:kern w:val="0"/>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kern w:val="0"/>
          <w:sz w:val="24"/>
          <w:szCs w:val="24"/>
          <w:lang w:eastAsia="zh-CN"/>
        </w:rPr>
        <w:t>。（专门面向中小企业采购或预留份额的情况不适用）</w:t>
      </w:r>
    </w:p>
    <w:p w14:paraId="63DA3860">
      <w:pPr>
        <w:tabs>
          <w:tab w:val="left" w:pos="900"/>
        </w:tabs>
        <w:autoSpaceDE w:val="0"/>
        <w:autoSpaceDN w:val="0"/>
        <w:spacing w:line="486" w:lineRule="exact"/>
        <w:ind w:firstLine="480" w:firstLineChars="200"/>
        <w:jc w:val="left"/>
        <w:rPr>
          <w:rFonts w:ascii="宋体" w:hAnsi="宋体" w:eastAsia="宋体" w:cs="宋体"/>
          <w:kern w:val="0"/>
          <w:sz w:val="24"/>
          <w:szCs w:val="24"/>
          <w:lang w:eastAsia="zh-CN"/>
        </w:rPr>
      </w:pPr>
      <w:r>
        <w:rPr>
          <w:rFonts w:hint="eastAsia" w:ascii="宋体" w:hAnsi="宋体" w:eastAsia="宋体" w:cs="宋体"/>
          <w:kern w:val="0"/>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694078C0">
      <w:pPr>
        <w:autoSpaceDE/>
        <w:autoSpaceDN/>
        <w:spacing w:line="486"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（4）鼓励节能、环保政策：依据《财政部发展改革委生态环境部市场监管总局关于调整优化节能产品、环境标志产品政府采购执行机制的通知（财库（2019）9号）》执行。</w:t>
      </w:r>
    </w:p>
    <w:p w14:paraId="3A452922">
      <w:pPr>
        <w:tabs>
          <w:tab w:val="left" w:pos="900"/>
        </w:tabs>
        <w:autoSpaceDE w:val="0"/>
        <w:autoSpaceDN w:val="0"/>
        <w:spacing w:line="486" w:lineRule="exact"/>
        <w:ind w:firstLine="480" w:firstLineChars="200"/>
        <w:jc w:val="left"/>
        <w:rPr>
          <w:rFonts w:ascii="宋体" w:hAnsi="宋体" w:eastAsia="宋体" w:cs="宋体"/>
          <w:kern w:val="0"/>
          <w:sz w:val="24"/>
          <w:szCs w:val="24"/>
          <w:lang w:eastAsia="zh-CN"/>
        </w:rPr>
      </w:pPr>
      <w:r>
        <w:rPr>
          <w:rFonts w:hint="eastAsia" w:ascii="宋体" w:hAnsi="宋体" w:eastAsia="宋体" w:cs="宋体"/>
          <w:kern w:val="0"/>
          <w:sz w:val="24"/>
          <w:szCs w:val="24"/>
          <w:lang w:eastAsia="zh-CN"/>
        </w:rPr>
        <w:t>（5）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r>
        <w:rPr>
          <w:rFonts w:hint="eastAsia" w:ascii="宋体" w:hAnsi="宋体" w:eastAsia="宋体" w:cs="宋体"/>
          <w:b/>
          <w:bCs/>
          <w:kern w:val="0"/>
          <w:sz w:val="24"/>
          <w:szCs w:val="24"/>
          <w:lang w:eastAsia="zh-CN"/>
        </w:rPr>
        <w:t>供应商应出具招标文件要求的证明材料给予证明，否则评标时不予认可。</w:t>
      </w:r>
      <w:r>
        <w:rPr>
          <w:rFonts w:hint="eastAsia" w:ascii="宋体" w:hAnsi="宋体" w:eastAsia="宋体" w:cs="宋体"/>
          <w:kern w:val="0"/>
          <w:sz w:val="24"/>
          <w:szCs w:val="24"/>
          <w:lang w:eastAsia="zh-CN"/>
        </w:rPr>
        <w:t>供应商应对提交的证明材料真实性负责，提交证明材料不真实的，应承担相应的法律责任。</w:t>
      </w:r>
    </w:p>
    <w:p w14:paraId="66AB2282">
      <w:pPr>
        <w:autoSpaceDE/>
        <w:autoSpaceDN/>
        <w:spacing w:before="20" w:line="486" w:lineRule="exact"/>
        <w:ind w:firstLine="482" w:firstLineChars="200"/>
        <w:jc w:val="left"/>
        <w:rPr>
          <w:rFonts w:ascii="宋体" w:hAnsi="宋体" w:eastAsia="宋体" w:cs="宋体"/>
          <w:b/>
          <w:bCs/>
          <w:kern w:val="0"/>
          <w:sz w:val="24"/>
          <w:szCs w:val="24"/>
          <w:highlight w:val="yellow"/>
          <w:lang w:eastAsia="zh-CN"/>
        </w:rPr>
      </w:pPr>
      <w:r>
        <w:rPr>
          <w:rFonts w:hint="eastAsia" w:ascii="宋体" w:hAnsi="宋体" w:eastAsia="宋体" w:cs="宋体"/>
          <w:b/>
          <w:bCs/>
          <w:kern w:val="0"/>
          <w:sz w:val="24"/>
          <w:szCs w:val="24"/>
          <w:lang w:eastAsia="zh-CN"/>
        </w:rPr>
        <w:t>2.</w:t>
      </w:r>
      <w:r>
        <w:rPr>
          <w:rFonts w:hint="default" w:ascii="宋体" w:hAnsi="宋体" w:eastAsia="宋体" w:cs="宋体"/>
          <w:b/>
          <w:bCs/>
          <w:kern w:val="0"/>
          <w:sz w:val="24"/>
          <w:szCs w:val="24"/>
          <w:lang w:val="en-US" w:eastAsia="zh-CN"/>
        </w:rPr>
        <w:t>4</w:t>
      </w:r>
      <w:r>
        <w:rPr>
          <w:rFonts w:hint="eastAsia" w:ascii="宋体" w:hAnsi="宋体" w:eastAsia="宋体" w:cs="宋体"/>
          <w:b/>
          <w:bCs/>
          <w:kern w:val="0"/>
          <w:sz w:val="24"/>
          <w:szCs w:val="24"/>
          <w:lang w:eastAsia="zh-CN"/>
        </w:rPr>
        <w:t>采购标的的其他技术、服务等要求；</w:t>
      </w:r>
    </w:p>
    <w:p w14:paraId="73F62FCD">
      <w:pPr>
        <w:tabs>
          <w:tab w:val="left" w:pos="900"/>
        </w:tabs>
        <w:autoSpaceDE w:val="0"/>
        <w:autoSpaceDN w:val="0"/>
        <w:spacing w:before="156" w:beforeLines="50" w:line="486" w:lineRule="exact"/>
        <w:ind w:firstLine="482" w:firstLineChars="200"/>
        <w:jc w:val="left"/>
        <w:rPr>
          <w:rFonts w:ascii="宋体" w:hAnsi="宋体" w:eastAsia="宋体" w:cs="宋体"/>
          <w:b/>
          <w:bCs/>
          <w:kern w:val="0"/>
          <w:sz w:val="24"/>
          <w:szCs w:val="24"/>
          <w:highlight w:val="none"/>
          <w:lang w:eastAsia="zh-CN"/>
        </w:rPr>
      </w:pPr>
      <w:r>
        <w:rPr>
          <w:rFonts w:hint="eastAsia" w:ascii="宋体" w:hAnsi="宋体" w:eastAsia="宋体" w:cs="宋体"/>
          <w:b/>
          <w:bCs/>
          <w:kern w:val="0"/>
          <w:sz w:val="24"/>
          <w:szCs w:val="24"/>
          <w:highlight w:val="none"/>
          <w:lang w:eastAsia="zh-CN"/>
        </w:rPr>
        <w:t>投标人须提供对总体设计方案评价、衔接保障方案、项目管理及实施方案评价、团队情况、售后服务方案、培训方案等。</w:t>
      </w:r>
    </w:p>
    <w:p w14:paraId="47C8827B">
      <w:pPr>
        <w:tabs>
          <w:tab w:val="left" w:pos="900"/>
        </w:tabs>
        <w:autoSpaceDE w:val="0"/>
        <w:autoSpaceDN w:val="0"/>
        <w:spacing w:before="156" w:beforeLines="50" w:line="486" w:lineRule="exact"/>
        <w:ind w:firstLine="482" w:firstLineChars="200"/>
        <w:jc w:val="left"/>
        <w:rPr>
          <w:rFonts w:ascii="宋体" w:hAnsi="宋体" w:eastAsia="宋体" w:cs="宋体"/>
          <w:b/>
          <w:kern w:val="0"/>
          <w:sz w:val="24"/>
          <w:szCs w:val="24"/>
          <w:lang w:eastAsia="zh-CN"/>
        </w:rPr>
      </w:pPr>
      <w:r>
        <w:rPr>
          <w:rFonts w:hint="eastAsia" w:ascii="宋体" w:hAnsi="宋体" w:eastAsia="宋体" w:cs="宋体"/>
          <w:b/>
          <w:kern w:val="0"/>
          <w:sz w:val="24"/>
          <w:szCs w:val="24"/>
          <w:lang w:eastAsia="zh-CN"/>
        </w:rPr>
        <w:t>3.采购标的的验收标准</w:t>
      </w:r>
    </w:p>
    <w:p w14:paraId="4E8F85FB">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jc w:val="both"/>
        <w:textAlignment w:val="auto"/>
        <w:outlineLvl w:val="9"/>
        <w:rPr>
          <w:rFonts w:hint="eastAsia" w:ascii="宋体" w:hAnsi="宋体" w:eastAsia="宋体" w:cs="宋体"/>
          <w:b w:val="0"/>
          <w:sz w:val="24"/>
          <w:szCs w:val="24"/>
          <w:lang w:val="en-US" w:eastAsia="zh-CN" w:bidi="ar-SA"/>
        </w:rPr>
      </w:pPr>
      <w:bookmarkStart w:id="2" w:name="_Toc181860788"/>
      <w:bookmarkStart w:id="3" w:name="_Toc15601"/>
      <w:r>
        <w:rPr>
          <w:rFonts w:hint="eastAsia" w:ascii="宋体" w:hAnsi="宋体" w:eastAsia="宋体" w:cs="宋体"/>
          <w:b w:val="0"/>
          <w:sz w:val="24"/>
          <w:szCs w:val="24"/>
          <w:lang w:val="en-US" w:eastAsia="zh-CN" w:bidi="ar-SA"/>
        </w:rPr>
        <w:t>3.</w:t>
      </w:r>
      <w:r>
        <w:rPr>
          <w:rFonts w:ascii="宋体" w:hAnsi="宋体" w:eastAsia="宋体" w:cs="宋体"/>
          <w:b w:val="0"/>
          <w:sz w:val="24"/>
          <w:szCs w:val="24"/>
          <w:lang w:val="en-US" w:eastAsia="zh-CN" w:bidi="ar-SA"/>
        </w:rPr>
        <w:t>1</w:t>
      </w:r>
      <w:r>
        <w:rPr>
          <w:rFonts w:hint="eastAsia" w:ascii="宋体" w:hAnsi="宋体" w:eastAsia="宋体" w:cs="宋体"/>
          <w:b w:val="0"/>
          <w:sz w:val="24"/>
          <w:szCs w:val="24"/>
          <w:lang w:val="en-US" w:eastAsia="zh-CN" w:bidi="ar-SA"/>
        </w:rPr>
        <w:t>符合采购人服务范围要求。</w:t>
      </w:r>
      <w:bookmarkEnd w:id="2"/>
      <w:bookmarkEnd w:id="3"/>
    </w:p>
    <w:p w14:paraId="57D4570A">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jc w:val="both"/>
        <w:textAlignment w:val="auto"/>
        <w:outlineLvl w:val="9"/>
        <w:rPr>
          <w:rFonts w:hint="eastAsia" w:ascii="宋体" w:hAnsi="宋体" w:eastAsia="宋体" w:cs="宋体"/>
          <w:b w:val="0"/>
          <w:sz w:val="24"/>
          <w:szCs w:val="24"/>
          <w:lang w:val="en-US" w:eastAsia="zh-CN" w:bidi="ar-SA"/>
        </w:rPr>
      </w:pPr>
      <w:bookmarkStart w:id="4" w:name="_Toc181860789"/>
      <w:bookmarkStart w:id="5" w:name="_Toc26326"/>
      <w:r>
        <w:rPr>
          <w:rFonts w:hint="eastAsia" w:ascii="宋体" w:hAnsi="宋体" w:eastAsia="宋体" w:cs="宋体"/>
          <w:b w:val="0"/>
          <w:sz w:val="24"/>
          <w:szCs w:val="24"/>
          <w:lang w:val="en-US" w:eastAsia="zh-CN" w:bidi="ar-SA"/>
        </w:rPr>
        <w:t>3.</w:t>
      </w:r>
      <w:r>
        <w:rPr>
          <w:rFonts w:ascii="宋体" w:hAnsi="宋体" w:eastAsia="宋体" w:cs="宋体"/>
          <w:b w:val="0"/>
          <w:sz w:val="24"/>
          <w:szCs w:val="24"/>
          <w:lang w:val="en-US" w:eastAsia="zh-CN" w:bidi="ar-SA"/>
        </w:rPr>
        <w:t>2</w:t>
      </w:r>
      <w:r>
        <w:rPr>
          <w:rFonts w:hint="eastAsia" w:ascii="宋体" w:hAnsi="宋体" w:eastAsia="宋体" w:cs="宋体"/>
          <w:b w:val="0"/>
          <w:sz w:val="24"/>
          <w:szCs w:val="24"/>
          <w:lang w:val="en-US" w:eastAsia="zh-CN" w:bidi="ar-SA"/>
        </w:rPr>
        <w:t>供应商配置的硬件设备（如涉及）符合采购人要求。</w:t>
      </w:r>
      <w:bookmarkEnd w:id="4"/>
      <w:bookmarkEnd w:id="5"/>
    </w:p>
    <w:p w14:paraId="555FAEAB">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jc w:val="both"/>
        <w:textAlignment w:val="auto"/>
        <w:outlineLvl w:val="9"/>
        <w:rPr>
          <w:rFonts w:hint="eastAsia" w:ascii="宋体" w:hAnsi="宋体" w:eastAsia="宋体" w:cs="宋体"/>
          <w:b w:val="0"/>
          <w:sz w:val="24"/>
          <w:szCs w:val="24"/>
          <w:lang w:val="en-US" w:eastAsia="zh-CN" w:bidi="ar-SA"/>
        </w:rPr>
      </w:pPr>
      <w:bookmarkStart w:id="6" w:name="_Toc11917"/>
      <w:bookmarkStart w:id="7" w:name="_Toc181860790"/>
      <w:r>
        <w:rPr>
          <w:rFonts w:hint="eastAsia" w:ascii="宋体" w:hAnsi="宋体" w:eastAsia="宋体" w:cs="宋体"/>
          <w:b w:val="0"/>
          <w:sz w:val="24"/>
          <w:szCs w:val="24"/>
          <w:lang w:val="en-US" w:eastAsia="zh-CN" w:bidi="ar-SA"/>
        </w:rPr>
        <w:t>3.</w:t>
      </w:r>
      <w:r>
        <w:rPr>
          <w:rFonts w:ascii="宋体" w:hAnsi="宋体" w:eastAsia="宋体" w:cs="宋体"/>
          <w:b w:val="0"/>
          <w:sz w:val="24"/>
          <w:szCs w:val="24"/>
          <w:lang w:val="en-US" w:eastAsia="zh-CN" w:bidi="ar-SA"/>
        </w:rPr>
        <w:t>3</w:t>
      </w:r>
      <w:r>
        <w:rPr>
          <w:rFonts w:hint="eastAsia" w:ascii="宋体" w:hAnsi="宋体" w:eastAsia="宋体" w:cs="宋体"/>
          <w:b w:val="0"/>
          <w:sz w:val="24"/>
          <w:szCs w:val="24"/>
          <w:lang w:val="en-US" w:eastAsia="zh-CN" w:bidi="ar-SA"/>
        </w:rPr>
        <w:t>完成采购人要求的工作内容。</w:t>
      </w:r>
      <w:bookmarkEnd w:id="6"/>
      <w:bookmarkEnd w:id="7"/>
    </w:p>
    <w:p w14:paraId="04684B59">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bookmarkStart w:id="8" w:name="_Toc181860791"/>
      <w:bookmarkStart w:id="9" w:name="_Toc32098"/>
      <w:r>
        <w:rPr>
          <w:rFonts w:hint="eastAsia" w:ascii="宋体" w:hAnsi="宋体" w:eastAsia="宋体" w:cs="宋体"/>
          <w:b w:val="0"/>
          <w:sz w:val="24"/>
          <w:szCs w:val="24"/>
          <w:lang w:val="en-US" w:eastAsia="zh-CN" w:bidi="ar-SA"/>
        </w:rPr>
        <w:t>3.</w:t>
      </w:r>
      <w:r>
        <w:rPr>
          <w:rFonts w:ascii="宋体" w:hAnsi="宋体" w:eastAsia="宋体" w:cs="宋体"/>
          <w:b w:val="0"/>
          <w:sz w:val="24"/>
          <w:szCs w:val="24"/>
          <w:lang w:val="en-US" w:eastAsia="zh-CN" w:bidi="ar-SA"/>
        </w:rPr>
        <w:t>4</w:t>
      </w:r>
      <w:r>
        <w:rPr>
          <w:rFonts w:hint="eastAsia" w:ascii="宋体" w:hAnsi="宋体" w:eastAsia="宋体" w:cs="宋体"/>
          <w:b w:val="0"/>
          <w:sz w:val="24"/>
          <w:szCs w:val="24"/>
          <w:lang w:val="en-US" w:eastAsia="zh-CN" w:bidi="ar-SA"/>
        </w:rPr>
        <w:t>达到采购人要求的服务和质量标准</w:t>
      </w:r>
      <w:bookmarkEnd w:id="8"/>
      <w:bookmarkEnd w:id="9"/>
      <w:r>
        <w:rPr>
          <w:rFonts w:hint="eastAsia" w:ascii="宋体" w:hAnsi="宋体" w:eastAsia="宋体" w:cs="宋体"/>
          <w:b w:val="0"/>
          <w:sz w:val="24"/>
          <w:szCs w:val="24"/>
          <w:lang w:val="en-US" w:eastAsia="zh-CN" w:bidi="ar-S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6462F0"/>
    <w:rsid w:val="38EA5CAA"/>
    <w:rsid w:val="3FB34197"/>
    <w:rsid w:val="42563169"/>
    <w:rsid w:val="500F4BB5"/>
    <w:rsid w:val="518918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2813</Words>
  <Characters>2958</Characters>
  <Lines>0</Lines>
  <Paragraphs>0</Paragraphs>
  <TotalTime>0</TotalTime>
  <ScaleCrop>false</ScaleCrop>
  <LinksUpToDate>false</LinksUpToDate>
  <CharactersWithSpaces>2967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JianJiang</dc:creator>
  <cp:lastModifiedBy>Serena</cp:lastModifiedBy>
  <dcterms:modified xsi:type="dcterms:W3CDTF">2026-10-15T02:48:54Z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eyJoZGlkIjoiMTUxNjU4Y2I1ZTg1ZmY0MTJiZWRhYWQxYzNmOTNlNDEiLCJ1c2VySWQiOiIyMTg5Mjc5NjMifQ==</vt:lpwstr>
  </property>
  <property fmtid="{D5CDD505-2E9C-101B-9397-08002B2CF9AE}" pid="4" name="ICV">
    <vt:lpwstr>D4EC95946ACB48DB848E1E63FCFC80C9_12</vt:lpwstr>
  </property>
</Properties>
</file>