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10A95">
      <w:pPr>
        <w:spacing w:line="360" w:lineRule="auto"/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采购需求</w:t>
      </w:r>
    </w:p>
    <w:p w14:paraId="32892227">
      <w:pPr>
        <w:widowControl/>
        <w:spacing w:after="200" w:line="276" w:lineRule="auto"/>
        <w:jc w:val="left"/>
        <w:rPr>
          <w:rFonts w:hint="eastAsia" w:ascii="宋体" w:hAnsi="宋体" w:eastAsia="宋体" w:cs="Times New Roman"/>
          <w:b/>
          <w:bCs/>
          <w:kern w:val="0"/>
          <w:sz w:val="24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kern w:val="0"/>
          <w:sz w:val="32"/>
          <w:szCs w:val="32"/>
          <w:highlight w:val="none"/>
          <w:lang w:val="en-US" w:eastAsia="zh-CN"/>
        </w:rPr>
        <w:t>技术要求</w:t>
      </w:r>
    </w:p>
    <w:p w14:paraId="4AAED3E6">
      <w:pPr>
        <w:widowControl/>
        <w:spacing w:after="200" w:line="276" w:lineRule="auto"/>
        <w:jc w:val="left"/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一、总体基础要求</w:t>
      </w:r>
    </w:p>
    <w:p w14:paraId="02306222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1. 软件为离线桌面程序，无需联网、数据本地存储，保障监测数据安全。</w:t>
      </w:r>
    </w:p>
    <w:p w14:paraId="6ED0563B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2. 兼容Win7/10/11，普通办公电脑可流畅运行，全中文操作界面。</w:t>
      </w:r>
    </w:p>
    <w:p w14:paraId="4BFFD301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3. 提供完整中文操作手册。</w:t>
      </w:r>
    </w:p>
    <w:p w14:paraId="3A5F0806">
      <w:pPr>
        <w:widowControl/>
        <w:spacing w:after="200" w:line="276" w:lineRule="auto"/>
        <w:jc w:val="left"/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二、四大核心功能模块技术要求</w:t>
      </w:r>
    </w:p>
    <w:p w14:paraId="5EE52A08">
      <w:pPr>
        <w:widowControl/>
        <w:spacing w:after="200" w:line="276" w:lineRule="auto"/>
        <w:jc w:val="left"/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模块一 菌株保存信息管理</w:t>
      </w:r>
    </w:p>
    <w:p w14:paraId="529DA2CF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1. 完整记录菌株名称、代次、血清型、基因型、来源、动物种类等档案信息。</w:t>
      </w:r>
    </w:p>
    <w:p w14:paraId="7939C9F8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2. 管理员可视化自定义新增信息条目，新增字段后录入界面自动适配，无需改程序。</w:t>
      </w:r>
    </w:p>
    <w:p w14:paraId="3BAE745F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3. 支持Excel批量导入导出、多条件组合检索，查询结果可导出表格。</w:t>
      </w:r>
    </w:p>
    <w:p w14:paraId="1A30CD5D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4. 菌株新增、修改、删除全程留痕，可追溯操作人、时间与变更内容。</w:t>
      </w:r>
    </w:p>
    <w:p w14:paraId="79D288F1">
      <w:pPr>
        <w:widowControl/>
        <w:spacing w:after="200" w:line="276" w:lineRule="auto"/>
        <w:jc w:val="left"/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模块二 药敏结果自动判断</w:t>
      </w:r>
    </w:p>
    <w:p w14:paraId="17732D88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1. 可自主录入CLSI、EUCAST或实验室自建药敏折点标准，支持多套标准切换。</w:t>
      </w:r>
    </w:p>
    <w:p w14:paraId="5817A4F5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2. 录入抑菌圈直径或MIC值，系统自动判定敏感(S)/中介(I)/耐药(R)。</w:t>
      </w:r>
    </w:p>
    <w:p w14:paraId="3919CF5F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3. 支持手动修正判定结果，所有修改记录留存；可导出WHONET格式用于监测上报。</w:t>
      </w:r>
    </w:p>
    <w:p w14:paraId="36993A7F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4. 药敏数据与对应菌株档案绑定，可一键调取历史检测记录。</w:t>
      </w:r>
    </w:p>
    <w:p w14:paraId="27A114B5">
      <w:pPr>
        <w:widowControl/>
        <w:spacing w:after="200" w:line="276" w:lineRule="auto"/>
        <w:jc w:val="left"/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模块三 耐药数据分析</w:t>
      </w:r>
    </w:p>
    <w:p w14:paraId="49DD87F2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1. 自动计算耐药率、多重耐药率、MIC50/90，生成耐药谱，开展ESBL等特殊表型关联分析。</w:t>
      </w:r>
    </w:p>
    <w:p w14:paraId="2275D7A0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2. 自动标记多重耐药菌、罕见耐药菌株，按时间、采样地、菌种分析耐药变化趋势。</w:t>
      </w:r>
    </w:p>
    <w:p w14:paraId="0E07C866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3. 按需生成、导出、打印标准化耐药监测报表。</w:t>
      </w:r>
    </w:p>
    <w:p w14:paraId="533DEA65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模块四 数据风险智能预警</w:t>
      </w:r>
    </w:p>
    <w:p w14:paraId="37DF2A62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1. 录入药敏数据即时识别MRSA、VRE、CRE等重点多重耐药菌，弹窗预警。</w:t>
      </w:r>
    </w:p>
    <w:p w14:paraId="51DE735E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2. 耐药率短期骤升、检出罕见耐药表型自动提醒，支持自定义预警规则。</w:t>
      </w:r>
    </w:p>
    <w:p w14:paraId="1C510FE2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3. 自动划分菌株一般/中度/高度风险等级，高风险菌株重点标记。</w:t>
      </w:r>
    </w:p>
    <w:p w14:paraId="6013AAB4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4. 预警信息存档并可登记处置记录，按时段、采样地生成风险预警报告；支持原始数据溯源并给出临床用药参考。</w:t>
      </w:r>
    </w:p>
    <w:p w14:paraId="3D4C9A49">
      <w:pPr>
        <w:widowControl/>
        <w:spacing w:after="200" w:line="276" w:lineRule="auto"/>
        <w:jc w:val="left"/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三、数据安全要求</w:t>
      </w:r>
    </w:p>
    <w:p w14:paraId="376219C1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1. 三级权限管控：管理员、录入员、只读用户，各账号操作范围隔离。</w:t>
      </w:r>
    </w:p>
    <w:p w14:paraId="39C60897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2. 登录、增删改查、备份恢复全流程生成不可删除操作日志。</w:t>
      </w:r>
    </w:p>
    <w:p w14:paraId="36C235F3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3. 支持一键手动备份+定时自动备份，备份文件可外置存储防数据丢失。</w:t>
      </w:r>
    </w:p>
    <w:p w14:paraId="5B0BADE6">
      <w:pPr>
        <w:widowControl/>
        <w:spacing w:after="200" w:line="276" w:lineRule="auto"/>
        <w:jc w:val="left"/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四、性能易用要求</w:t>
      </w:r>
    </w:p>
    <w:p w14:paraId="3149EE7C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1. 数千条数据下查询、保存无卡顿，运行稳定，无闪退、丢数据问题。</w:t>
      </w:r>
    </w:p>
    <w:p w14:paraId="6F5CD3E9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2. 贴合实验室工作流程，功能布局直观；填写错误弹出清晰中文提示。</w:t>
      </w:r>
    </w:p>
    <w:p w14:paraId="33F2822C">
      <w:pPr>
        <w:widowControl/>
        <w:spacing w:after="200" w:line="276" w:lineRule="auto"/>
        <w:jc w:val="left"/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五、配套技术服务要求</w:t>
      </w:r>
    </w:p>
    <w:p w14:paraId="61259076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1. 免费质保不少于2年，质保期内免费升级、修复故障、提供技术支持。</w:t>
      </w:r>
    </w:p>
    <w:p w14:paraId="18DB934C">
      <w:pPr>
        <w:widowControl/>
        <w:spacing w:after="200" w:line="276" w:lineRule="auto"/>
        <w:jc w:val="left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2. 供应商上门全流程实操培训，确保工作人员独立使用。</w:t>
      </w:r>
    </w:p>
    <w:p w14:paraId="5C94D773">
      <w:pP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3. 故障2小时远程响应，无法远程解决的48小时内上门处理。</w:t>
      </w:r>
    </w:p>
    <w:p w14:paraId="2D1815CF">
      <w:pP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</w:p>
    <w:p w14:paraId="56B15929">
      <w:pPr>
        <w:widowControl/>
        <w:spacing w:after="200" w:line="276" w:lineRule="auto"/>
        <w:jc w:val="left"/>
        <w:rPr>
          <w:rFonts w:hint="default" w:ascii="宋体" w:hAnsi="宋体" w:eastAsia="宋体" w:cs="Times New Roman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kern w:val="0"/>
          <w:sz w:val="32"/>
          <w:szCs w:val="32"/>
          <w:highlight w:val="none"/>
          <w:lang w:val="en-US" w:eastAsia="zh-CN"/>
        </w:rPr>
        <w:t>商务要求</w:t>
      </w:r>
    </w:p>
    <w:p w14:paraId="7B23F22E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一、交付与安装</w:t>
      </w:r>
    </w:p>
    <w:p w14:paraId="607034FA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1. 交付时间：合同签订后30天内完成软件安装部署和调试，达到可以正常使用的状态；</w:t>
      </w:r>
    </w:p>
    <w:p w14:paraId="2C0F9303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2. 安装地点：[</w:t>
      </w:r>
      <w:r>
        <w:rPr>
          <w:rFonts w:hint="eastAsia" w:ascii="宋体" w:hAnsi="宋体" w:eastAsia="宋体" w:cs="Times New Roman"/>
          <w:kern w:val="0"/>
          <w:sz w:val="24"/>
          <w:szCs w:val="22"/>
          <w:highlight w:val="none"/>
          <w:lang w:eastAsia="zh-CN"/>
        </w:rPr>
        <w:t>北京市兽药饲料监测中心微生物室</w:t>
      </w: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]；</w:t>
      </w:r>
    </w:p>
    <w:p w14:paraId="328375B4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3. 交付内容：软件安装程序、操作手册、培训资料。</w:t>
      </w:r>
    </w:p>
    <w:p w14:paraId="74BE9FD9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二、培训服务</w:t>
      </w:r>
    </w:p>
    <w:p w14:paraId="466CF3C9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1. 供应商需要安排技术人员到现场进行培训，确保实验室</w:t>
      </w:r>
      <w:r>
        <w:rPr>
          <w:rFonts w:hint="eastAsia" w:ascii="宋体" w:hAnsi="宋体" w:eastAsia="宋体" w:cs="Times New Roman"/>
          <w:kern w:val="0"/>
          <w:sz w:val="24"/>
          <w:szCs w:val="22"/>
          <w:highlight w:val="none"/>
          <w:lang w:eastAsia="zh-CN"/>
        </w:rPr>
        <w:t>相关</w:t>
      </w: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使用人员都能独立操作软件；</w:t>
      </w:r>
    </w:p>
    <w:p w14:paraId="2534E54F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2. 培训内容包括：软件安装、数据录入、结果判断、统计查询、数据备份、常见问题处理等；</w:t>
      </w:r>
    </w:p>
    <w:p w14:paraId="19F30BB1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3. 后续如果有人员变动，供应商需要免费提供远程培训指导。</w:t>
      </w:r>
    </w:p>
    <w:p w14:paraId="27A7B4E6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三、质保与售后服务</w:t>
      </w:r>
    </w:p>
    <w:p w14:paraId="3A273AF2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★1. 软件免费质保期不少于2年，质保期内免费提供软件升级、bug修复、技术支持服务；</w:t>
      </w:r>
    </w:p>
    <w:p w14:paraId="21FDA150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2. 质保期内出现软件使用问题，供应商需要在2小时内响应，能远程解决的远程解决，不能远程解决的48小时内安排人员到现场处理；</w:t>
      </w:r>
    </w:p>
    <w:p w14:paraId="11812731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四、付款方式</w:t>
      </w:r>
    </w:p>
    <w:p w14:paraId="3D1D541A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1. 合同签订后</w:t>
      </w:r>
      <w:r>
        <w:rPr>
          <w:rFonts w:hint="eastAsia" w:ascii="宋体" w:hAnsi="宋体" w:eastAsia="宋体" w:cs="Times New Roman"/>
          <w:kern w:val="0"/>
          <w:sz w:val="24"/>
          <w:szCs w:val="22"/>
          <w:highlight w:val="none"/>
          <w:lang w:eastAsia="zh-CN"/>
        </w:rPr>
        <w:t>，按期开展</w:t>
      </w: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软件安装调试，验收合格后，支付合同总</w:t>
      </w:r>
      <w:bookmarkStart w:id="0" w:name="_GoBack"/>
      <w:bookmarkEnd w:id="0"/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额。</w:t>
      </w:r>
    </w:p>
    <w:p w14:paraId="2DF01AAB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五、验收标准</w:t>
      </w:r>
    </w:p>
    <w:p w14:paraId="67C82BB3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1. 软件所有功能符合</w:t>
      </w:r>
      <w:r>
        <w:rPr>
          <w:rFonts w:hint="eastAsia" w:ascii="宋体" w:hAnsi="宋体" w:eastAsia="宋体" w:cs="Times New Roman"/>
          <w:kern w:val="0"/>
          <w:sz w:val="24"/>
          <w:szCs w:val="22"/>
          <w:highlight w:val="none"/>
          <w:lang w:val="en-US" w:eastAsia="zh-CN"/>
        </w:rPr>
        <w:t>招标</w:t>
      </w: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文件要求，运行稳定；</w:t>
      </w:r>
    </w:p>
    <w:p w14:paraId="1C675EFE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 xml:space="preserve">2. </w:t>
      </w:r>
      <w:r>
        <w:rPr>
          <w:rFonts w:hint="eastAsia" w:ascii="宋体" w:hAnsi="宋体" w:eastAsia="宋体" w:cs="Times New Roman"/>
          <w:kern w:val="0"/>
          <w:sz w:val="24"/>
          <w:szCs w:val="22"/>
          <w:highlight w:val="none"/>
          <w:lang w:eastAsia="zh-CN"/>
        </w:rPr>
        <w:t>相关</w:t>
      </w: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使用人员能够独立操作；</w:t>
      </w:r>
    </w:p>
    <w:p w14:paraId="6EFF3BAE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3. 完成测试数据的录入和试运行，没有影响使用的问题；</w:t>
      </w:r>
    </w:p>
    <w:p w14:paraId="26C7C954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4. 交付完整的操作手册和相关资料。</w:t>
      </w:r>
    </w:p>
    <w:p w14:paraId="29C00D91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2"/>
          <w:highlight w:val="none"/>
          <w:lang w:eastAsia="zh-CN"/>
        </w:rPr>
        <w:t>六、知识产权</w:t>
      </w:r>
    </w:p>
    <w:p w14:paraId="389B96B5">
      <w:pPr>
        <w:widowControl/>
        <w:spacing w:after="200" w:line="276" w:lineRule="auto"/>
        <w:jc w:val="left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1. 供应商需要保证所提供的软件拥有合法的知识产权，不会产生知识产权纠纷；</w:t>
      </w:r>
    </w:p>
    <w:p w14:paraId="295BEAAF">
      <w:pPr>
        <w:spacing w:line="360" w:lineRule="auto"/>
        <w:jc w:val="both"/>
        <w:outlineLvl w:val="9"/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</w:pPr>
      <w:r>
        <w:rPr>
          <w:rFonts w:ascii="宋体" w:hAnsi="宋体" w:eastAsia="宋体" w:cs="Times New Roman"/>
          <w:kern w:val="0"/>
          <w:sz w:val="24"/>
          <w:szCs w:val="22"/>
          <w:highlight w:val="none"/>
          <w:lang w:eastAsia="zh-CN"/>
        </w:rPr>
        <w:t>2. 采购方拥有软件的使用权，以及所有录入数据的所有权。</w:t>
      </w:r>
    </w:p>
    <w:p w14:paraId="3A2DBB3C">
      <w:pPr>
        <w:rPr>
          <w:b/>
          <w:sz w:val="36"/>
          <w:szCs w:val="36"/>
        </w:rPr>
      </w:pPr>
    </w:p>
    <w:p w14:paraId="6FE344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D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2026-10-22T06:52:45Z</dcterms:created>
  <dc:creator>87972</dc:creator>
  <cp:lastModifiedBy>Leng and shine</cp:lastModifiedBy>
  <dcterms:modified xsi:type="dcterms:W3CDTF">2026-10-22T06:53:06Z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eyJoZGlkIjoiM2NmYTA5M2ZjNmFhMTFlMmRkMzRhZThlZGFmZjMxNDciLCJ1c2VySWQiOiIzMDUyMjQyOTYifQ==</vt:lpwstr>
  </property>
  <property fmtid="{D5CDD505-2E9C-101B-9397-08002B2CF9AE}" pid="4" name="ICV">
    <vt:lpwstr>2E55838920AB4811970E13430A0D8A8D_12</vt:lpwstr>
  </property>
</Properties>
</file>