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5EBBCE">
      <w:pPr>
        <w:spacing w:line="360" w:lineRule="auto"/>
        <w:jc w:val="center"/>
        <w:outlineLvl w:val="0"/>
        <w:rPr>
          <w:rFonts w:hint="eastAsia" w:ascii="宋体" w:hAnsi="宋体"/>
          <w:b/>
          <w:sz w:val="36"/>
          <w:szCs w:val="36"/>
        </w:rPr>
      </w:pPr>
      <w:bookmarkStart w:id="3" w:name="_GoBack"/>
      <w:bookmarkEnd w:id="3"/>
      <w:bookmarkStart w:id="0" w:name="_Toc10084"/>
      <w:r>
        <w:rPr>
          <w:rFonts w:hint="eastAsia" w:ascii="宋体" w:hAnsi="宋体"/>
          <w:b/>
          <w:sz w:val="36"/>
          <w:szCs w:val="36"/>
        </w:rPr>
        <w:t xml:space="preserve">  </w:t>
      </w:r>
      <w:r>
        <w:rPr>
          <w:rFonts w:ascii="宋体" w:hAnsi="宋体"/>
          <w:b/>
          <w:sz w:val="36"/>
          <w:szCs w:val="36"/>
        </w:rPr>
        <w:t>采购需求</w:t>
      </w:r>
      <w:bookmarkEnd w:id="0"/>
    </w:p>
    <w:p w14:paraId="2F579DF0">
      <w:pPr>
        <w:spacing w:line="360" w:lineRule="auto"/>
        <w:ind w:firstLine="482" w:firstLineChars="200"/>
        <w:jc w:val="left"/>
        <w:rPr>
          <w:rFonts w:hint="eastAsia" w:ascii="宋体" w:hAnsi="宋体" w:cs="宋体"/>
          <w:b/>
          <w:bCs/>
          <w:sz w:val="24"/>
        </w:rPr>
      </w:pPr>
      <w:bookmarkStart w:id="1" w:name="_Toc199365171"/>
      <w:r>
        <w:rPr>
          <w:rFonts w:hint="eastAsia" w:ascii="宋体" w:hAnsi="宋体" w:cs="宋体"/>
          <w:b/>
          <w:bCs/>
          <w:sz w:val="24"/>
        </w:rPr>
        <w:t>一、采购标的</w:t>
      </w:r>
    </w:p>
    <w:tbl>
      <w:tblPr>
        <w:tblStyle w:val="9"/>
        <w:tblW w:w="84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600"/>
        <w:gridCol w:w="986"/>
        <w:gridCol w:w="5265"/>
      </w:tblGrid>
      <w:tr w14:paraId="2DF8C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exact"/>
        </w:trPr>
        <w:tc>
          <w:tcPr>
            <w:tcW w:w="567" w:type="dxa"/>
            <w:vAlign w:val="center"/>
          </w:tcPr>
          <w:p w14:paraId="2FD33F27">
            <w:pPr>
              <w:jc w:val="center"/>
              <w:rPr>
                <w:rFonts w:hint="eastAsia" w:ascii="宋体" w:hAnsi="宋体"/>
                <w:bCs/>
                <w:sz w:val="24"/>
              </w:rPr>
            </w:pPr>
            <w:r>
              <w:rPr>
                <w:rFonts w:hint="eastAsia" w:ascii="宋体" w:hAnsi="宋体"/>
                <w:bCs/>
                <w:sz w:val="24"/>
              </w:rPr>
              <w:t>序号</w:t>
            </w:r>
          </w:p>
        </w:tc>
        <w:tc>
          <w:tcPr>
            <w:tcW w:w="1600" w:type="dxa"/>
            <w:vAlign w:val="center"/>
          </w:tcPr>
          <w:p w14:paraId="01F110CA">
            <w:pPr>
              <w:jc w:val="center"/>
              <w:rPr>
                <w:rFonts w:hint="eastAsia" w:ascii="宋体" w:hAnsi="宋体"/>
                <w:bCs/>
                <w:sz w:val="24"/>
              </w:rPr>
            </w:pPr>
            <w:r>
              <w:rPr>
                <w:rFonts w:hint="eastAsia" w:ascii="宋体" w:hAnsi="宋体"/>
                <w:bCs/>
                <w:sz w:val="24"/>
              </w:rPr>
              <w:t>标的名称</w:t>
            </w:r>
          </w:p>
        </w:tc>
        <w:tc>
          <w:tcPr>
            <w:tcW w:w="986" w:type="dxa"/>
            <w:vAlign w:val="center"/>
          </w:tcPr>
          <w:p w14:paraId="653253A5">
            <w:pPr>
              <w:jc w:val="center"/>
              <w:rPr>
                <w:rFonts w:hint="eastAsia" w:ascii="宋体" w:hAnsi="宋体"/>
                <w:bCs/>
                <w:sz w:val="24"/>
              </w:rPr>
            </w:pPr>
            <w:r>
              <w:rPr>
                <w:rFonts w:hint="eastAsia" w:ascii="宋体" w:hAnsi="宋体"/>
                <w:bCs/>
                <w:sz w:val="24"/>
              </w:rPr>
              <w:t>项目预算金额</w:t>
            </w:r>
          </w:p>
        </w:tc>
        <w:tc>
          <w:tcPr>
            <w:tcW w:w="5265" w:type="dxa"/>
            <w:vAlign w:val="center"/>
          </w:tcPr>
          <w:p w14:paraId="25D44353">
            <w:pPr>
              <w:jc w:val="center"/>
              <w:rPr>
                <w:rFonts w:hint="eastAsia" w:ascii="宋体" w:hAnsi="宋体"/>
                <w:bCs/>
                <w:sz w:val="24"/>
              </w:rPr>
            </w:pPr>
            <w:r>
              <w:rPr>
                <w:rFonts w:hint="eastAsia" w:ascii="宋体" w:hAnsi="宋体"/>
                <w:bCs/>
                <w:sz w:val="24"/>
              </w:rPr>
              <w:t>简要技术需求或服务要求</w:t>
            </w:r>
          </w:p>
        </w:tc>
      </w:tr>
      <w:tr w14:paraId="56313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8" w:hRule="exact"/>
        </w:trPr>
        <w:tc>
          <w:tcPr>
            <w:tcW w:w="567" w:type="dxa"/>
            <w:vAlign w:val="center"/>
          </w:tcPr>
          <w:p w14:paraId="37EAEF9A">
            <w:pPr>
              <w:rPr>
                <w:rFonts w:hint="eastAsia" w:ascii="宋体" w:hAnsi="宋体"/>
                <w:sz w:val="24"/>
              </w:rPr>
            </w:pPr>
            <w:r>
              <w:rPr>
                <w:rFonts w:hint="eastAsia" w:ascii="宋体" w:hAnsi="宋体"/>
                <w:sz w:val="24"/>
              </w:rPr>
              <w:t>1</w:t>
            </w:r>
          </w:p>
        </w:tc>
        <w:tc>
          <w:tcPr>
            <w:tcW w:w="1600" w:type="dxa"/>
            <w:vAlign w:val="center"/>
          </w:tcPr>
          <w:p w14:paraId="1333F6AD">
            <w:pPr>
              <w:rPr>
                <w:rFonts w:hint="eastAsia" w:ascii="宋体" w:hAnsi="宋体"/>
                <w:sz w:val="24"/>
              </w:rPr>
            </w:pPr>
            <w:r>
              <w:rPr>
                <w:rFonts w:hint="eastAsia" w:ascii="宋体" w:hAnsi="宋体"/>
                <w:sz w:val="24"/>
              </w:rPr>
              <w:t>血药浓度检测项目医疗机构自制试剂委托生产及配套服务</w:t>
            </w:r>
          </w:p>
        </w:tc>
        <w:tc>
          <w:tcPr>
            <w:tcW w:w="986" w:type="dxa"/>
            <w:vAlign w:val="center"/>
          </w:tcPr>
          <w:p w14:paraId="091CD06F">
            <w:pPr>
              <w:jc w:val="center"/>
              <w:rPr>
                <w:rFonts w:hint="eastAsia" w:ascii="宋体" w:hAnsi="宋体"/>
                <w:bCs/>
                <w:sz w:val="24"/>
              </w:rPr>
            </w:pPr>
            <w:r>
              <w:rPr>
                <w:rFonts w:hint="eastAsia" w:ascii="宋体" w:hAnsi="宋体"/>
                <w:bCs/>
                <w:sz w:val="24"/>
              </w:rPr>
              <w:t>937</w:t>
            </w:r>
          </w:p>
          <w:p w14:paraId="3097B0FE">
            <w:pPr>
              <w:jc w:val="center"/>
              <w:rPr>
                <w:rFonts w:hint="eastAsia" w:ascii="宋体" w:hAnsi="宋体"/>
                <w:bCs/>
                <w:sz w:val="24"/>
              </w:rPr>
            </w:pPr>
            <w:r>
              <w:rPr>
                <w:rFonts w:hint="eastAsia" w:ascii="宋体" w:hAnsi="宋体"/>
                <w:bCs/>
                <w:sz w:val="24"/>
              </w:rPr>
              <w:t>万元</w:t>
            </w:r>
          </w:p>
        </w:tc>
        <w:tc>
          <w:tcPr>
            <w:tcW w:w="5265" w:type="dxa"/>
            <w:vAlign w:val="center"/>
          </w:tcPr>
          <w:p w14:paraId="7CF13DEC">
            <w:pPr>
              <w:rPr>
                <w:rFonts w:hint="eastAsia" w:ascii="宋体" w:hAnsi="宋体"/>
                <w:sz w:val="24"/>
              </w:rPr>
            </w:pPr>
            <w:r>
              <w:rPr>
                <w:rFonts w:hint="eastAsia" w:ascii="宋体" w:hAnsi="宋体"/>
                <w:sz w:val="24"/>
              </w:rPr>
              <w:t>投标人须根据采购人已获批的血药浓度检测项目自制试剂技术资料，依据国家法规及ISO13485要求，以及采购人提供的技术文件、质检标准，提供从原材料及相关耗材采购到成品放行、项目备案的HDT全流程生产服务等。</w:t>
            </w:r>
          </w:p>
        </w:tc>
      </w:tr>
    </w:tbl>
    <w:p w14:paraId="407BEB84">
      <w:pPr>
        <w:spacing w:line="360" w:lineRule="auto"/>
        <w:ind w:firstLine="482" w:firstLineChars="200"/>
        <w:rPr>
          <w:rFonts w:hint="eastAsia" w:ascii="宋体" w:hAnsi="宋体" w:cs="宋体"/>
          <w:b/>
          <w:bCs/>
          <w:sz w:val="24"/>
        </w:rPr>
      </w:pPr>
      <w:r>
        <w:rPr>
          <w:rFonts w:hint="eastAsia" w:ascii="宋体" w:hAnsi="宋体" w:cs="宋体"/>
          <w:b/>
          <w:bCs/>
          <w:sz w:val="24"/>
        </w:rPr>
        <w:t>二、商务要求</w:t>
      </w:r>
    </w:p>
    <w:bookmarkEnd w:id="1"/>
    <w:p w14:paraId="6D06FCE5">
      <w:pPr>
        <w:pStyle w:val="11"/>
        <w:spacing w:line="360" w:lineRule="auto"/>
        <w:ind w:firstLine="480"/>
        <w:contextualSpacing/>
        <w:jc w:val="left"/>
        <w:rPr>
          <w:rFonts w:hint="eastAsia" w:ascii="宋体" w:hAnsi="宋体"/>
          <w:bCs/>
          <w:sz w:val="24"/>
        </w:rPr>
      </w:pPr>
      <w:r>
        <w:rPr>
          <w:rFonts w:hint="eastAsia" w:ascii="宋体" w:hAnsi="宋体"/>
          <w:bCs/>
          <w:sz w:val="24"/>
        </w:rPr>
        <w:t>（一）服务期限和地点</w:t>
      </w:r>
    </w:p>
    <w:p w14:paraId="4020C425">
      <w:pPr>
        <w:pStyle w:val="11"/>
        <w:spacing w:line="360" w:lineRule="auto"/>
        <w:ind w:firstLine="480"/>
        <w:contextualSpacing/>
        <w:jc w:val="left"/>
        <w:rPr>
          <w:rFonts w:hint="eastAsia" w:ascii="宋体" w:hAnsi="宋体"/>
          <w:bCs/>
          <w:sz w:val="24"/>
        </w:rPr>
      </w:pPr>
      <w:r>
        <w:rPr>
          <w:rFonts w:hint="eastAsia" w:ascii="宋体" w:hAnsi="宋体"/>
          <w:bCs/>
          <w:sz w:val="24"/>
        </w:rPr>
        <w:t>1.服务期限：</w:t>
      </w:r>
      <w:r>
        <w:rPr>
          <w:rFonts w:hint="eastAsia" w:ascii="宋体" w:hAnsi="宋体" w:cs="宋体"/>
          <w:sz w:val="24"/>
          <w:szCs w:val="24"/>
          <w:u w:val="single"/>
        </w:rPr>
        <w:t>合同签订后1年</w:t>
      </w:r>
      <w:r>
        <w:rPr>
          <w:rFonts w:hint="eastAsia" w:ascii="宋体" w:hAnsi="宋体"/>
          <w:bCs/>
          <w:sz w:val="24"/>
          <w:u w:val="single"/>
        </w:rPr>
        <w:t>。</w:t>
      </w:r>
    </w:p>
    <w:p w14:paraId="44118919">
      <w:pPr>
        <w:pStyle w:val="11"/>
        <w:spacing w:line="360" w:lineRule="auto"/>
        <w:ind w:firstLine="480"/>
        <w:contextualSpacing/>
        <w:jc w:val="left"/>
        <w:rPr>
          <w:rFonts w:hint="eastAsia" w:ascii="宋体" w:hAnsi="宋体"/>
          <w:sz w:val="24"/>
          <w:u w:val="single"/>
        </w:rPr>
      </w:pPr>
      <w:r>
        <w:rPr>
          <w:rFonts w:hint="eastAsia" w:ascii="宋体" w:hAnsi="宋体"/>
          <w:bCs/>
          <w:sz w:val="24"/>
        </w:rPr>
        <w:t>2.项目实施周期地点：</w:t>
      </w:r>
      <w:r>
        <w:rPr>
          <w:rFonts w:hint="eastAsia" w:ascii="宋体" w:hAnsi="宋体"/>
          <w:sz w:val="24"/>
          <w:u w:val="single"/>
        </w:rPr>
        <w:t>采购人指定地点。</w:t>
      </w:r>
    </w:p>
    <w:p w14:paraId="6FC54CC3">
      <w:pPr>
        <w:pStyle w:val="11"/>
        <w:spacing w:line="360" w:lineRule="auto"/>
        <w:ind w:firstLine="480"/>
        <w:contextualSpacing/>
        <w:jc w:val="left"/>
        <w:rPr>
          <w:rFonts w:hint="eastAsia" w:ascii="宋体" w:hAnsi="宋体"/>
          <w:bCs/>
          <w:sz w:val="24"/>
        </w:rPr>
      </w:pPr>
      <w:r>
        <w:rPr>
          <w:rFonts w:hint="eastAsia" w:ascii="宋体" w:hAnsi="宋体"/>
          <w:bCs/>
          <w:sz w:val="24"/>
        </w:rPr>
        <w:t>（二）付款条件（进度和方式）：详见第六章 拟签订的合同文本</w:t>
      </w:r>
    </w:p>
    <w:p w14:paraId="7F1EB605">
      <w:pPr>
        <w:pStyle w:val="11"/>
        <w:spacing w:line="360" w:lineRule="auto"/>
        <w:ind w:firstLine="480"/>
        <w:contextualSpacing/>
        <w:jc w:val="left"/>
        <w:rPr>
          <w:rFonts w:hint="eastAsia" w:ascii="宋体" w:hAnsi="宋体"/>
          <w:b/>
          <w:sz w:val="24"/>
          <w:szCs w:val="24"/>
        </w:rPr>
      </w:pPr>
      <w:r>
        <w:rPr>
          <w:rFonts w:hint="eastAsia" w:ascii="宋体" w:hAnsi="宋体"/>
          <w:bCs/>
          <w:sz w:val="24"/>
        </w:rPr>
        <w:t>三、</w:t>
      </w:r>
      <w:r>
        <w:rPr>
          <w:rFonts w:ascii="宋体" w:hAnsi="宋体"/>
          <w:b/>
          <w:sz w:val="24"/>
          <w:szCs w:val="24"/>
        </w:rPr>
        <w:t>技术要求</w:t>
      </w:r>
    </w:p>
    <w:p w14:paraId="5839CE48">
      <w:pPr>
        <w:spacing w:line="360" w:lineRule="auto"/>
        <w:ind w:firstLine="482" w:firstLineChars="200"/>
        <w:contextualSpacing/>
        <w:rPr>
          <w:rFonts w:hint="eastAsia" w:ascii="宋体" w:hAnsi="宋体" w:cs="宋体"/>
          <w:b/>
          <w:bCs/>
          <w:sz w:val="24"/>
        </w:rPr>
      </w:pPr>
      <w:bookmarkStart w:id="2" w:name="_Toc25041"/>
      <w:r>
        <w:rPr>
          <w:rFonts w:hint="eastAsia" w:ascii="宋体" w:hAnsi="宋体" w:cs="宋体"/>
          <w:b/>
          <w:bCs/>
          <w:sz w:val="24"/>
        </w:rPr>
        <w:t>（一）基本要求</w:t>
      </w:r>
    </w:p>
    <w:p w14:paraId="3CAB92B9">
      <w:pPr>
        <w:spacing w:line="360" w:lineRule="auto"/>
        <w:ind w:firstLine="482" w:firstLineChars="200"/>
        <w:contextualSpacing/>
        <w:rPr>
          <w:rFonts w:hint="eastAsia" w:ascii="宋体" w:hAnsi="宋体" w:cs="宋体"/>
          <w:b/>
          <w:bCs/>
          <w:sz w:val="24"/>
        </w:rPr>
      </w:pPr>
      <w:r>
        <w:rPr>
          <w:rFonts w:hint="eastAsia" w:ascii="宋体" w:hAnsi="宋体" w:cs="宋体"/>
          <w:b/>
          <w:bCs/>
          <w:sz w:val="24"/>
        </w:rPr>
        <w:t>1.采购标的需实现的功能或者目标</w:t>
      </w:r>
    </w:p>
    <w:p w14:paraId="1D2892A2">
      <w:pPr>
        <w:pStyle w:val="5"/>
        <w:spacing w:line="360" w:lineRule="auto"/>
        <w:ind w:firstLine="480" w:firstLineChars="200"/>
        <w:rPr>
          <w:rFonts w:hint="eastAsia" w:hAnsi="宋体" w:cs="宋体"/>
        </w:rPr>
      </w:pPr>
      <w:r>
        <w:rPr>
          <w:rFonts w:hint="eastAsia" w:hAnsi="宋体" w:cs="宋体"/>
        </w:rPr>
        <w:t>本次招标采购的标的是“</w:t>
      </w:r>
      <w:r>
        <w:rPr>
          <w:rFonts w:hint="eastAsia" w:hAnsi="宋体"/>
        </w:rPr>
        <w:t>北京安定医院血药浓度检测项目医疗机构自制试剂委托生产及配套服务项目</w:t>
      </w:r>
      <w:r>
        <w:rPr>
          <w:rFonts w:hint="eastAsia" w:hAnsi="宋体" w:cs="宋体"/>
        </w:rPr>
        <w:t>”，投标人应根据招标文件所提出的设备技术规格和服务要求，以满足招标文件要求的产品、优良的服务和优惠的价格，充分显示自己的竞争实力。</w:t>
      </w:r>
    </w:p>
    <w:p w14:paraId="388E1902">
      <w:pPr>
        <w:spacing w:line="360" w:lineRule="auto"/>
        <w:ind w:firstLine="482"/>
        <w:contextualSpacing/>
        <w:rPr>
          <w:rFonts w:hint="eastAsia" w:ascii="宋体" w:hAnsi="宋体" w:cs="宋体"/>
          <w:kern w:val="0"/>
          <w:sz w:val="24"/>
        </w:rPr>
      </w:pPr>
      <w:r>
        <w:rPr>
          <w:rFonts w:ascii="宋体" w:hAnsi="宋体" w:cs="宋体"/>
          <w:kern w:val="0"/>
          <w:sz w:val="24"/>
        </w:rPr>
        <w:t>2.</w:t>
      </w:r>
      <w:r>
        <w:rPr>
          <w:rFonts w:hint="eastAsia" w:ascii="宋体" w:hAnsi="宋体" w:cs="宋体"/>
          <w:b/>
          <w:bCs/>
          <w:sz w:val="24"/>
        </w:rPr>
        <w:t>需满足国家相关标准、行业标准、地方标准或者其他标准、规范：</w:t>
      </w:r>
      <w:r>
        <w:rPr>
          <w:rFonts w:hint="eastAsia" w:ascii="宋体" w:hAnsi="宋体" w:cs="宋体"/>
          <w:bCs/>
          <w:sz w:val="24"/>
        </w:rPr>
        <w:t>提供的服务满足</w:t>
      </w:r>
      <w:r>
        <w:rPr>
          <w:rFonts w:hint="eastAsia" w:ascii="宋体" w:hAnsi="宋体" w:cs="宋体"/>
          <w:kern w:val="0"/>
          <w:sz w:val="24"/>
        </w:rPr>
        <w:t>国家相关标准、行业标准、地方标准或者其他标准、规范。</w:t>
      </w:r>
    </w:p>
    <w:p w14:paraId="3E62387E">
      <w:pPr>
        <w:pStyle w:val="4"/>
        <w:ind w:firstLine="482" w:firstLineChars="200"/>
        <w:jc w:val="both"/>
        <w:rPr>
          <w:rFonts w:hint="eastAsia"/>
        </w:rPr>
      </w:pPr>
      <w:r>
        <w:rPr>
          <w:rFonts w:hint="eastAsia"/>
        </w:rPr>
        <w:t>（二）具体要求</w:t>
      </w:r>
    </w:p>
    <w:p w14:paraId="13B0A1B4">
      <w:pPr>
        <w:spacing w:line="360" w:lineRule="auto"/>
        <w:ind w:firstLine="480" w:firstLineChars="200"/>
        <w:rPr>
          <w:rFonts w:hint="eastAsia" w:ascii="宋体" w:hAnsi="宋体" w:cs="宋体"/>
          <w:sz w:val="24"/>
        </w:rPr>
      </w:pPr>
      <w:r>
        <w:rPr>
          <w:rFonts w:hint="eastAsia" w:ascii="宋体" w:hAnsi="宋体" w:cs="宋体"/>
          <w:sz w:val="24"/>
        </w:rPr>
        <w:t>1.采购范围</w:t>
      </w:r>
    </w:p>
    <w:p w14:paraId="2D5CB006">
      <w:pPr>
        <w:spacing w:line="360" w:lineRule="auto"/>
        <w:ind w:firstLine="480" w:firstLineChars="200"/>
        <w:rPr>
          <w:rFonts w:hint="eastAsia" w:ascii="宋体" w:hAnsi="宋体" w:cs="宋体"/>
          <w:sz w:val="24"/>
        </w:rPr>
      </w:pPr>
      <w:r>
        <w:rPr>
          <w:rFonts w:hint="eastAsia" w:ascii="宋体" w:hAnsi="宋体" w:cs="宋体"/>
          <w:sz w:val="24"/>
        </w:rPr>
        <w:t>1.1服务内容：投标人根据采购人已获批的血药浓度检测项目自制试剂技术资料，完成以下服务：</w:t>
      </w:r>
    </w:p>
    <w:p w14:paraId="75104EC3">
      <w:pPr>
        <w:spacing w:line="360" w:lineRule="auto"/>
        <w:ind w:firstLine="480" w:firstLineChars="200"/>
        <w:rPr>
          <w:rFonts w:hint="eastAsia" w:ascii="宋体" w:hAnsi="宋体" w:cs="宋体"/>
          <w:sz w:val="24"/>
        </w:rPr>
      </w:pPr>
      <w:r>
        <w:rPr>
          <w:rFonts w:hint="eastAsia" w:ascii="宋体" w:hAnsi="宋体" w:cs="宋体"/>
          <w:sz w:val="24"/>
        </w:rPr>
        <w:t>（1）依据国家法规以及采购人提供的技术文件、质检标准，提供从原材料及相关耗材采购到成品放行、项目备案的HDT全流程生产服务。</w:t>
      </w:r>
    </w:p>
    <w:p w14:paraId="1E79D467">
      <w:pPr>
        <w:spacing w:line="360" w:lineRule="auto"/>
        <w:ind w:firstLine="480" w:firstLineChars="200"/>
        <w:rPr>
          <w:rFonts w:hint="eastAsia" w:ascii="宋体" w:hAnsi="宋体" w:cs="宋体"/>
          <w:sz w:val="24"/>
        </w:rPr>
      </w:pPr>
      <w:r>
        <w:rPr>
          <w:rFonts w:hint="eastAsia" w:ascii="宋体" w:hAnsi="宋体" w:cs="宋体"/>
          <w:sz w:val="24"/>
        </w:rPr>
        <w:t>（2）生产全过程接受采购人质量监管，并配合采购人接受药监、卫健等部门的体系考核。</w:t>
      </w:r>
    </w:p>
    <w:p w14:paraId="4D58C706">
      <w:pPr>
        <w:spacing w:line="360" w:lineRule="auto"/>
        <w:ind w:firstLine="480" w:firstLineChars="200"/>
        <w:rPr>
          <w:rFonts w:hint="eastAsia" w:ascii="宋体" w:hAnsi="宋体" w:cs="宋体"/>
          <w:sz w:val="24"/>
        </w:rPr>
      </w:pPr>
      <w:r>
        <w:rPr>
          <w:rFonts w:hint="eastAsia" w:ascii="宋体" w:hAnsi="宋体" w:cs="宋体"/>
          <w:sz w:val="24"/>
        </w:rPr>
        <w:t>（3）服务期限和数量：服务期限为合同签订后1年，数量为提供不少于21万例患者样本血药浓度检测</w:t>
      </w:r>
      <w:r>
        <w:rPr>
          <w:rFonts w:hint="eastAsia" w:ascii="宋体" w:hAnsi="宋体" w:cs="宋体"/>
          <w:sz w:val="24"/>
          <w:lang w:val="en-US" w:eastAsia="zh-CN"/>
        </w:rPr>
        <w:t>数</w:t>
      </w:r>
      <w:r>
        <w:rPr>
          <w:rFonts w:hint="eastAsia" w:ascii="宋体" w:hAnsi="宋体" w:cs="宋体"/>
          <w:sz w:val="24"/>
        </w:rPr>
        <w:t>的试剂盒。</w:t>
      </w:r>
    </w:p>
    <w:p w14:paraId="079727E3">
      <w:pPr>
        <w:spacing w:line="360" w:lineRule="auto"/>
        <w:ind w:firstLine="480" w:firstLineChars="200"/>
        <w:rPr>
          <w:rFonts w:hint="eastAsia" w:ascii="宋体" w:hAnsi="宋体" w:cs="宋体"/>
          <w:sz w:val="24"/>
        </w:rPr>
      </w:pPr>
      <w:r>
        <w:rPr>
          <w:rFonts w:hint="eastAsia" w:ascii="宋体" w:hAnsi="宋体" w:cs="宋体"/>
          <w:sz w:val="24"/>
        </w:rPr>
        <w:t>1.2检测项目范围：检测项目应覆盖采购人血药浓度检测自制试剂获批范围内的全部检测项目，具体如下：</w:t>
      </w:r>
    </w:p>
    <w:tbl>
      <w:tblPr>
        <w:tblStyle w:val="9"/>
        <w:tblW w:w="824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0"/>
        <w:gridCol w:w="1704"/>
        <w:gridCol w:w="3323"/>
        <w:gridCol w:w="1262"/>
        <w:gridCol w:w="1000"/>
      </w:tblGrid>
      <w:tr w14:paraId="3FB01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jc w:val="center"/>
        </w:trPr>
        <w:tc>
          <w:tcPr>
            <w:tcW w:w="96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ED2BA7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70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92F47C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产品名称</w:t>
            </w:r>
          </w:p>
        </w:tc>
        <w:tc>
          <w:tcPr>
            <w:tcW w:w="33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E663D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检测靶标</w:t>
            </w:r>
          </w:p>
        </w:tc>
        <w:tc>
          <w:tcPr>
            <w:tcW w:w="126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A8DC45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样本类型</w:t>
            </w:r>
          </w:p>
        </w:tc>
        <w:tc>
          <w:tcPr>
            <w:tcW w:w="10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48E61C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方法学</w:t>
            </w:r>
          </w:p>
        </w:tc>
      </w:tr>
      <w:tr w14:paraId="74AAF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3" w:hRule="atLeast"/>
          <w:jc w:val="center"/>
        </w:trPr>
        <w:tc>
          <w:tcPr>
            <w:tcW w:w="960" w:type="dxa"/>
            <w:tcBorders>
              <w:top w:val="nil"/>
              <w:left w:val="single" w:color="000000" w:sz="8" w:space="0"/>
              <w:bottom w:val="single" w:color="000000" w:sz="8" w:space="0"/>
              <w:right w:val="single" w:color="000000" w:sz="8" w:space="0"/>
            </w:tcBorders>
            <w:shd w:val="clear" w:color="auto" w:fill="auto"/>
            <w:vAlign w:val="center"/>
          </w:tcPr>
          <w:p w14:paraId="33A8E6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704" w:type="dxa"/>
            <w:tcBorders>
              <w:top w:val="nil"/>
              <w:left w:val="single" w:color="000000" w:sz="8" w:space="0"/>
              <w:bottom w:val="single" w:color="000000" w:sz="8" w:space="0"/>
              <w:right w:val="single" w:color="000000" w:sz="8" w:space="0"/>
            </w:tcBorders>
            <w:shd w:val="clear" w:color="auto" w:fill="auto"/>
            <w:vAlign w:val="center"/>
          </w:tcPr>
          <w:p w14:paraId="2C732F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10种精神类药物检测试剂盒（液相</w:t>
            </w:r>
            <w:r>
              <w:rPr>
                <w:rStyle w:val="12"/>
                <w:lang w:val="en-US" w:eastAsia="zh-CN" w:bidi="ar"/>
              </w:rPr>
              <w:t>色谱-串联质谱法）</w:t>
            </w:r>
          </w:p>
        </w:tc>
        <w:tc>
          <w:tcPr>
            <w:tcW w:w="3323" w:type="dxa"/>
            <w:tcBorders>
              <w:top w:val="nil"/>
              <w:left w:val="single" w:color="000000" w:sz="8" w:space="0"/>
              <w:bottom w:val="single" w:color="000000" w:sz="8" w:space="0"/>
              <w:right w:val="single" w:color="000000" w:sz="8" w:space="0"/>
            </w:tcBorders>
            <w:shd w:val="clear" w:color="auto" w:fill="auto"/>
            <w:vAlign w:val="center"/>
          </w:tcPr>
          <w:p w14:paraId="68C0D3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r>
              <w:rPr>
                <w:rStyle w:val="12"/>
                <w:lang w:val="en-US" w:eastAsia="zh-CN" w:bidi="ar"/>
              </w:rPr>
              <w:t>帕罗西汀 2 氟西汀 3.去甲氟西汀 4.文拉法辛 5.O-去甲文拉法辛6.氨磺必利 7.奥氮平 8.利培酮 9.帕利哌酮（9-羟利培酮）10.米氮平</w:t>
            </w:r>
          </w:p>
        </w:tc>
        <w:tc>
          <w:tcPr>
            <w:tcW w:w="1262" w:type="dxa"/>
            <w:tcBorders>
              <w:top w:val="nil"/>
              <w:left w:val="single" w:color="000000" w:sz="8" w:space="0"/>
              <w:bottom w:val="single" w:color="000000" w:sz="8" w:space="0"/>
              <w:right w:val="single" w:color="000000" w:sz="8" w:space="0"/>
            </w:tcBorders>
            <w:shd w:val="clear" w:color="auto" w:fill="auto"/>
            <w:vAlign w:val="center"/>
          </w:tcPr>
          <w:p w14:paraId="10E067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血清</w:t>
            </w:r>
          </w:p>
        </w:tc>
        <w:tc>
          <w:tcPr>
            <w:tcW w:w="1000" w:type="dxa"/>
            <w:tcBorders>
              <w:top w:val="nil"/>
              <w:left w:val="single" w:color="000000" w:sz="8" w:space="0"/>
              <w:bottom w:val="single" w:color="000000" w:sz="8" w:space="0"/>
              <w:right w:val="single" w:color="000000" w:sz="8" w:space="0"/>
            </w:tcBorders>
            <w:shd w:val="clear" w:color="auto" w:fill="auto"/>
            <w:vAlign w:val="center"/>
          </w:tcPr>
          <w:p w14:paraId="40FF28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液相色谱串</w:t>
            </w:r>
            <w:r>
              <w:rPr>
                <w:rStyle w:val="12"/>
                <w:lang w:val="en-US" w:eastAsia="zh-CN" w:bidi="ar"/>
              </w:rPr>
              <w:t>联质谱法</w:t>
            </w:r>
          </w:p>
        </w:tc>
      </w:tr>
      <w:tr w14:paraId="7E496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23" w:hRule="atLeast"/>
          <w:jc w:val="center"/>
        </w:trPr>
        <w:tc>
          <w:tcPr>
            <w:tcW w:w="960" w:type="dxa"/>
            <w:tcBorders>
              <w:top w:val="nil"/>
              <w:left w:val="single" w:color="000000" w:sz="8" w:space="0"/>
              <w:bottom w:val="single" w:color="000000" w:sz="8" w:space="0"/>
              <w:right w:val="single" w:color="000000" w:sz="8" w:space="0"/>
            </w:tcBorders>
            <w:shd w:val="clear" w:color="auto" w:fill="auto"/>
            <w:vAlign w:val="center"/>
          </w:tcPr>
          <w:p w14:paraId="12F1C1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704" w:type="dxa"/>
            <w:tcBorders>
              <w:top w:val="nil"/>
              <w:left w:val="single" w:color="000000" w:sz="8" w:space="0"/>
              <w:bottom w:val="single" w:color="000000" w:sz="8" w:space="0"/>
              <w:right w:val="single" w:color="000000" w:sz="8" w:space="0"/>
            </w:tcBorders>
            <w:shd w:val="clear" w:color="auto" w:fill="auto"/>
            <w:vAlign w:val="center"/>
          </w:tcPr>
          <w:p w14:paraId="3D323D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11种精神类药物检测试剂盒（液相色谱-串联质谱法）</w:t>
            </w:r>
          </w:p>
        </w:tc>
        <w:tc>
          <w:tcPr>
            <w:tcW w:w="3323" w:type="dxa"/>
            <w:tcBorders>
              <w:top w:val="nil"/>
              <w:left w:val="single" w:color="000000" w:sz="8" w:space="0"/>
              <w:bottom w:val="single" w:color="000000" w:sz="8" w:space="0"/>
              <w:right w:val="single" w:color="000000" w:sz="8" w:space="0"/>
            </w:tcBorders>
            <w:shd w:val="clear" w:color="auto" w:fill="auto"/>
            <w:vAlign w:val="center"/>
          </w:tcPr>
          <w:p w14:paraId="0865C4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r>
              <w:rPr>
                <w:rStyle w:val="12"/>
                <w:lang w:val="en-US" w:eastAsia="zh-CN" w:bidi="ar"/>
              </w:rPr>
              <w:t>氯氮平 2.N-去甲氯氮平 3.喹硫平 4.N-脱烷基喹硫平 5.阿立哌唑 6.脱氢阿立哌唑7.度洛西汀 8.氟伏沙明 9.舍曲林 10.西酞普兰、11.艾司西酞普兰</w:t>
            </w:r>
          </w:p>
        </w:tc>
        <w:tc>
          <w:tcPr>
            <w:tcW w:w="1262" w:type="dxa"/>
            <w:tcBorders>
              <w:top w:val="nil"/>
              <w:left w:val="single" w:color="000000" w:sz="8" w:space="0"/>
              <w:bottom w:val="single" w:color="000000" w:sz="8" w:space="0"/>
              <w:right w:val="single" w:color="000000" w:sz="8" w:space="0"/>
            </w:tcBorders>
            <w:shd w:val="clear" w:color="auto" w:fill="auto"/>
            <w:vAlign w:val="center"/>
          </w:tcPr>
          <w:p w14:paraId="0CCDDD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血清</w:t>
            </w:r>
          </w:p>
        </w:tc>
        <w:tc>
          <w:tcPr>
            <w:tcW w:w="1000" w:type="dxa"/>
            <w:tcBorders>
              <w:top w:val="nil"/>
              <w:left w:val="single" w:color="000000" w:sz="8" w:space="0"/>
              <w:bottom w:val="single" w:color="000000" w:sz="8" w:space="0"/>
              <w:right w:val="single" w:color="000000" w:sz="8" w:space="0"/>
            </w:tcBorders>
            <w:shd w:val="clear" w:color="auto" w:fill="auto"/>
            <w:vAlign w:val="center"/>
          </w:tcPr>
          <w:p w14:paraId="369E35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液相色谱串</w:t>
            </w:r>
            <w:r>
              <w:rPr>
                <w:rStyle w:val="12"/>
                <w:lang w:val="en-US" w:eastAsia="zh-CN" w:bidi="ar"/>
              </w:rPr>
              <w:t>联质谱法</w:t>
            </w:r>
          </w:p>
        </w:tc>
      </w:tr>
      <w:tr w14:paraId="247E3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1" w:hRule="atLeast"/>
          <w:jc w:val="center"/>
        </w:trPr>
        <w:tc>
          <w:tcPr>
            <w:tcW w:w="960" w:type="dxa"/>
            <w:tcBorders>
              <w:top w:val="nil"/>
              <w:left w:val="single" w:color="000000" w:sz="8" w:space="0"/>
              <w:bottom w:val="single" w:color="000000" w:sz="8" w:space="0"/>
              <w:right w:val="single" w:color="000000" w:sz="8" w:space="0"/>
            </w:tcBorders>
            <w:shd w:val="clear" w:color="auto" w:fill="auto"/>
            <w:vAlign w:val="center"/>
          </w:tcPr>
          <w:p w14:paraId="571988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704" w:type="dxa"/>
            <w:tcBorders>
              <w:top w:val="nil"/>
              <w:left w:val="single" w:color="000000" w:sz="8" w:space="0"/>
              <w:bottom w:val="single" w:color="000000" w:sz="8" w:space="0"/>
              <w:right w:val="single" w:color="000000" w:sz="8" w:space="0"/>
            </w:tcBorders>
            <w:shd w:val="clear" w:color="auto" w:fill="auto"/>
            <w:vAlign w:val="center"/>
          </w:tcPr>
          <w:p w14:paraId="397D97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5种精神类药物检测试剂盒（液相色谱-串联质谱法</w:t>
            </w:r>
          </w:p>
        </w:tc>
        <w:tc>
          <w:tcPr>
            <w:tcW w:w="3323" w:type="dxa"/>
            <w:tcBorders>
              <w:top w:val="nil"/>
              <w:left w:val="single" w:color="000000" w:sz="8" w:space="0"/>
              <w:bottom w:val="single" w:color="000000" w:sz="8" w:space="0"/>
              <w:right w:val="single" w:color="000000" w:sz="8" w:space="0"/>
            </w:tcBorders>
            <w:shd w:val="clear" w:color="auto" w:fill="auto"/>
            <w:vAlign w:val="center"/>
          </w:tcPr>
          <w:p w14:paraId="7B9ECF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r>
              <w:rPr>
                <w:rStyle w:val="12"/>
                <w:lang w:val="en-US" w:eastAsia="zh-CN" w:bidi="ar"/>
              </w:rPr>
              <w:t>丙戊酸 2.托吡酯 3.苯妥英 4.左乙拉西坦 5.卡马西平</w:t>
            </w:r>
          </w:p>
        </w:tc>
        <w:tc>
          <w:tcPr>
            <w:tcW w:w="1262" w:type="dxa"/>
            <w:tcBorders>
              <w:top w:val="nil"/>
              <w:left w:val="single" w:color="000000" w:sz="8" w:space="0"/>
              <w:bottom w:val="single" w:color="000000" w:sz="8" w:space="0"/>
              <w:right w:val="single" w:color="000000" w:sz="8" w:space="0"/>
            </w:tcBorders>
            <w:shd w:val="clear" w:color="auto" w:fill="auto"/>
            <w:vAlign w:val="center"/>
          </w:tcPr>
          <w:p w14:paraId="6F7E15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血清</w:t>
            </w:r>
          </w:p>
        </w:tc>
        <w:tc>
          <w:tcPr>
            <w:tcW w:w="1000" w:type="dxa"/>
            <w:tcBorders>
              <w:top w:val="nil"/>
              <w:left w:val="single" w:color="000000" w:sz="8" w:space="0"/>
              <w:bottom w:val="single" w:color="000000" w:sz="8" w:space="0"/>
              <w:right w:val="single" w:color="000000" w:sz="8" w:space="0"/>
            </w:tcBorders>
            <w:shd w:val="clear" w:color="auto" w:fill="auto"/>
            <w:vAlign w:val="center"/>
          </w:tcPr>
          <w:p w14:paraId="048DE1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液相色谱串</w:t>
            </w:r>
            <w:r>
              <w:rPr>
                <w:rStyle w:val="12"/>
                <w:lang w:val="en-US" w:eastAsia="zh-CN" w:bidi="ar"/>
              </w:rPr>
              <w:t>联质谱法</w:t>
            </w:r>
          </w:p>
        </w:tc>
      </w:tr>
    </w:tbl>
    <w:p w14:paraId="727E5157">
      <w:pPr>
        <w:spacing w:line="360" w:lineRule="auto"/>
        <w:ind w:firstLine="480" w:firstLineChars="200"/>
        <w:rPr>
          <w:rFonts w:hint="eastAsia" w:ascii="宋体" w:hAnsi="宋体" w:cs="宋体"/>
          <w:sz w:val="24"/>
        </w:rPr>
      </w:pPr>
      <w:r>
        <w:rPr>
          <w:rFonts w:hint="eastAsia" w:ascii="宋体" w:hAnsi="宋体" w:cs="宋体"/>
          <w:sz w:val="24"/>
        </w:rPr>
        <w:t>2.服务要求</w:t>
      </w:r>
    </w:p>
    <w:p w14:paraId="6869F542">
      <w:pPr>
        <w:spacing w:line="360" w:lineRule="auto"/>
        <w:ind w:firstLine="480" w:firstLineChars="200"/>
        <w:rPr>
          <w:rFonts w:hint="eastAsia" w:ascii="宋体" w:hAnsi="宋体" w:cs="宋体"/>
          <w:sz w:val="24"/>
        </w:rPr>
      </w:pPr>
      <w:r>
        <w:rPr>
          <w:rFonts w:hint="eastAsia" w:ascii="宋体" w:hAnsi="宋体" w:cs="宋体"/>
          <w:sz w:val="24"/>
        </w:rPr>
        <w:t>2.1供应商基本要求：</w:t>
      </w:r>
    </w:p>
    <w:p w14:paraId="7A4058FD">
      <w:pPr>
        <w:spacing w:line="360" w:lineRule="auto"/>
        <w:ind w:firstLine="480" w:firstLineChars="200"/>
        <w:rPr>
          <w:rFonts w:hint="eastAsia" w:ascii="宋体" w:hAnsi="宋体" w:cs="宋体"/>
          <w:sz w:val="24"/>
        </w:rPr>
      </w:pPr>
      <w:r>
        <w:rPr>
          <w:rFonts w:hint="eastAsia" w:ascii="宋体" w:hAnsi="宋体" w:cs="宋体"/>
          <w:sz w:val="24"/>
        </w:rPr>
        <w:t>2.1.1具备符合GMP要求的、独立的原料、半成品、成品储存仓库（温区需满足要求）。投标人应具备符合《医疗器械生产质量管理规范》及体外诊断试剂附录要求的试剂生产车间，且具备独立的配液、包被、分装、组装区域，各区域不得交叉污染。</w:t>
      </w:r>
    </w:p>
    <w:p w14:paraId="0B936BA4">
      <w:pPr>
        <w:spacing w:line="360" w:lineRule="auto"/>
        <w:ind w:firstLine="480" w:firstLineChars="200"/>
        <w:rPr>
          <w:rFonts w:hint="eastAsia" w:ascii="宋体" w:hAnsi="宋体" w:cs="宋体"/>
          <w:sz w:val="24"/>
        </w:rPr>
      </w:pPr>
      <w:r>
        <w:rPr>
          <w:rFonts w:hint="eastAsia" w:ascii="宋体" w:hAnsi="宋体" w:cs="宋体"/>
          <w:sz w:val="24"/>
        </w:rPr>
        <w:t>2.1.2具备万级和十万级洁净级别的受控生产车间。</w:t>
      </w:r>
    </w:p>
    <w:p w14:paraId="37E04ABE">
      <w:pPr>
        <w:spacing w:line="360" w:lineRule="auto"/>
        <w:ind w:firstLine="480" w:firstLineChars="200"/>
        <w:rPr>
          <w:rFonts w:hint="eastAsia" w:ascii="宋体" w:hAnsi="宋体" w:cs="宋体"/>
          <w:sz w:val="24"/>
        </w:rPr>
      </w:pPr>
      <w:r>
        <w:rPr>
          <w:rFonts w:hint="eastAsia" w:ascii="宋体" w:hAnsi="宋体" w:cs="宋体"/>
          <w:sz w:val="24"/>
        </w:rPr>
        <w:t>2.1.3具备符合本项目检测需求的实验室和临床检验的持证检验人员。</w:t>
      </w:r>
    </w:p>
    <w:p w14:paraId="398CED8F">
      <w:pPr>
        <w:spacing w:line="360" w:lineRule="auto"/>
        <w:ind w:firstLine="480" w:firstLineChars="200"/>
        <w:rPr>
          <w:rFonts w:hint="eastAsia" w:ascii="宋体" w:hAnsi="宋体" w:cs="宋体"/>
          <w:sz w:val="24"/>
        </w:rPr>
      </w:pPr>
      <w:r>
        <w:rPr>
          <w:rFonts w:hint="eastAsia" w:ascii="宋体" w:hAnsi="宋体" w:cs="宋体"/>
          <w:sz w:val="24"/>
        </w:rPr>
        <w:t>2.1.4具备符合本项目检测需求的液相色谱串联质谱仪。</w:t>
      </w:r>
    </w:p>
    <w:p w14:paraId="16498A92">
      <w:pPr>
        <w:spacing w:line="360" w:lineRule="auto"/>
        <w:ind w:firstLine="480" w:firstLineChars="200"/>
        <w:rPr>
          <w:rFonts w:hint="eastAsia" w:ascii="宋体" w:hAnsi="宋体" w:cs="宋体"/>
          <w:sz w:val="24"/>
        </w:rPr>
      </w:pPr>
      <w:r>
        <w:rPr>
          <w:rFonts w:hint="eastAsia" w:ascii="宋体" w:hAnsi="宋体" w:cs="宋体"/>
          <w:sz w:val="24"/>
        </w:rPr>
        <w:t>2.1.5合同期内，提供足够的驻场人力资源（不少于2名7×24小时驻场人员），以满足本合同相关产品在投标人和采购人应用场所的交接、出入库、性能验证、测试、应用、技术支持等。</w:t>
      </w:r>
    </w:p>
    <w:p w14:paraId="40F66921">
      <w:pPr>
        <w:spacing w:line="360" w:lineRule="auto"/>
        <w:ind w:firstLine="480" w:firstLineChars="200"/>
        <w:rPr>
          <w:rFonts w:hint="eastAsia" w:ascii="宋体" w:hAnsi="宋体" w:cs="宋体"/>
          <w:sz w:val="24"/>
        </w:rPr>
      </w:pPr>
      <w:r>
        <w:rPr>
          <w:rFonts w:hint="eastAsia" w:ascii="宋体" w:hAnsi="宋体" w:cs="宋体"/>
          <w:sz w:val="24"/>
        </w:rPr>
        <w:t>2.1.6合同期内，提供足够的人力及相关资源，以满足采购人外收样本的转运，并确保在外院样本采血后3天内（含采样当天）送达采购人实验室。</w:t>
      </w:r>
    </w:p>
    <w:p w14:paraId="6747FE5B">
      <w:pPr>
        <w:spacing w:line="360" w:lineRule="auto"/>
        <w:ind w:firstLine="480" w:firstLineChars="200"/>
        <w:rPr>
          <w:rFonts w:hint="eastAsia" w:ascii="宋体" w:hAnsi="宋体" w:cs="宋体"/>
          <w:sz w:val="24"/>
        </w:rPr>
      </w:pPr>
      <w:r>
        <w:rPr>
          <w:rFonts w:hint="eastAsia" w:ascii="宋体" w:hAnsi="宋体" w:cs="宋体"/>
          <w:sz w:val="24"/>
        </w:rPr>
        <w:t>2.1.7合同期内，提供足够的室间质评资源</w:t>
      </w:r>
      <w:r>
        <w:rPr>
          <w:rFonts w:hint="eastAsia" w:ascii="宋体" w:hAnsi="宋体" w:cs="宋体"/>
          <w:sz w:val="24"/>
          <w:lang w:eastAsia="zh-CN"/>
        </w:rPr>
        <w:t>，</w:t>
      </w:r>
      <w:r>
        <w:rPr>
          <w:rFonts w:hint="eastAsia" w:ascii="宋体" w:hAnsi="宋体" w:cs="宋体"/>
          <w:sz w:val="24"/>
        </w:rPr>
        <w:t>检测项目应覆盖采购人血药浓度检测自制试剂获批范围内的全部检测项目，以满足本项目相关产品的外部性能验证。</w:t>
      </w:r>
    </w:p>
    <w:p w14:paraId="72C74646">
      <w:pPr>
        <w:spacing w:line="360" w:lineRule="auto"/>
        <w:ind w:firstLine="480" w:firstLineChars="200"/>
        <w:rPr>
          <w:rFonts w:hint="eastAsia" w:ascii="宋体" w:hAnsi="宋体" w:cs="宋体"/>
          <w:sz w:val="24"/>
        </w:rPr>
      </w:pPr>
      <w:r>
        <w:rPr>
          <w:rFonts w:hint="eastAsia" w:ascii="宋体" w:hAnsi="宋体" w:cs="宋体"/>
          <w:sz w:val="24"/>
        </w:rPr>
        <w:t>2.1.8在合同签署后6个月内，应提供足够的资源（包括但不限于在投标人和采购人实验室等部署相关资源）配合采购人完成相关项目在药监系统的备案。</w:t>
      </w:r>
    </w:p>
    <w:p w14:paraId="2BFD74C3">
      <w:pPr>
        <w:spacing w:line="360" w:lineRule="auto"/>
        <w:ind w:firstLine="480" w:firstLineChars="200"/>
        <w:rPr>
          <w:rFonts w:hint="eastAsia" w:ascii="宋体" w:hAnsi="宋体" w:cs="宋体"/>
          <w:sz w:val="24"/>
        </w:rPr>
      </w:pPr>
      <w:r>
        <w:rPr>
          <w:rFonts w:hint="eastAsia" w:ascii="宋体" w:hAnsi="宋体" w:cs="宋体"/>
          <w:sz w:val="24"/>
        </w:rPr>
        <w:t>2.2具体服务内容</w:t>
      </w:r>
    </w:p>
    <w:p w14:paraId="325D3F50">
      <w:pPr>
        <w:spacing w:line="360" w:lineRule="auto"/>
        <w:ind w:firstLine="480" w:firstLineChars="200"/>
        <w:rPr>
          <w:rFonts w:hint="eastAsia" w:ascii="宋体" w:hAnsi="宋体" w:cs="宋体"/>
          <w:sz w:val="24"/>
        </w:rPr>
      </w:pPr>
      <w:r>
        <w:rPr>
          <w:rFonts w:hint="eastAsia" w:ascii="宋体" w:hAnsi="宋体" w:cs="宋体"/>
          <w:sz w:val="24"/>
        </w:rPr>
        <w:t>2.2.1自制试剂工艺转移、试生产、工艺确认和必要的再验证；</w:t>
      </w:r>
    </w:p>
    <w:p w14:paraId="026E31EF">
      <w:pPr>
        <w:spacing w:line="360" w:lineRule="auto"/>
        <w:ind w:firstLine="480" w:firstLineChars="200"/>
        <w:rPr>
          <w:rFonts w:hint="eastAsia" w:ascii="宋体" w:hAnsi="宋体" w:cs="宋体"/>
          <w:sz w:val="24"/>
        </w:rPr>
      </w:pPr>
      <w:r>
        <w:rPr>
          <w:rFonts w:hint="eastAsia" w:ascii="宋体" w:hAnsi="宋体" w:cs="宋体"/>
          <w:sz w:val="24"/>
        </w:rPr>
        <w:t>2.2.2原辅料、关键试剂、内标物、校准品、质控品、前处理试剂、流动相/稀释液/洗液等相关组分的采购、制备、分装、包装、放行及配送；</w:t>
      </w:r>
    </w:p>
    <w:p w14:paraId="25241F49">
      <w:pPr>
        <w:spacing w:line="360" w:lineRule="auto"/>
        <w:ind w:firstLine="480" w:firstLineChars="200"/>
        <w:rPr>
          <w:rFonts w:hint="eastAsia" w:ascii="宋体" w:hAnsi="宋体" w:cs="宋体"/>
          <w:sz w:val="24"/>
        </w:rPr>
      </w:pPr>
      <w:r>
        <w:rPr>
          <w:rFonts w:hint="eastAsia" w:ascii="宋体" w:hAnsi="宋体" w:cs="宋体"/>
          <w:sz w:val="24"/>
        </w:rPr>
        <w:t>2.2.3相关实验耗材（包括但不限于色谱柱、96孔板、盖垫、tip头等）的筛选、采购、验证、包装及配送；</w:t>
      </w:r>
    </w:p>
    <w:p w14:paraId="28909CA6">
      <w:pPr>
        <w:spacing w:line="360" w:lineRule="auto"/>
        <w:ind w:firstLine="480" w:firstLineChars="200"/>
        <w:rPr>
          <w:rFonts w:hint="eastAsia" w:ascii="宋体" w:hAnsi="宋体" w:cs="宋体"/>
          <w:sz w:val="24"/>
        </w:rPr>
      </w:pPr>
      <w:r>
        <w:rPr>
          <w:rFonts w:hint="eastAsia" w:ascii="宋体" w:hAnsi="宋体" w:cs="宋体"/>
          <w:sz w:val="24"/>
        </w:rPr>
        <w:t>2.2.4按采购人确认的产品技术要求进行批量生产；</w:t>
      </w:r>
    </w:p>
    <w:p w14:paraId="5047452B">
      <w:pPr>
        <w:spacing w:line="360" w:lineRule="auto"/>
        <w:ind w:firstLine="480" w:firstLineChars="200"/>
        <w:rPr>
          <w:rFonts w:hint="eastAsia" w:ascii="宋体" w:hAnsi="宋体" w:cs="宋体"/>
          <w:sz w:val="24"/>
        </w:rPr>
      </w:pPr>
      <w:r>
        <w:rPr>
          <w:rFonts w:hint="eastAsia" w:ascii="宋体" w:hAnsi="宋体" w:cs="宋体"/>
          <w:sz w:val="24"/>
        </w:rPr>
        <w:t>2.2.5每批产品出具生产记录、检验记录、批放行报告、合格证明、储运记录及可追溯资料；</w:t>
      </w:r>
    </w:p>
    <w:p w14:paraId="0394F7BA">
      <w:pPr>
        <w:spacing w:line="360" w:lineRule="auto"/>
        <w:ind w:firstLine="480" w:firstLineChars="200"/>
        <w:rPr>
          <w:rFonts w:hint="eastAsia" w:ascii="宋体" w:hAnsi="宋体" w:cs="宋体"/>
          <w:sz w:val="24"/>
        </w:rPr>
      </w:pPr>
      <w:r>
        <w:rPr>
          <w:rFonts w:hint="eastAsia" w:ascii="宋体" w:hAnsi="宋体" w:cs="宋体"/>
          <w:sz w:val="24"/>
        </w:rPr>
        <w:t>2.2.6按采购人要求完成标签、说明书、使用操作指引及风险提示文件制作；</w:t>
      </w:r>
    </w:p>
    <w:p w14:paraId="3F9D854A">
      <w:pPr>
        <w:spacing w:line="360" w:lineRule="auto"/>
        <w:ind w:firstLine="480" w:firstLineChars="200"/>
        <w:rPr>
          <w:rFonts w:hint="eastAsia" w:ascii="宋体" w:hAnsi="宋体" w:cs="宋体"/>
          <w:sz w:val="24"/>
        </w:rPr>
      </w:pPr>
      <w:r>
        <w:rPr>
          <w:rFonts w:hint="eastAsia" w:ascii="宋体" w:hAnsi="宋体" w:cs="宋体"/>
          <w:sz w:val="24"/>
        </w:rPr>
        <w:t>2.2.7按采购人所需的频次和数量完成供货、冷链/温控运输及院内交付；</w:t>
      </w:r>
    </w:p>
    <w:p w14:paraId="122ADC5A">
      <w:pPr>
        <w:spacing w:line="360" w:lineRule="auto"/>
        <w:ind w:firstLine="480" w:firstLineChars="200"/>
        <w:rPr>
          <w:rFonts w:hint="eastAsia" w:ascii="宋体" w:hAnsi="宋体" w:cs="宋体"/>
          <w:sz w:val="24"/>
        </w:rPr>
      </w:pPr>
      <w:r>
        <w:rPr>
          <w:rFonts w:hint="eastAsia" w:ascii="宋体" w:hAnsi="宋体" w:cs="宋体"/>
          <w:sz w:val="24"/>
        </w:rPr>
        <w:t>2.2.8配合采购人完成入库验收、批间比对、室内质控、室间质评、方法学复核、异常结果调查、监管检查和资料补充；</w:t>
      </w:r>
    </w:p>
    <w:p w14:paraId="50027B8B">
      <w:pPr>
        <w:spacing w:line="360" w:lineRule="auto"/>
        <w:ind w:firstLine="480" w:firstLineChars="200"/>
        <w:rPr>
          <w:rFonts w:hint="eastAsia" w:ascii="宋体" w:hAnsi="宋体" w:cs="宋体"/>
          <w:sz w:val="24"/>
        </w:rPr>
      </w:pPr>
      <w:r>
        <w:rPr>
          <w:rFonts w:hint="eastAsia" w:ascii="宋体" w:hAnsi="宋体" w:cs="宋体"/>
          <w:sz w:val="24"/>
        </w:rPr>
        <w:t>2.2.9提供产品全生命周期质量管理、变更控制、偏差调查、纠正预防措施、召回协助和年度质量回顾；</w:t>
      </w:r>
    </w:p>
    <w:p w14:paraId="46FBC74B">
      <w:pPr>
        <w:spacing w:line="360" w:lineRule="auto"/>
        <w:ind w:firstLine="480" w:firstLineChars="200"/>
        <w:rPr>
          <w:rFonts w:hint="eastAsia" w:ascii="宋体" w:hAnsi="宋体" w:cs="宋体"/>
          <w:sz w:val="24"/>
        </w:rPr>
      </w:pPr>
      <w:r>
        <w:rPr>
          <w:rFonts w:hint="eastAsia" w:ascii="宋体" w:hAnsi="宋体" w:cs="宋体"/>
          <w:sz w:val="24"/>
        </w:rPr>
        <w:t>2.2.10能提供足够的资源（包括但不限于在投标人和采购人实验室等部署相关资源）完成采购人接受药监、卫健等相关部门体系考核、核查、检查等所需的全部文件体系的建立和合同期内的持续更新。</w:t>
      </w:r>
    </w:p>
    <w:p w14:paraId="3EC12616">
      <w:pPr>
        <w:spacing w:line="360" w:lineRule="auto"/>
        <w:ind w:firstLine="480" w:firstLineChars="200"/>
        <w:rPr>
          <w:rFonts w:hint="eastAsia" w:ascii="宋体" w:hAnsi="宋体" w:cs="宋体"/>
          <w:sz w:val="24"/>
        </w:rPr>
      </w:pPr>
      <w:r>
        <w:rPr>
          <w:rFonts w:hint="eastAsia" w:ascii="宋体" w:hAnsi="宋体" w:cs="宋体"/>
          <w:sz w:val="24"/>
        </w:rPr>
        <w:t>2.3服务要求</w:t>
      </w:r>
    </w:p>
    <w:p w14:paraId="773632BF">
      <w:pPr>
        <w:spacing w:line="360" w:lineRule="auto"/>
        <w:ind w:firstLine="480" w:firstLineChars="200"/>
        <w:rPr>
          <w:rFonts w:hint="eastAsia" w:ascii="宋体" w:hAnsi="宋体" w:cs="宋体"/>
          <w:sz w:val="24"/>
        </w:rPr>
      </w:pPr>
      <w:r>
        <w:rPr>
          <w:rFonts w:hint="eastAsia" w:ascii="宋体" w:hAnsi="宋体" w:cs="宋体"/>
          <w:sz w:val="24"/>
        </w:rPr>
        <w:t>2.3.1服务模式</w:t>
      </w:r>
    </w:p>
    <w:p w14:paraId="1E1471C8">
      <w:pPr>
        <w:spacing w:line="360" w:lineRule="auto"/>
        <w:ind w:firstLine="480" w:firstLineChars="200"/>
        <w:rPr>
          <w:rFonts w:hint="eastAsia" w:ascii="宋体" w:hAnsi="宋体" w:cs="宋体"/>
          <w:sz w:val="24"/>
        </w:rPr>
      </w:pPr>
      <w:r>
        <w:rPr>
          <w:rFonts w:hint="eastAsia" w:ascii="宋体" w:hAnsi="宋体" w:cs="宋体"/>
          <w:sz w:val="24"/>
        </w:rPr>
        <w:t>需按采购人下达的生产订单执行，可支持单批次或一次性多批次的生产安排。</w:t>
      </w:r>
    </w:p>
    <w:p w14:paraId="484869E5">
      <w:pPr>
        <w:spacing w:line="360" w:lineRule="auto"/>
        <w:ind w:firstLine="480" w:firstLineChars="200"/>
        <w:rPr>
          <w:rFonts w:hint="eastAsia" w:ascii="宋体" w:hAnsi="宋体" w:cs="宋体"/>
          <w:sz w:val="24"/>
        </w:rPr>
      </w:pPr>
      <w:r>
        <w:rPr>
          <w:rFonts w:hint="eastAsia" w:ascii="宋体" w:hAnsi="宋体" w:cs="宋体"/>
          <w:sz w:val="24"/>
        </w:rPr>
        <w:t>2.3.2响应时间</w:t>
      </w:r>
    </w:p>
    <w:p w14:paraId="0595EF06">
      <w:pPr>
        <w:spacing w:line="360" w:lineRule="auto"/>
        <w:ind w:firstLine="480" w:firstLineChars="200"/>
        <w:rPr>
          <w:rFonts w:hint="eastAsia" w:ascii="宋体" w:hAnsi="宋体" w:cs="宋体"/>
          <w:sz w:val="24"/>
        </w:rPr>
      </w:pPr>
      <w:r>
        <w:rPr>
          <w:rFonts w:hint="eastAsia" w:ascii="宋体" w:hAnsi="宋体" w:cs="宋体"/>
          <w:sz w:val="24"/>
        </w:rPr>
        <w:t>在收到采购人书面生产订单及完整技术文件后，应在10个工作日内启动生产准备工作。</w:t>
      </w:r>
    </w:p>
    <w:p w14:paraId="7FE43CA1">
      <w:pPr>
        <w:spacing w:line="360" w:lineRule="auto"/>
        <w:ind w:firstLine="480" w:firstLineChars="200"/>
        <w:rPr>
          <w:rFonts w:hint="eastAsia" w:ascii="宋体" w:hAnsi="宋体" w:cs="宋体"/>
          <w:sz w:val="24"/>
        </w:rPr>
      </w:pPr>
      <w:r>
        <w:rPr>
          <w:rFonts w:hint="eastAsia" w:ascii="宋体" w:hAnsi="宋体" w:cs="宋体"/>
          <w:sz w:val="24"/>
        </w:rPr>
        <w:t>2.3.3交货要求：自采购人下达订单后的30个自然日内完成交货。</w:t>
      </w:r>
    </w:p>
    <w:p w14:paraId="46E51643">
      <w:pPr>
        <w:spacing w:line="360" w:lineRule="auto"/>
        <w:ind w:firstLine="480" w:firstLineChars="200"/>
        <w:rPr>
          <w:rFonts w:hint="eastAsia" w:ascii="宋体" w:hAnsi="宋体" w:cs="宋体"/>
          <w:sz w:val="24"/>
        </w:rPr>
      </w:pPr>
      <w:r>
        <w:rPr>
          <w:rFonts w:hint="eastAsia" w:ascii="宋体" w:hAnsi="宋体" w:cs="宋体"/>
          <w:sz w:val="24"/>
        </w:rPr>
        <w:t>2.3.4结算：本项目依据实际用于检测的药物数量按月结算。每种药物计为1个检测数，代谢物不计数，同一患者同一次检测超过3种药物的按3种计数。</w:t>
      </w:r>
    </w:p>
    <w:p w14:paraId="50F06AC8">
      <w:pPr>
        <w:spacing w:line="360" w:lineRule="auto"/>
        <w:ind w:firstLine="480" w:firstLineChars="200"/>
        <w:rPr>
          <w:rFonts w:hint="eastAsia" w:ascii="宋体" w:hAnsi="宋体" w:cs="宋体"/>
          <w:sz w:val="24"/>
        </w:rPr>
      </w:pPr>
      <w:r>
        <w:rPr>
          <w:rFonts w:hint="eastAsia" w:ascii="宋体" w:hAnsi="宋体" w:cs="宋体"/>
          <w:sz w:val="24"/>
        </w:rPr>
        <w:t>2.3.5售后</w:t>
      </w:r>
    </w:p>
    <w:p w14:paraId="4713BBF5">
      <w:pPr>
        <w:spacing w:line="360" w:lineRule="auto"/>
        <w:ind w:firstLine="480" w:firstLineChars="200"/>
        <w:rPr>
          <w:rFonts w:hint="eastAsia" w:ascii="宋体" w:hAnsi="宋体" w:cs="宋体"/>
          <w:sz w:val="24"/>
        </w:rPr>
      </w:pPr>
      <w:r>
        <w:rPr>
          <w:rFonts w:hint="eastAsia" w:ascii="宋体" w:hAnsi="宋体" w:cs="宋体"/>
          <w:sz w:val="24"/>
        </w:rPr>
        <w:t>2.3.5.1需提供7×24小时技术应急支持联系电话；</w:t>
      </w:r>
    </w:p>
    <w:p w14:paraId="7107BC8F">
      <w:pPr>
        <w:spacing w:line="360" w:lineRule="auto"/>
        <w:ind w:firstLine="480" w:firstLineChars="200"/>
        <w:rPr>
          <w:rFonts w:hint="eastAsia" w:ascii="宋体" w:hAnsi="宋体" w:cs="宋体"/>
          <w:sz w:val="24"/>
        </w:rPr>
      </w:pPr>
      <w:r>
        <w:rPr>
          <w:rFonts w:hint="eastAsia" w:ascii="宋体" w:hAnsi="宋体" w:cs="宋体"/>
          <w:sz w:val="24"/>
        </w:rPr>
        <w:t>2.3.5.2如在使用过程中出现产品相关技术问题，且驻场人员无法解决的，需在2小时内远程响应或4小时内上门提供技术支持；</w:t>
      </w:r>
    </w:p>
    <w:p w14:paraId="1B13C570">
      <w:pPr>
        <w:spacing w:line="360" w:lineRule="auto"/>
        <w:ind w:firstLine="480" w:firstLineChars="200"/>
        <w:rPr>
          <w:rFonts w:hint="eastAsia" w:ascii="宋体" w:hAnsi="宋体" w:cs="宋体"/>
          <w:sz w:val="24"/>
        </w:rPr>
      </w:pPr>
      <w:r>
        <w:rPr>
          <w:rFonts w:hint="eastAsia" w:ascii="宋体" w:hAnsi="宋体" w:cs="宋体"/>
          <w:sz w:val="24"/>
        </w:rPr>
        <w:t>2.3.5.3在</w:t>
      </w:r>
      <w:r>
        <w:rPr>
          <w:rFonts w:hint="eastAsia" w:ascii="宋体" w:hAnsi="宋体" w:cs="宋体"/>
          <w:sz w:val="24"/>
          <w:lang w:val="en-US" w:eastAsia="zh-CN"/>
        </w:rPr>
        <w:t>服务</w:t>
      </w:r>
      <w:r>
        <w:rPr>
          <w:rFonts w:hint="eastAsia" w:ascii="宋体" w:hAnsi="宋体" w:cs="宋体"/>
          <w:sz w:val="24"/>
        </w:rPr>
        <w:t>期内，如因供应商责任导致产品不符合放行标准、出现质量问题或不良事件，供应商应负责免费返工、重生产或召回，并赔偿由此给采购人造成的直接损失。</w:t>
      </w:r>
    </w:p>
    <w:p w14:paraId="7BFE2701">
      <w:pPr>
        <w:spacing w:line="360" w:lineRule="auto"/>
        <w:ind w:firstLine="480" w:firstLineChars="200"/>
        <w:rPr>
          <w:rFonts w:hint="eastAsia" w:ascii="宋体" w:hAnsi="宋体" w:cs="宋体"/>
          <w:sz w:val="24"/>
        </w:rPr>
      </w:pPr>
      <w:r>
        <w:rPr>
          <w:rFonts w:hint="eastAsia" w:ascii="宋体" w:hAnsi="宋体" w:cs="宋体"/>
          <w:sz w:val="24"/>
        </w:rPr>
        <w:t>2.3.6应急措施：应制定包括但不限于生产偏差、检验超标（OOS）、设备故障、物料供应中断、产品质量投诉等情况的应急预案和处置流程。发生问题时，需在4小时内向采购人通报，必要时，在24小时内提供书面初步分析报告。</w:t>
      </w:r>
    </w:p>
    <w:p w14:paraId="65C2FF5E">
      <w:pPr>
        <w:spacing w:line="360" w:lineRule="auto"/>
        <w:ind w:firstLine="480" w:firstLineChars="200"/>
        <w:rPr>
          <w:b/>
        </w:rPr>
      </w:pPr>
      <w:r>
        <w:rPr>
          <w:rFonts w:hint="eastAsia" w:ascii="宋体" w:hAnsi="宋体" w:cs="宋体"/>
          <w:sz w:val="24"/>
        </w:rPr>
        <w:t xml:space="preserve">2.4.知识产权与保密：明确所生产的HDT及其相关技术文件的知识产权归采购人所有。供应商需承担保密义务，未经采购人书面同意，不得将任何技术信息、生产数据用于其他目的或泄露给第三方。    </w:t>
      </w:r>
    </w:p>
    <w:p w14:paraId="02BCEE7E">
      <w:pPr>
        <w:pStyle w:val="13"/>
        <w:spacing w:line="360" w:lineRule="auto"/>
        <w:rPr>
          <w:rFonts w:hint="eastAsia"/>
          <w:b/>
        </w:rPr>
      </w:pPr>
      <w:r>
        <w:rPr>
          <w:rFonts w:hint="eastAsia"/>
          <w:b/>
        </w:rPr>
        <w:t>（三）其他要求：</w:t>
      </w:r>
    </w:p>
    <w:p w14:paraId="42BDFA43">
      <w:pPr>
        <w:pStyle w:val="13"/>
        <w:spacing w:line="360" w:lineRule="auto"/>
        <w:rPr>
          <w:rFonts w:hint="eastAsia"/>
        </w:rPr>
      </w:pPr>
      <w:r>
        <w:rPr>
          <w:rFonts w:hint="eastAsia"/>
        </w:rPr>
        <w:t>1.人员要求</w:t>
      </w:r>
    </w:p>
    <w:p w14:paraId="6F2C4051">
      <w:pPr>
        <w:pStyle w:val="13"/>
        <w:spacing w:line="360" w:lineRule="auto"/>
        <w:rPr>
          <w:rFonts w:hint="eastAsia"/>
        </w:rPr>
      </w:pPr>
      <w:r>
        <w:rPr>
          <w:rFonts w:hint="eastAsia"/>
          <w:lang w:val="en-US" w:eastAsia="zh-CN"/>
        </w:rPr>
        <w:t>项目负责人</w:t>
      </w:r>
      <w:r>
        <w:rPr>
          <w:rFonts w:hint="eastAsia"/>
        </w:rPr>
        <w:t>从业时间不少于五年；生产、质量管理和检验关键岗位人员，其相关从业经验均不少于三年</w:t>
      </w:r>
    </w:p>
    <w:p w14:paraId="0665DC45">
      <w:pPr>
        <w:pStyle w:val="13"/>
        <w:spacing w:line="360" w:lineRule="auto"/>
        <w:rPr>
          <w:rFonts w:hint="eastAsia"/>
        </w:rPr>
      </w:pPr>
      <w:r>
        <w:rPr>
          <w:rFonts w:hint="eastAsia"/>
        </w:rPr>
        <w:t>2.验收标准</w:t>
      </w:r>
    </w:p>
    <w:p w14:paraId="0614EFC6">
      <w:pPr>
        <w:pStyle w:val="13"/>
        <w:spacing w:line="360" w:lineRule="auto"/>
        <w:ind w:firstLine="480" w:firstLineChars="200"/>
        <w:rPr>
          <w:rFonts w:hint="eastAsia"/>
        </w:rPr>
      </w:pPr>
      <w:r>
        <w:rPr>
          <w:rFonts w:hint="eastAsia"/>
          <w:lang w:val="en-US" w:eastAsia="zh-CN"/>
        </w:rPr>
        <w:t>2.1</w:t>
      </w:r>
      <w:r>
        <w:rPr>
          <w:rFonts w:hint="eastAsia"/>
        </w:rPr>
        <w:t>到货验收：产品名称、规格、批号、数量、包装及标签应与采购订单一致，包装完整，无破损、污染或泄漏；储运条件符合产品要求。</w:t>
      </w:r>
    </w:p>
    <w:p w14:paraId="16F38289">
      <w:pPr>
        <w:pStyle w:val="13"/>
        <w:spacing w:line="360" w:lineRule="auto"/>
        <w:ind w:firstLine="480" w:firstLineChars="200"/>
        <w:rPr>
          <w:rFonts w:hint="eastAsia"/>
        </w:rPr>
      </w:pPr>
      <w:r>
        <w:rPr>
          <w:rFonts w:hint="eastAsia"/>
          <w:lang w:val="en-US" w:eastAsia="zh-CN"/>
        </w:rPr>
        <w:t>2.2</w:t>
      </w:r>
      <w:r>
        <w:rPr>
          <w:rFonts w:hint="eastAsia"/>
        </w:rPr>
        <w:t>资料验收：每批产品应提供检验记录、批放行报告、合格证明、储运记录及可追溯资料，资料应真实、完整。</w:t>
      </w:r>
    </w:p>
    <w:p w14:paraId="03855FB9">
      <w:pPr>
        <w:pStyle w:val="13"/>
        <w:spacing w:line="360" w:lineRule="auto"/>
        <w:ind w:firstLine="480" w:firstLineChars="200"/>
        <w:rPr>
          <w:rFonts w:hint="eastAsia" w:eastAsia="宋体"/>
          <w:lang w:eastAsia="zh-CN"/>
        </w:rPr>
      </w:pPr>
      <w:r>
        <w:rPr>
          <w:rFonts w:hint="eastAsia"/>
          <w:lang w:val="en-US" w:eastAsia="zh-CN"/>
        </w:rPr>
        <w:t>2.3</w:t>
      </w:r>
      <w:r>
        <w:rPr>
          <w:rFonts w:hint="eastAsia"/>
        </w:rPr>
        <w:t>质量验收：产品应符合采购人确认的产品技术要求及质量标准，并通过采购人开展的入库验收、批间比对、室内质控、室间质评</w:t>
      </w:r>
      <w:r>
        <w:rPr>
          <w:rFonts w:hint="eastAsia"/>
          <w:lang w:val="en-US" w:eastAsia="zh-CN"/>
        </w:rPr>
        <w:t>等</w:t>
      </w:r>
      <w:r>
        <w:rPr>
          <w:rFonts w:hint="eastAsia"/>
        </w:rPr>
        <w:t>必要的性能验证</w:t>
      </w:r>
      <w:r>
        <w:rPr>
          <w:rFonts w:hint="eastAsia"/>
          <w:lang w:eastAsia="zh-CN"/>
        </w:rPr>
        <w:t>。</w:t>
      </w:r>
    </w:p>
    <w:p w14:paraId="5AC90A20">
      <w:pPr>
        <w:pStyle w:val="13"/>
        <w:spacing w:line="360" w:lineRule="auto"/>
        <w:ind w:firstLine="482"/>
        <w:rPr>
          <w:rFonts w:hint="eastAsia"/>
        </w:rPr>
      </w:pPr>
      <w:r>
        <w:rPr>
          <w:rFonts w:hint="eastAsia" w:cs="宋体"/>
        </w:rPr>
        <w:t>3.</w:t>
      </w:r>
      <w:r>
        <w:rPr>
          <w:rFonts w:hint="eastAsia"/>
        </w:rPr>
        <w:t>投标人需在投标文件中提供：技术平台与生产能力</w:t>
      </w:r>
      <w:r>
        <w:rPr>
          <w:rFonts w:hint="eastAsia"/>
          <w:lang w:eastAsia="zh-CN"/>
        </w:rPr>
        <w:t>，</w:t>
      </w:r>
      <w:r>
        <w:rPr>
          <w:rFonts w:hint="eastAsia"/>
        </w:rPr>
        <w:t>服务方案</w:t>
      </w:r>
      <w:r>
        <w:rPr>
          <w:rFonts w:hint="eastAsia"/>
          <w:lang w:eastAsia="zh-CN"/>
        </w:rPr>
        <w:t>，</w:t>
      </w:r>
      <w:r>
        <w:rPr>
          <w:rFonts w:hint="eastAsia"/>
        </w:rPr>
        <w:t>质量合规、偏差处理与召回机制</w:t>
      </w:r>
      <w:r>
        <w:rPr>
          <w:rFonts w:hint="eastAsia"/>
          <w:lang w:eastAsia="zh-CN"/>
        </w:rPr>
        <w:t>，</w:t>
      </w:r>
      <w:r>
        <w:rPr>
          <w:rFonts w:hint="eastAsia"/>
        </w:rPr>
        <w:t>交付保障及售后服务</w:t>
      </w:r>
      <w:r>
        <w:rPr>
          <w:rFonts w:hint="eastAsia"/>
          <w:lang w:val="en-US" w:eastAsia="zh-CN"/>
        </w:rPr>
        <w:t>方案</w:t>
      </w:r>
      <w:r>
        <w:rPr>
          <w:rFonts w:hint="eastAsia" w:cs="宋体"/>
        </w:rPr>
        <w:t>。</w:t>
      </w:r>
      <w:r>
        <w:br w:type="page"/>
      </w:r>
    </w:p>
    <w:bookmarkEnd w:id="2"/>
    <w:p w14:paraId="423026F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7646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0"/>
    <w:pPr>
      <w:keepNext/>
      <w:keepLines/>
      <w:autoSpaceDE w:val="0"/>
      <w:autoSpaceDN w:val="0"/>
      <w:adjustRightInd w:val="0"/>
      <w:spacing w:line="360" w:lineRule="auto"/>
      <w:jc w:val="center"/>
      <w:outlineLvl w:val="1"/>
    </w:pPr>
    <w:rPr>
      <w:rFonts w:ascii="宋体" w:hAnsi="宋体"/>
      <w:b/>
      <w:kern w:val="0"/>
      <w:sz w:val="24"/>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spacing w:line="480" w:lineRule="exact"/>
      <w:ind w:firstLine="420" w:firstLineChars="200"/>
    </w:pPr>
    <w:rPr>
      <w:szCs w:val="20"/>
    </w:rPr>
  </w:style>
  <w:style w:type="paragraph" w:styleId="3">
    <w:name w:val="Body Text Indent"/>
    <w:basedOn w:val="1"/>
    <w:unhideWhenUsed/>
    <w:qFormat/>
    <w:uiPriority w:val="99"/>
    <w:pPr>
      <w:spacing w:after="120"/>
      <w:ind w:left="420" w:leftChars="200"/>
    </w:pPr>
  </w:style>
  <w:style w:type="paragraph" w:styleId="5">
    <w:name w:val="Normal Indent"/>
    <w:basedOn w:val="1"/>
    <w:next w:val="6"/>
    <w:qFormat/>
    <w:uiPriority w:val="0"/>
    <w:pPr>
      <w:autoSpaceDE w:val="0"/>
      <w:autoSpaceDN w:val="0"/>
      <w:adjustRightInd w:val="0"/>
      <w:ind w:firstLine="420"/>
      <w:jc w:val="left"/>
    </w:pPr>
    <w:rPr>
      <w:rFonts w:ascii="宋体"/>
      <w:sz w:val="24"/>
    </w:rPr>
  </w:style>
  <w:style w:type="paragraph" w:customStyle="1" w:styleId="6">
    <w:name w:val="xl31"/>
    <w:basedOn w:val="1"/>
    <w:next w:val="7"/>
    <w:qFormat/>
    <w:uiPriority w:val="0"/>
    <w:pPr>
      <w:widowControl/>
      <w:spacing w:before="280" w:after="280"/>
      <w:ind w:firstLine="3584"/>
    </w:pPr>
  </w:style>
  <w:style w:type="paragraph" w:styleId="7">
    <w:name w:val="Body Text First Indent"/>
    <w:basedOn w:val="8"/>
    <w:next w:val="1"/>
    <w:qFormat/>
    <w:uiPriority w:val="0"/>
    <w:pPr>
      <w:tabs>
        <w:tab w:val="left" w:pos="567"/>
      </w:tabs>
      <w:ind w:firstLine="420" w:firstLineChars="100"/>
    </w:pPr>
  </w:style>
  <w:style w:type="paragraph" w:styleId="8">
    <w:name w:val="Body Text"/>
    <w:basedOn w:val="1"/>
    <w:qFormat/>
    <w:uiPriority w:val="0"/>
    <w:pPr>
      <w:tabs>
        <w:tab w:val="left" w:pos="567"/>
      </w:tabs>
      <w:spacing w:before="120" w:line="22" w:lineRule="atLeast"/>
    </w:pPr>
    <w:rPr>
      <w:rFonts w:ascii="宋体" w:hAnsi="宋体"/>
      <w:sz w:val="24"/>
    </w:rPr>
  </w:style>
  <w:style w:type="paragraph" w:customStyle="1" w:styleId="11">
    <w:name w:val="列出段落1"/>
    <w:basedOn w:val="1"/>
    <w:autoRedefine/>
    <w:qFormat/>
    <w:uiPriority w:val="34"/>
    <w:pPr>
      <w:ind w:firstLine="420" w:firstLineChars="200"/>
    </w:pPr>
    <w:rPr>
      <w:rFonts w:ascii="Calibri" w:hAnsi="Calibri"/>
      <w:szCs w:val="22"/>
    </w:rPr>
  </w:style>
  <w:style w:type="character" w:customStyle="1" w:styleId="12">
    <w:name w:val="font21"/>
    <w:basedOn w:val="10"/>
    <w:qFormat/>
    <w:uiPriority w:val="0"/>
    <w:rPr>
      <w:rFonts w:hint="eastAsia" w:ascii="宋体" w:hAnsi="宋体" w:eastAsia="宋体" w:cs="宋体"/>
      <w:color w:val="000000"/>
      <w:sz w:val="24"/>
      <w:szCs w:val="24"/>
      <w:u w:val="none"/>
    </w:rPr>
  </w:style>
  <w:style w:type="paragraph" w:customStyle="1" w:styleId="13">
    <w:name w:val="*正文"/>
    <w:basedOn w:val="1"/>
    <w:qFormat/>
    <w:uiPriority w:val="0"/>
    <w:pPr>
      <w:spacing w:line="300" w:lineRule="auto"/>
      <w:ind w:firstLine="480"/>
    </w:pPr>
    <w:rPr>
      <w:rFonts w:ascii="宋体" w:hAnsi="宋体"/>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2026-10-27T06:24:22Z</dcterms:created>
  <dc:creator>zxhd2026</dc:creator>
  <cp:lastModifiedBy>用户</cp:lastModifiedBy>
  <dcterms:modified xsi:type="dcterms:W3CDTF">2026-10-27T06:24:47Z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eyJoZGlkIjoiNzdmODdjN2Y4NmFiNjdjZGFiMmRjZGU1NzVlN2NkYTMiLCJ1c2VySWQiOiIyOTI2NjUzMzQifQ==</vt:lpwstr>
  </property>
  <property fmtid="{D5CDD505-2E9C-101B-9397-08002B2CF9AE}" pid="4" name="ICV">
    <vt:lpwstr>3DE3E1147AA340FB9AE07878F7E1CCB5_12</vt:lpwstr>
  </property>
</Properties>
</file>