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E06137">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p>
    <w:p w14:paraId="74FE3A84">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说明：</w:t>
      </w:r>
    </w:p>
    <w:p w14:paraId="5817DB5B">
      <w:pPr>
        <w:snapToGrid w:val="0"/>
        <w:spacing w:line="360" w:lineRule="auto"/>
        <w:contextualSpacing/>
        <w:rPr>
          <w:rFonts w:ascii="仿宋" w:hAnsi="仿宋" w:eastAsia="仿宋" w:cs="仿宋"/>
          <w:sz w:val="28"/>
          <w:szCs w:val="28"/>
        </w:rPr>
      </w:pPr>
      <w:bookmarkStart w:id="0" w:name="_Hlk167284587"/>
      <w:r>
        <w:rPr>
          <w:rFonts w:hint="eastAsia" w:ascii="仿宋" w:hAnsi="仿宋" w:eastAsia="仿宋" w:cs="仿宋"/>
          <w:sz w:val="28"/>
          <w:szCs w:val="28"/>
        </w:rPr>
        <w:t>1. 当采购项目涉及政务信息系统时，采购需求应当符合《政务信息系统政府采购管理暂行办法》（财库〔2017〕210号）的相关要求。</w:t>
      </w:r>
    </w:p>
    <w:p w14:paraId="26471724">
      <w:pPr>
        <w:snapToGrid w:val="0"/>
        <w:spacing w:line="360" w:lineRule="auto"/>
        <w:contextualSpacing/>
        <w:rPr>
          <w:rFonts w:ascii="仿宋" w:hAnsi="仿宋" w:eastAsia="仿宋" w:cs="仿宋"/>
          <w:sz w:val="28"/>
          <w:szCs w:val="28"/>
        </w:rPr>
      </w:pPr>
      <w:bookmarkStart w:id="1" w:name="_Hlk168431603"/>
      <w:r>
        <w:rPr>
          <w:rFonts w:hint="eastAsia" w:ascii="仿宋" w:hAnsi="仿宋" w:eastAsia="仿宋" w:cs="仿宋"/>
          <w:sz w:val="28"/>
          <w:szCs w:val="28"/>
        </w:rPr>
        <w:t>2. 采购人及采购代理机构应关注财政部门会同有关部门制定发布的需求标准，结合具体应用场景，根据对应《需求标准》确定采购需求。</w:t>
      </w:r>
    </w:p>
    <w:p w14:paraId="104F74D5">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已发布的需求标准如下：</w:t>
      </w:r>
    </w:p>
    <w:p w14:paraId="5341BE0F">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《关于印发〈商品包装政府采购需求标准（试行）〉、〈快递包装政府采购需求标准（试行）〉的通知》（财办库﹝2020﹞123号））</w:t>
      </w:r>
    </w:p>
    <w:p w14:paraId="1C252583">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《绿色数据中心政府采购需求标准（试行）》（财库〔2023〕7号）</w:t>
      </w:r>
    </w:p>
    <w:p w14:paraId="581CC0D2">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《台式计算机政府采购需求标准（2023年版）》（财库〔2023〕29号）</w:t>
      </w:r>
    </w:p>
    <w:p w14:paraId="621E14E6">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《便携式计算机政府采购需求标准（2023年版）》（财库〔2023〕30号）</w:t>
      </w:r>
    </w:p>
    <w:p w14:paraId="3714A8E0">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《一体式计算机政府采购需求标准（2023年版）》（财库〔2023〕31号）</w:t>
      </w:r>
    </w:p>
    <w:p w14:paraId="2E9F73BD">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《工作站政府采购需求标准（2023年版）》（财库〔2023〕32号）</w:t>
      </w:r>
    </w:p>
    <w:p w14:paraId="3627F5BF">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《通用服务器政府采购需求标准（2023年版）》（财库〔2023〕33号）</w:t>
      </w:r>
    </w:p>
    <w:p w14:paraId="360B834B">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《操作系统政府采购需求标准（2023年版）》（财库〔2023〕34号）</w:t>
      </w:r>
    </w:p>
    <w:p w14:paraId="72B8A517">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《数据库政府采购需求标准（2023年版）》（财库〔2023〕35号）</w:t>
      </w:r>
    </w:p>
    <w:p w14:paraId="30A2632F">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《物业管理服务政府采购需求标准（办公场所类）（试行）》（财办库〔2024〕113号）</w:t>
      </w:r>
    </w:p>
    <w:p w14:paraId="60C3D76A">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如有更新或增加，以财政部门发布为准。</w:t>
      </w:r>
      <w:bookmarkEnd w:id="0"/>
      <w:bookmarkEnd w:id="1"/>
    </w:p>
    <w:p w14:paraId="542BF970">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360D2829">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14:paraId="31CA8B0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3"/>
        <w:tblW w:w="484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0"/>
        <w:gridCol w:w="830"/>
        <w:gridCol w:w="3208"/>
        <w:gridCol w:w="797"/>
        <w:gridCol w:w="797"/>
        <w:gridCol w:w="2021"/>
      </w:tblGrid>
      <w:tr w14:paraId="1F9E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69" w:type="pct"/>
            <w:vAlign w:val="center"/>
          </w:tcPr>
          <w:p w14:paraId="42438499">
            <w:pPr>
              <w:widowControl/>
              <w:jc w:val="center"/>
              <w:rPr>
                <w:rFonts w:ascii="仿宋" w:hAnsi="仿宋" w:eastAsia="仿宋" w:cs="宋体"/>
                <w:kern w:val="0"/>
                <w:sz w:val="24"/>
              </w:rPr>
            </w:pPr>
            <w:r>
              <w:rPr>
                <w:rFonts w:hint="eastAsia" w:ascii="仿宋" w:hAnsi="仿宋" w:eastAsia="仿宋" w:cs="宋体"/>
                <w:kern w:val="0"/>
                <w:sz w:val="24"/>
              </w:rPr>
              <w:t>包号</w:t>
            </w:r>
          </w:p>
        </w:tc>
        <w:tc>
          <w:tcPr>
            <w:tcW w:w="502" w:type="pct"/>
            <w:vAlign w:val="center"/>
          </w:tcPr>
          <w:p w14:paraId="3342B641">
            <w:pPr>
              <w:widowControl/>
              <w:jc w:val="center"/>
              <w:rPr>
                <w:rFonts w:ascii="仿宋" w:hAnsi="仿宋" w:eastAsia="仿宋" w:cs="宋体"/>
                <w:kern w:val="0"/>
                <w:sz w:val="24"/>
              </w:rPr>
            </w:pPr>
            <w:r>
              <w:rPr>
                <w:rFonts w:hint="eastAsia" w:ascii="仿宋" w:hAnsi="仿宋" w:eastAsia="仿宋" w:cs="宋体"/>
                <w:kern w:val="0"/>
                <w:sz w:val="24"/>
              </w:rPr>
              <w:t>品目号</w:t>
            </w:r>
          </w:p>
        </w:tc>
        <w:tc>
          <w:tcPr>
            <w:tcW w:w="1940" w:type="pct"/>
            <w:vAlign w:val="center"/>
          </w:tcPr>
          <w:p w14:paraId="215698D5">
            <w:pPr>
              <w:widowControl/>
              <w:jc w:val="center"/>
              <w:rPr>
                <w:rFonts w:ascii="仿宋" w:hAnsi="仿宋" w:eastAsia="仿宋" w:cs="宋体"/>
                <w:kern w:val="0"/>
                <w:sz w:val="24"/>
              </w:rPr>
            </w:pPr>
            <w:r>
              <w:rPr>
                <w:rFonts w:hint="eastAsia" w:ascii="仿宋" w:hAnsi="仿宋" w:eastAsia="仿宋" w:cs="宋体"/>
                <w:kern w:val="0"/>
                <w:sz w:val="24"/>
              </w:rPr>
              <w:t>标的名称</w:t>
            </w:r>
          </w:p>
        </w:tc>
        <w:tc>
          <w:tcPr>
            <w:tcW w:w="482" w:type="pct"/>
            <w:vAlign w:val="center"/>
          </w:tcPr>
          <w:p w14:paraId="1231E638">
            <w:pPr>
              <w:snapToGrid w:val="0"/>
              <w:jc w:val="center"/>
              <w:rPr>
                <w:rFonts w:ascii="仿宋" w:hAnsi="仿宋" w:eastAsia="仿宋" w:cs="仿宋"/>
                <w:bCs/>
                <w:sz w:val="24"/>
              </w:rPr>
            </w:pPr>
            <w:r>
              <w:rPr>
                <w:rFonts w:hint="eastAsia" w:ascii="仿宋" w:hAnsi="仿宋" w:eastAsia="仿宋" w:cs="仿宋"/>
                <w:bCs/>
                <w:sz w:val="24"/>
              </w:rPr>
              <w:t>数量</w:t>
            </w:r>
          </w:p>
        </w:tc>
        <w:tc>
          <w:tcPr>
            <w:tcW w:w="482" w:type="pct"/>
            <w:vAlign w:val="center"/>
          </w:tcPr>
          <w:p w14:paraId="1F59A6B9">
            <w:pPr>
              <w:snapToGrid w:val="0"/>
              <w:jc w:val="center"/>
              <w:rPr>
                <w:rFonts w:ascii="仿宋" w:hAnsi="仿宋" w:eastAsia="仿宋" w:cs="仿宋"/>
                <w:bCs/>
                <w:sz w:val="24"/>
              </w:rPr>
            </w:pPr>
            <w:r>
              <w:rPr>
                <w:rFonts w:hint="eastAsia" w:ascii="仿宋" w:hAnsi="仿宋" w:eastAsia="仿宋" w:cs="仿宋"/>
                <w:bCs/>
                <w:sz w:val="24"/>
              </w:rPr>
              <w:t>单位</w:t>
            </w:r>
          </w:p>
        </w:tc>
        <w:tc>
          <w:tcPr>
            <w:tcW w:w="1222" w:type="pct"/>
            <w:vAlign w:val="center"/>
          </w:tcPr>
          <w:p w14:paraId="4D5DB969">
            <w:pPr>
              <w:widowControl/>
              <w:jc w:val="center"/>
              <w:rPr>
                <w:rFonts w:ascii="仿宋" w:hAnsi="仿宋" w:eastAsia="仿宋" w:cs="宋体"/>
                <w:kern w:val="0"/>
                <w:sz w:val="24"/>
              </w:rPr>
            </w:pPr>
            <w:r>
              <w:rPr>
                <w:rFonts w:hint="eastAsia" w:ascii="仿宋" w:hAnsi="仿宋" w:eastAsia="仿宋" w:cs="宋体"/>
                <w:kern w:val="0"/>
                <w:sz w:val="24"/>
              </w:rPr>
              <w:t>是否接受进口产品</w:t>
            </w:r>
          </w:p>
        </w:tc>
      </w:tr>
      <w:tr w14:paraId="2BC5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69" w:type="pct"/>
            <w:noWrap/>
            <w:vAlign w:val="center"/>
          </w:tcPr>
          <w:p w14:paraId="28234B23">
            <w:pPr>
              <w:snapToGrid w:val="0"/>
              <w:jc w:val="center"/>
              <w:rPr>
                <w:rFonts w:ascii="仿宋" w:hAnsi="仿宋" w:eastAsia="仿宋" w:cs="仿宋"/>
                <w:bCs/>
                <w:sz w:val="24"/>
              </w:rPr>
            </w:pPr>
            <w:r>
              <w:rPr>
                <w:rFonts w:hint="eastAsia" w:ascii="仿宋" w:hAnsi="仿宋" w:eastAsia="仿宋" w:cs="仿宋"/>
                <w:bCs/>
                <w:sz w:val="24"/>
              </w:rPr>
              <w:t>3</w:t>
            </w:r>
          </w:p>
        </w:tc>
        <w:tc>
          <w:tcPr>
            <w:tcW w:w="502" w:type="pct"/>
            <w:noWrap/>
            <w:vAlign w:val="center"/>
          </w:tcPr>
          <w:p w14:paraId="6D064592">
            <w:pPr>
              <w:snapToGrid w:val="0"/>
              <w:jc w:val="center"/>
              <w:rPr>
                <w:rFonts w:ascii="仿宋" w:hAnsi="仿宋" w:eastAsia="仿宋" w:cs="仿宋"/>
                <w:kern w:val="0"/>
                <w:sz w:val="24"/>
                <w:lang w:bidi="ar"/>
              </w:rPr>
            </w:pPr>
            <w:r>
              <w:rPr>
                <w:rFonts w:hint="eastAsia" w:ascii="仿宋" w:hAnsi="仿宋" w:eastAsia="仿宋" w:cs="仿宋"/>
                <w:kern w:val="0"/>
                <w:sz w:val="24"/>
                <w:lang w:bidi="ar"/>
              </w:rPr>
              <w:t>3-1</w:t>
            </w:r>
          </w:p>
        </w:tc>
        <w:tc>
          <w:tcPr>
            <w:tcW w:w="1940" w:type="pct"/>
            <w:vAlign w:val="center"/>
          </w:tcPr>
          <w:p w14:paraId="24A7D34C">
            <w:pPr>
              <w:snapToGrid w:val="0"/>
              <w:jc w:val="center"/>
              <w:rPr>
                <w:rFonts w:ascii="仿宋" w:hAnsi="仿宋" w:eastAsia="仿宋" w:cs="仿宋"/>
                <w:kern w:val="0"/>
                <w:sz w:val="24"/>
                <w:lang w:bidi="ar"/>
              </w:rPr>
            </w:pPr>
            <w:r>
              <w:rPr>
                <w:rFonts w:hint="eastAsia" w:ascii="仿宋" w:hAnsi="仿宋" w:eastAsia="仿宋" w:cs="仿宋"/>
                <w:kern w:val="0"/>
                <w:sz w:val="24"/>
                <w:lang w:bidi="ar"/>
              </w:rPr>
              <w:t>放射治疗计划系统</w:t>
            </w:r>
          </w:p>
        </w:tc>
        <w:tc>
          <w:tcPr>
            <w:tcW w:w="482" w:type="pct"/>
            <w:vAlign w:val="center"/>
          </w:tcPr>
          <w:p w14:paraId="5561DBC1">
            <w:pPr>
              <w:snapToGrid w:val="0"/>
              <w:jc w:val="center"/>
              <w:rPr>
                <w:rFonts w:ascii="仿宋" w:hAnsi="仿宋" w:eastAsia="仿宋" w:cs="仿宋"/>
                <w:kern w:val="0"/>
                <w:sz w:val="24"/>
                <w:lang w:bidi="ar"/>
              </w:rPr>
            </w:pPr>
            <w:r>
              <w:rPr>
                <w:rFonts w:hint="eastAsia" w:ascii="仿宋" w:hAnsi="仿宋" w:eastAsia="仿宋" w:cs="仿宋"/>
                <w:kern w:val="0"/>
                <w:sz w:val="24"/>
                <w:lang w:bidi="ar"/>
              </w:rPr>
              <w:t>1</w:t>
            </w:r>
          </w:p>
        </w:tc>
        <w:tc>
          <w:tcPr>
            <w:tcW w:w="482" w:type="pct"/>
            <w:noWrap/>
            <w:vAlign w:val="center"/>
          </w:tcPr>
          <w:p w14:paraId="26387074">
            <w:pPr>
              <w:snapToGrid w:val="0"/>
              <w:jc w:val="center"/>
              <w:rPr>
                <w:rFonts w:ascii="仿宋" w:hAnsi="仿宋" w:eastAsia="仿宋" w:cs="仿宋"/>
                <w:kern w:val="0"/>
                <w:sz w:val="24"/>
                <w:lang w:bidi="ar"/>
              </w:rPr>
            </w:pPr>
            <w:r>
              <w:rPr>
                <w:rFonts w:hint="eastAsia" w:ascii="仿宋" w:hAnsi="仿宋" w:eastAsia="仿宋" w:cs="仿宋"/>
                <w:kern w:val="0"/>
                <w:sz w:val="24"/>
                <w:lang w:bidi="ar"/>
              </w:rPr>
              <w:t>套</w:t>
            </w:r>
          </w:p>
        </w:tc>
        <w:tc>
          <w:tcPr>
            <w:tcW w:w="1222" w:type="pct"/>
            <w:vAlign w:val="center"/>
          </w:tcPr>
          <w:p w14:paraId="5E3ED6D9">
            <w:pPr>
              <w:widowControl/>
              <w:jc w:val="center"/>
              <w:rPr>
                <w:rFonts w:ascii="仿宋" w:hAnsi="仿宋" w:eastAsia="仿宋" w:cs="宋体"/>
                <w:kern w:val="0"/>
                <w:sz w:val="24"/>
              </w:rPr>
            </w:pPr>
            <w:r>
              <w:rPr>
                <w:rFonts w:ascii="仿宋" w:hAnsi="仿宋" w:eastAsia="仿宋" w:cs="宋体"/>
                <w:kern w:val="0"/>
                <w:sz w:val="24"/>
              </w:rPr>
              <w:t>否</w:t>
            </w:r>
          </w:p>
        </w:tc>
      </w:tr>
    </w:tbl>
    <w:p w14:paraId="187F2FB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（二）项目背景/项目概述（如有）</w:t>
      </w:r>
    </w:p>
    <w:p w14:paraId="62554CB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14:paraId="7D6C6017">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二、商务要求</w:t>
      </w:r>
    </w:p>
    <w:p w14:paraId="41AF563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（一）交付（实施）的时间（期限）和地点（范围）</w:t>
      </w:r>
    </w:p>
    <w:p w14:paraId="7E8BE34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1、交付时间：合同签订后接到采购人通知后30天内交付。</w:t>
      </w:r>
    </w:p>
    <w:p w14:paraId="579B36C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2、交付地点：北京肿瘤医院指定地点。</w:t>
      </w:r>
    </w:p>
    <w:p w14:paraId="7891EA7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（二）付款条件（进度和方式）</w:t>
      </w:r>
    </w:p>
    <w:p w14:paraId="476AACC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要求投标人在合同签订后30日内向采购人提供合同总价款10%的银行履约保函。</w:t>
      </w:r>
    </w:p>
    <w:p w14:paraId="119E09B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本项目涉及北京市财政资金，应按照北京市财政资金支付程序向投标人支付合同款项，第一期合同款支付金额不低于合同总价款的50%，余款在采购人收到北京市财政的后续拨款后的30日内支付。如北京市财政未全额拨款或者未拨款的，则由采购人支付余款。</w:t>
      </w:r>
    </w:p>
    <w:p w14:paraId="76E86FE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（三）包装和运输</w:t>
      </w:r>
    </w:p>
    <w:p w14:paraId="4E1AAFE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70DA7AB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（四）售后服务（质保期）</w:t>
      </w:r>
    </w:p>
    <w:p w14:paraId="08A3BEB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1、质量保证期（保修期）及服务要求：整机原厂全保≥5年。</w:t>
      </w:r>
    </w:p>
    <w:p w14:paraId="1454AB7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2、维护保养：按照说明书要求定期进行维护保养，记录维护保养报告留采购人备案。</w:t>
      </w:r>
    </w:p>
    <w:p w14:paraId="411B703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3、维修响应：提供7*24小时电话专线技术支持，专人接听，并配有经验丰富的技术工程师和临床应用专家提供指导服务。售后工程师报修后24小时内到场。</w:t>
      </w:r>
    </w:p>
    <w:p w14:paraId="4D4E3F3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4、完好率≥95%，超出天数按1：3延长保修期。</w:t>
      </w:r>
    </w:p>
    <w:p w14:paraId="4EA0EF3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5、升级交互：免费开放所有数字通讯接口及协议。终身免费提供系统软件升级服务。</w:t>
      </w:r>
    </w:p>
    <w:p w14:paraId="1E232A1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6、售后力量：制造商设有售后维修点，并配有厂家培训合格的专业售后工程师。制造商在中国境内设有备件库，保证10年以上供应。</w:t>
      </w:r>
    </w:p>
    <w:p w14:paraId="0CD83758">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三、技术要求</w:t>
      </w:r>
    </w:p>
    <w:p w14:paraId="5DCFDBA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（一）基本要求</w:t>
      </w:r>
    </w:p>
    <w:p w14:paraId="0A2B31E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1、采购标的需实现的功能或者目标</w:t>
      </w:r>
    </w:p>
    <w:p w14:paraId="3625106E">
      <w:pPr>
        <w:snapToGrid w:val="0"/>
        <w:spacing w:line="360" w:lineRule="auto"/>
        <w:ind w:firstLine="480" w:firstLineChars="200"/>
        <w:rPr>
          <w:rFonts w:ascii="仿宋" w:hAnsi="仿宋" w:eastAsia="仿宋" w:cs="仿宋"/>
          <w:bCs/>
          <w:sz w:val="24"/>
        </w:rPr>
      </w:pPr>
      <w:r>
        <w:rPr>
          <w:rFonts w:hint="eastAsia" w:ascii="仿宋" w:hAnsi="仿宋" w:eastAsia="仿宋"/>
          <w:sz w:val="24"/>
        </w:rPr>
        <w:t>本次招标采购是为北京肿瘤医院配置基本设备，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46F40C5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14:paraId="1B89A71E">
      <w:pPr>
        <w:pStyle w:val="6"/>
        <w:tabs>
          <w:tab w:val="left" w:pos="420"/>
        </w:tabs>
        <w:spacing w:before="156" w:beforeLines="50" w:line="360" w:lineRule="auto"/>
        <w:ind w:firstLine="482" w:firstLineChars="200"/>
        <w:rPr>
          <w:rFonts w:ascii="仿宋" w:hAnsi="仿宋" w:eastAsia="仿宋"/>
          <w:b/>
          <w:szCs w:val="24"/>
        </w:rPr>
      </w:pPr>
      <w:r>
        <w:rPr>
          <w:rFonts w:ascii="仿宋" w:hAnsi="仿宋" w:eastAsia="仿宋"/>
          <w:b/>
          <w:szCs w:val="24"/>
        </w:rPr>
        <w:t>★</w:t>
      </w:r>
      <w:r>
        <w:rPr>
          <w:rFonts w:hint="eastAsia" w:ascii="仿宋" w:hAnsi="仿宋" w:eastAsia="仿宋"/>
          <w:b/>
          <w:szCs w:val="24"/>
        </w:rPr>
        <w:t>2.1、</w:t>
      </w:r>
      <w:r>
        <w:rPr>
          <w:rFonts w:ascii="仿宋" w:hAnsi="仿宋" w:eastAsia="仿宋"/>
          <w:b/>
          <w:szCs w:val="24"/>
        </w:rPr>
        <w:t>投标产品属于医疗器械的，应按原国家食品药品监督管理</w:t>
      </w:r>
      <w:r>
        <w:rPr>
          <w:rFonts w:hint="eastAsia" w:ascii="仿宋" w:hAnsi="仿宋" w:eastAsia="仿宋"/>
          <w:b/>
          <w:szCs w:val="24"/>
        </w:rPr>
        <w:t>总</w:t>
      </w:r>
      <w:r>
        <w:rPr>
          <w:rFonts w:ascii="仿宋" w:hAnsi="仿宋" w:eastAsia="仿宋"/>
          <w:b/>
          <w:szCs w:val="24"/>
        </w:rPr>
        <w:t>局颁发的</w:t>
      </w:r>
      <w:r>
        <w:rPr>
          <w:rFonts w:hint="eastAsia" w:ascii="仿宋" w:hAnsi="仿宋" w:eastAsia="仿宋"/>
          <w:b/>
          <w:szCs w:val="24"/>
        </w:rPr>
        <w:t>《医疗器械注册管理办法》</w:t>
      </w:r>
      <w:r>
        <w:rPr>
          <w:rFonts w:ascii="仿宋" w:hAnsi="仿宋" w:eastAsia="仿宋"/>
          <w:b/>
          <w:szCs w:val="24"/>
        </w:rPr>
        <w:t>，办理医疗器械注册证或者办理备案，</w:t>
      </w:r>
      <w:r>
        <w:rPr>
          <w:rFonts w:hint="eastAsia" w:ascii="仿宋" w:hAnsi="仿宋" w:eastAsia="仿宋"/>
          <w:b/>
          <w:szCs w:val="24"/>
        </w:rPr>
        <w:t>投标人</w:t>
      </w:r>
      <w:r>
        <w:rPr>
          <w:rFonts w:ascii="仿宋" w:hAnsi="仿宋" w:eastAsia="仿宋"/>
          <w:b/>
          <w:szCs w:val="24"/>
        </w:rPr>
        <w:t>须提供医疗器械注册证复印件</w:t>
      </w:r>
      <w:r>
        <w:rPr>
          <w:rFonts w:hint="eastAsia" w:ascii="仿宋" w:hAnsi="仿宋" w:eastAsia="仿宋"/>
          <w:b/>
          <w:szCs w:val="24"/>
        </w:rPr>
        <w:t>或</w:t>
      </w:r>
      <w:r>
        <w:rPr>
          <w:rFonts w:ascii="仿宋" w:hAnsi="仿宋" w:eastAsia="仿宋"/>
          <w:b/>
          <w:szCs w:val="24"/>
        </w:rPr>
        <w:t>备案凭证。</w:t>
      </w:r>
    </w:p>
    <w:p w14:paraId="0ADCF102">
      <w:pPr>
        <w:pStyle w:val="6"/>
        <w:tabs>
          <w:tab w:val="left" w:pos="420"/>
        </w:tabs>
        <w:spacing w:before="156" w:beforeLines="50" w:line="360" w:lineRule="auto"/>
        <w:ind w:firstLine="482" w:firstLineChars="200"/>
        <w:rPr>
          <w:rFonts w:ascii="仿宋" w:hAnsi="仿宋" w:eastAsia="仿宋"/>
          <w:b/>
          <w:szCs w:val="24"/>
        </w:rPr>
      </w:pPr>
      <w:r>
        <w:rPr>
          <w:rFonts w:ascii="仿宋" w:hAnsi="仿宋" w:eastAsia="仿宋"/>
          <w:b/>
          <w:szCs w:val="24"/>
        </w:rPr>
        <w:t>★</w:t>
      </w:r>
      <w:r>
        <w:rPr>
          <w:rFonts w:hint="eastAsia" w:ascii="仿宋" w:hAnsi="仿宋" w:eastAsia="仿宋"/>
          <w:b/>
          <w:szCs w:val="24"/>
        </w:rPr>
        <w:t>2.2、</w:t>
      </w:r>
      <w:r>
        <w:rPr>
          <w:rFonts w:ascii="仿宋" w:hAnsi="仿宋" w:eastAsia="仿宋"/>
          <w:b/>
          <w:szCs w:val="24"/>
        </w:rPr>
        <w:t>投标产品属于医疗器械的，</w:t>
      </w:r>
      <w:r>
        <w:rPr>
          <w:rFonts w:hint="eastAsia" w:ascii="仿宋" w:hAnsi="仿宋" w:eastAsia="仿宋"/>
          <w:b/>
          <w:szCs w:val="24"/>
        </w:rPr>
        <w:t>中华人民共和国境内制造商</w:t>
      </w:r>
      <w:r>
        <w:rPr>
          <w:rFonts w:ascii="仿宋" w:hAnsi="仿宋" w:eastAsia="仿宋"/>
          <w:b/>
          <w:szCs w:val="24"/>
        </w:rPr>
        <w:t>应按原国家食品药品监督管理</w:t>
      </w:r>
      <w:r>
        <w:rPr>
          <w:rFonts w:hint="eastAsia" w:ascii="仿宋" w:hAnsi="仿宋" w:eastAsia="仿宋"/>
          <w:b/>
          <w:szCs w:val="24"/>
        </w:rPr>
        <w:t>总</w:t>
      </w:r>
      <w:r>
        <w:rPr>
          <w:rFonts w:ascii="仿宋" w:hAnsi="仿宋" w:eastAsia="仿宋"/>
          <w:b/>
          <w:szCs w:val="24"/>
        </w:rPr>
        <w:t>局颁发的</w:t>
      </w:r>
      <w:r>
        <w:rPr>
          <w:rFonts w:hint="eastAsia" w:ascii="仿宋" w:hAnsi="仿宋" w:eastAsia="仿宋"/>
          <w:b/>
          <w:szCs w:val="24"/>
        </w:rPr>
        <w:t>《医疗器械生产监督管理办法》</w:t>
      </w:r>
      <w:r>
        <w:rPr>
          <w:rFonts w:ascii="仿宋" w:hAnsi="仿宋" w:eastAsia="仿宋"/>
          <w:b/>
          <w:szCs w:val="24"/>
        </w:rPr>
        <w:t>，办理医疗器械</w:t>
      </w:r>
      <w:r>
        <w:rPr>
          <w:rFonts w:hint="eastAsia" w:ascii="仿宋" w:hAnsi="仿宋" w:eastAsia="仿宋"/>
          <w:b/>
          <w:szCs w:val="24"/>
        </w:rPr>
        <w:t>生产许可证</w:t>
      </w:r>
      <w:r>
        <w:rPr>
          <w:rFonts w:ascii="仿宋" w:hAnsi="仿宋" w:eastAsia="仿宋"/>
          <w:b/>
          <w:szCs w:val="24"/>
        </w:rPr>
        <w:t>或者办理备案，</w:t>
      </w:r>
      <w:r>
        <w:rPr>
          <w:rFonts w:hint="eastAsia" w:ascii="仿宋" w:hAnsi="仿宋" w:eastAsia="仿宋"/>
          <w:b/>
          <w:szCs w:val="24"/>
        </w:rPr>
        <w:t>投标人</w:t>
      </w:r>
      <w:r>
        <w:rPr>
          <w:rFonts w:ascii="仿宋" w:hAnsi="仿宋" w:eastAsia="仿宋"/>
          <w:b/>
          <w:szCs w:val="24"/>
        </w:rPr>
        <w:t>须提供医疗器械</w:t>
      </w:r>
      <w:r>
        <w:rPr>
          <w:rFonts w:hint="eastAsia" w:ascii="仿宋" w:hAnsi="仿宋" w:eastAsia="仿宋"/>
          <w:b/>
          <w:szCs w:val="24"/>
        </w:rPr>
        <w:t>生产许可证</w:t>
      </w:r>
      <w:r>
        <w:rPr>
          <w:rFonts w:ascii="仿宋" w:hAnsi="仿宋" w:eastAsia="仿宋"/>
          <w:b/>
          <w:szCs w:val="24"/>
        </w:rPr>
        <w:t>复印件</w:t>
      </w:r>
      <w:r>
        <w:rPr>
          <w:rFonts w:hint="eastAsia" w:ascii="仿宋" w:hAnsi="仿宋" w:eastAsia="仿宋"/>
          <w:b/>
          <w:szCs w:val="24"/>
        </w:rPr>
        <w:t>或</w:t>
      </w:r>
      <w:r>
        <w:rPr>
          <w:rFonts w:ascii="仿宋" w:hAnsi="仿宋" w:eastAsia="仿宋"/>
          <w:b/>
          <w:szCs w:val="24"/>
        </w:rPr>
        <w:t>备案凭证</w:t>
      </w:r>
      <w:r>
        <w:rPr>
          <w:rFonts w:hint="eastAsia" w:ascii="仿宋" w:hAnsi="仿宋" w:eastAsia="仿宋"/>
          <w:b/>
          <w:szCs w:val="24"/>
        </w:rPr>
        <w:t>。</w:t>
      </w:r>
    </w:p>
    <w:p w14:paraId="59169BAA">
      <w:pPr>
        <w:pStyle w:val="6"/>
        <w:tabs>
          <w:tab w:val="left" w:pos="420"/>
        </w:tabs>
        <w:spacing w:before="156" w:beforeLines="50" w:line="360" w:lineRule="auto"/>
        <w:ind w:firstLine="482" w:firstLineChars="200"/>
        <w:rPr>
          <w:rFonts w:ascii="仿宋" w:hAnsi="仿宋" w:eastAsia="仿宋"/>
          <w:b/>
          <w:szCs w:val="24"/>
        </w:rPr>
      </w:pPr>
      <w:r>
        <w:rPr>
          <w:rFonts w:ascii="仿宋" w:hAnsi="仿宋" w:eastAsia="仿宋"/>
          <w:b/>
          <w:szCs w:val="24"/>
        </w:rPr>
        <w:t>★</w:t>
      </w:r>
      <w:r>
        <w:rPr>
          <w:rFonts w:hint="eastAsia" w:ascii="仿宋" w:hAnsi="仿宋" w:eastAsia="仿宋"/>
          <w:b/>
          <w:szCs w:val="24"/>
        </w:rPr>
        <w:t>2.3、</w:t>
      </w:r>
      <w:r>
        <w:rPr>
          <w:rFonts w:ascii="仿宋" w:hAnsi="仿宋" w:eastAsia="仿宋"/>
          <w:b/>
          <w:szCs w:val="24"/>
        </w:rPr>
        <w:t>投标产品属于</w:t>
      </w:r>
      <w:r>
        <w:rPr>
          <w:rFonts w:hint="eastAsia" w:ascii="仿宋" w:hAnsi="仿宋" w:eastAsia="仿宋"/>
          <w:b/>
          <w:szCs w:val="24"/>
        </w:rPr>
        <w:t>辐射或射线类的设备或材料的，需提供投标人的辐射安全许可证</w:t>
      </w:r>
      <w:r>
        <w:rPr>
          <w:rFonts w:ascii="仿宋" w:hAnsi="仿宋" w:eastAsia="仿宋"/>
          <w:b/>
          <w:szCs w:val="24"/>
        </w:rPr>
        <w:t>复印件</w:t>
      </w:r>
      <w:r>
        <w:rPr>
          <w:rFonts w:hint="eastAsia" w:ascii="仿宋" w:hAnsi="仿宋" w:eastAsia="仿宋"/>
          <w:b/>
          <w:szCs w:val="24"/>
        </w:rPr>
        <w:t>（不适用的情况除外）。投标产品属于压力容器的，投标人需要根据国家特种设备制造相关管理规定，提供投标产品制造商的特种设备制造许可证（压力容器）。</w:t>
      </w:r>
    </w:p>
    <w:p w14:paraId="535E9C9A">
      <w:pPr>
        <w:pStyle w:val="6"/>
        <w:tabs>
          <w:tab w:val="left" w:pos="420"/>
        </w:tabs>
        <w:spacing w:before="156" w:beforeLines="50" w:line="360" w:lineRule="auto"/>
        <w:ind w:firstLine="482" w:firstLineChars="200"/>
        <w:rPr>
          <w:rFonts w:ascii="仿宋" w:hAnsi="仿宋" w:eastAsia="仿宋"/>
          <w:b/>
          <w:szCs w:val="24"/>
        </w:rPr>
      </w:pPr>
      <w:r>
        <w:rPr>
          <w:rFonts w:ascii="仿宋" w:hAnsi="仿宋" w:eastAsia="仿宋"/>
          <w:b/>
          <w:szCs w:val="24"/>
        </w:rPr>
        <w:t>★</w:t>
      </w:r>
      <w:r>
        <w:rPr>
          <w:rFonts w:hint="eastAsia" w:ascii="仿宋" w:hAnsi="仿宋" w:eastAsia="仿宋"/>
          <w:b/>
          <w:szCs w:val="24"/>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w:t>
      </w:r>
      <w:r>
        <w:rPr>
          <w:rFonts w:ascii="仿宋" w:hAnsi="仿宋" w:eastAsia="仿宋"/>
          <w:b/>
          <w:szCs w:val="24"/>
        </w:rPr>
        <w:t>相关证明文件的复印件</w:t>
      </w:r>
      <w:r>
        <w:rPr>
          <w:rFonts w:hint="eastAsia" w:ascii="仿宋" w:hAnsi="仿宋" w:eastAsia="仿宋"/>
          <w:b/>
          <w:szCs w:val="24"/>
        </w:rPr>
        <w:t>。</w:t>
      </w:r>
    </w:p>
    <w:p w14:paraId="6FAAA399">
      <w:pPr>
        <w:pStyle w:val="2"/>
        <w:rPr>
          <w:rFonts w:ascii="仿宋" w:hAnsi="仿宋" w:eastAsia="仿宋"/>
        </w:rPr>
      </w:pPr>
    </w:p>
    <w:p w14:paraId="005314C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（二）服务内容及要求/货物技术要求</w:t>
      </w:r>
    </w:p>
    <w:p w14:paraId="0E4FE07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29622EF6">
      <w:pPr>
        <w:tabs>
          <w:tab w:val="left" w:pos="900"/>
          <w:tab w:val="left" w:pos="7160"/>
        </w:tabs>
        <w:spacing w:before="156" w:beforeLines="50" w:line="360" w:lineRule="auto"/>
        <w:jc w:val="center"/>
        <w:rPr>
          <w:rFonts w:ascii="仿宋" w:hAnsi="仿宋" w:eastAsia="仿宋"/>
          <w:b/>
          <w:sz w:val="24"/>
        </w:rPr>
      </w:pPr>
      <w:r>
        <w:rPr>
          <w:rFonts w:hint="eastAsia" w:ascii="仿宋" w:hAnsi="仿宋" w:eastAsia="仿宋"/>
          <w:b/>
          <w:sz w:val="24"/>
        </w:rPr>
        <w:t>第</w:t>
      </w:r>
      <w:r>
        <w:rPr>
          <w:rFonts w:hint="eastAsia" w:ascii="仿宋" w:hAnsi="仿宋" w:eastAsia="仿宋"/>
          <w:b/>
          <w:sz w:val="24"/>
          <w:lang w:val="en-US" w:eastAsia="zh-CN"/>
        </w:rPr>
        <w:t>3</w:t>
      </w:r>
      <w:bookmarkStart w:id="5" w:name="_GoBack"/>
      <w:bookmarkEnd w:id="5"/>
      <w:r>
        <w:rPr>
          <w:rFonts w:hint="eastAsia" w:ascii="仿宋" w:hAnsi="仿宋" w:eastAsia="仿宋"/>
          <w:b/>
          <w:sz w:val="24"/>
        </w:rPr>
        <w:t>包 放射治疗计划系统</w:t>
      </w:r>
    </w:p>
    <w:p w14:paraId="79E76D86">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1.1、硬件平台</w:t>
      </w:r>
    </w:p>
    <w:p w14:paraId="10089CB2">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1.1.1、物理师工作站硬件</w:t>
      </w:r>
    </w:p>
    <w:p w14:paraId="30A708BC">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1.1.1.1、中央处理器：主频≥3.2 GHz</w:t>
      </w:r>
    </w:p>
    <w:p w14:paraId="29CA8568">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 xml:space="preserve">1.1.1.2、主机内存≥64 GB，硬盘：≥1TB </w:t>
      </w:r>
    </w:p>
    <w:p w14:paraId="069B7E9F">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 xml:space="preserve">1.1.1.3、显卡/适配器：显存 ≥4GB </w:t>
      </w:r>
    </w:p>
    <w:p w14:paraId="037A0FC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1.1.1.4、终端显示器：≥27英寸液晶显示器</w:t>
      </w:r>
    </w:p>
    <w:p w14:paraId="0AAC8666">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1.1.1.5、GPU：≥24GB</w:t>
      </w:r>
    </w:p>
    <w:p w14:paraId="30EFAA7E">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1.1.2、医生工作站硬件</w:t>
      </w:r>
    </w:p>
    <w:p w14:paraId="704E9330">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1.1.2.1、中央处理器：主频≥2.1GHz</w:t>
      </w:r>
    </w:p>
    <w:p w14:paraId="2DDECFC6">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1.1.2.2、主机内存≥16 GB，硬盘：≥512GB</w:t>
      </w:r>
    </w:p>
    <w:p w14:paraId="332F1FA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1.1.2.3、终端显示器：≥27英寸液晶显示器</w:t>
      </w:r>
    </w:p>
    <w:p w14:paraId="6F10DD42">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1.2、软件功能要求</w:t>
      </w:r>
    </w:p>
    <w:p w14:paraId="6976F5C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1.2.1、影像配准</w:t>
      </w:r>
    </w:p>
    <w:p w14:paraId="155480FA">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1.2.1.1、提供CT、MRI、CBCT、PET影像的配准</w:t>
      </w:r>
    </w:p>
    <w:p w14:paraId="7B366827">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1.2.1.2、提供刚性配准功能，提供影像的刚性配准</w:t>
      </w:r>
    </w:p>
    <w:p w14:paraId="38309A1B">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1.2.1.3、提供影像的形变配准</w:t>
      </w:r>
    </w:p>
    <w:p w14:paraId="7302096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1.2.1.4、提供配准结果评估，提供自动评估工具</w:t>
      </w:r>
    </w:p>
    <w:p w14:paraId="0AB14832">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1.2.2、结构勾画</w:t>
      </w:r>
    </w:p>
    <w:p w14:paraId="2E4EBEBF">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1.2.2.1、提供涂抹/勾勒的方式绘制或者调整勾画轮廓功能。</w:t>
      </w:r>
    </w:p>
    <w:p w14:paraId="3D480BB4">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1.2.2.2、提供方形/圆形的方式绘制或调整勾画轮廓功能。</w:t>
      </w:r>
    </w:p>
    <w:p w14:paraId="4D054E57">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1.2.2.3、提供外扩/缩小已有的勾画轮廓功能。</w:t>
      </w:r>
    </w:p>
    <w:p w14:paraId="1DDCCADF">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1.2.2.4、提供对已有的勾画轮廓一键生成外扩环功能。</w:t>
      </w:r>
    </w:p>
    <w:p w14:paraId="72D391F7">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1.2.2.5、提供对两个选定结构进行交集和差集的修剪功能。</w:t>
      </w:r>
    </w:p>
    <w:p w14:paraId="3A8E5E5E">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1.2.2.6、提供对现有结构进行并集、交集、差集、非集等布尔运算来创建新的勾画轮廓功能。</w:t>
      </w:r>
    </w:p>
    <w:p w14:paraId="4D351554">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1.2.2.7、可删除ROI的所有切片上面积小于指定面积阈值的所有轮廓。</w:t>
      </w:r>
    </w:p>
    <w:p w14:paraId="69D6ECEF">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1.2.2.8、提供自动SUV勾画功能</w:t>
      </w:r>
    </w:p>
    <w:p w14:paraId="6C1CA614">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1.2.2.9、提供多模态影像勾画功能</w:t>
      </w:r>
    </w:p>
    <w:p w14:paraId="4C414F9F">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1.2.2.10、提供4D影像数据处理功能</w:t>
      </w:r>
    </w:p>
    <w:p w14:paraId="00C22130">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1.2.2.11、提供生成MIP、AIP和MinIP图像功能</w:t>
      </w:r>
    </w:p>
    <w:p w14:paraId="4793A6DE">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1.2.2.12、提供合成照射靶体积ITV功能</w:t>
      </w:r>
    </w:p>
    <w:p w14:paraId="7745D14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1.2.2.13、提供刚性、形变的4D结构派生功能</w:t>
      </w:r>
    </w:p>
    <w:p w14:paraId="64955EED">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1.2.2.14、提供浏览呼吸幅度曲线功能</w:t>
      </w:r>
    </w:p>
    <w:p w14:paraId="2176B47F">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1.2.2.15、提供4D体积统计，评估质心和体积变化功能</w:t>
      </w:r>
    </w:p>
    <w:p w14:paraId="50FE38B7">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1.2.2.16、提供勾画和计划射野上播放4D电影功能</w:t>
      </w:r>
    </w:p>
    <w:p w14:paraId="1EB42B8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1.2.2.17、支持临床协议模板</w:t>
      </w:r>
    </w:p>
    <w:p w14:paraId="6DF95A6C">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1.2.3、计划设计</w:t>
      </w:r>
    </w:p>
    <w:p w14:paraId="2012488B">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1.2.3.1、提供野中野技术</w:t>
      </w:r>
    </w:p>
    <w:p w14:paraId="13B976FA">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1.2.3.2、提供补偿器计划设计</w:t>
      </w:r>
    </w:p>
    <w:p w14:paraId="7F8B5D01">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1.2.3.3、提供电子线放疗计划</w:t>
      </w:r>
    </w:p>
    <w:p w14:paraId="1838779F">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1.2.3.4、提供光子线放疗计划</w:t>
      </w:r>
    </w:p>
    <w:p w14:paraId="48E41FB7">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1.2.3.5、提供正向放疗计划设计</w:t>
      </w:r>
    </w:p>
    <w:p w14:paraId="35E35A3A">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1.2.3.6、提供逆向调强放疗计划设计</w:t>
      </w:r>
    </w:p>
    <w:p w14:paraId="4ADB7FD4">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1.2.3.7、提供对固定野调强放疗计划（IMRT）的优化过程GPU加速</w:t>
      </w:r>
    </w:p>
    <w:p w14:paraId="3AAD68A8">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▲1.2.3.8、提供容积旋转调强放疗技术</w:t>
      </w:r>
    </w:p>
    <w:p w14:paraId="74F4CAF4">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1.2.3.9、提供对容积旋转调强放疗计划(VMAT)的优化过程GPU加速</w:t>
      </w:r>
    </w:p>
    <w:p w14:paraId="13555F52">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1.2.3.10、提供适形弧计划设计</w:t>
      </w:r>
    </w:p>
    <w:p w14:paraId="68E0F930">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1.2.3.11、提供自动优化射野衔接剂量分布功能</w:t>
      </w:r>
    </w:p>
    <w:p w14:paraId="10CCBEB1">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1.2.3.12、提供加载计划模板</w:t>
      </w:r>
    </w:p>
    <w:p w14:paraId="6D3E3331">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1.2.3.13、提供单次优化过程的最大迭代次数不需人工设定干预限制</w:t>
      </w:r>
    </w:p>
    <w:p w14:paraId="660851E0">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1.2.3.14、提供在优化过程中实时显示函数罚分曲线功能</w:t>
      </w:r>
    </w:p>
    <w:p w14:paraId="1C89E5B5">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1.2.3.15、提供在计划优化过程中可同时显示对比计划的DVH功能</w:t>
      </w:r>
    </w:p>
    <w:p w14:paraId="48F5221D">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1.2.3.16、提供在单个计划中同时优化多个等中心的计划，并在射野重叠的地方创建平滑的剂量梯度功能</w:t>
      </w:r>
    </w:p>
    <w:p w14:paraId="25196A87">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1.2.3.17、提供多中心计划自动平滑功能，提供手动打开和关闭此功能</w:t>
      </w:r>
    </w:p>
    <w:p w14:paraId="0077C5AC">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1.2.3.18、提供计划目标设定比较表：至少支持设定最大剂量（Dmax）、最小剂量(Dmin)、平均剂量(Dmean)、体积剂量、剂量体积、CI(适形指数)、梯度指数（或梯度测量）；</w:t>
      </w:r>
    </w:p>
    <w:p w14:paraId="46FA3172">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▲1.2.3.19、提供自动非共面容积调强技术</w:t>
      </w:r>
    </w:p>
    <w:p w14:paraId="58277C3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▲1.2.3.20、提供MLC、剂量率、机架、准直器连续动态调整的调强技术</w:t>
      </w:r>
    </w:p>
    <w:p w14:paraId="6F7DAAFB">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1.2.4、剂量计算</w:t>
      </w:r>
    </w:p>
    <w:p w14:paraId="206D099B">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1.2.4.1、提供蒙特卡洛精度的光子剂量计算算法</w:t>
      </w:r>
    </w:p>
    <w:p w14:paraId="6F3BAB7C">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1.2.4.2、提供电子线剂量计算应支持蒙特卡洛精度算法</w:t>
      </w:r>
    </w:p>
    <w:p w14:paraId="7970B6A7">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1.2.4.3、提供GPU对IMRT和VAMT计划剂量计算加速功能</w:t>
      </w:r>
    </w:p>
    <w:p w14:paraId="20244527">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▲1.2.4.4、提供GPU快速蒙卡或类蒙卡计算</w:t>
      </w:r>
    </w:p>
    <w:p w14:paraId="588DB922">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1.2.5、计划评估</w:t>
      </w:r>
    </w:p>
    <w:p w14:paraId="1901ACEA">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1.2.5.1、提供并排计划剂量分布比较功能</w:t>
      </w:r>
    </w:p>
    <w:p w14:paraId="6513469A">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1.2.5.2、提供多个结构、多个计划的DVH比较功能</w:t>
      </w:r>
    </w:p>
    <w:p w14:paraId="25EE6F50">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1.2.5.3、提供外照射计划的叠加和相减功能</w:t>
      </w:r>
    </w:p>
    <w:p w14:paraId="70564777">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1.2.5.4、提供外照射计划的鲁棒性评估功能</w:t>
      </w:r>
    </w:p>
    <w:p w14:paraId="1E0F419F">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1.2.5.5、提供电子计划批准功能</w:t>
      </w:r>
    </w:p>
    <w:p w14:paraId="5DE38708">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1.2.5.6、提供后装与光子计划的剂量叠加评估功能</w:t>
      </w:r>
    </w:p>
    <w:p w14:paraId="42522848">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1.2.5.7、支持对单一计划进行评估功能；</w:t>
      </w:r>
    </w:p>
    <w:p w14:paraId="55BABD56">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1.2.5.8、提供对2个计划同时进行比较和评估功能；</w:t>
      </w:r>
    </w:p>
    <w:p w14:paraId="6548114E">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1.2.5.9、提供在同一张图表中可同时显示两组DVH功能；</w:t>
      </w:r>
    </w:p>
    <w:p w14:paraId="3D88570D">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1.2.5.10、提供获取DVH线上任意一点的坐标功能；</w:t>
      </w:r>
    </w:p>
    <w:p w14:paraId="42781681">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1.2.5.11、提供等剂量线和剂量云等方式可视化剂量分布功能</w:t>
      </w:r>
    </w:p>
    <w:p w14:paraId="1B8BC29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1.2.6、应用程序接口（API）</w:t>
      </w:r>
    </w:p>
    <w:p w14:paraId="5D597A0E">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1.2.6.1、提供官方API程序编写文档</w:t>
      </w:r>
    </w:p>
    <w:p w14:paraId="60536607">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1.2.6.2、支持计划、DVH、剂量、结构和图像数据的访问</w:t>
      </w:r>
    </w:p>
    <w:p w14:paraId="67B378B8">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1.2.6.3、提供优化目标、参数和通量数据的访问功能</w:t>
      </w:r>
    </w:p>
    <w:p w14:paraId="4C557A4B">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1.2.6.4、提供射野、附件参数的数据访问功能</w:t>
      </w:r>
    </w:p>
    <w:p w14:paraId="2A93282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1.2.6.5、提供可视化编程功能</w:t>
      </w:r>
    </w:p>
    <w:p w14:paraId="04EF9799">
      <w:pPr>
        <w:snapToGrid w:val="0"/>
        <w:spacing w:before="156" w:beforeLines="50" w:line="360" w:lineRule="auto"/>
        <w:ind w:firstLine="482" w:firstLineChars="200"/>
        <w:rPr>
          <w:rFonts w:ascii="仿宋" w:hAnsi="仿宋" w:eastAsia="仿宋" w:cs="仿宋"/>
          <w:b/>
          <w:sz w:val="24"/>
        </w:rPr>
      </w:pPr>
      <w:r>
        <w:rPr>
          <w:rFonts w:hint="eastAsia" w:ascii="仿宋" w:hAnsi="仿宋" w:eastAsia="仿宋" w:cs="仿宋"/>
          <w:b/>
          <w:sz w:val="24"/>
        </w:rPr>
        <w:t>★1.3、配置清单（投标人针对★条款以下配置应提供加盖投标人公章的配置清单）：</w:t>
      </w:r>
    </w:p>
    <w:p w14:paraId="0CA3EE73">
      <w:pPr>
        <w:snapToGrid w:val="0"/>
        <w:spacing w:before="156" w:beforeLines="50" w:line="360" w:lineRule="auto"/>
        <w:ind w:firstLine="482" w:firstLineChars="200"/>
        <w:rPr>
          <w:rFonts w:ascii="仿宋" w:hAnsi="仿宋" w:eastAsia="仿宋" w:cs="仿宋"/>
          <w:b/>
          <w:sz w:val="24"/>
        </w:rPr>
      </w:pPr>
      <w:r>
        <w:rPr>
          <w:rFonts w:hint="eastAsia" w:ascii="仿宋" w:hAnsi="仿宋" w:eastAsia="仿宋" w:cs="仿宋"/>
          <w:b/>
          <w:sz w:val="24"/>
        </w:rPr>
        <w:t>1.3.1、物理师工作站3套；</w:t>
      </w:r>
    </w:p>
    <w:p w14:paraId="51E4E9C1">
      <w:pPr>
        <w:snapToGrid w:val="0"/>
        <w:spacing w:before="156" w:beforeLines="50" w:line="360" w:lineRule="auto"/>
        <w:ind w:firstLine="482" w:firstLineChars="200"/>
        <w:rPr>
          <w:rFonts w:ascii="仿宋" w:hAnsi="仿宋" w:eastAsia="仿宋" w:cs="仿宋"/>
          <w:b/>
          <w:sz w:val="24"/>
        </w:rPr>
      </w:pPr>
      <w:r>
        <w:rPr>
          <w:rFonts w:hint="eastAsia" w:ascii="仿宋" w:hAnsi="仿宋" w:eastAsia="仿宋" w:cs="仿宋"/>
          <w:b/>
          <w:sz w:val="24"/>
        </w:rPr>
        <w:t>1.3.2、医生工作站2套。</w:t>
      </w:r>
    </w:p>
    <w:p w14:paraId="500458A2">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2、采购标的需满足的服务标准、期限、效率等要求；</w:t>
      </w:r>
    </w:p>
    <w:p w14:paraId="51C92AF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2.1、</w:t>
      </w:r>
      <w:r>
        <w:rPr>
          <w:rFonts w:hint="eastAsia" w:ascii="仿宋" w:hAnsi="仿宋" w:eastAsia="仿宋"/>
          <w:sz w:val="24"/>
        </w:rPr>
        <w:t>投标人应有能力做好售后服务工作和提供技术保障。投标人或投标产品制造商应设有专业的售后服务维修机构，有充足的零件储备和能力相当的技术服务人员，并保证投标产品停产后10年的备件供应。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2D82706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3、为落实政府采购政策需满足的要求；</w:t>
      </w:r>
    </w:p>
    <w:p w14:paraId="001F8A2C">
      <w:pPr>
        <w:spacing w:line="360" w:lineRule="auto"/>
        <w:ind w:firstLine="480" w:firstLineChars="200"/>
        <w:rPr>
          <w:rFonts w:ascii="仿宋" w:hAnsi="仿宋" w:eastAsia="仿宋" w:cs="宋体"/>
          <w:sz w:val="24"/>
        </w:rPr>
      </w:pPr>
      <w:r>
        <w:rPr>
          <w:rFonts w:hint="eastAsia" w:ascii="仿宋" w:hAnsi="仿宋" w:eastAsia="仿宋" w:cs="宋体"/>
          <w:sz w:val="24"/>
        </w:rPr>
        <w:t>3.1.</w:t>
      </w:r>
      <w:r>
        <w:rPr>
          <w:rFonts w:ascii="仿宋" w:hAnsi="仿宋" w:eastAsia="仿宋"/>
          <w:sz w:val="24"/>
        </w:rPr>
        <w:t>促进中小企业发展政策：</w:t>
      </w:r>
      <w:r>
        <w:rPr>
          <w:rFonts w:hint="eastAsia" w:ascii="仿宋" w:hAnsi="仿宋" w:eastAsia="仿宋"/>
          <w:sz w:val="24"/>
        </w:rPr>
        <w:t>根据《政府采购促进中小企业发展管理办法》规定，本项目采购货物为中型或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5047088">
      <w:pPr>
        <w:spacing w:line="360" w:lineRule="auto"/>
        <w:ind w:firstLine="480" w:firstLineChars="200"/>
        <w:rPr>
          <w:rFonts w:ascii="仿宋" w:hAnsi="仿宋" w:eastAsia="仿宋" w:cs="宋体"/>
          <w:sz w:val="24"/>
        </w:rPr>
      </w:pPr>
      <w:r>
        <w:rPr>
          <w:rFonts w:hint="eastAsia" w:ascii="仿宋" w:hAnsi="仿宋" w:eastAsia="仿宋" w:cs="宋体"/>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265DF43D">
      <w:pPr>
        <w:spacing w:line="360" w:lineRule="auto"/>
        <w:rPr>
          <w:rFonts w:ascii="仿宋" w:hAnsi="仿宋" w:eastAsia="仿宋" w:cs="宋体"/>
          <w:sz w:val="24"/>
        </w:rPr>
      </w:pPr>
      <w:r>
        <w:rPr>
          <w:rFonts w:hint="eastAsia" w:ascii="仿宋" w:hAnsi="仿宋" w:eastAsia="仿宋" w:cs="宋体"/>
          <w:sz w:val="24"/>
        </w:rPr>
        <w:t>3.3.促进残疾人就业政府采购政策：根据《三部门联合发布关于促进残疾人就业政府采购政策的通知》（财库〔</w:t>
      </w:r>
      <w:r>
        <w:rPr>
          <w:rFonts w:ascii="仿宋" w:hAnsi="仿宋" w:eastAsia="仿宋" w:cs="宋体"/>
          <w:sz w:val="24"/>
        </w:rPr>
        <w:t>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7D6FA06C">
      <w:pPr>
        <w:spacing w:line="360" w:lineRule="auto"/>
        <w:ind w:firstLine="480" w:firstLineChars="200"/>
        <w:rPr>
          <w:rFonts w:ascii="仿宋" w:hAnsi="仿宋" w:eastAsia="仿宋" w:cs="宋体"/>
          <w:sz w:val="24"/>
        </w:rPr>
      </w:pPr>
      <w:r>
        <w:rPr>
          <w:rFonts w:hint="eastAsia" w:ascii="仿宋" w:hAnsi="仿宋" w:eastAsia="仿宋" w:cs="宋体"/>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t>
      </w:r>
      <w:r>
        <w:rPr>
          <w:rFonts w:ascii="仿宋" w:hAnsi="仿宋" w:eastAsia="仿宋" w:cs="宋体"/>
          <w:sz w:val="24"/>
        </w:rPr>
        <w:t>www.ccgp.gov.cn）建立的认证结果信息发布平台链接中查询下载。</w:t>
      </w:r>
    </w:p>
    <w:p w14:paraId="3E6A4E63">
      <w:pPr>
        <w:spacing w:line="360" w:lineRule="auto"/>
        <w:ind w:firstLine="480" w:firstLineChars="200"/>
        <w:rPr>
          <w:rFonts w:ascii="仿宋" w:hAnsi="仿宋" w:eastAsia="仿宋" w:cs="宋体"/>
          <w:sz w:val="24"/>
        </w:rPr>
      </w:pPr>
      <w:r>
        <w:rPr>
          <w:rFonts w:hint="eastAsia" w:ascii="仿宋" w:hAnsi="仿宋" w:eastAsia="仿宋" w:cs="宋体"/>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t>
      </w:r>
      <w:r>
        <w:rPr>
          <w:rFonts w:ascii="仿宋" w:hAnsi="仿宋" w:eastAsia="仿宋" w:cs="宋体"/>
          <w:sz w:val="24"/>
        </w:rPr>
        <w:t>www.ccgp.gov.cn）建立的认证结果信息发布平台链接中查询下载。</w:t>
      </w:r>
    </w:p>
    <w:p w14:paraId="0F4E0F40">
      <w:pPr>
        <w:spacing w:line="360" w:lineRule="auto"/>
        <w:ind w:firstLine="480" w:firstLineChars="200"/>
        <w:rPr>
          <w:rFonts w:ascii="仿宋" w:hAnsi="仿宋" w:eastAsia="仿宋" w:cs="宋体"/>
          <w:sz w:val="24"/>
        </w:rPr>
      </w:pPr>
      <w:bookmarkStart w:id="2" w:name="OLE_LINK113"/>
      <w:r>
        <w:rPr>
          <w:rFonts w:hint="eastAsia" w:ascii="仿宋" w:hAnsi="仿宋" w:eastAsia="仿宋" w:cs="宋体"/>
          <w:sz w:val="24"/>
        </w:rPr>
        <w:t>3.6.实施本国产品标准及相关政策：依据《</w:t>
      </w:r>
      <w:r>
        <w:rPr>
          <w:rFonts w:hint="eastAsia" w:ascii="仿宋" w:hAnsi="仿宋" w:eastAsia="仿宋" w:cs="宋体"/>
          <w:color w:val="000000"/>
          <w:sz w:val="24"/>
          <w:shd w:val="clear" w:color="auto" w:fill="FFFFFF"/>
        </w:rPr>
        <w:t>国务院办公厅关于在政府采购中实施本国产品标准及相关政策的通知</w:t>
      </w:r>
      <w:r>
        <w:rPr>
          <w:rFonts w:hint="eastAsia" w:ascii="仿宋" w:hAnsi="仿宋" w:eastAsia="仿宋" w:cs="宋体"/>
          <w:sz w:val="24"/>
        </w:rPr>
        <w:t>》（国办发〔2025〕34号）规定，本项目供应商所投产品</w:t>
      </w:r>
      <w:r>
        <w:rPr>
          <w:rFonts w:hint="eastAsia" w:ascii="仿宋" w:hAnsi="仿宋" w:eastAsia="仿宋" w:cs="宋体"/>
          <w:color w:val="000000"/>
          <w:sz w:val="24"/>
          <w:shd w:val="clear" w:color="auto" w:fill="FFFFFF"/>
        </w:rPr>
        <w:t>在中国境内生产，即在中华人民共和国关境内实现从原材料、组件到产品的属性改变。且在中国境内生产的组件成本占比应当达到规定比例</w:t>
      </w:r>
      <w:r>
        <w:rPr>
          <w:rFonts w:hint="eastAsia" w:ascii="仿宋" w:hAnsi="仿宋" w:eastAsia="仿宋" w:cs="宋体"/>
          <w:sz w:val="24"/>
        </w:rPr>
        <w:t>，</w:t>
      </w:r>
      <w:r>
        <w:rPr>
          <w:rFonts w:hint="eastAsia" w:ascii="仿宋" w:hAnsi="仿宋" w:eastAsia="仿宋" w:cs="宋体"/>
          <w:color w:val="000000"/>
          <w:sz w:val="24"/>
          <w:shd w:val="clear" w:color="auto" w:fill="FFFFFF"/>
        </w:rPr>
        <w:t>依法对本国产品给予价格评审优惠，对本国产品的报价给予20%的价格扣除，用扣除后的价格参与评审。</w:t>
      </w:r>
      <w:bookmarkStart w:id="3" w:name="OLE_LINK55"/>
      <w:bookmarkStart w:id="4" w:name="OLE_LINK56"/>
      <w:r>
        <w:rPr>
          <w:rFonts w:hint="eastAsia" w:ascii="仿宋" w:hAnsi="仿宋" w:eastAsia="仿宋" w:cs="宋体"/>
          <w:b/>
          <w:color w:val="000000"/>
          <w:sz w:val="24"/>
          <w:shd w:val="clear" w:color="auto" w:fill="FFFFFF"/>
        </w:rPr>
        <w:t>投标人</w:t>
      </w:r>
      <w:bookmarkEnd w:id="3"/>
      <w:bookmarkEnd w:id="4"/>
      <w:r>
        <w:rPr>
          <w:rFonts w:hint="eastAsia" w:ascii="仿宋" w:hAnsi="仿宋" w:eastAsia="仿宋" w:cs="宋体"/>
          <w:b/>
          <w:bCs/>
          <w:sz w:val="24"/>
        </w:rPr>
        <w:t>应出具招标文件要求的证明材料给予证明，否则评标时不予认可</w:t>
      </w:r>
      <w:r>
        <w:rPr>
          <w:rFonts w:hint="eastAsia" w:ascii="仿宋" w:hAnsi="仿宋" w:eastAsia="仿宋" w:cs="宋体"/>
          <w:sz w:val="24"/>
        </w:rPr>
        <w:t>。</w:t>
      </w:r>
      <w:r>
        <w:rPr>
          <w:rFonts w:hint="eastAsia" w:ascii="仿宋" w:hAnsi="仿宋" w:eastAsia="仿宋" w:cs="宋体"/>
          <w:b/>
          <w:color w:val="000000"/>
          <w:sz w:val="24"/>
          <w:shd w:val="clear" w:color="auto" w:fill="FFFFFF"/>
        </w:rPr>
        <w:t>投标人</w:t>
      </w:r>
      <w:r>
        <w:rPr>
          <w:rFonts w:hint="eastAsia" w:ascii="仿宋" w:hAnsi="仿宋" w:eastAsia="仿宋" w:cs="宋体"/>
          <w:b/>
          <w:bCs/>
          <w:sz w:val="24"/>
        </w:rPr>
        <w:t>应对提交的证明材料真实性负责，</w:t>
      </w:r>
      <w:r>
        <w:rPr>
          <w:rFonts w:hint="eastAsia" w:ascii="仿宋" w:hAnsi="仿宋" w:eastAsia="仿宋" w:cs="宋体"/>
          <w:sz w:val="24"/>
        </w:rPr>
        <w:t>提交证明材料不真实的，应承担相应的法律责任。</w:t>
      </w:r>
      <w:bookmarkEnd w:id="2"/>
    </w:p>
    <w:p w14:paraId="40ABB13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4、采购标的的其他技术、服务等要求；</w:t>
      </w:r>
    </w:p>
    <w:p w14:paraId="15BA4FD8">
      <w:pPr>
        <w:tabs>
          <w:tab w:val="left" w:pos="900"/>
          <w:tab w:val="left" w:pos="7160"/>
        </w:tabs>
        <w:spacing w:line="360" w:lineRule="auto"/>
        <w:ind w:firstLine="482" w:firstLineChars="200"/>
        <w:rPr>
          <w:rFonts w:ascii="仿宋" w:hAnsi="仿宋" w:eastAsia="仿宋"/>
          <w:b/>
          <w:sz w:val="24"/>
        </w:rPr>
      </w:pPr>
      <w:r>
        <w:rPr>
          <w:rFonts w:hint="eastAsia" w:ascii="仿宋" w:hAnsi="仿宋" w:eastAsia="仿宋"/>
          <w:b/>
          <w:sz w:val="24"/>
        </w:rPr>
        <w:t>4.1.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和“▲”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2795C22D">
      <w:pPr>
        <w:tabs>
          <w:tab w:val="left" w:pos="900"/>
          <w:tab w:val="left" w:pos="7160"/>
        </w:tabs>
        <w:spacing w:line="360" w:lineRule="auto"/>
        <w:ind w:firstLine="480" w:firstLineChars="200"/>
        <w:rPr>
          <w:rFonts w:ascii="仿宋" w:hAnsi="仿宋" w:eastAsia="仿宋"/>
          <w:sz w:val="24"/>
        </w:rPr>
      </w:pPr>
      <w:r>
        <w:rPr>
          <w:rFonts w:hint="eastAsia" w:ascii="仿宋" w:hAnsi="仿宋" w:eastAsia="仿宋"/>
          <w:sz w:val="24"/>
        </w:rPr>
        <w:t>4.2.投标人所提供的部件之间及设备之间的连线或接插件均视为设备内部部件，应包含在相应的配置中。</w:t>
      </w:r>
    </w:p>
    <w:p w14:paraId="3746EE5F">
      <w:pPr>
        <w:tabs>
          <w:tab w:val="left" w:pos="900"/>
          <w:tab w:val="left" w:pos="7160"/>
        </w:tabs>
        <w:spacing w:line="360" w:lineRule="auto"/>
        <w:ind w:firstLine="480" w:firstLineChars="200"/>
        <w:rPr>
          <w:rFonts w:ascii="仿宋" w:hAnsi="仿宋" w:eastAsia="仿宋"/>
          <w:sz w:val="24"/>
        </w:rPr>
      </w:pPr>
      <w:r>
        <w:rPr>
          <w:rFonts w:hint="eastAsia" w:ascii="仿宋" w:hAnsi="仿宋" w:eastAsia="仿宋"/>
          <w:sz w:val="24"/>
        </w:rPr>
        <w:t>4.3.工作条件：除了在技术规格中另有规定外，投标人提供的一切仪器、设备和系统，应符合下列条件：</w:t>
      </w:r>
    </w:p>
    <w:p w14:paraId="37338AEE">
      <w:pPr>
        <w:tabs>
          <w:tab w:val="left" w:pos="900"/>
          <w:tab w:val="left" w:pos="7160"/>
        </w:tabs>
        <w:spacing w:line="360" w:lineRule="auto"/>
        <w:ind w:firstLine="480" w:firstLineChars="200"/>
        <w:rPr>
          <w:rFonts w:ascii="仿宋" w:hAnsi="仿宋" w:eastAsia="仿宋"/>
          <w:sz w:val="24"/>
        </w:rPr>
      </w:pPr>
      <w:r>
        <w:rPr>
          <w:rFonts w:hint="eastAsia" w:ascii="仿宋" w:hAnsi="仿宋" w:eastAsia="仿宋"/>
          <w:sz w:val="24"/>
        </w:rPr>
        <w:t>1）仪器设备的插头要符合中国电工标准。如不符合，则应提供适合仪器插头的插座，必须要有接地。</w:t>
      </w:r>
    </w:p>
    <w:p w14:paraId="4F658CD3">
      <w:pPr>
        <w:tabs>
          <w:tab w:val="left" w:pos="900"/>
          <w:tab w:val="left" w:pos="7160"/>
        </w:tabs>
        <w:spacing w:line="360" w:lineRule="auto"/>
        <w:ind w:firstLine="480" w:firstLineChars="200"/>
        <w:rPr>
          <w:rFonts w:ascii="仿宋" w:hAnsi="仿宋" w:eastAsia="仿宋"/>
          <w:sz w:val="24"/>
        </w:rPr>
      </w:pPr>
      <w:r>
        <w:rPr>
          <w:rFonts w:hint="eastAsia" w:ascii="仿宋" w:hAnsi="仿宋" w:eastAsia="仿宋"/>
          <w:sz w:val="24"/>
        </w:rPr>
        <w:t>2）如果仪器设备需特殊的工作条件（如：水、电源、磁场强度、特殊温度、湿度、震动强度等），投标人应在有关投标文件中加以说明。</w:t>
      </w:r>
    </w:p>
    <w:p w14:paraId="05D8559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5759558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14:paraId="19321E2B">
      <w:pPr>
        <w:pStyle w:val="2"/>
        <w:rPr>
          <w:rFonts w:ascii="仿宋" w:hAnsi="仿宋" w:eastAsia="仿宋"/>
        </w:rPr>
      </w:pPr>
    </w:p>
    <w:p w14:paraId="32BC051B">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（三）验收标准</w:t>
      </w:r>
    </w:p>
    <w:p w14:paraId="6AB8A19A">
      <w:pPr>
        <w:numPr>
          <w:ilvl w:val="255"/>
          <w:numId w:val="0"/>
        </w:numPr>
        <w:snapToGrid w:val="0"/>
        <w:spacing w:line="360" w:lineRule="auto"/>
        <w:ind w:firstLine="480" w:firstLineChars="200"/>
        <w:rPr>
          <w:rFonts w:ascii="仿宋" w:hAnsi="仿宋" w:eastAsia="仿宋" w:cs="仿宋"/>
          <w:sz w:val="24"/>
        </w:rPr>
      </w:pPr>
      <w:r>
        <w:rPr>
          <w:rFonts w:hint="eastAsia" w:ascii="仿宋" w:hAnsi="仿宋" w:eastAsia="仿宋" w:cs="仿宋"/>
          <w:sz w:val="24"/>
        </w:rPr>
        <w:t>1、验收期限：全部货物到齐后30天内完成验收。</w:t>
      </w:r>
    </w:p>
    <w:p w14:paraId="7D8F7C64">
      <w:pPr>
        <w:numPr>
          <w:ilvl w:val="255"/>
          <w:numId w:val="0"/>
        </w:numPr>
        <w:snapToGrid w:val="0"/>
        <w:spacing w:line="360" w:lineRule="auto"/>
        <w:ind w:firstLine="480" w:firstLineChars="200"/>
        <w:rPr>
          <w:rFonts w:ascii="仿宋" w:hAnsi="仿宋" w:eastAsia="仿宋" w:cs="仿宋"/>
          <w:sz w:val="24"/>
        </w:rPr>
      </w:pPr>
      <w:r>
        <w:rPr>
          <w:rFonts w:hint="eastAsia" w:ascii="仿宋" w:hAnsi="仿宋" w:eastAsia="仿宋" w:cs="仿宋"/>
          <w:sz w:val="24"/>
        </w:rPr>
        <w:t>2、到货验收：供货商负责按医学工程处要求将设备送至指定交货地点，并按照厂家和采购人要求完成设备的安装调试，确保设备运行正常。</w:t>
      </w:r>
    </w:p>
    <w:p w14:paraId="05B97D2A">
      <w:pPr>
        <w:numPr>
          <w:ilvl w:val="255"/>
          <w:numId w:val="0"/>
        </w:numPr>
        <w:snapToGrid w:val="0"/>
        <w:spacing w:line="360" w:lineRule="auto"/>
        <w:ind w:firstLine="480" w:firstLineChars="200"/>
        <w:rPr>
          <w:rFonts w:ascii="仿宋" w:hAnsi="仿宋" w:eastAsia="仿宋" w:cs="仿宋"/>
          <w:sz w:val="24"/>
        </w:rPr>
      </w:pPr>
      <w:r>
        <w:rPr>
          <w:rFonts w:hint="eastAsia" w:ascii="仿宋" w:hAnsi="仿宋" w:eastAsia="仿宋" w:cs="仿宋"/>
          <w:sz w:val="24"/>
        </w:rPr>
        <w:t>3、质量验收：根据医院要求免费向医学工程处提供检测报告等作为质量验收必要证明文件。设备保修期以质量验收合格之日起计算。</w:t>
      </w:r>
    </w:p>
    <w:p w14:paraId="5776D84A">
      <w:pPr>
        <w:numPr>
          <w:ilvl w:val="255"/>
          <w:numId w:val="0"/>
        </w:numPr>
        <w:snapToGrid w:val="0"/>
        <w:spacing w:line="360" w:lineRule="auto"/>
        <w:ind w:firstLine="480" w:firstLineChars="200"/>
        <w:rPr>
          <w:rFonts w:ascii="仿宋" w:hAnsi="仿宋" w:eastAsia="仿宋" w:cs="仿宋"/>
          <w:b/>
          <w:bCs/>
          <w:sz w:val="24"/>
        </w:rPr>
      </w:pPr>
      <w:r>
        <w:rPr>
          <w:rFonts w:hint="eastAsia" w:ascii="仿宋" w:hAnsi="仿宋" w:eastAsia="仿宋" w:cs="仿宋"/>
          <w:sz w:val="24"/>
        </w:rPr>
        <w:t>4、技术手册：提供完整的中文使用手册和中文维修维护手册</w:t>
      </w:r>
    </w:p>
    <w:p w14:paraId="0DBA4A3B">
      <w:pPr>
        <w:numPr>
          <w:ilvl w:val="255"/>
          <w:numId w:val="0"/>
        </w:num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（四）其他要求</w:t>
      </w:r>
    </w:p>
    <w:p w14:paraId="3EBE7201">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1、培训要求：设备使用期间提供免费且不限次培训服务，对使用人员、工程技术人员不定期进行技术培训，包括但不限于设备的使用、维护、保养、常见故障判断、常见故障处理等。</w:t>
      </w:r>
    </w:p>
    <w:p w14:paraId="7196062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1443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customStyle="1" w:styleId="5">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6">
    <w:name w:val="SOW正文"/>
    <w:basedOn w:val="1"/>
    <w:qFormat/>
    <w:uiPriority w:val="0"/>
    <w:pPr>
      <w:snapToGrid w:val="0"/>
      <w:spacing w:before="120" w:line="400" w:lineRule="exact"/>
      <w:ind w:firstLine="425"/>
    </w:pPr>
    <w:rPr>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2026-10-14T13:19:27Z</dcterms:created>
  <dc:creator>zhang</dc:creator>
  <cp:lastModifiedBy>zhang</cp:lastModifiedBy>
  <dcterms:modified xsi:type="dcterms:W3CDTF">2026-10-14T13:20:12Z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eyJoZGlkIjoiOWI0ZTY4ZGM2ZjA2OWU0ZDdiYWYzZjE5M2Y5ZWM4MmIiLCJ1c2VySWQiOiIzMzk2OTcwOTkifQ==</vt:lpwstr>
  </property>
  <property fmtid="{D5CDD505-2E9C-101B-9397-08002B2CF9AE}" pid="4" name="ICV">
    <vt:lpwstr>3B5B7AA65A7343F28669D552B0C7E4E5_12</vt:lpwstr>
  </property>
</Properties>
</file>