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b/>
          <w:sz w:val="36"/>
          <w:szCs w:val="36"/>
          <w:highlight w:val="none"/>
        </w:rPr>
      </w:pPr>
      <w:bookmarkStart w:id="3" w:name="_GoBack"/>
      <w:bookmarkEnd w:id="3"/>
      <w:bookmarkStart w:id="0" w:name="_Toc99301424"/>
      <w:r>
        <w:rPr>
          <w:b/>
          <w:sz w:val="36"/>
          <w:szCs w:val="36"/>
          <w:highlight w:val="none"/>
        </w:rPr>
        <w:t>采购需求</w:t>
      </w:r>
      <w:bookmarkEnd w:id="0"/>
    </w:p>
    <w:p>
      <w:pPr>
        <w:spacing w:before="129"/>
        <w:ind w:left="120"/>
        <w:rPr>
          <w:rFonts w:hint="eastAsia" w:asciiTheme="majorEastAsia" w:hAnsiTheme="majorEastAsia" w:eastAsiaTheme="majorEastAsia" w:cstheme="majorEastAsia"/>
          <w:w w:val="105"/>
          <w:sz w:val="24"/>
          <w:szCs w:val="24"/>
          <w:lang w:val="en"/>
        </w:rPr>
      </w:pPr>
      <w:r>
        <w:rPr>
          <w:rFonts w:hint="eastAsia" w:asciiTheme="majorEastAsia" w:hAnsiTheme="majorEastAsia" w:eastAsiaTheme="majorEastAsia" w:cstheme="majorEastAsia"/>
          <w:w w:val="105"/>
          <w:sz w:val="24"/>
          <w:szCs w:val="24"/>
          <w:lang w:val="en"/>
        </w:rPr>
        <w:t>1.1项目背景</w:t>
      </w:r>
    </w:p>
    <w:p>
      <w:pPr>
        <w:ind w:firstLine="461"/>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本项目</w:t>
      </w:r>
      <w:r>
        <w:rPr>
          <w:rFonts w:hint="eastAsia" w:asciiTheme="majorEastAsia" w:hAnsiTheme="majorEastAsia" w:eastAsiaTheme="majorEastAsia" w:cstheme="majorEastAsia"/>
          <w:spacing w:val="-3"/>
          <w:sz w:val="24"/>
          <w:szCs w:val="24"/>
          <w:lang w:val="en-US" w:eastAsia="zh-CN"/>
        </w:rPr>
        <w:t>落实我市信息化技术应用创新相关文件，拟开展2026年党政机关信息化能力提升项目，对现有操作系统、数据库进行信创替代，系统包含：北京干部网络学院，北京组工网站，北京人才工作网</w:t>
      </w:r>
      <w:r>
        <w:rPr>
          <w:rFonts w:hint="eastAsia" w:asciiTheme="majorEastAsia" w:hAnsiTheme="majorEastAsia" w:eastAsiaTheme="majorEastAsia" w:cstheme="majorEastAsia"/>
          <w:spacing w:val="-3"/>
          <w:sz w:val="24"/>
          <w:szCs w:val="24"/>
        </w:rPr>
        <w:t>。</w:t>
      </w:r>
    </w:p>
    <w:p>
      <w:pPr>
        <w:spacing w:before="129"/>
        <w:ind w:left="120"/>
        <w:rPr>
          <w:rFonts w:hint="eastAsia" w:asciiTheme="majorEastAsia" w:hAnsiTheme="majorEastAsia" w:eastAsiaTheme="majorEastAsia" w:cstheme="majorEastAsia"/>
          <w:w w:val="105"/>
          <w:sz w:val="24"/>
          <w:lang w:val="en" w:eastAsia="zh-CN"/>
        </w:rPr>
      </w:pPr>
      <w:r>
        <w:rPr>
          <w:rFonts w:hint="eastAsia" w:asciiTheme="majorEastAsia" w:hAnsiTheme="majorEastAsia" w:eastAsiaTheme="majorEastAsia" w:cstheme="majorEastAsia"/>
          <w:w w:val="105"/>
          <w:sz w:val="24"/>
          <w:lang w:val="en" w:eastAsia="zh-CN"/>
        </w:rPr>
        <w:t>1.2项目现状</w:t>
      </w:r>
    </w:p>
    <w:p>
      <w:pPr>
        <w:ind w:firstLine="461"/>
        <w:rPr>
          <w:rFonts w:hint="eastAsia" w:asciiTheme="majorEastAsia" w:hAnsiTheme="majorEastAsia" w:eastAsiaTheme="majorEastAsia" w:cstheme="majorEastAsia"/>
          <w:spacing w:val="-3"/>
          <w:sz w:val="24"/>
          <w:u w:val="none"/>
          <w:lang w:val="en-US" w:eastAsia="zh-CN"/>
        </w:rPr>
      </w:pPr>
      <w:r>
        <w:rPr>
          <w:rFonts w:hint="eastAsia" w:asciiTheme="majorEastAsia" w:hAnsiTheme="majorEastAsia" w:eastAsiaTheme="majorEastAsia" w:cstheme="majorEastAsia"/>
          <w:spacing w:val="-3"/>
          <w:sz w:val="24"/>
          <w:lang w:val="en-US" w:eastAsia="zh-CN"/>
        </w:rPr>
        <w:t>北京干部网络学院、北京组工网站、北京人才工作网，目前部署在政务云平台，基于JAVA开发的系统B/S架构应用系统。北京干部网络学院服务器操作系统为Centos共71套，桌面操作系统共1套，数据库为MySQL共19套，系统使用MySQL+Redis+消息队列搭建的分布式数据集群，采用Nginx、Tomcat中间件；北京组工网站操作系统为Centos共21套，桌面操作系统共1套，数据库为Oracle共2套；北京人才工作网操作系统为Centos共7套，桌面操作系统共2套，数据库为MySQL共1套，前端基于HTML5、CSS3、JavaScript、jQuery3.5.1开发，支撑中英文双版本网站展示与交互。</w:t>
      </w:r>
    </w:p>
    <w:p>
      <w:pPr>
        <w:spacing w:before="129"/>
        <w:ind w:left="120"/>
        <w:rPr>
          <w:rFonts w:hint="eastAsia" w:asciiTheme="majorEastAsia" w:hAnsiTheme="majorEastAsia" w:eastAsiaTheme="majorEastAsia" w:cstheme="majorEastAsia"/>
          <w:w w:val="105"/>
          <w:sz w:val="24"/>
          <w:u w:val="none"/>
          <w:lang w:val="en" w:eastAsia="zh-CN"/>
        </w:rPr>
      </w:pPr>
      <w:r>
        <w:rPr>
          <w:rFonts w:hint="eastAsia" w:asciiTheme="majorEastAsia" w:hAnsiTheme="majorEastAsia" w:eastAsiaTheme="majorEastAsia" w:cstheme="majorEastAsia"/>
          <w:w w:val="105"/>
          <w:sz w:val="24"/>
          <w:u w:val="none"/>
          <w:lang w:val="en" w:eastAsia="zh-CN"/>
        </w:rPr>
        <w:t>1.3技术要求</w:t>
      </w:r>
    </w:p>
    <w:p>
      <w:pPr>
        <w:ind w:firstLine="461" w:firstLineChars="0"/>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t>服务器操作系统基础能力。</w:t>
      </w: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需在政务云平台的云主机实例中安装部署，支持云平台的镜像制作、快照、克隆、弹性扩缩容、热迁移等云主机能力，操作系统、数据库在云平台上述操作过程中稳定，不出现文件损坏、服务异常、数据丢失。支持云平台监控代理、日志采集程序接入，可向云平台监控系统输出CPU、内存、磁盘、网络、数据库连接、事务等指标，支持云平台统一采集系统与数据库审计日志。支持云平台存储卷（块存储、文件存储）挂载使用，操作系统可识别云平台挂载盘，数据库可将数据文件、日志文件部署在云平台提供的存储卷上，支持存储卷在线扩容。适配政务云平台底层硬件架构（飞腾/鲲鹏/海光/兆芯等），支持64位操作系统。</w:t>
      </w:r>
    </w:p>
    <w:p>
      <w:pPr>
        <w:ind w:firstLine="461" w:firstLineChars="0"/>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t>服务器操作系统功能要求。</w:t>
      </w: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支持多用户、多任务操作系统，支持权限分级管理。支持主流文件系统，支持磁盘分区、LVM逻辑卷管理，支持磁盘挂载、卸载。支持网络配置管理，静态IP、DHCP，支持防火墙、端口访问控制，支持SSH远程管理。支持在线补丁管理、漏洞扫描、系统加固，支持批量补丁升级。支持账号登录审计、操作行为审计，支持登录失败策略、密码复杂度策略。满足网络安全等级保护相关安全要求，支持主机安全加固，关闭不必要默认服务与高危端口。</w:t>
      </w:r>
    </w:p>
    <w:p>
      <w:pPr>
        <w:ind w:firstLine="461" w:firstLineChars="0"/>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t>服务器操作系统兼容性要求。</w:t>
      </w: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能够稳定承载本次采购的国产数据库，数据库可正常安装、启动、创建实例、启停。兼容主流国产化中间件、应用组件，支持Java、C/C++、Python等开发语言运行环境。</w:t>
      </w:r>
    </w:p>
    <w:p>
      <w:pPr>
        <w:ind w:firstLine="461" w:firstLineChars="0"/>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t>桌面操作系统基础能力。</w:t>
      </w: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需在政务云平台的云主机实例中安装部署，需要正常稳定接入互联网、政务外网环境，支持云主机状态查看、资源监控、运维操作、日志调取等日常运维工作，适配政务云平台安全策略、访问控制、日志采集机制。支持远程连接云端服务器、数据库集群，无适配报错、功能阉割、运行闪退问题。支持飞腾、鲲鹏、海光、兆芯等主流国产CPU架构，同时兼容x86架构运维终端，保障运维终端7×24小时稳定在线。。</w:t>
      </w:r>
    </w:p>
    <w:p>
      <w:pPr>
        <w:ind w:firstLine="461" w:firstLineChars="0"/>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t>桌面操作系统功能及兼容性要求。</w:t>
      </w: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提供可视化系统运维管理工具，支持终端CPU、内存、磁盘、网络实时监控，进程管理、服务启停、端口检测、网络故障自查，满足日常终端运维排障需求。支持主流安全文件系统，支持大容量磁盘管理、分区管理，保障运维数据存储安全稳定。支持系统补丁在线更新、漏洞扫描、一键安全加固，可批量修复系统高危漏洞，适配常态化安全运维要求。支持对接云平台共享存储，可将重要运维数据、归档数据上传云端备份，实现本地+云端双重数据保障。支持多窗口、多任务并发运行，可同时开启数据库客户端、远程终端、办公软件，并发运行稳定不崩溃。</w:t>
      </w:r>
    </w:p>
    <w:p>
      <w:pPr>
        <w:ind w:firstLine="461" w:firstLineChars="0"/>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支持本次采购数据库的客户端工具，可正常安装、启动、运行，支持远程连接云端国产数据库集群，支持运维人员执行标准SQL查询、数据统计、表结构查看、数据核验、业务数据筛选导出，操作流畅、查询响应稳定。支持数据库运维调试、慢查询查看、简单数据修复操作，适配日常数据库运维核查、数据维护工作。兼容数据库日志读取、运维记录归档，可配合云端数据库完成日常审计、数据核对工作。</w:t>
      </w:r>
    </w:p>
    <w:p>
      <w:pPr>
        <w:ind w:firstLine="461" w:firstLineChars="0"/>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支持SSH、远程终端连接工具，可稳定远程登录国产服务器操作系统，开展命令行运维、服务管理、文件传输工作。支持远程桌面运维、设备调试、云端资源巡检，适配多场景云端运维值守工作。支持网络安全策略，无网络冲突、访问异常问题。支持PDF、Word、Excel等主流格式文档读写、预览、导出。</w:t>
      </w:r>
    </w:p>
    <w:p>
      <w:pPr>
        <w:ind w:firstLine="461" w:firstLineChars="0"/>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t>数据库基础能力。</w:t>
      </w:r>
      <w:r>
        <w:rPr>
          <w:rFonts w:hint="eastAsia" w:asciiTheme="majorEastAsia" w:hAnsiTheme="majorEastAsia" w:eastAsiaTheme="majorEastAsia" w:cstheme="majorEastAsia"/>
          <w:color w:val="000000" w:themeColor="text1"/>
          <w:spacing w:val="-3"/>
          <w:sz w:val="24"/>
          <w:szCs w:val="24"/>
          <w:highlight w:val="none"/>
          <w:lang w:val="en-US" w:eastAsia="zh-CN"/>
          <w14:textFill>
            <w14:solidFill>
              <w14:schemeClr w14:val="tx1"/>
            </w14:solidFill>
          </w14:textFill>
        </w:rPr>
        <w:t>数据库与本次采购国产操作系统完全兼容，无版本冲突，可稳定长期运行。支持单机、主备集群部署；集群节点可分布在云平台不同云主机。数据库的数据文件、归档日志、备份集可存放于云平台提供的块存储/文件存储卷；支持存储卷扩容后数据库在线扩容数据空间。支持云主机热迁移、快照备份时，数据库可配合完成业务一致性备份，支持基于云主机快照结合数据库事务日志实现数据恢复。数据库性能指标（连接数、TPS、查询响应）可被云平台监控组件采集，数据库慢SQL、错误日志、审计日志可接入云平台日志系统。</w:t>
      </w:r>
    </w:p>
    <w:p>
      <w:pPr>
        <w:ind w:firstLine="461"/>
        <w:rPr>
          <w:rFonts w:hint="eastAsia" w:asciiTheme="majorEastAsia" w:hAnsiTheme="majorEastAsia" w:eastAsiaTheme="majorEastAsia" w:cstheme="majorEastAsia"/>
          <w:spacing w:val="-3"/>
          <w:sz w:val="24"/>
          <w:u w:val="none"/>
          <w:lang w:val="en-US" w:eastAsia="zh-CN"/>
        </w:rPr>
      </w:pPr>
      <w:r>
        <w:rPr>
          <w:rFonts w:hint="eastAsia" w:asciiTheme="majorEastAsia" w:hAnsiTheme="majorEastAsia" w:eastAsiaTheme="majorEastAsia" w:cstheme="majorEastAsia"/>
          <w:b w:val="0"/>
          <w:bCs w:val="0"/>
          <w:color w:val="000000" w:themeColor="text1"/>
          <w:spacing w:val="-3"/>
          <w:sz w:val="24"/>
          <w:szCs w:val="24"/>
          <w:highlight w:val="none"/>
          <w:lang w:val="en-US" w:eastAsia="zh-CN"/>
          <w14:textFill>
            <w14:solidFill>
              <w14:schemeClr w14:val="tx1"/>
            </w14:solidFill>
          </w14:textFill>
        </w:rPr>
        <w:t>数据库核心功能。支持标准SQL，主备高可用，主节点故障可自动切换，切换过程数据不丢失。支持数据库实例创建、启停、版本升级、用户权限管理、表空间管理。支持全量备份、增量备份、数据导入导出。支持SQL审计、访问行为审计，记录数据库登录、DDL/DML操作，审计日志不可随意篡改。支持传输加密、存储加密，支持敏感数据脱敏；支持IP访问白名单。提供数据迁移工具（支持MySQL、Oracle），迁移过程中要保障数据安全性、完整性。</w:t>
      </w:r>
    </w:p>
    <w:p>
      <w:pPr>
        <w:spacing w:before="129"/>
        <w:ind w:left="120"/>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w w:val="105"/>
          <w:sz w:val="24"/>
          <w:szCs w:val="24"/>
        </w:rPr>
        <w:t>1.</w:t>
      </w:r>
      <w:r>
        <w:rPr>
          <w:rFonts w:hint="eastAsia" w:asciiTheme="majorEastAsia" w:hAnsiTheme="majorEastAsia" w:eastAsiaTheme="majorEastAsia" w:cstheme="majorEastAsia"/>
          <w:w w:val="105"/>
          <w:sz w:val="24"/>
          <w:szCs w:val="24"/>
          <w:lang w:val="en-US" w:eastAsia="zh-CN"/>
        </w:rPr>
        <w:t>4</w:t>
      </w:r>
      <w:r>
        <w:rPr>
          <w:rFonts w:hint="eastAsia" w:asciiTheme="majorEastAsia" w:hAnsiTheme="majorEastAsia" w:eastAsiaTheme="majorEastAsia" w:cstheme="majorEastAsia"/>
          <w:w w:val="105"/>
          <w:sz w:val="24"/>
          <w:szCs w:val="24"/>
        </w:rPr>
        <w:t>采购标的（</w:t>
      </w:r>
      <w:r>
        <w:rPr>
          <w:rFonts w:hint="eastAsia" w:asciiTheme="majorEastAsia" w:hAnsiTheme="majorEastAsia" w:eastAsiaTheme="majorEastAsia" w:cstheme="majorEastAsia"/>
          <w:spacing w:val="-3"/>
          <w:sz w:val="24"/>
          <w:szCs w:val="24"/>
        </w:rPr>
        <w:t>本项目不接受进口产品）</w:t>
      </w:r>
    </w:p>
    <w:tbl>
      <w:tblPr>
        <w:tblStyle w:val="52"/>
        <w:tblpPr w:leftFromText="180" w:rightFromText="180" w:vertAnchor="text" w:horzAnchor="page" w:tblpX="2095" w:tblpY="31"/>
        <w:tblOverlap w:val="never"/>
        <w:tblW w:w="82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6"/>
        <w:gridCol w:w="2279"/>
        <w:gridCol w:w="953"/>
        <w:gridCol w:w="656"/>
        <w:gridCol w:w="2706"/>
        <w:gridCol w:w="11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6" w:hRule="atLeast"/>
        </w:trPr>
        <w:tc>
          <w:tcPr>
            <w:tcW w:w="566" w:type="dxa"/>
            <w:vAlign w:val="top"/>
          </w:tcPr>
          <w:p>
            <w:pPr>
              <w:spacing w:before="160" w:line="242" w:lineRule="auto"/>
              <w:ind w:left="163" w:right="15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0"/>
                <w:sz w:val="24"/>
                <w:szCs w:val="24"/>
              </w:rPr>
              <w:t>序号</w:t>
            </w:r>
          </w:p>
        </w:tc>
        <w:tc>
          <w:tcPr>
            <w:tcW w:w="2279" w:type="dxa"/>
            <w:vAlign w:val="top"/>
          </w:tcPr>
          <w:p>
            <w:pPr>
              <w:spacing w:before="8"/>
              <w:rPr>
                <w:rFonts w:hint="eastAsia" w:asciiTheme="majorEastAsia" w:hAnsiTheme="majorEastAsia" w:eastAsiaTheme="majorEastAsia" w:cstheme="majorEastAsia"/>
                <w:sz w:val="24"/>
                <w:szCs w:val="24"/>
              </w:rPr>
            </w:pPr>
          </w:p>
          <w:p>
            <w:pPr>
              <w:ind w:left="196" w:right="186"/>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2"/>
                <w:sz w:val="24"/>
                <w:szCs w:val="24"/>
              </w:rPr>
              <w:t>采购标的名称</w:t>
            </w:r>
          </w:p>
        </w:tc>
        <w:tc>
          <w:tcPr>
            <w:tcW w:w="953" w:type="dxa"/>
            <w:vAlign w:val="top"/>
          </w:tcPr>
          <w:p>
            <w:pPr>
              <w:spacing w:before="8"/>
              <w:rPr>
                <w:rFonts w:hint="eastAsia" w:asciiTheme="majorEastAsia" w:hAnsiTheme="majorEastAsia" w:eastAsiaTheme="majorEastAsia" w:cstheme="majorEastAsia"/>
                <w:sz w:val="24"/>
                <w:szCs w:val="24"/>
              </w:rPr>
            </w:pPr>
          </w:p>
          <w:p>
            <w:pPr>
              <w:ind w:left="221" w:right="211"/>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5"/>
                <w:sz w:val="24"/>
                <w:szCs w:val="24"/>
              </w:rPr>
              <w:t>数量</w:t>
            </w:r>
          </w:p>
        </w:tc>
        <w:tc>
          <w:tcPr>
            <w:tcW w:w="656" w:type="dxa"/>
            <w:vAlign w:val="top"/>
          </w:tcPr>
          <w:p>
            <w:pPr>
              <w:spacing w:before="160" w:line="242" w:lineRule="auto"/>
              <w:ind w:left="208" w:right="195"/>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10"/>
                <w:sz w:val="24"/>
                <w:szCs w:val="24"/>
              </w:rPr>
              <w:t>单位</w:t>
            </w:r>
          </w:p>
        </w:tc>
        <w:tc>
          <w:tcPr>
            <w:tcW w:w="2706" w:type="dxa"/>
            <w:vAlign w:val="top"/>
          </w:tcPr>
          <w:p>
            <w:pPr>
              <w:spacing w:before="160" w:line="242" w:lineRule="auto"/>
              <w:ind w:left="1113" w:right="140" w:hanging="961"/>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pacing w:val="-2"/>
                <w:sz w:val="24"/>
                <w:szCs w:val="24"/>
                <w:lang w:eastAsia="zh-CN"/>
              </w:rPr>
              <w:t>中小企业划分标准所属</w:t>
            </w:r>
            <w:r>
              <w:rPr>
                <w:rFonts w:hint="eastAsia" w:asciiTheme="majorEastAsia" w:hAnsiTheme="majorEastAsia" w:eastAsiaTheme="majorEastAsia" w:cstheme="majorEastAsia"/>
                <w:spacing w:val="-6"/>
                <w:sz w:val="24"/>
                <w:szCs w:val="24"/>
                <w:lang w:eastAsia="zh-CN"/>
              </w:rPr>
              <w:t>行业</w:t>
            </w:r>
          </w:p>
        </w:tc>
        <w:tc>
          <w:tcPr>
            <w:tcW w:w="1130" w:type="dxa"/>
            <w:vAlign w:val="top"/>
          </w:tcPr>
          <w:p>
            <w:pPr>
              <w:spacing w:before="4"/>
              <w:ind w:left="202" w:right="192"/>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5"/>
                <w:sz w:val="24"/>
                <w:szCs w:val="24"/>
              </w:rPr>
              <w:t>备注</w:t>
            </w:r>
          </w:p>
          <w:p>
            <w:pPr>
              <w:spacing w:line="310" w:lineRule="atLeast"/>
              <w:ind w:left="205" w:right="192"/>
              <w:jc w:val="cente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4"/>
                <w:sz w:val="24"/>
                <w:szCs w:val="24"/>
              </w:rPr>
              <w:t>（核心</w:t>
            </w:r>
            <w:r>
              <w:rPr>
                <w:rFonts w:hint="eastAsia" w:asciiTheme="majorEastAsia" w:hAnsiTheme="majorEastAsia" w:eastAsiaTheme="majorEastAsia" w:cstheme="majorEastAsia"/>
                <w:sz w:val="24"/>
                <w:szCs w:val="24"/>
              </w:rPr>
              <w:t>产品</w:t>
            </w:r>
            <w:r>
              <w:rPr>
                <w:rFonts w:hint="eastAsia" w:asciiTheme="majorEastAsia" w:hAnsiTheme="majorEastAsia" w:eastAsiaTheme="majorEastAsia" w:cstheme="majorEastAsia"/>
                <w:spacing w:val="-1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566" w:type="dxa"/>
            <w:vAlign w:val="top"/>
          </w:tcPr>
          <w:p>
            <w:pPr>
              <w:spacing w:before="4" w:line="288" w:lineRule="exact"/>
              <w:ind w:left="223"/>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1</w:t>
            </w:r>
          </w:p>
        </w:tc>
        <w:tc>
          <w:tcPr>
            <w:tcW w:w="2279" w:type="dxa"/>
            <w:vAlign w:val="top"/>
          </w:tcPr>
          <w:p>
            <w:pPr>
              <w:spacing w:before="4" w:line="288" w:lineRule="exact"/>
              <w:ind w:left="196" w:right="186"/>
              <w:jc w:val="cente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pacing w:val="-9"/>
                <w:sz w:val="24"/>
                <w:szCs w:val="24"/>
              </w:rPr>
              <w:t>集中式数据库</w:t>
            </w:r>
          </w:p>
        </w:tc>
        <w:tc>
          <w:tcPr>
            <w:tcW w:w="953" w:type="dxa"/>
            <w:vAlign w:val="top"/>
          </w:tcPr>
          <w:p>
            <w:pPr>
              <w:spacing w:before="4" w:line="288" w:lineRule="exact"/>
              <w:ind w:left="221" w:right="211"/>
              <w:jc w:val="cente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pacing w:val="-5"/>
                <w:sz w:val="24"/>
                <w:szCs w:val="24"/>
                <w:lang w:val="en-US" w:eastAsia="zh-CN"/>
              </w:rPr>
              <w:t>22</w:t>
            </w:r>
          </w:p>
        </w:tc>
        <w:tc>
          <w:tcPr>
            <w:tcW w:w="656" w:type="dxa"/>
            <w:vAlign w:val="top"/>
          </w:tcPr>
          <w:p>
            <w:pPr>
              <w:spacing w:before="4" w:line="288" w:lineRule="exact"/>
              <w:ind w:right="195"/>
              <w:jc w:val="righ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套</w:t>
            </w:r>
          </w:p>
        </w:tc>
        <w:tc>
          <w:tcPr>
            <w:tcW w:w="2706" w:type="dxa"/>
            <w:vAlign w:val="top"/>
          </w:tcPr>
          <w:p>
            <w:pPr>
              <w:spacing w:before="4" w:line="288" w:lineRule="exact"/>
              <w:ind w:left="94" w:right="171"/>
              <w:jc w:val="cente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pacing w:val="-1"/>
                <w:sz w:val="24"/>
                <w:szCs w:val="24"/>
                <w:lang w:eastAsia="zh-CN"/>
              </w:rPr>
              <w:t>软件和信息技术服务业</w:t>
            </w:r>
          </w:p>
        </w:tc>
        <w:tc>
          <w:tcPr>
            <w:tcW w:w="1130" w:type="dxa"/>
            <w:vAlign w:val="top"/>
          </w:tcPr>
          <w:p>
            <w:pPr>
              <w:spacing w:before="4" w:line="288" w:lineRule="exact"/>
              <w:ind w:right="432"/>
              <w:jc w:val="righ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566" w:type="dxa"/>
            <w:vAlign w:val="top"/>
          </w:tcPr>
          <w:p>
            <w:pPr>
              <w:spacing w:before="4" w:line="288" w:lineRule="exact"/>
              <w:ind w:left="223"/>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w:t>
            </w:r>
          </w:p>
        </w:tc>
        <w:tc>
          <w:tcPr>
            <w:tcW w:w="2279" w:type="dxa"/>
            <w:vAlign w:val="top"/>
          </w:tcPr>
          <w:p>
            <w:pPr>
              <w:spacing w:before="4" w:line="288" w:lineRule="exact"/>
              <w:ind w:left="196" w:right="186"/>
              <w:jc w:val="center"/>
              <w:rPr>
                <w:rFonts w:hint="eastAsia" w:asciiTheme="majorEastAsia" w:hAnsiTheme="majorEastAsia" w:eastAsiaTheme="majorEastAsia" w:cstheme="majorEastAsia"/>
                <w:spacing w:val="-9"/>
                <w:sz w:val="24"/>
                <w:szCs w:val="24"/>
              </w:rPr>
            </w:pPr>
            <w:r>
              <w:rPr>
                <w:rFonts w:hint="eastAsia" w:asciiTheme="majorEastAsia" w:hAnsiTheme="majorEastAsia" w:eastAsiaTheme="majorEastAsia" w:cstheme="majorEastAsia"/>
                <w:spacing w:val="-9"/>
                <w:sz w:val="24"/>
                <w:szCs w:val="24"/>
                <w:lang w:eastAsia="zh-CN"/>
              </w:rPr>
              <w:t>服务器操作系统</w:t>
            </w:r>
          </w:p>
        </w:tc>
        <w:tc>
          <w:tcPr>
            <w:tcW w:w="953" w:type="dxa"/>
            <w:vAlign w:val="top"/>
          </w:tcPr>
          <w:p>
            <w:pPr>
              <w:spacing w:before="4" w:line="288" w:lineRule="exact"/>
              <w:ind w:left="221" w:leftChars="0" w:right="211" w:rightChars="0"/>
              <w:jc w:val="center"/>
              <w:rPr>
                <w:rFonts w:hint="eastAsia" w:asciiTheme="majorEastAsia" w:hAnsiTheme="majorEastAsia" w:eastAsiaTheme="majorEastAsia" w:cstheme="majorEastAsia"/>
                <w:spacing w:val="-5"/>
                <w:kern w:val="0"/>
                <w:sz w:val="24"/>
                <w:szCs w:val="24"/>
                <w:lang w:val="en-US" w:eastAsia="zh-CN" w:bidi="ar-SA"/>
              </w:rPr>
            </w:pPr>
            <w:r>
              <w:rPr>
                <w:rFonts w:hint="eastAsia" w:asciiTheme="majorEastAsia" w:hAnsiTheme="majorEastAsia" w:eastAsiaTheme="majorEastAsia" w:cstheme="majorEastAsia"/>
                <w:spacing w:val="-5"/>
                <w:sz w:val="24"/>
                <w:szCs w:val="24"/>
                <w:lang w:val="en-US" w:eastAsia="zh-CN"/>
              </w:rPr>
              <w:t>98</w:t>
            </w:r>
          </w:p>
        </w:tc>
        <w:tc>
          <w:tcPr>
            <w:tcW w:w="656" w:type="dxa"/>
            <w:vAlign w:val="top"/>
          </w:tcPr>
          <w:p>
            <w:pPr>
              <w:spacing w:before="4" w:line="288" w:lineRule="exact"/>
              <w:ind w:right="195" w:rightChars="0"/>
              <w:jc w:val="right"/>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sz w:val="24"/>
                <w:szCs w:val="24"/>
                <w:lang w:eastAsia="zh-CN"/>
              </w:rPr>
              <w:t>套</w:t>
            </w:r>
          </w:p>
        </w:tc>
        <w:tc>
          <w:tcPr>
            <w:tcW w:w="2706" w:type="dxa"/>
            <w:vAlign w:val="top"/>
          </w:tcPr>
          <w:p>
            <w:pPr>
              <w:spacing w:before="4" w:line="288" w:lineRule="exact"/>
              <w:ind w:left="94" w:leftChars="0" w:right="171" w:rightChars="0"/>
              <w:jc w:val="center"/>
              <w:rPr>
                <w:rFonts w:hint="eastAsia" w:asciiTheme="majorEastAsia" w:hAnsiTheme="majorEastAsia" w:eastAsiaTheme="majorEastAsia" w:cstheme="majorEastAsia"/>
                <w:spacing w:val="-1"/>
                <w:kern w:val="0"/>
                <w:sz w:val="24"/>
                <w:szCs w:val="24"/>
                <w:lang w:val="en-US" w:eastAsia="zh-CN" w:bidi="ar-SA"/>
              </w:rPr>
            </w:pPr>
            <w:r>
              <w:rPr>
                <w:rFonts w:hint="eastAsia" w:asciiTheme="majorEastAsia" w:hAnsiTheme="majorEastAsia" w:eastAsiaTheme="majorEastAsia" w:cstheme="majorEastAsia"/>
                <w:spacing w:val="-1"/>
                <w:sz w:val="24"/>
                <w:szCs w:val="24"/>
                <w:lang w:eastAsia="zh-CN"/>
              </w:rPr>
              <w:t>软件和信息技术服务业</w:t>
            </w:r>
          </w:p>
        </w:tc>
        <w:tc>
          <w:tcPr>
            <w:tcW w:w="1130" w:type="dxa"/>
            <w:vAlign w:val="top"/>
          </w:tcPr>
          <w:p>
            <w:pPr>
              <w:spacing w:before="4" w:line="288" w:lineRule="exact"/>
              <w:ind w:right="432" w:rightChars="0"/>
              <w:jc w:val="right"/>
              <w:rPr>
                <w:rFonts w:hint="eastAsia" w:asciiTheme="majorEastAsia" w:hAnsiTheme="majorEastAsia" w:eastAsiaTheme="majorEastAsia" w:cstheme="majorEastAsia"/>
                <w:kern w:val="0"/>
                <w:sz w:val="24"/>
                <w:szCs w:val="24"/>
                <w:lang w:val="en-US" w:eastAsia="zh-CN" w:bidi="ar-SA"/>
              </w:rPr>
            </w:pPr>
            <w:r>
              <w:rPr>
                <w:rFonts w:hint="eastAsia" w:asciiTheme="majorEastAsia" w:hAnsiTheme="majorEastAsia" w:eastAsiaTheme="majorEastAsia" w:cstheme="majorEastAsia"/>
                <w:sz w:val="24"/>
                <w:szCs w:val="24"/>
                <w:lang w:eastAsia="zh-CN"/>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566" w:type="dxa"/>
            <w:vAlign w:val="top"/>
          </w:tcPr>
          <w:p>
            <w:pPr>
              <w:spacing w:before="4" w:line="288" w:lineRule="exact"/>
              <w:ind w:left="223"/>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w:t>
            </w:r>
          </w:p>
        </w:tc>
        <w:tc>
          <w:tcPr>
            <w:tcW w:w="2279" w:type="dxa"/>
            <w:vAlign w:val="top"/>
          </w:tcPr>
          <w:p>
            <w:pPr>
              <w:spacing w:before="4" w:line="288" w:lineRule="exact"/>
              <w:ind w:left="196" w:right="186"/>
              <w:jc w:val="center"/>
              <w:rPr>
                <w:rFonts w:hint="eastAsia" w:asciiTheme="majorEastAsia" w:hAnsiTheme="majorEastAsia" w:eastAsiaTheme="majorEastAsia" w:cstheme="majorEastAsia"/>
                <w:spacing w:val="-9"/>
                <w:sz w:val="24"/>
                <w:szCs w:val="24"/>
                <w:lang w:eastAsia="zh-CN"/>
              </w:rPr>
            </w:pPr>
            <w:r>
              <w:rPr>
                <w:rFonts w:hint="eastAsia" w:asciiTheme="majorEastAsia" w:hAnsiTheme="majorEastAsia" w:eastAsiaTheme="majorEastAsia" w:cstheme="majorEastAsia"/>
                <w:spacing w:val="-9"/>
                <w:sz w:val="24"/>
                <w:szCs w:val="24"/>
                <w:lang w:eastAsia="zh-CN"/>
              </w:rPr>
              <w:t>桌面操作系统</w:t>
            </w:r>
          </w:p>
        </w:tc>
        <w:tc>
          <w:tcPr>
            <w:tcW w:w="953" w:type="dxa"/>
            <w:vAlign w:val="top"/>
          </w:tcPr>
          <w:p>
            <w:pPr>
              <w:spacing w:before="4" w:line="288" w:lineRule="exact"/>
              <w:ind w:left="221" w:right="211"/>
              <w:jc w:val="center"/>
              <w:rPr>
                <w:rFonts w:hint="eastAsia" w:asciiTheme="majorEastAsia" w:hAnsiTheme="majorEastAsia" w:eastAsiaTheme="majorEastAsia" w:cstheme="majorEastAsia"/>
                <w:spacing w:val="-5"/>
                <w:sz w:val="24"/>
                <w:szCs w:val="24"/>
                <w:lang w:val="en-US" w:eastAsia="zh-CN"/>
              </w:rPr>
            </w:pPr>
            <w:r>
              <w:rPr>
                <w:rFonts w:hint="eastAsia" w:asciiTheme="majorEastAsia" w:hAnsiTheme="majorEastAsia" w:eastAsiaTheme="majorEastAsia" w:cstheme="majorEastAsia"/>
                <w:spacing w:val="-5"/>
                <w:sz w:val="24"/>
                <w:szCs w:val="24"/>
                <w:lang w:val="en-US" w:eastAsia="zh-CN"/>
              </w:rPr>
              <w:t>4</w:t>
            </w:r>
          </w:p>
        </w:tc>
        <w:tc>
          <w:tcPr>
            <w:tcW w:w="656" w:type="dxa"/>
            <w:vAlign w:val="top"/>
          </w:tcPr>
          <w:p>
            <w:pPr>
              <w:spacing w:before="4" w:line="288" w:lineRule="exact"/>
              <w:ind w:right="195"/>
              <w:jc w:val="right"/>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套</w:t>
            </w:r>
          </w:p>
        </w:tc>
        <w:tc>
          <w:tcPr>
            <w:tcW w:w="2706" w:type="dxa"/>
            <w:vAlign w:val="top"/>
          </w:tcPr>
          <w:p>
            <w:pPr>
              <w:spacing w:before="4" w:line="288" w:lineRule="exact"/>
              <w:ind w:left="94" w:right="171"/>
              <w:jc w:val="center"/>
              <w:rPr>
                <w:rFonts w:hint="eastAsia" w:asciiTheme="majorEastAsia" w:hAnsiTheme="majorEastAsia" w:eastAsiaTheme="majorEastAsia" w:cstheme="majorEastAsia"/>
                <w:spacing w:val="-1"/>
                <w:sz w:val="24"/>
                <w:szCs w:val="24"/>
                <w:lang w:eastAsia="zh-CN"/>
              </w:rPr>
            </w:pPr>
            <w:r>
              <w:rPr>
                <w:rFonts w:hint="eastAsia" w:asciiTheme="majorEastAsia" w:hAnsiTheme="majorEastAsia" w:eastAsiaTheme="majorEastAsia" w:cstheme="majorEastAsia"/>
                <w:spacing w:val="-1"/>
                <w:sz w:val="24"/>
                <w:szCs w:val="24"/>
                <w:lang w:eastAsia="zh-CN"/>
              </w:rPr>
              <w:t>软件和信息技术服务业</w:t>
            </w:r>
          </w:p>
        </w:tc>
        <w:tc>
          <w:tcPr>
            <w:tcW w:w="1130" w:type="dxa"/>
            <w:vAlign w:val="top"/>
          </w:tcPr>
          <w:p>
            <w:pPr>
              <w:spacing w:before="4" w:line="288" w:lineRule="exact"/>
              <w:ind w:right="432"/>
              <w:jc w:val="right"/>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否</w:t>
            </w:r>
          </w:p>
        </w:tc>
      </w:tr>
    </w:tbl>
    <w:p>
      <w:pPr>
        <w:spacing w:before="129"/>
        <w:rPr>
          <w:rFonts w:hint="eastAsia" w:asciiTheme="majorEastAsia" w:hAnsiTheme="majorEastAsia" w:eastAsiaTheme="majorEastAsia" w:cstheme="majorEastAsia"/>
          <w:w w:val="105"/>
          <w:sz w:val="24"/>
          <w:szCs w:val="24"/>
        </w:rPr>
      </w:pPr>
    </w:p>
    <w:p>
      <w:pPr>
        <w:spacing w:before="129"/>
        <w:ind w:left="120"/>
        <w:rPr>
          <w:rFonts w:hint="eastAsia" w:asciiTheme="majorEastAsia" w:hAnsiTheme="majorEastAsia" w:eastAsiaTheme="majorEastAsia" w:cstheme="majorEastAsia"/>
          <w:w w:val="105"/>
          <w:sz w:val="24"/>
          <w:szCs w:val="24"/>
        </w:rPr>
      </w:pPr>
      <w:r>
        <w:rPr>
          <w:rFonts w:hint="eastAsia" w:asciiTheme="majorEastAsia" w:hAnsiTheme="majorEastAsia" w:eastAsiaTheme="majorEastAsia" w:cstheme="majorEastAsia"/>
          <w:w w:val="105"/>
          <w:sz w:val="24"/>
          <w:szCs w:val="24"/>
        </w:rPr>
        <w:t>1.</w:t>
      </w:r>
      <w:r>
        <w:rPr>
          <w:rFonts w:hint="eastAsia" w:asciiTheme="majorEastAsia" w:hAnsiTheme="majorEastAsia" w:eastAsiaTheme="majorEastAsia" w:cstheme="majorEastAsia"/>
          <w:w w:val="105"/>
          <w:sz w:val="24"/>
          <w:szCs w:val="24"/>
          <w:lang w:val="en-US" w:eastAsia="zh-CN"/>
        </w:rPr>
        <w:t>5</w:t>
      </w:r>
      <w:r>
        <w:rPr>
          <w:rFonts w:hint="eastAsia" w:asciiTheme="majorEastAsia" w:hAnsiTheme="majorEastAsia" w:eastAsiaTheme="majorEastAsia" w:cstheme="majorEastAsia"/>
          <w:w w:val="105"/>
          <w:sz w:val="24"/>
          <w:szCs w:val="24"/>
        </w:rPr>
        <w:t>商务要求</w:t>
      </w:r>
    </w:p>
    <w:p>
      <w:pPr>
        <w:ind w:firstLine="461"/>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 xml:space="preserve"> 1.</w:t>
      </w:r>
      <w:r>
        <w:rPr>
          <w:rFonts w:hint="eastAsia" w:asciiTheme="majorEastAsia" w:hAnsiTheme="majorEastAsia" w:eastAsiaTheme="majorEastAsia" w:cstheme="majorEastAsia"/>
          <w:spacing w:val="-3"/>
          <w:sz w:val="24"/>
          <w:szCs w:val="24"/>
          <w:lang w:val="en-US" w:eastAsia="zh-CN"/>
        </w:rPr>
        <w:t>5</w:t>
      </w:r>
      <w:r>
        <w:rPr>
          <w:rFonts w:hint="eastAsia" w:asciiTheme="majorEastAsia" w:hAnsiTheme="majorEastAsia" w:eastAsiaTheme="majorEastAsia" w:cstheme="majorEastAsia"/>
          <w:spacing w:val="-3"/>
          <w:sz w:val="24"/>
          <w:szCs w:val="24"/>
        </w:rPr>
        <w:t>.1 项目周期</w:t>
      </w:r>
    </w:p>
    <w:p>
      <w:pPr>
        <w:ind w:firstLine="702" w:firstLineChars="300"/>
        <w:jc w:val="left"/>
        <w:rPr>
          <w:rFonts w:hint="eastAsia" w:asciiTheme="majorEastAsia" w:hAnsiTheme="majorEastAsia" w:eastAsiaTheme="majorEastAsia" w:cstheme="majorEastAsia"/>
          <w:spacing w:val="-3"/>
          <w:sz w:val="24"/>
          <w:szCs w:val="24"/>
          <w:highlight w:val="none"/>
        </w:rPr>
      </w:pPr>
      <w:r>
        <w:rPr>
          <w:rFonts w:hint="eastAsia" w:asciiTheme="majorEastAsia" w:hAnsiTheme="majorEastAsia" w:eastAsiaTheme="majorEastAsia" w:cstheme="majorEastAsia"/>
          <w:spacing w:val="-3"/>
          <w:sz w:val="24"/>
          <w:szCs w:val="24"/>
        </w:rPr>
        <w:t>交付时间：</w:t>
      </w:r>
      <w:r>
        <w:rPr>
          <w:rFonts w:hint="eastAsia" w:asciiTheme="majorEastAsia" w:hAnsiTheme="majorEastAsia" w:eastAsiaTheme="majorEastAsia" w:cstheme="majorEastAsia"/>
          <w:spacing w:val="-3"/>
          <w:sz w:val="24"/>
          <w:szCs w:val="24"/>
          <w:highlight w:val="none"/>
        </w:rPr>
        <w:t>合同签订后</w:t>
      </w:r>
      <w:r>
        <w:rPr>
          <w:rFonts w:hint="eastAsia" w:asciiTheme="majorEastAsia" w:hAnsiTheme="majorEastAsia" w:eastAsiaTheme="majorEastAsia" w:cstheme="majorEastAsia"/>
          <w:spacing w:val="-3"/>
          <w:sz w:val="24"/>
          <w:szCs w:val="24"/>
          <w:highlight w:val="none"/>
          <w:lang w:eastAsia="zh-CN"/>
        </w:rPr>
        <w:t>1</w:t>
      </w:r>
      <w:r>
        <w:rPr>
          <w:rFonts w:hint="eastAsia" w:asciiTheme="majorEastAsia" w:hAnsiTheme="majorEastAsia" w:eastAsiaTheme="majorEastAsia" w:cstheme="majorEastAsia"/>
          <w:spacing w:val="-3"/>
          <w:sz w:val="24"/>
          <w:szCs w:val="24"/>
          <w:highlight w:val="none"/>
          <w:lang w:val="en-US" w:eastAsia="zh-CN"/>
        </w:rPr>
        <w:t>5</w:t>
      </w:r>
      <w:r>
        <w:rPr>
          <w:rFonts w:hint="eastAsia" w:asciiTheme="majorEastAsia" w:hAnsiTheme="majorEastAsia" w:eastAsiaTheme="majorEastAsia" w:cstheme="majorEastAsia"/>
          <w:spacing w:val="-3"/>
          <w:sz w:val="24"/>
          <w:szCs w:val="24"/>
          <w:highlight w:val="none"/>
        </w:rPr>
        <w:t>日内完成软件产品到货、安装部署及调试工作。</w:t>
      </w:r>
    </w:p>
    <w:p>
      <w:pPr>
        <w:ind w:firstLine="702" w:firstLineChars="3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
          <w:sz w:val="24"/>
          <w:szCs w:val="24"/>
        </w:rPr>
        <w:t>交付地点：</w:t>
      </w:r>
      <w:r>
        <w:rPr>
          <w:rFonts w:hint="eastAsia" w:asciiTheme="majorEastAsia" w:hAnsiTheme="majorEastAsia" w:eastAsiaTheme="majorEastAsia" w:cstheme="majorEastAsia"/>
          <w:sz w:val="24"/>
          <w:szCs w:val="24"/>
        </w:rPr>
        <w:t>北京市通州区</w:t>
      </w:r>
      <w:r>
        <w:rPr>
          <w:rFonts w:hint="eastAsia" w:asciiTheme="majorEastAsia" w:hAnsiTheme="majorEastAsia" w:eastAsiaTheme="majorEastAsia" w:cstheme="majorEastAsia"/>
          <w:sz w:val="24"/>
          <w:szCs w:val="24"/>
          <w:lang w:eastAsia="zh-CN"/>
        </w:rPr>
        <w:t>运河东大街</w:t>
      </w:r>
      <w:r>
        <w:rPr>
          <w:rFonts w:hint="eastAsia" w:asciiTheme="majorEastAsia" w:hAnsiTheme="majorEastAsia" w:eastAsiaTheme="majorEastAsia" w:cstheme="majorEastAsia"/>
          <w:sz w:val="24"/>
          <w:szCs w:val="24"/>
          <w:lang w:val="en-US" w:eastAsia="zh-CN"/>
        </w:rPr>
        <w:t>56</w:t>
      </w:r>
      <w:r>
        <w:rPr>
          <w:rFonts w:hint="eastAsia" w:asciiTheme="majorEastAsia" w:hAnsiTheme="majorEastAsia" w:eastAsiaTheme="majorEastAsia" w:cstheme="majorEastAsia"/>
          <w:sz w:val="24"/>
          <w:szCs w:val="24"/>
        </w:rPr>
        <w:t>号院</w:t>
      </w:r>
      <w:r>
        <w:rPr>
          <w:rFonts w:hint="eastAsia" w:asciiTheme="majorEastAsia" w:hAnsiTheme="majorEastAsia" w:eastAsiaTheme="majorEastAsia" w:cstheme="majorEastAsia"/>
          <w:sz w:val="24"/>
          <w:szCs w:val="24"/>
          <w:lang w:eastAsia="zh-CN"/>
        </w:rPr>
        <w:t>中国共产党北京市委员会组织部</w:t>
      </w:r>
      <w:r>
        <w:rPr>
          <w:rFonts w:hint="eastAsia" w:asciiTheme="majorEastAsia" w:hAnsiTheme="majorEastAsia" w:eastAsiaTheme="majorEastAsia" w:cstheme="majorEastAsia"/>
          <w:sz w:val="24"/>
          <w:szCs w:val="24"/>
        </w:rPr>
        <w:t>。</w:t>
      </w:r>
    </w:p>
    <w:p>
      <w:pPr>
        <w:ind w:firstLine="702" w:firstLineChars="300"/>
        <w:jc w:val="left"/>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spacing w:val="-3"/>
          <w:sz w:val="24"/>
          <w:szCs w:val="24"/>
          <w:lang w:eastAsia="zh-CN"/>
        </w:rPr>
        <w:t>交付</w:t>
      </w:r>
      <w:r>
        <w:rPr>
          <w:rFonts w:hint="eastAsia" w:asciiTheme="majorEastAsia" w:hAnsiTheme="majorEastAsia" w:eastAsiaTheme="majorEastAsia" w:cstheme="majorEastAsia"/>
          <w:sz w:val="24"/>
          <w:szCs w:val="24"/>
          <w:lang w:eastAsia="zh-CN"/>
        </w:rPr>
        <w:t>标准：</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部署适配交付</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服务器操作系统98套、桌面操作系统4套、数据库22套全部完成在政务云平台云主机实例上的部署实施，通过政务云平台的互联网、政务外网环境可正常登录访问。产品完整适配政务云平台镜像制作、快照、克隆、弹性扩缩容，执行上述云平台操作后，系统文件完整、服务运行正常，无文件损坏、服务异常、数据丢失现象；可正常挂载块存储、文件存储卷，操作系统识别挂载盘，数据库数据文件、归档日志、备份集存放于云存储卷。</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功能交付</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服务器操作系统实现多用户权限分级、防火墙、SSH远程管理、补丁批量升级、账号及操作审计、密码安全策略等全部要求功能，可稳定承载国产数据库、Tomcat、Nginx、Redis、消息队列等中间件组件的正常运行。桌面操作系统具备系统资源监控、进程端口管理、漏洞扫描加固、本地及云端双重备份、多任务并发能力；数据库客户端可正常远程连接数据库集群，可完成SQL查询、数据统计、表结构维护、慢查询分析、数据导出；支持SSH远程运维、远程桌面巡检；支持Word、Excel、PDF文档的打开、编辑、预览、导出，文档版式完整无错乱。数据库集群部署，主节点故障自动切换，切换过程数据零丢失；具备实例管理、表空间管理、全量/增量备份、SQL审计、传输与存储加密、敏感数据脱敏；协助完成MySQL、Oracle的迁移工具安装和调试，完成数据迁移后数据完整一致比对及相关支持工作。系统账号登录审计、操作审计日志留存完整，满足等保安全要求；完成主机安全加固，关闭高危端口与冗余服务；数据库审计日志不可随意篡改；密码复杂度、登录失败锁定等安全策略生效。</w:t>
      </w:r>
    </w:p>
    <w:p>
      <w:pPr>
        <w:ind w:firstLine="0" w:firstLineChars="0"/>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兼容性交付。</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服务器操作系统与国产数据库版本兼容无冲突；桌面操作系统可正常对接服务器操作系统及数据库集群，无闪退、报错、功能阉割；现有B/S业务系统页面交互正常，Redis、消息队列、Nginx、Tomcat组件协同运行无异常。</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测试验收判定：</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全部服务器操作系统、桌面操作系统和数据库的技术需求项通过相关测试；业务系统、网站访问正常，数据查询、备份恢复、迁移验证结果合格，即为交付完成。未达到以上任意一项交付标准，视为交付不合格，由中标人完成整改直至满足全部要求。</w:t>
      </w:r>
    </w:p>
    <w:p>
      <w:pPr>
        <w:ind w:firstLine="46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
          <w:sz w:val="24"/>
          <w:szCs w:val="24"/>
        </w:rPr>
        <w:t xml:space="preserve"> 1.</w:t>
      </w:r>
      <w:r>
        <w:rPr>
          <w:rFonts w:hint="eastAsia" w:asciiTheme="majorEastAsia" w:hAnsiTheme="majorEastAsia" w:eastAsiaTheme="majorEastAsia" w:cstheme="majorEastAsia"/>
          <w:spacing w:val="-3"/>
          <w:sz w:val="24"/>
          <w:szCs w:val="24"/>
          <w:lang w:val="en-US" w:eastAsia="zh-CN"/>
        </w:rPr>
        <w:t>5</w:t>
      </w:r>
      <w:r>
        <w:rPr>
          <w:rFonts w:hint="eastAsia" w:asciiTheme="majorEastAsia" w:hAnsiTheme="majorEastAsia" w:eastAsiaTheme="majorEastAsia" w:cstheme="majorEastAsia"/>
          <w:spacing w:val="-3"/>
          <w:sz w:val="24"/>
          <w:szCs w:val="24"/>
        </w:rPr>
        <w:t>.2 数据库适配技术支持服务要求</w:t>
      </w:r>
    </w:p>
    <w:p>
      <w:pPr>
        <w:ind w:firstLine="702" w:firstLineChars="300"/>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投标人须提供适配技术支持服务，服务提供方式不限于现场、邮件、电话、即时通讯工具等服务形式，包含但不限于数据库适配、数据迁移以及应用层适配的必须要技术支持服务。</w:t>
      </w:r>
    </w:p>
    <w:p>
      <w:pPr>
        <w:ind w:firstLine="461"/>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 xml:space="preserve"> 1.</w:t>
      </w:r>
      <w:r>
        <w:rPr>
          <w:rFonts w:hint="eastAsia" w:asciiTheme="majorEastAsia" w:hAnsiTheme="majorEastAsia" w:eastAsiaTheme="majorEastAsia" w:cstheme="majorEastAsia"/>
          <w:spacing w:val="-3"/>
          <w:sz w:val="24"/>
          <w:szCs w:val="24"/>
          <w:lang w:val="en-US" w:eastAsia="zh-CN"/>
        </w:rPr>
        <w:t>5</w:t>
      </w:r>
      <w:r>
        <w:rPr>
          <w:rFonts w:hint="eastAsia" w:asciiTheme="majorEastAsia" w:hAnsiTheme="majorEastAsia" w:eastAsiaTheme="majorEastAsia" w:cstheme="majorEastAsia"/>
          <w:spacing w:val="-3"/>
          <w:sz w:val="24"/>
          <w:szCs w:val="24"/>
        </w:rPr>
        <w:t>.3 服务要求</w:t>
      </w:r>
    </w:p>
    <w:p>
      <w:pPr>
        <w:ind w:firstLine="702" w:firstLineChars="300"/>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投标人须设立项目团队，负责集中式数据库现场响应工作，响应工作时间内需求及故障处置，同时执行操作系统、数据库的版本升级和漏洞整改。</w:t>
      </w:r>
    </w:p>
    <w:p>
      <w:pPr>
        <w:ind w:firstLine="702" w:firstLineChars="300"/>
        <w:rPr>
          <w:rFonts w:hint="eastAsia" w:asciiTheme="majorEastAsia" w:hAnsiTheme="majorEastAsia" w:eastAsiaTheme="majorEastAsia" w:cstheme="majorEastAsia"/>
          <w:spacing w:val="-3"/>
          <w:sz w:val="24"/>
          <w:szCs w:val="24"/>
          <w:lang w:eastAsia="zh-CN"/>
        </w:rPr>
      </w:pPr>
      <w:r>
        <w:rPr>
          <w:rFonts w:hint="eastAsia" w:asciiTheme="majorEastAsia" w:hAnsiTheme="majorEastAsia" w:eastAsiaTheme="majorEastAsia" w:cstheme="majorEastAsia"/>
          <w:spacing w:val="-3"/>
          <w:sz w:val="24"/>
          <w:szCs w:val="24"/>
        </w:rPr>
        <w:t>项目团队由一名项目经理、一名技术负责人及多名普通项目组成员组成，项目组所有人员均具备</w:t>
      </w:r>
      <w:r>
        <w:rPr>
          <w:rFonts w:hint="eastAsia" w:asciiTheme="majorEastAsia" w:hAnsiTheme="majorEastAsia" w:eastAsiaTheme="majorEastAsia" w:cstheme="majorEastAsia"/>
          <w:spacing w:val="-3"/>
          <w:sz w:val="24"/>
          <w:szCs w:val="24"/>
          <w:lang w:val="en-US" w:eastAsia="zh-CN"/>
        </w:rPr>
        <w:t>3</w:t>
      </w:r>
      <w:r>
        <w:rPr>
          <w:rFonts w:hint="eastAsia" w:asciiTheme="majorEastAsia" w:hAnsiTheme="majorEastAsia" w:eastAsiaTheme="majorEastAsia" w:cstheme="majorEastAsia"/>
          <w:spacing w:val="-3"/>
          <w:sz w:val="24"/>
          <w:szCs w:val="24"/>
        </w:rPr>
        <w:t xml:space="preserve"> 年（含）以上类似项目实施经验（投标时需提供全部成员名单和简历）</w:t>
      </w:r>
      <w:r>
        <w:rPr>
          <w:rFonts w:hint="eastAsia" w:asciiTheme="majorEastAsia" w:hAnsiTheme="majorEastAsia" w:eastAsiaTheme="majorEastAsia" w:cstheme="majorEastAsia"/>
          <w:spacing w:val="-3"/>
          <w:sz w:val="24"/>
          <w:szCs w:val="24"/>
          <w:lang w:eastAsia="zh-CN"/>
        </w:rPr>
        <w:t>。</w:t>
      </w:r>
    </w:p>
    <w:p>
      <w:pPr>
        <w:ind w:firstLine="461"/>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 xml:space="preserve"> 1.</w:t>
      </w:r>
      <w:r>
        <w:rPr>
          <w:rFonts w:hint="eastAsia" w:asciiTheme="majorEastAsia" w:hAnsiTheme="majorEastAsia" w:eastAsiaTheme="majorEastAsia" w:cstheme="majorEastAsia"/>
          <w:spacing w:val="-3"/>
          <w:sz w:val="24"/>
          <w:szCs w:val="24"/>
          <w:lang w:val="en-US" w:eastAsia="zh-CN"/>
        </w:rPr>
        <w:t>5</w:t>
      </w:r>
      <w:r>
        <w:rPr>
          <w:rFonts w:hint="eastAsia" w:asciiTheme="majorEastAsia" w:hAnsiTheme="majorEastAsia" w:eastAsiaTheme="majorEastAsia" w:cstheme="majorEastAsia"/>
          <w:spacing w:val="-3"/>
          <w:sz w:val="24"/>
          <w:szCs w:val="24"/>
        </w:rPr>
        <w:t>.4 付款条件</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合同签订后，</w:t>
      </w:r>
      <w:r>
        <w:rPr>
          <w:rFonts w:hint="eastAsia" w:asciiTheme="majorEastAsia" w:hAnsiTheme="majorEastAsia" w:eastAsiaTheme="majorEastAsia" w:cstheme="majorEastAsia"/>
          <w:sz w:val="24"/>
          <w:szCs w:val="24"/>
          <w:lang w:val="en-US" w:eastAsia="zh-CN"/>
        </w:rPr>
        <w:t>30个工作日内支付首款金额50%，业务系统适配完成且上线正常运行后支付尾款50%</w:t>
      </w:r>
      <w:r>
        <w:rPr>
          <w:rFonts w:hint="eastAsia" w:asciiTheme="majorEastAsia" w:hAnsiTheme="majorEastAsia" w:eastAsiaTheme="majorEastAsia" w:cstheme="majorEastAsia"/>
          <w:sz w:val="24"/>
          <w:szCs w:val="24"/>
        </w:rPr>
        <w:t>。</w:t>
      </w:r>
    </w:p>
    <w:p>
      <w:pPr>
        <w:ind w:firstLine="468"/>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1.</w:t>
      </w:r>
      <w:r>
        <w:rPr>
          <w:rFonts w:hint="eastAsia" w:asciiTheme="majorEastAsia" w:hAnsiTheme="majorEastAsia" w:eastAsiaTheme="majorEastAsia" w:cstheme="majorEastAsia"/>
          <w:spacing w:val="-3"/>
          <w:sz w:val="24"/>
          <w:szCs w:val="24"/>
          <w:lang w:val="en-US" w:eastAsia="zh-CN"/>
        </w:rPr>
        <w:t>5</w:t>
      </w:r>
      <w:r>
        <w:rPr>
          <w:rFonts w:hint="eastAsia" w:asciiTheme="majorEastAsia" w:hAnsiTheme="majorEastAsia" w:eastAsiaTheme="majorEastAsia" w:cstheme="majorEastAsia"/>
          <w:spacing w:val="-3"/>
          <w:sz w:val="24"/>
          <w:szCs w:val="24"/>
        </w:rPr>
        <w:t>.5 包装和运输</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包装和运输（须满足《关于印发〈商品包装政府采购需求标准（试行）〉、〈快递包装政府采购需求标准（试行）〉的通知》（财办库﹝2020﹞123号））</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中标人应保证提供的“合同货物”是全新、未经使用过的，并完全符合供货合同规定的质量、规格和性能的要求，同时确保提供的“合同货物”经正确安装、正常运转和保养在其使用寿命期内应具有国家相关技术标准规定的性能。在货物质量保证期之内，中标人应对由于设计、工艺或材料的缺陷而发生的任何不足或故障负责。</w:t>
      </w:r>
    </w:p>
    <w:p>
      <w:pPr>
        <w:ind w:firstLine="468"/>
        <w:rPr>
          <w:rFonts w:hint="eastAsia" w:asciiTheme="majorEastAsia" w:hAnsiTheme="majorEastAsia" w:eastAsiaTheme="majorEastAsia" w:cstheme="majorEastAsia"/>
          <w:spacing w:val="-3"/>
          <w:sz w:val="24"/>
          <w:szCs w:val="24"/>
        </w:rPr>
      </w:pPr>
      <w:r>
        <w:rPr>
          <w:rFonts w:hint="eastAsia" w:asciiTheme="majorEastAsia" w:hAnsiTheme="majorEastAsia" w:eastAsiaTheme="majorEastAsia" w:cstheme="majorEastAsia"/>
          <w:spacing w:val="-3"/>
          <w:sz w:val="24"/>
          <w:szCs w:val="24"/>
        </w:rPr>
        <w:t>1.</w:t>
      </w:r>
      <w:r>
        <w:rPr>
          <w:rFonts w:hint="eastAsia" w:asciiTheme="majorEastAsia" w:hAnsiTheme="majorEastAsia" w:eastAsiaTheme="majorEastAsia" w:cstheme="majorEastAsia"/>
          <w:spacing w:val="-3"/>
          <w:sz w:val="24"/>
          <w:szCs w:val="24"/>
          <w:lang w:val="en-US" w:eastAsia="zh-CN"/>
        </w:rPr>
        <w:t>5</w:t>
      </w:r>
      <w:r>
        <w:rPr>
          <w:rFonts w:hint="eastAsia" w:asciiTheme="majorEastAsia" w:hAnsiTheme="majorEastAsia" w:eastAsiaTheme="majorEastAsia" w:cstheme="majorEastAsia"/>
          <w:spacing w:val="-3"/>
          <w:sz w:val="24"/>
          <w:szCs w:val="24"/>
        </w:rPr>
        <w:t>.6 售后服务</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1、技术培训</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投标人应结合下列技术培训要求，制定详细的组织方案，并包括培训方式、授课人员、日程安排等，具体要求包括：</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（1）投标人应提供操作及维护培训，并结合本项目所列产品制定培训方案，安排至少 1 名技术人员对采购人提供安装操作及维护培训，并结合采购人需求开展讲解；全部费用包含在项目报价中；</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投标人在投标文件中需提供技术培训的详细计划。培训方式为现场培训（人数不限）；培训内容：软件产品的安装步骤、使用方法、注意事项以及运行条件等进行详细介绍，培训时间及地点由采购人根据运行需要灵活安排。</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rPr>
        <w:t>2、质量保证期</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（1）项目质保期为</w:t>
      </w:r>
      <w:r>
        <w:rPr>
          <w:rFonts w:hint="eastAsia" w:asciiTheme="majorEastAsia" w:hAnsiTheme="majorEastAsia" w:eastAsiaTheme="majorEastAsia" w:cstheme="majorEastAsia"/>
          <w:sz w:val="24"/>
          <w:szCs w:val="24"/>
          <w:lang w:eastAsia="zh-CN"/>
        </w:rPr>
        <w:t>一</w:t>
      </w:r>
      <w:r>
        <w:rPr>
          <w:rFonts w:hint="eastAsia" w:asciiTheme="majorEastAsia" w:hAnsiTheme="majorEastAsia" w:eastAsiaTheme="majorEastAsia" w:cstheme="majorEastAsia"/>
          <w:sz w:val="24"/>
          <w:szCs w:val="24"/>
        </w:rPr>
        <w:t>年，时间从自项目整体终验合格之日起算。</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（2）自项目整体终验通过之日起，提供为期</w:t>
      </w:r>
      <w:r>
        <w:rPr>
          <w:rFonts w:hint="eastAsia" w:asciiTheme="majorEastAsia" w:hAnsiTheme="majorEastAsia" w:eastAsiaTheme="majorEastAsia" w:cstheme="majorEastAsia"/>
          <w:sz w:val="24"/>
          <w:szCs w:val="24"/>
          <w:lang w:eastAsia="zh-CN"/>
        </w:rPr>
        <w:t>一</w:t>
      </w:r>
      <w:r>
        <w:rPr>
          <w:rFonts w:hint="eastAsia" w:asciiTheme="majorEastAsia" w:hAnsiTheme="majorEastAsia" w:eastAsiaTheme="majorEastAsia" w:cstheme="majorEastAsia"/>
          <w:sz w:val="24"/>
          <w:szCs w:val="24"/>
        </w:rPr>
        <w:t>年的无偿升级服务。</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3、质量保证责任</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投标人应保证：</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（1）所提供的产品为全新的、质量高的、并满足技术指标要求；</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（2）质保期内，按照采购人要求负责项目整体运维工作，包括对软件产品的调整、更新和升级。</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4、故障响应</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（1）发生故障时，提供 24 小时技术人员现场服务，及时排查故障原因，并组织技术力量及时解决故障。</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为保障系统的平稳运行与快速响应，为满足系统稳定运行，为各系统提供必要的技术支撑，中标人需组建质保期技术团队，通过线上线下形式提供良好的服务。根据现场情况及采购人要求，需要无条件增加技术力量协助解决系统出现的故障，提供业务保障。</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5</w:t>
      </w:r>
      <w:r>
        <w:rPr>
          <w:rFonts w:hint="eastAsia" w:asciiTheme="majorEastAsia" w:hAnsiTheme="majorEastAsia" w:eastAsiaTheme="majorEastAsia" w:cstheme="majorEastAsia"/>
          <w:sz w:val="24"/>
          <w:szCs w:val="24"/>
        </w:rPr>
        <w:t>、售后服务体系</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投标人应制定详细的售后服务方案，具体内容包括：</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（1）建立售后服务体系，明确服务于本合同项目的售后服务机构、专业技术人员、售后服务联系方式，技术支持和售后服务的方式包括电话支持、远程网络支持、现场支持等多种组织形式：</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1）电话和远程网络支持：对于产品过程中产生的非故障类问题，设有专门的售后服务电话提供电话咨询服务，专业人员接听并及时做好反馈记录，并及时提供解决问题的方法；</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2）现场支持：如果不能通过电话支持服务解决产品发生的技术故障，经双方商议确认需要进行现场支持的情况下，投标人应在 24 小时之内安排相关专业人员到指定地点进行及时指导。</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（2）定期派专业人员到业主处查看产品使用效果；质量保证期内所涉及费 用均包含在投标报价中；提供质量保证期满后的售后服务内容以及费用收取标准。</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（3）其他售后服务：</w:t>
      </w:r>
    </w:p>
    <w:p>
      <w:pPr>
        <w:widowControl/>
        <w:shd w:val="clear" w:color="auto" w:fill="FFFFFF"/>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项目完成后，中标人应提供后续项目绩效考核、相关检查配合工作,所涉及费用均包含在投标报价中。</w:t>
      </w:r>
    </w:p>
    <w:p>
      <w:pPr>
        <w:rPr>
          <w:rFonts w:hint="eastAsia" w:asciiTheme="majorEastAsia" w:hAnsiTheme="majorEastAsia" w:eastAsiaTheme="majorEastAsia" w:cstheme="majorEastAsia"/>
          <w:sz w:val="24"/>
          <w:szCs w:val="24"/>
        </w:rPr>
      </w:pPr>
    </w:p>
    <w:p>
      <w:pPr>
        <w:spacing w:before="129"/>
        <w:ind w:left="120"/>
        <w:rPr>
          <w:rFonts w:hint="eastAsia" w:asciiTheme="majorEastAsia" w:hAnsiTheme="majorEastAsia" w:eastAsiaTheme="majorEastAsia" w:cstheme="majorEastAsia"/>
          <w:b w:val="0"/>
          <w:sz w:val="24"/>
          <w:szCs w:val="24"/>
        </w:rPr>
      </w:pPr>
      <w:r>
        <w:rPr>
          <w:rFonts w:hint="eastAsia" w:asciiTheme="majorEastAsia" w:hAnsiTheme="majorEastAsia" w:eastAsiaTheme="majorEastAsia" w:cstheme="majorEastAsia"/>
          <w:w w:val="105"/>
          <w:sz w:val="24"/>
          <w:szCs w:val="24"/>
        </w:rPr>
        <w:t>1.4.</w:t>
      </w:r>
      <w:r>
        <w:rPr>
          <w:rFonts w:hint="eastAsia" w:asciiTheme="majorEastAsia" w:hAnsiTheme="majorEastAsia" w:eastAsiaTheme="majorEastAsia" w:cstheme="majorEastAsia"/>
          <w:spacing w:val="-17"/>
          <w:w w:val="105"/>
          <w:sz w:val="24"/>
          <w:szCs w:val="24"/>
        </w:rPr>
        <w:t xml:space="preserve"> </w:t>
      </w:r>
      <w:r>
        <w:rPr>
          <w:rFonts w:hint="eastAsia" w:asciiTheme="majorEastAsia" w:hAnsiTheme="majorEastAsia" w:eastAsiaTheme="majorEastAsia" w:cstheme="majorEastAsia"/>
          <w:w w:val="105"/>
          <w:sz w:val="24"/>
          <w:szCs w:val="24"/>
        </w:rPr>
        <w:t>技术参数</w:t>
      </w:r>
    </w:p>
    <w:p>
      <w:pPr>
        <w:spacing w:before="79"/>
        <w:ind w:left="6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pacing w:val="-3"/>
          <w:sz w:val="24"/>
          <w:szCs w:val="24"/>
        </w:rPr>
        <w:t>★代表实质性指标，不允许负偏离，不满足该指标项将导致响应被拒绝；对</w:t>
      </w:r>
    </w:p>
    <w:p>
      <w:pPr>
        <w:spacing w:before="154"/>
        <w:ind w:left="12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于招标文件中的“★”号条款，投标人需在投标文件中逐条响应。</w:t>
      </w:r>
    </w:p>
    <w:p>
      <w:pPr>
        <w:spacing w:line="375" w:lineRule="exact"/>
        <w:ind w:left="120"/>
        <w:rPr>
          <w:rFonts w:hint="eastAsia" w:asciiTheme="majorEastAsia" w:hAnsiTheme="majorEastAsia" w:eastAsiaTheme="majorEastAsia" w:cstheme="majorEastAsia"/>
          <w:b w:val="0"/>
          <w:sz w:val="24"/>
          <w:szCs w:val="24"/>
        </w:rPr>
      </w:pPr>
      <w:bookmarkStart w:id="1" w:name="1.4.2._集中式数据库通用参数"/>
      <w:bookmarkEnd w:id="1"/>
      <w:r>
        <w:rPr>
          <w:rFonts w:hint="eastAsia" w:asciiTheme="majorEastAsia" w:hAnsiTheme="majorEastAsia" w:eastAsiaTheme="majorEastAsia" w:cstheme="majorEastAsia"/>
          <w:sz w:val="24"/>
          <w:szCs w:val="24"/>
        </w:rPr>
        <w:t xml:space="preserve">1.4.2. </w:t>
      </w:r>
      <w:r>
        <w:rPr>
          <w:rFonts w:hint="eastAsia" w:asciiTheme="majorEastAsia" w:hAnsiTheme="majorEastAsia" w:eastAsiaTheme="majorEastAsia" w:cstheme="majorEastAsia"/>
          <w:spacing w:val="44"/>
          <w:sz w:val="24"/>
          <w:szCs w:val="24"/>
        </w:rPr>
        <w:t xml:space="preserve"> </w:t>
      </w:r>
      <w:r>
        <w:rPr>
          <w:rFonts w:hint="eastAsia" w:asciiTheme="majorEastAsia" w:hAnsiTheme="majorEastAsia" w:eastAsiaTheme="majorEastAsia" w:cstheme="majorEastAsia"/>
          <w:sz w:val="24"/>
          <w:szCs w:val="24"/>
          <w:u w:val="single" w:color="000000"/>
        </w:rPr>
        <w:t>集中式数据库通用参数</w:t>
      </w:r>
    </w:p>
    <w:p>
      <w:pPr>
        <w:spacing w:before="2"/>
        <w:rPr>
          <w:rFonts w:hint="eastAsia" w:asciiTheme="majorEastAsia" w:hAnsiTheme="majorEastAsia" w:eastAsiaTheme="majorEastAsia" w:cstheme="majorEastAsia"/>
          <w:b/>
          <w:bCs/>
          <w:sz w:val="24"/>
          <w:szCs w:val="24"/>
        </w:rPr>
      </w:pPr>
    </w:p>
    <w:p>
      <w:pPr>
        <w:spacing w:before="26" w:line="338" w:lineRule="auto"/>
        <w:ind w:left="120" w:right="213" w:firstLine="48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★投标人承诺所投集中式数据库满足《数据库政府采购需求标准（2023年版）》（财库〔2023〕35号），文件中“集中式数据库政府采购需求标准”的</w:t>
      </w:r>
      <w:r>
        <w:rPr>
          <w:rFonts w:hint="eastAsia" w:asciiTheme="majorEastAsia" w:hAnsiTheme="majorEastAsia" w:eastAsiaTheme="majorEastAsia" w:cstheme="majorEastAsia"/>
          <w:spacing w:val="-56"/>
          <w:sz w:val="24"/>
          <w:szCs w:val="24"/>
        </w:rPr>
        <w:t xml:space="preserve"> </w:t>
      </w:r>
      <w:r>
        <w:rPr>
          <w:rFonts w:hint="eastAsia" w:asciiTheme="majorEastAsia" w:hAnsiTheme="majorEastAsia" w:eastAsiaTheme="majorEastAsia" w:cstheme="majorEastAsia"/>
          <w:sz w:val="24"/>
          <w:szCs w:val="24"/>
        </w:rPr>
        <w:t>全部要求，</w:t>
      </w:r>
      <w:r>
        <w:rPr>
          <w:rFonts w:hint="eastAsia" w:asciiTheme="majorEastAsia" w:hAnsiTheme="majorEastAsia" w:eastAsiaTheme="majorEastAsia" w:cstheme="majorEastAsia"/>
          <w:b/>
          <w:bCs/>
          <w:sz w:val="24"/>
          <w:szCs w:val="24"/>
        </w:rPr>
        <w:t>提供加盖投标人公章的承诺函（格式自拟），否则作无效投标处理。</w:t>
      </w:r>
    </w:p>
    <w:tbl>
      <w:tblPr>
        <w:tblStyle w:val="52"/>
        <w:tblW w:w="8306" w:type="dxa"/>
        <w:jc w:val="center"/>
        <w:tblInd w:w="-5" w:type="dxa"/>
        <w:tblLayout w:type="fixed"/>
        <w:tblCellMar>
          <w:top w:w="0" w:type="dxa"/>
          <w:left w:w="0" w:type="dxa"/>
          <w:bottom w:w="0" w:type="dxa"/>
          <w:right w:w="0" w:type="dxa"/>
        </w:tblCellMar>
      </w:tblPr>
      <w:tblGrid>
        <w:gridCol w:w="596"/>
        <w:gridCol w:w="683"/>
        <w:gridCol w:w="1012"/>
        <w:gridCol w:w="781"/>
        <w:gridCol w:w="3160"/>
        <w:gridCol w:w="2074"/>
      </w:tblGrid>
      <w:tr>
        <w:tblPrEx>
          <w:tblLayout w:type="fixed"/>
          <w:tblCellMar>
            <w:top w:w="0" w:type="dxa"/>
            <w:left w:w="0" w:type="dxa"/>
            <w:bottom w:w="0" w:type="dxa"/>
            <w:right w:w="0" w:type="dxa"/>
          </w:tblCellMar>
        </w:tblPrEx>
        <w:trPr>
          <w:cantSplit/>
          <w:trHeight w:val="490" w:hRule="atLeast"/>
          <w:tblHeader/>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jc w:val="center"/>
              <w:rPr>
                <w:rFonts w:hint="eastAsia" w:asciiTheme="majorEastAsia" w:hAnsiTheme="majorEastAsia" w:eastAsiaTheme="majorEastAsia" w:cstheme="majorEastAsia"/>
                <w:b/>
                <w:bCs/>
                <w:kern w:val="2"/>
                <w:sz w:val="24"/>
                <w:szCs w:val="24"/>
                <w:lang w:eastAsia="zh-CN"/>
              </w:rPr>
            </w:pPr>
            <w:r>
              <w:rPr>
                <w:rFonts w:hint="eastAsia" w:asciiTheme="majorEastAsia" w:hAnsiTheme="majorEastAsia" w:eastAsiaTheme="majorEastAsia" w:cstheme="majorEastAsia"/>
                <w:b/>
                <w:bCs/>
                <w:kern w:val="2"/>
                <w:sz w:val="24"/>
                <w:szCs w:val="24"/>
                <w:lang w:eastAsia="zh-CN"/>
              </w:rPr>
              <w:t>序号</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jc w:val="center"/>
              <w:rPr>
                <w:rFonts w:hint="eastAsia" w:asciiTheme="majorEastAsia" w:hAnsiTheme="majorEastAsia" w:eastAsiaTheme="majorEastAsia" w:cstheme="majorEastAsia"/>
                <w:b/>
                <w:bCs/>
                <w:kern w:val="2"/>
                <w:sz w:val="24"/>
                <w:szCs w:val="24"/>
                <w:lang w:eastAsia="zh-CN"/>
              </w:rPr>
            </w:pPr>
            <w:r>
              <w:rPr>
                <w:rFonts w:hint="eastAsia" w:asciiTheme="majorEastAsia" w:hAnsiTheme="majorEastAsia" w:eastAsiaTheme="majorEastAsia" w:cstheme="majorEastAsia"/>
                <w:b/>
                <w:bCs/>
                <w:kern w:val="2"/>
                <w:sz w:val="24"/>
                <w:szCs w:val="24"/>
                <w:lang w:eastAsia="zh-CN"/>
              </w:rPr>
              <w:t>指标 分类</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jc w:val="center"/>
              <w:rPr>
                <w:rFonts w:hint="eastAsia" w:asciiTheme="majorEastAsia" w:hAnsiTheme="majorEastAsia" w:eastAsiaTheme="majorEastAsia" w:cstheme="majorEastAsia"/>
                <w:b/>
                <w:bCs/>
                <w:kern w:val="2"/>
                <w:sz w:val="24"/>
                <w:szCs w:val="24"/>
                <w:lang w:eastAsia="zh-CN"/>
              </w:rPr>
            </w:pPr>
            <w:r>
              <w:rPr>
                <w:rFonts w:hint="eastAsia" w:asciiTheme="majorEastAsia" w:hAnsiTheme="majorEastAsia" w:eastAsiaTheme="majorEastAsia" w:cstheme="majorEastAsia"/>
                <w:b/>
                <w:bCs/>
                <w:kern w:val="2"/>
                <w:sz w:val="24"/>
                <w:szCs w:val="24"/>
                <w:lang w:eastAsia="zh-CN"/>
              </w:rPr>
              <w:t>指标</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jc w:val="center"/>
              <w:rPr>
                <w:rFonts w:hint="eastAsia" w:asciiTheme="majorEastAsia" w:hAnsiTheme="majorEastAsia" w:eastAsiaTheme="majorEastAsia" w:cstheme="majorEastAsia"/>
                <w:b/>
                <w:bCs/>
                <w:kern w:val="2"/>
                <w:sz w:val="24"/>
                <w:szCs w:val="24"/>
                <w:lang w:eastAsia="zh-CN"/>
              </w:rPr>
            </w:pPr>
            <w:r>
              <w:rPr>
                <w:rFonts w:hint="eastAsia" w:asciiTheme="majorEastAsia" w:hAnsiTheme="majorEastAsia" w:eastAsiaTheme="majorEastAsia" w:cstheme="majorEastAsia"/>
                <w:b/>
                <w:bCs/>
                <w:kern w:val="2"/>
                <w:sz w:val="24"/>
                <w:szCs w:val="24"/>
                <w:lang w:eastAsia="zh-CN"/>
              </w:rPr>
              <w:t>是否可以作为 评分因素</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jc w:val="center"/>
              <w:rPr>
                <w:rFonts w:hint="eastAsia" w:asciiTheme="majorEastAsia" w:hAnsiTheme="majorEastAsia" w:eastAsiaTheme="majorEastAsia" w:cstheme="majorEastAsia"/>
                <w:b/>
                <w:bCs/>
                <w:kern w:val="2"/>
                <w:sz w:val="24"/>
                <w:szCs w:val="24"/>
                <w:lang w:eastAsia="zh-CN"/>
              </w:rPr>
            </w:pPr>
            <w:r>
              <w:rPr>
                <w:rFonts w:hint="eastAsia" w:asciiTheme="majorEastAsia" w:hAnsiTheme="majorEastAsia" w:eastAsiaTheme="majorEastAsia" w:cstheme="majorEastAsia"/>
                <w:b/>
                <w:bCs/>
                <w:kern w:val="2"/>
                <w:sz w:val="24"/>
                <w:szCs w:val="24"/>
                <w:lang w:eastAsia="zh-CN"/>
              </w:rPr>
              <w:t>指标要求</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jc w:val="center"/>
              <w:rPr>
                <w:rFonts w:hint="eastAsia" w:asciiTheme="majorEastAsia" w:hAnsiTheme="majorEastAsia" w:eastAsiaTheme="majorEastAsia" w:cstheme="majorEastAsia"/>
                <w:b/>
                <w:bCs/>
                <w:kern w:val="2"/>
                <w:sz w:val="24"/>
                <w:szCs w:val="24"/>
                <w:lang w:eastAsia="zh-CN"/>
              </w:rPr>
            </w:pPr>
            <w:r>
              <w:rPr>
                <w:rFonts w:hint="eastAsia" w:asciiTheme="majorEastAsia" w:hAnsiTheme="majorEastAsia" w:eastAsiaTheme="majorEastAsia" w:cstheme="majorEastAsia"/>
                <w:b/>
                <w:bCs/>
                <w:kern w:val="2"/>
                <w:sz w:val="24"/>
                <w:szCs w:val="24"/>
                <w:lang w:eastAsia="zh-CN"/>
              </w:rPr>
              <w:t>指标使用说明</w:t>
            </w:r>
          </w:p>
        </w:tc>
      </w:tr>
      <w:tr>
        <w:tblPrEx>
          <w:tblLayout w:type="fixed"/>
          <w:tblCellMar>
            <w:top w:w="0" w:type="dxa"/>
            <w:left w:w="0" w:type="dxa"/>
            <w:bottom w:w="0" w:type="dxa"/>
            <w:right w:w="0" w:type="dxa"/>
          </w:tblCellMar>
        </w:tblPrEx>
        <w:trPr>
          <w:cantSplit/>
          <w:trHeight w:val="145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宋体" w:hAnsi="宋体" w:eastAsia="宋体" w:cs="宋体"/>
                <w:kern w:val="2"/>
                <w:sz w:val="24"/>
                <w:szCs w:val="24"/>
                <w:lang w:eastAsia="zh-CN"/>
              </w:rPr>
              <w:t>★</w:t>
            </w:r>
            <w:r>
              <w:rPr>
                <w:rFonts w:hint="eastAsia" w:asciiTheme="majorEastAsia" w:hAnsiTheme="majorEastAsia" w:eastAsiaTheme="majorEastAsia" w:cstheme="majorEastAsia"/>
                <w:kern w:val="2"/>
                <w:sz w:val="24"/>
                <w:szCs w:val="24"/>
                <w:lang w:eastAsia="zh-CN"/>
              </w:rPr>
              <w:t>数据库安 装</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支持命令行或图形化的安装；</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支持命令行或图形化的可配置安装 能力；</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依据安装环境提供相应的初始化参 数配置值；</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提供图形化软件组件管理向导工具</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★数据库重 启</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支持命令行或图形化的方式关闭和 启动服务；</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关闭服务后，再启动服务，服务正 常</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121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★安装配置 日志</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提供软件安装的日志记录功能； b) 记录的软件安装信息完整正确； c) 提供安装配置操作的日志记录功 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记录的配置操作信息完整正确</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记录配置过程，便于审计和排 查安装过程的问题</w:t>
            </w:r>
          </w:p>
        </w:tc>
      </w:tr>
      <w:tr>
        <w:tblPrEx>
          <w:tblLayout w:type="fixed"/>
          <w:tblCellMar>
            <w:top w:w="0" w:type="dxa"/>
            <w:left w:w="0" w:type="dxa"/>
            <w:bottom w:w="0" w:type="dxa"/>
            <w:right w:w="0" w:type="dxa"/>
          </w:tblCellMar>
        </w:tblPrEx>
        <w:trPr>
          <w:cantSplit/>
          <w:trHeight w:val="121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★升级维护</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支持版本升级，保证版本间功能和 数据的兼容性；</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厂商提供当前版本与历史版本的差 异说明文档，包含新版本对软件和硬件 的支持情况</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安装和升级 的兼容性</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是</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支持在不同 CPU 架构的节点上安装配 置、升级，且安装配置、升级数据库的 命令行或图形界面相同或相似</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产品针对不同硬件环境减少使 用界面的差异，此项提高易用 性</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节点部署</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支持节点安装配置；</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支持通过单一节点发起并将数据库 部署在多个节点上</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从单一节点部署集群，简化交 付流程，此项提高易用性</w:t>
            </w:r>
          </w:p>
        </w:tc>
      </w:tr>
      <w:tr>
        <w:tblPrEx>
          <w:tblLayout w:type="fixed"/>
          <w:tblCellMar>
            <w:top w:w="0" w:type="dxa"/>
            <w:left w:w="0" w:type="dxa"/>
            <w:bottom w:w="0" w:type="dxa"/>
            <w:right w:w="0" w:type="dxa"/>
          </w:tblCellMar>
        </w:tblPrEx>
        <w:trPr>
          <w:cantSplit/>
          <w:trHeight w:val="16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★参数配置</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依据工作负载和运行环境，提供配 置参数修改的能力</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修改数据库配置参数后，配置参数 立即生效或数据库重新启动生效，立即 生效的配置参数和需要数据库重新启 动方可生效的配置参数在相关文档中 明确</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16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存储配置</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提供数据库级物理存储位置、逻辑 存储参数配置功能；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在数据库初始化阶段，提供数据库 物理读写块大小的配置功能；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提供数据库存储对象空间使用参数 的配置功能；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提供索引数据存储参数管理功能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根据不同场景调整存储配置， 避免存储空间不足，此项提高 易用性和性能</w:t>
            </w:r>
          </w:p>
        </w:tc>
      </w:tr>
      <w:tr>
        <w:tblPrEx>
          <w:tblLayout w:type="fixed"/>
          <w:tblCellMar>
            <w:top w:w="0" w:type="dxa"/>
            <w:left w:w="0" w:type="dxa"/>
            <w:bottom w:w="0" w:type="dxa"/>
            <w:right w:w="0" w:type="dxa"/>
          </w:tblCellMar>
        </w:tblPrEx>
        <w:trPr>
          <w:cantSplit/>
          <w:trHeight w:val="121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内存配置</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提供数据库内存规划和配置建议； b) 依据物理内存规划数据库可用内 存；</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依据可用内存或负载情况，自动设 置或向用户建议不同数据缓存区大小</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根据不同场景调整内存配置， 避免内存不足，此项提高易用 性和性能</w:t>
            </w:r>
          </w:p>
        </w:tc>
      </w:tr>
      <w:tr>
        <w:tblPrEx>
          <w:tblLayout w:type="fixed"/>
          <w:tblCellMar>
            <w:top w:w="0" w:type="dxa"/>
            <w:left w:w="0" w:type="dxa"/>
            <w:bottom w:w="0" w:type="dxa"/>
            <w:right w:w="0" w:type="dxa"/>
          </w:tblCellMar>
        </w:tblPrEx>
        <w:trPr>
          <w:cantSplit/>
          <w:trHeight w:val="16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★基础数据 类型</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支持数值类型； b) 支持字符类型；</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支持二进制类型；</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支持日期和时间类型； e) 支持布尔类型；</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 支持（大）文本类型； g) 支持大对象类型</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b w:val="0"/>
                <w:bCs w:val="0"/>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扩展数据类 型</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支持间隔、XML、JSON 等数据类型</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存储半结构化数据和业务涉及 处理 XML 或 Json 等数据类型 时，需要支持此项</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自定义数据 类型</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具备用户自定义数据类型的能力，可支 持不同应用场景的数据类型需求</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特殊的应用场景中需存储处理 特殊数据时，需要支持此项</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★数据存储 基础功能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支持基础数据类型</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14</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数据存储增 强功能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支持扩展数据类型； b) 支持自定义数据类型</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针对不同场景，此项提高易用 性</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★数据检索 基础功能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支持基础数据类型</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数据检索增 强功能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支持扩展数据类型；</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支持自定义数据类型；</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支持中文检索功能，如使用中国纪 年历法进行检索</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针对不同场景，此项提高易用 性</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★核心 SQL 能 力</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支持左外连接； b) 支持右外连接； c) 支持内连接；</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支持全连接</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提供给用户对存储的数据进行 方便的查询、分析、检索能力</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★字符集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中文字符集符合 GB 18030 的要求</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用于数据库的字符型配置</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★常用操作 符</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支持逻辑操作符及相关运算； b) 支持比较操作符及相关运算； c) 支持算术运算符及相关运算</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对数据库中各种对象允许执行 的操作及相应的操作规则</w:t>
            </w:r>
          </w:p>
        </w:tc>
      </w:tr>
      <w:tr>
        <w:tblPrEx>
          <w:tblLayout w:type="fixed"/>
          <w:tblCellMar>
            <w:top w:w="0" w:type="dxa"/>
            <w:left w:w="0" w:type="dxa"/>
            <w:bottom w:w="0" w:type="dxa"/>
            <w:right w:w="0" w:type="dxa"/>
          </w:tblCellMar>
        </w:tblPrEx>
        <w:trPr>
          <w:cantSplit/>
          <w:trHeight w:val="21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★条件表达 式</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支持对比条件表达式； b) 支持逻辑条件表达式； c) 支持空值条件表达式； d) 支持等于条件表达式；</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支持模式匹配条件表达式； f) 支持区间条件表达式；</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g) 支持 IN 条件表达式； h) 支持存在条件表达式；</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i) 支持以上条件表达式的复合表达式</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 SQL 语句来执行相关条件 操作</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★SQL 执行计 划</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 SQL 计划，使 SQL 按照指定的语句 执行，并实现预期结果</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SQL 按照指定的语句执行</w:t>
            </w:r>
          </w:p>
        </w:tc>
      </w:tr>
      <w:tr>
        <w:tblPrEx>
          <w:tblLayout w:type="fixed"/>
          <w:tblCellMar>
            <w:top w:w="0" w:type="dxa"/>
            <w:left w:w="0" w:type="dxa"/>
            <w:bottom w:w="0" w:type="dxa"/>
            <w:right w:w="0" w:type="dxa"/>
          </w:tblCellMar>
        </w:tblPrEx>
        <w:trPr>
          <w:cantSplit/>
          <w:trHeight w:val="31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★基础对象 类型</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支持用户的创建、删除、修改； b) 支持角色的创建、删除、修改；</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支持存储过程的创建、删除、修改； d) 支持表操作功能；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支持自增序列；</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 支持主键约束、外键约束、唯一性 约束、检查约束和联合主键约束；</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g) 支持游标功能；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h) 支持视图的创建、删除、修改；</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i) 支持数值计算函数、字符处理函数、 日期时间值函数、间隔函数、类型转换 函数、位运算函数、聚合函数、格式化、 系统信息等常用函数</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19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扩展对象类 型</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支持包的创建、删除、修改；</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支持触发器的创建、删除、修改； c) 支持外部链接的创建、删除，并可 以通过外部链接进行外部访问；</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支持作业的创建、删除、修改； e) 支持全局唯一的自增序列；</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 支持创建函数索引； g) 支持定义同义词</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涉及不同场景要求不同的情况 对于数据库对象的支持，此项 提高易用性</w:t>
            </w:r>
          </w:p>
        </w:tc>
      </w:tr>
      <w:tr>
        <w:tblPrEx>
          <w:tblLayout w:type="fixed"/>
          <w:tblCellMar>
            <w:top w:w="0" w:type="dxa"/>
            <w:left w:w="0" w:type="dxa"/>
            <w:bottom w:w="0" w:type="dxa"/>
            <w:right w:w="0" w:type="dxa"/>
          </w:tblCellMar>
        </w:tblPrEx>
        <w:trPr>
          <w:cantSplit/>
          <w:trHeight w:val="32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24</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★基础表分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哈希分区方式；</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将数据按一定逻辑规则切分</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区管理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范围分区方式； c) 列表分区方式</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扩展表分区 管理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支持数据库表分区及二级分区能 力；</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支持建立分区索引</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根据不同维度划分数据，此项 提高性能</w:t>
            </w:r>
          </w:p>
        </w:tc>
      </w:tr>
      <w:tr>
        <w:tblPrEx>
          <w:tblLayout w:type="fixed"/>
          <w:tblCellMar>
            <w:top w:w="0" w:type="dxa"/>
            <w:left w:w="0" w:type="dxa"/>
            <w:bottom w:w="0" w:type="dxa"/>
            <w:right w:w="0" w:type="dxa"/>
          </w:tblCellMar>
        </w:tblPrEx>
        <w:trPr>
          <w:cantSplit/>
          <w:trHeight w:val="16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查看对象</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支持查看数据库信息； b) 支持查看表对象信息；</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支持查看索引对象信息； d) 支持查看字段对象信息； e）支持查看约束对象信息；</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f）支持查看数据库实例信息； g）支持查看表空间信息</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对于数据库信息的查询，便于 使用和维护，此项提高易用性</w:t>
            </w:r>
          </w:p>
        </w:tc>
      </w:tr>
      <w:tr>
        <w:tblPrEx>
          <w:tblLayout w:type="fixed"/>
          <w:tblCellMar>
            <w:top w:w="0" w:type="dxa"/>
            <w:left w:w="0" w:type="dxa"/>
            <w:bottom w:w="0" w:type="dxa"/>
            <w:right w:w="0" w:type="dxa"/>
          </w:tblCellMar>
        </w:tblPrEx>
        <w:trPr>
          <w:cantSplit/>
          <w:trHeight w:val="16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查看日志、 系统信息</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支持查看日志文件的能力； b）厂商提供查看实例数据缓存的视图 或图形化管理工具； c）厂商提供查看日志缓存的视图或图 形化管理工具； d）厂商提供查看数据字典的视图或图 形化管理工具</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对于日志、系统信息等关键信 息的查看，此项有助于提高安 全性</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★对象变更</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a)支持数据库的创建、删除、更新以及 数据库属性的查询； b)支持在线变更表结构、索引； c)支持数据的增加、删除、修改和查询</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481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查看会话系 统表/视图</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提供查看会话标识的视图或图形化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提供查看进程/线程标识的视图或 图形化管理工具；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提供查看用户标识的视图或图形化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提供查看最近的用户请求命令的视 图或图形化管理工具；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提供查看缺省模式的视图或图形化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 提供查看登录时间/会话状态的视 图或图形化管理工具；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g) 提供查看会话状态的视图或图形化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h) 提供查看等待会话的锁信息的视图 或图形化管理工具；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i) 提供查看等待时间统计信息的视图 或图形化管理工具；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j) 提供查看使用时间统计信息的视图 或图形化管理工具</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查看数据库运行信息，便于使 用和优化，此项提高易用性和 性能</w:t>
            </w:r>
          </w:p>
        </w:tc>
      </w:tr>
      <w:tr>
        <w:tblPrEx>
          <w:tblLayout w:type="fixed"/>
          <w:tblCellMar>
            <w:top w:w="0" w:type="dxa"/>
            <w:left w:w="0" w:type="dxa"/>
            <w:bottom w:w="0" w:type="dxa"/>
            <w:right w:w="0" w:type="dxa"/>
          </w:tblCellMar>
        </w:tblPrEx>
        <w:trPr>
          <w:cantSplit/>
          <w:trHeight w:val="241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查看监控连 接系统表/ 视图</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提供查看连接标识的视图或图形化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提供查看连接状态的视图或图形化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提供查看连接用户的视图或图形化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提供查看连接类型的视图或图形化 管理工具；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提供查看当前事务信息的视图或图 形化管理工具</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查看数据库运行信息，便于使 用和优化，此项提高易用性和 性能</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异构数据库 联机访问</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提供异构数据库数据联机访问功能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使用不同接口，访问异构数据 库，此项提高易用性</w:t>
            </w:r>
          </w:p>
        </w:tc>
      </w:tr>
      <w:tr>
        <w:tblPrEx>
          <w:tblLayout w:type="fixed"/>
          <w:tblCellMar>
            <w:top w:w="0" w:type="dxa"/>
            <w:left w:w="0" w:type="dxa"/>
            <w:bottom w:w="0" w:type="dxa"/>
            <w:right w:w="0" w:type="dxa"/>
          </w:tblCellMar>
        </w:tblPrEx>
        <w:trPr>
          <w:cantSplit/>
          <w:trHeight w:val="968"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完整性管理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支持验证表存储完整性；</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支持验证索引存储完整性；</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支持验证数据库存储结构完整性； d) 支持查看视图定义完整性；</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针对不同场景，要求不同数据 对象存储完整，此项有助于提 高易用性、安全性和高可用能 力</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支持查看存储过程/函数定义完整 性</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★事务基础 特性</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支持事务的 ACID</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事务型数据库必须支持 ACID</w:t>
            </w:r>
          </w:p>
        </w:tc>
      </w:tr>
      <w:tr>
        <w:tblPrEx>
          <w:tblLayout w:type="fixed"/>
          <w:tblCellMar>
            <w:top w:w="0" w:type="dxa"/>
            <w:left w:w="0" w:type="dxa"/>
            <w:bottom w:w="0" w:type="dxa"/>
            <w:right w:w="0" w:type="dxa"/>
          </w:tblCellMar>
        </w:tblPrEx>
        <w:trPr>
          <w:cantSplit/>
          <w:trHeight w:val="121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34</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★死锁检测 与处理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在并发执行过程中，能检测到死锁； b) 提供解决全局死锁的机制；</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具备死锁处理能力；</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具备死锁超时回滚的能力；</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具备死锁检测与处理记录功能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提供避免全局死锁的机制或手 段</w:t>
            </w:r>
          </w:p>
        </w:tc>
      </w:tr>
      <w:tr>
        <w:tblPrEx>
          <w:tblLayout w:type="fixed"/>
          <w:tblCellMar>
            <w:top w:w="0" w:type="dxa"/>
            <w:left w:w="0" w:type="dxa"/>
            <w:bottom w:w="0" w:type="dxa"/>
            <w:right w:w="0" w:type="dxa"/>
          </w:tblCellMar>
        </w:tblPrEx>
        <w:trPr>
          <w:cantSplit/>
          <w:trHeight w:val="21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★运行时统 计信息基础 功能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a）数据库慢 SQL 统计： 1）支持统计 SQL 语句；</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2）支持统计用户名；</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3）支持统计数据库名；</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4）支持统计执行时长； b）数据库性能状态统计： 1）支持统计每秒事务数和查询数；</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2）支持统计 SQL 平均响应时间；</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3）支持统计高频 SQL</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通过查看慢 SQL 统计和性能状 态，对数据库以及执行的 SQL 进行调优，此项提高性能和易 用性</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运行时统计 信息增强功 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a)支持统计集群节点 CPU 使用情况； b)支持统计集群节点内存使用情况； c)支持统计集群节点磁盘使用情况； d)支持统计集群节点网络使用情况</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通过查看数据库资源使用情 况，对数据库以及执行的 SQL 进行调优，此项提高性能和易 用性</w:t>
            </w:r>
          </w:p>
        </w:tc>
      </w:tr>
      <w:tr>
        <w:tblPrEx>
          <w:tblLayout w:type="fixed"/>
          <w:tblCellMar>
            <w:top w:w="0" w:type="dxa"/>
            <w:left w:w="0" w:type="dxa"/>
            <w:bottom w:w="0" w:type="dxa"/>
            <w:right w:w="0" w:type="dxa"/>
          </w:tblCellMar>
        </w:tblPrEx>
        <w:trPr>
          <w:cantSplit/>
          <w:trHeight w:val="21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★日志</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具备对各类事件进行日志记录的功 能，可通过日志查看操作内容、执行过 程和结果；</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具备提示和警告功能，提示或警告 数据库结构修改、数据库运行配置修改 等重要操作；</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日志完整正确，并且提供可读文本 的形式；</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支持中文日志</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运行时记录各操作，提示数据 库结构修改、配置修改等重要 操作信息</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★远程运维</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具备远程维护功能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供用户远程实现运维操作</w:t>
            </w:r>
          </w:p>
        </w:tc>
      </w:tr>
      <w:tr>
        <w:tblPrEx>
          <w:tblLayout w:type="fixed"/>
          <w:tblCellMar>
            <w:top w:w="0" w:type="dxa"/>
            <w:left w:w="0" w:type="dxa"/>
            <w:bottom w:w="0" w:type="dxa"/>
            <w:right w:w="0" w:type="dxa"/>
          </w:tblCellMar>
        </w:tblPrEx>
        <w:trPr>
          <w:cantSplit/>
          <w:trHeight w:val="19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★报警</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厂商提供通知管理员的方法或工 具；</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支持设置报警基线，数据库运行中 遇到重要事件、异常事件和状态、超过 报警阈值等情况时，通知管理员；</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提供报警 API；</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报警发生时，支持报警信息的实时 展示</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重要事件或异常时通知用户</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SQL 监测与 优化建议</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实时监测 SQL 执行过程中资源使用 情况；</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提供查询计划的缓存管理功能； c) 提供 SQL 改写的优化建议</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实时监测运行中的 SQL 并给出 优化建议，以提升性能，此项 适用于高性能、高可用场景</w:t>
            </w:r>
          </w:p>
        </w:tc>
      </w:tr>
      <w:tr>
        <w:tblPrEx>
          <w:tblLayout w:type="fixed"/>
          <w:tblCellMar>
            <w:top w:w="0" w:type="dxa"/>
            <w:left w:w="0" w:type="dxa"/>
            <w:bottom w:w="0" w:type="dxa"/>
            <w:right w:w="0" w:type="dxa"/>
          </w:tblCellMar>
        </w:tblPrEx>
        <w:trPr>
          <w:cantSplit/>
          <w:trHeight w:val="19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应用迁移</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 SQL、存储过程等价语法转换， 并将转换后的语法在目标库进行校验， 转换后语法可编译可执行；</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对转换出错或校验出错的语法进行 定位，引导用户进行错误校正后再次编 译校验；</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尽量减少应用的修改，从源数据库 迁移到目标数据库，并可运行</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可提升迁移效率，此项提高可 用性</w:t>
            </w:r>
          </w:p>
        </w:tc>
      </w:tr>
      <w:tr>
        <w:tblPrEx>
          <w:tblLayout w:type="fixed"/>
          <w:tblCellMar>
            <w:top w:w="0" w:type="dxa"/>
            <w:left w:w="0" w:type="dxa"/>
            <w:bottom w:w="0" w:type="dxa"/>
            <w:right w:w="0" w:type="dxa"/>
          </w:tblCellMar>
        </w:tblPrEx>
        <w:trPr>
          <w:cantSplit/>
          <w:trHeight w:val="1448"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★数据迁移</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提供元数据、数据库、数据库对象、 表数据快速迁移的功能；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支持数据迁移工具实现同构或异构 数据库之间的数据迁移；</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支持全量数据迁移、增量数据持续 同步等迁移模式；</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数据库必须具备数据迁移能力 满足用户迁移需求</w:t>
            </w:r>
          </w:p>
        </w:tc>
      </w:tr>
      <w:tr>
        <w:tblPrEx>
          <w:tblLayout w:type="fixed"/>
          <w:tblCellMar>
            <w:top w:w="0" w:type="dxa"/>
            <w:left w:w="0" w:type="dxa"/>
            <w:bottom w:w="0" w:type="dxa"/>
            <w:right w:w="0" w:type="dxa"/>
          </w:tblCellMar>
        </w:tblPrEx>
        <w:trPr>
          <w:cantSplit/>
          <w:trHeight w:val="255"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在数据迁移过程中具备应对传输异</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常的能力，保障数据迁移的稳定性、连</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续性和一致性；</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支持存量数据的一次性迁移和增量</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数据库的持续同步；</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 支持多种不同类型的源数据库和目</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5"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标数据库之间的数据迁移</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★数据比对 基础功能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对源数据库和目标数据库之间的数据 进行比对，支持数据一致性，并提供一 致性比对报告</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数据库进行迁移前后的比对， 此项保证数据一致性</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44</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数据比对增 强功能</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数据比对规模是可配置的，用户可根据 业务需求，进行库级、表级等级别的比 对，提供数据修复功能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不同级别的比对方式，满足高 可用、高可靠场景下的需要</w:t>
            </w:r>
          </w:p>
        </w:tc>
      </w:tr>
      <w:tr>
        <w:tblPrEx>
          <w:tblLayout w:type="fixed"/>
          <w:tblCellMar>
            <w:top w:w="0" w:type="dxa"/>
            <w:left w:w="0" w:type="dxa"/>
            <w:bottom w:w="0" w:type="dxa"/>
            <w:right w:w="0" w:type="dxa"/>
          </w:tblCellMar>
        </w:tblPrEx>
        <w:trPr>
          <w:cantSplit/>
          <w:trHeight w:val="253"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45</w:t>
            </w:r>
          </w:p>
        </w:tc>
        <w:tc>
          <w:tcPr>
            <w:tcW w:w="683"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★数据备份</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运行状态下支持对数据库进行全库</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备份；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运行状态下支持对数据库进行部分</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备份；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1627"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运行状态下支持对数据库进行增量备份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备份数据管 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支持备份数据的加密； b) 支持备份数据的压缩； c) 支持备份数据的存储</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对备份数据的加密和压缩存储 有利于保证数据安全性，降低 备份的占用空间，此项提高安 全性和可用性</w:t>
            </w:r>
          </w:p>
        </w:tc>
      </w:tr>
      <w:tr>
        <w:tblPrEx>
          <w:tblLayout w:type="fixed"/>
          <w:tblCellMar>
            <w:top w:w="0" w:type="dxa"/>
            <w:left w:w="0" w:type="dxa"/>
            <w:bottom w:w="0" w:type="dxa"/>
            <w:right w:w="0" w:type="dxa"/>
          </w:tblCellMar>
        </w:tblPrEx>
        <w:trPr>
          <w:cantSplit/>
          <w:trHeight w:val="253"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47</w:t>
            </w:r>
          </w:p>
        </w:tc>
        <w:tc>
          <w:tcPr>
            <w:tcW w:w="683"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w:t>
            </w:r>
          </w:p>
        </w:tc>
        <w:tc>
          <w:tcPr>
            <w:tcW w:w="1012"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用户/模式</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vMerge w:val="restart"/>
            <w:tcBorders>
              <w:top w:val="single" w:color="000000" w:sz="4" w:space="0"/>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支持对数据库的所有或指定用户/模式下的数据进行备份；</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为用户提供逻辑备份功能，满</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足用户在数据库使用过程中不</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备份、恢复</w:t>
            </w: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支持对数据库的所有或指定用户/</w:t>
            </w: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同的备份/恢复需求，此项提高</w:t>
            </w:r>
          </w:p>
        </w:tc>
      </w:tr>
      <w:tr>
        <w:tblPrEx>
          <w:tblLayout w:type="fixed"/>
          <w:tblCellMar>
            <w:top w:w="0" w:type="dxa"/>
            <w:left w:w="0" w:type="dxa"/>
            <w:bottom w:w="0" w:type="dxa"/>
            <w:right w:w="0" w:type="dxa"/>
          </w:tblCellMar>
        </w:tblPrEx>
        <w:trPr>
          <w:cantSplit/>
          <w:trHeight w:val="237"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模式下的数据备份进行恢复</w:t>
            </w: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可用性</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★多种存储 媒体备份、 还原</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支持多种备份存储媒体，支持多种存储 媒体的部分、完整数据库数据还原处理 能力</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备份数据文件到不同介质上， 此项提高可靠性，支持存储介 质的种类越多越好</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49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★备份还原 的一致性校 验</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提供数据库备份数据一致性校验的命 令或工具</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判断备份数据是否与源数据一 致</w:t>
            </w:r>
          </w:p>
        </w:tc>
      </w:tr>
      <w:tr>
        <w:tblPrEx>
          <w:tblLayout w:type="fixed"/>
          <w:tblCellMar>
            <w:top w:w="0" w:type="dxa"/>
            <w:left w:w="0" w:type="dxa"/>
            <w:bottom w:w="0" w:type="dxa"/>
            <w:right w:w="0" w:type="dxa"/>
          </w:tblCellMar>
        </w:tblPrEx>
        <w:trPr>
          <w:cantSplit/>
          <w:trHeight w:val="254"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50</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★集群构建 与管理</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支持集群的运行环境；</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单机无法满足高并发、高可靠 的需求，则可以通过部署集中 式数据库集群来实现</w:t>
            </w:r>
          </w:p>
        </w:tc>
      </w:tr>
      <w:tr>
        <w:tblPrEx>
          <w:tblLayout w:type="fixed"/>
          <w:tblCellMar>
            <w:top w:w="0" w:type="dxa"/>
            <w:left w:w="0" w:type="dxa"/>
            <w:bottom w:w="0" w:type="dxa"/>
            <w:right w:w="0" w:type="dxa"/>
          </w:tblCellMar>
        </w:tblPrEx>
        <w:trPr>
          <w:cantSplit/>
          <w:trHeight w:val="72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支持创建并配置数据库集群；</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配置信息至少包括日常运维管理、 容灾管理、日志管理、备份管理、监控等</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right="213"/>
              <w:rPr>
                <w:rFonts w:hint="eastAsia" w:asciiTheme="majorEastAsia" w:hAnsiTheme="majorEastAsia" w:eastAsiaTheme="majorEastAsia" w:cstheme="majorEastAsia"/>
                <w:kern w:val="2"/>
                <w:sz w:val="24"/>
                <w:szCs w:val="24"/>
                <w:lang w:eastAsia="zh-CN"/>
              </w:rPr>
            </w:pP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集群构建与 管理扩展要 求</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在读写操作负载差距较大时，提供读写 分离能力</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在读写操作负载差距较大时， 读写分离能力可以提高性能</w:t>
            </w:r>
          </w:p>
        </w:tc>
      </w:tr>
      <w:tr>
        <w:tblPrEx>
          <w:tblLayout w:type="fixed"/>
          <w:tblCellMar>
            <w:top w:w="0" w:type="dxa"/>
            <w:left w:w="0" w:type="dxa"/>
            <w:bottom w:w="0" w:type="dxa"/>
            <w:right w:w="0" w:type="dxa"/>
          </w:tblCellMar>
        </w:tblPrEx>
        <w:trPr>
          <w:cantSplit/>
          <w:trHeight w:val="253"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52</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共享存储架 构下的集群 要求</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在共享存储集群架构的基础上：</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根据用户需要，使用共享存储 集群架构可以提高性能和可用 性</w:t>
            </w:r>
          </w:p>
        </w:tc>
      </w:tr>
      <w:tr>
        <w:tblPrEx>
          <w:tblLayout w:type="fixed"/>
          <w:tblCellMar>
            <w:top w:w="0" w:type="dxa"/>
            <w:left w:w="0" w:type="dxa"/>
            <w:bottom w:w="0" w:type="dxa"/>
            <w:right w:w="0" w:type="dxa"/>
          </w:tblCellMar>
        </w:tblPrEx>
        <w:trPr>
          <w:cantSplit/>
          <w:trHeight w:val="96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支持管理硬件存储资源，包括为共享存储扩展存储容量；</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支持集群多个节点同时写入或一写 多读，事务支持 ACID 特性；</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7"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支持节点间的缓存一致性</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53"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53</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★数据库开 发调试工具</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具备图形化功能，提高易用性；</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使用工具开发调试，能够降低 使用难度，此项提高易用性</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具备导入、编辑、保存、执行 SQL语句和 SQL 脚本功能；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2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具备复制、编辑现有数据库对象功 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具备关键词显示标记、动态语法提</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7"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示的 SQL 编辑器功能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55"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54</w:t>
            </w:r>
          </w:p>
        </w:tc>
        <w:tc>
          <w:tcPr>
            <w:tcW w:w="683"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功能要求</w:t>
            </w:r>
          </w:p>
        </w:tc>
        <w:tc>
          <w:tcPr>
            <w:tcW w:w="1012"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数据库预编译工具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厂商提供预编译工具，支持嵌入式 SQL编程</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提供嵌入式 SQL 语句的执行工具，此项提高易用性</w:t>
            </w:r>
          </w:p>
        </w:tc>
      </w:tr>
      <w:tr>
        <w:tblPrEx>
          <w:tblLayout w:type="fixed"/>
          <w:tblCellMar>
            <w:top w:w="0" w:type="dxa"/>
            <w:left w:w="0" w:type="dxa"/>
            <w:bottom w:w="0" w:type="dxa"/>
            <w:right w:w="0" w:type="dxa"/>
          </w:tblCellMar>
        </w:tblPrEx>
        <w:trPr>
          <w:cantSplit/>
          <w:trHeight w:val="312" w:hRule="atLeast"/>
          <w:jc w:val="center"/>
        </w:trPr>
        <w:tc>
          <w:tcPr>
            <w:tcW w:w="596" w:type="dxa"/>
            <w:tcBorders>
              <w:top w:val="single" w:color="000000" w:sz="4" w:space="0"/>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55</w:t>
            </w:r>
          </w:p>
        </w:tc>
        <w:tc>
          <w:tcPr>
            <w:tcW w:w="683" w:type="dxa"/>
            <w:tcBorders>
              <w:top w:val="single" w:color="000000" w:sz="4" w:space="0"/>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功能要求</w:t>
            </w:r>
          </w:p>
        </w:tc>
        <w:tc>
          <w:tcPr>
            <w:tcW w:w="1012" w:type="dxa"/>
            <w:tcBorders>
              <w:top w:val="single" w:color="000000" w:sz="4" w:space="0"/>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网络配置工具</w:t>
            </w:r>
          </w:p>
        </w:tc>
        <w:tc>
          <w:tcPr>
            <w:tcW w:w="781" w:type="dxa"/>
            <w:tcBorders>
              <w:top w:val="single" w:color="000000" w:sz="4" w:space="0"/>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提供客户端、服务器端网络配置向导</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支持配置网络连接参数、主机、端 口、协议等内容</w:t>
            </w:r>
          </w:p>
        </w:tc>
        <w:tc>
          <w:tcPr>
            <w:tcW w:w="2074" w:type="dxa"/>
            <w:tcBorders>
              <w:top w:val="single" w:color="000000" w:sz="4" w:space="0"/>
              <w:left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为用户提供标准的数据库连接方案和完善的连接配置能力，此项提高易用性</w:t>
            </w:r>
          </w:p>
        </w:tc>
      </w:tr>
      <w:tr>
        <w:tblPrEx>
          <w:tblLayout w:type="fixed"/>
          <w:tblCellMar>
            <w:top w:w="0" w:type="dxa"/>
            <w:left w:w="0" w:type="dxa"/>
            <w:bottom w:w="0" w:type="dxa"/>
            <w:right w:w="0" w:type="dxa"/>
          </w:tblCellMar>
        </w:tblPrEx>
        <w:trPr>
          <w:cantSplit/>
          <w:trHeight w:val="145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创建、修改、 删除工具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支持数据库的创建、修改和删除； b) 支持配置数据库数据文件、日志文 件、归档文件的存储位置、逻辑空间（如 表空间）等参数；</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支持配置数据库属性相关参数（如 最大连接数等）</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创建、修改、删除是数据库基 本能力，通过工具实现此项提 高易用性</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★用户、角色 管理工具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支持创建、修改、删除用户的功能； b）提供定义用户的功能；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支持创建、修改、删除角色的功能， 且提供用户自定义角色的功能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提供数据管理和权限控制能力</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★SQL 执行计 划查看工具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提供与数据库管理系统进行 SQL 交 互的工具，方便运维工作；</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支持查看 SQL 语句查询执行计划与 统计信息</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提供数据库进行 SQL 优化能力</w:t>
            </w:r>
          </w:p>
        </w:tc>
      </w:tr>
      <w:tr>
        <w:tblPrEx>
          <w:tblLayout w:type="fixed"/>
          <w:tblCellMar>
            <w:top w:w="0" w:type="dxa"/>
            <w:left w:w="0" w:type="dxa"/>
            <w:bottom w:w="0" w:type="dxa"/>
            <w:right w:w="0" w:type="dxa"/>
          </w:tblCellMar>
        </w:tblPrEx>
        <w:trPr>
          <w:cantSplit/>
          <w:trHeight w:val="241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59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★数据库对 象工具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支持创建、修改、删除表的功能， 支持定义表结构、约束、存储配置管理 的功能；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支持创建、修改、删除索引的功能， 支持定义索引结构、类型、存储配置管 理的功能；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支持创建、修改、删除视图的功能， 支持视图定义的功能；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支持创建、修改、删除约束的功能， 支持约束定义的功能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1644"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★导入导出 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支持导出不同格式，可以将不同格</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式数据导入到数据库中；</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支持不同级别和不同数据库对象的 导入/导出功能；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支持从文本文件或者其他上游数据 源将数据导入；</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 SQL 脚本进行导入导出</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1177"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触发器、存 储过程/函 数工具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支持创建、修改、删除触发器的功</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能，支持触发条件、事件的设置；</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支持创建、修改、删除存储过程/ 函数的功能，提供定义存储过程/函数 的工具</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通过工具完成触发器等对象的 创建、修改等操作，此项提高 易用性</w:t>
            </w:r>
          </w:p>
        </w:tc>
      </w:tr>
      <w:tr>
        <w:tblPrEx>
          <w:tblLayout w:type="fixed"/>
          <w:tblCellMar>
            <w:top w:w="0" w:type="dxa"/>
            <w:left w:w="0" w:type="dxa"/>
            <w:bottom w:w="0" w:type="dxa"/>
            <w:right w:w="0" w:type="dxa"/>
          </w:tblCellMar>
        </w:tblPrEx>
        <w:trPr>
          <w:cantSplit/>
          <w:trHeight w:val="2111"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★数据库运 维工具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支持数据库、数据库存储对象结构、</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数据、统计信息更新维护；</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支持数据库创建、数据库修改、数 据库删除、数据库模板维护；</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支持数据库任务自动化调度作业管 理；</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支持图形化展示数据库管理的各种 元数据界面，展示的内容具有层次性， 包括模式、非模式数据字典信息</w:t>
            </w:r>
          </w:p>
          <w:p>
            <w:pPr>
              <w:autoSpaceDE w:val="0"/>
              <w:autoSpaceDN w:val="0"/>
              <w:rPr>
                <w:rFonts w:hint="eastAsia" w:asciiTheme="majorEastAsia" w:hAnsiTheme="majorEastAsia" w:eastAsiaTheme="majorEastAsia" w:cstheme="majorEastAsia"/>
                <w:kern w:val="2"/>
                <w:sz w:val="24"/>
                <w:szCs w:val="24"/>
                <w:lang w:eastAsia="zh-CN"/>
              </w:rPr>
            </w:pP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3043"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监控跟踪工 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收集和统计数据库某时间段的运行</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状态及性能信息，判断该时间的数据库 运行性能瓶颈；</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支持系统状态监控能力，包括对集</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群、服务器和数据库状态的监控等； c) 支持性能瓶颈跟踪、运行过程监测 与调优；</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提供数据库实例、网络通信、数据 库对象的跟踪日志，日志数据准确、完 整；</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支持特定事件或事务发生时收集监 控数据库活动事务数据；</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 支持跟踪数据库等待事件；</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通过工具对运行状态和性能进 行监控，协助排查问题原因， 此项提高易用性</w:t>
            </w:r>
          </w:p>
        </w:tc>
      </w:tr>
      <w:tr>
        <w:tblPrEx>
          <w:tblLayout w:type="fixed"/>
          <w:tblCellMar>
            <w:top w:w="0" w:type="dxa"/>
            <w:left w:w="0" w:type="dxa"/>
            <w:bottom w:w="0" w:type="dxa"/>
            <w:right w:w="0" w:type="dxa"/>
          </w:tblCellMar>
        </w:tblPrEx>
        <w:trPr>
          <w:cantSplit/>
          <w:trHeight w:val="477"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g) 提供捕获并记录实例、数据库在特</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定时间点的状态</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64</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图形化远程 启动、关闭 数据库</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提供数据库资源配置向导；</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提供远程数据库服务启动、关闭功 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远程启动、关闭数据库以及初 始化数据库的图形化工具，能 够方便部署数据库资源配置， 便于用户日常运维工作</w:t>
            </w:r>
          </w:p>
        </w:tc>
      </w:tr>
      <w:tr>
        <w:tblPrEx>
          <w:tblLayout w:type="fixed"/>
          <w:tblCellMar>
            <w:top w:w="0" w:type="dxa"/>
            <w:left w:w="0" w:type="dxa"/>
            <w:bottom w:w="0" w:type="dxa"/>
            <w:right w:w="0" w:type="dxa"/>
          </w:tblCellMar>
        </w:tblPrEx>
        <w:trPr>
          <w:cantSplit/>
          <w:trHeight w:val="252"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65</w:t>
            </w:r>
          </w:p>
        </w:tc>
        <w:tc>
          <w:tcPr>
            <w:tcW w:w="683"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w:t>
            </w:r>
          </w:p>
        </w:tc>
        <w:tc>
          <w:tcPr>
            <w:tcW w:w="1012"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★图形化的</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厂商提供图形化的开发工具</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图形化开发工具是为了应用开</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发人员无需学习复杂的数据库</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开发工具</w:t>
            </w: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开发程序便可以更好、方便的</w:t>
            </w:r>
          </w:p>
        </w:tc>
      </w:tr>
      <w:tr>
        <w:tblPrEx>
          <w:tblLayout w:type="fixed"/>
          <w:tblCellMar>
            <w:top w:w="0" w:type="dxa"/>
            <w:left w:w="0" w:type="dxa"/>
            <w:bottom w:w="0" w:type="dxa"/>
            <w:right w:w="0" w:type="dxa"/>
          </w:tblCellMar>
        </w:tblPrEx>
        <w:trPr>
          <w:cantSplit/>
          <w:trHeight w:val="238"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调试和编辑</w:t>
            </w:r>
          </w:p>
        </w:tc>
      </w:tr>
      <w:tr>
        <w:tblPrEx>
          <w:tblLayout w:type="fixed"/>
          <w:tblCellMar>
            <w:top w:w="0" w:type="dxa"/>
            <w:left w:w="0" w:type="dxa"/>
            <w:bottom w:w="0" w:type="dxa"/>
            <w:right w:w="0" w:type="dxa"/>
          </w:tblCellMar>
        </w:tblPrEx>
        <w:trPr>
          <w:cantSplit/>
          <w:trHeight w:val="252"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66</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★图形化运 维工具</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厂商提供图形化的运维工具</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使用户更加方便快捷地对数据</w:t>
            </w:r>
          </w:p>
        </w:tc>
      </w:tr>
      <w:tr>
        <w:tblPrEx>
          <w:tblLayout w:type="fixed"/>
          <w:tblCellMar>
            <w:top w:w="0" w:type="dxa"/>
            <w:left w:w="0" w:type="dxa"/>
            <w:bottom w:w="0" w:type="dxa"/>
            <w:right w:w="0" w:type="dxa"/>
          </w:tblCellMar>
        </w:tblPrEx>
        <w:trPr>
          <w:cantSplit/>
          <w:trHeight w:val="72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库进行运维，无需通过复杂命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令及命令行参数进行管理，从 而降低用户的运维成本，提高</w:t>
            </w:r>
          </w:p>
        </w:tc>
      </w:tr>
      <w:tr>
        <w:tblPrEx>
          <w:tblLayout w:type="fixed"/>
          <w:tblCellMar>
            <w:top w:w="0" w:type="dxa"/>
            <w:left w:w="0" w:type="dxa"/>
            <w:bottom w:w="0" w:type="dxa"/>
            <w:right w:w="0" w:type="dxa"/>
          </w:tblCellMar>
        </w:tblPrEx>
        <w:trPr>
          <w:cantSplit/>
          <w:trHeight w:val="238"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运维效率</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图形化展示 工具</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厂商提供图形化数据展示工具</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使用图形化工具对数据库的</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表、数据、索引等进行展示， 便于使用和运维</w:t>
            </w:r>
          </w:p>
        </w:tc>
      </w:tr>
      <w:tr>
        <w:tblPrEx>
          <w:tblLayout w:type="fixed"/>
          <w:tblCellMar>
            <w:top w:w="0" w:type="dxa"/>
            <w:left w:w="0" w:type="dxa"/>
            <w:bottom w:w="0" w:type="dxa"/>
            <w:right w:w="0" w:type="dxa"/>
          </w:tblCellMar>
        </w:tblPrEx>
        <w:trPr>
          <w:cantSplit/>
          <w:trHeight w:val="254"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68</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图形界面配 置参数基础 功能</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a）基本配置参数：</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通过图形界面对数据库参数及 相关功能配置，降低运维和管 理难度，提高运维和管理效率</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1）配置资源使用限额；</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2）配置连接数；</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3）配置白名单；</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b）逻辑存储配置：</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2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1）图形界面支持逻辑存储配置；</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2）提供图形化界面管理数据库对象逻 辑空间分配功能；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c）提供图形界面配置参数功能，支持</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图形界面配置用户口令；</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d）配置审计：</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1）支持图形化界面配置审计策略；</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2）支持查看审计数据</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53"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69</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图形化管理 数据库对象</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支持图形化管理统一的数据库实例、数</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为用户提供通过图形界面对数 据库核心对象的可视化管理能 力，此项提高易用性</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据库日志文件、数据库运行模式、表对</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2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象、表数据存储空间、索引定义类型、</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视图、触发器、存储过程/函数、角色/ 用户权限、同义词、序列、外部表、物</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化视图、作业调度、数据库链接、分区</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7"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表数据、服务器资源分配、自增列</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图形化监控</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a）支持多实例集成监控与管理； b）支持操作系统和网络资源集成监控 与管理</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提供数据库运行状态的图形化 展示，以实时呈现数据库的性 能状况和异常指标，便于运维</w:t>
            </w:r>
          </w:p>
        </w:tc>
      </w:tr>
      <w:tr>
        <w:tblPrEx>
          <w:tblLayout w:type="fixed"/>
          <w:tblCellMar>
            <w:top w:w="0" w:type="dxa"/>
            <w:left w:w="0" w:type="dxa"/>
            <w:bottom w:w="0" w:type="dxa"/>
            <w:right w:w="0" w:type="dxa"/>
          </w:tblCellMar>
        </w:tblPrEx>
        <w:trPr>
          <w:cantSplit/>
          <w:trHeight w:val="252"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71</w:t>
            </w:r>
          </w:p>
        </w:tc>
        <w:tc>
          <w:tcPr>
            <w:tcW w:w="683"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w:t>
            </w:r>
          </w:p>
        </w:tc>
        <w:tc>
          <w:tcPr>
            <w:tcW w:w="1012"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图形化管理</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支持对归档模式、归档文件位置、归档</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用户无需使用繁杂的命令，使</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用图形化工具对数据库归档文</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归档</w:t>
            </w: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启用/停用进行管理</w:t>
            </w: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件的统一管理，降低运维和管</w:t>
            </w:r>
          </w:p>
        </w:tc>
      </w:tr>
      <w:tr>
        <w:tblPrEx>
          <w:tblLayout w:type="fixed"/>
          <w:tblCellMar>
            <w:top w:w="0" w:type="dxa"/>
            <w:left w:w="0" w:type="dxa"/>
            <w:bottom w:w="0" w:type="dxa"/>
            <w:right w:w="0" w:type="dxa"/>
          </w:tblCellMar>
        </w:tblPrEx>
        <w:trPr>
          <w:cantSplit/>
          <w:trHeight w:val="238"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理难度，提高运维和管理效率</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图形化管理</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数据的备 份、还原/恢 复</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提供图形化管理数据的备份、还原/恢 复的功能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为用户提供直观的数据库备 份、还原/恢复可视化管理工 具，此项提高易用性</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功能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图形化界面 易用性</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支持浏览器图形界面管理；</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图形化管理工具界面窗口、选单、 图标、文字、快捷键统一并易于理解</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使用户更加方便了解数据库关 键信息，此项提高易用性</w:t>
            </w:r>
          </w:p>
        </w:tc>
      </w:tr>
      <w:tr>
        <w:tblPrEx>
          <w:tblLayout w:type="fixed"/>
          <w:tblCellMar>
            <w:top w:w="0" w:type="dxa"/>
            <w:left w:w="0" w:type="dxa"/>
            <w:bottom w:w="0" w:type="dxa"/>
            <w:right w:w="0" w:type="dxa"/>
          </w:tblCellMar>
        </w:tblPrEx>
        <w:trPr>
          <w:cantSplit/>
          <w:trHeight w:val="254"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74</w:t>
            </w:r>
          </w:p>
        </w:tc>
        <w:tc>
          <w:tcPr>
            <w:tcW w:w="683"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★稳定运行</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支持连续稳定运行；</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性要</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支持数据库管理系统运行风险的报</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求</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警能力</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28"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★快速切换</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支持快速切换，在主数据库出现故障 时，能够快速切换到备用数据库，保障 业务正常运行</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主机出现故障，快速切换备机， 保障业务正常运行</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★恢复无断 点</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支持无断点恢复能力</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故障发生时，切换计算节点， 服务切换后业务不丢失</w:t>
            </w:r>
          </w:p>
        </w:tc>
      </w:tr>
      <w:tr>
        <w:tblPrEx>
          <w:tblLayout w:type="fixed"/>
          <w:tblCellMar>
            <w:top w:w="0" w:type="dxa"/>
            <w:left w:w="0" w:type="dxa"/>
            <w:bottom w:w="0" w:type="dxa"/>
            <w:right w:w="0" w:type="dxa"/>
          </w:tblCellMar>
        </w:tblPrEx>
        <w:trPr>
          <w:cantSplit/>
          <w:trHeight w:val="239"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77</w:t>
            </w:r>
          </w:p>
        </w:tc>
        <w:tc>
          <w:tcPr>
            <w:tcW w:w="683"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★主备备份</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支持多副本，支持主副本与从副本</w:t>
            </w:r>
          </w:p>
        </w:tc>
        <w:tc>
          <w:tcPr>
            <w:tcW w:w="2074"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支持集群主机与备用数据库之</w:t>
            </w:r>
          </w:p>
        </w:tc>
      </w:tr>
      <w:tr>
        <w:tblPrEx>
          <w:tblLayout w:type="fixed"/>
          <w:tblCellMar>
            <w:top w:w="0" w:type="dxa"/>
            <w:left w:w="0" w:type="dxa"/>
            <w:bottom w:w="0" w:type="dxa"/>
            <w:right w:w="0" w:type="dxa"/>
          </w:tblCellMar>
        </w:tblPrEx>
        <w:trPr>
          <w:cantSplit/>
          <w:trHeight w:val="233"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之间的数据同步，最低时延由生产厂商</w:t>
            </w:r>
          </w:p>
        </w:tc>
        <w:tc>
          <w:tcPr>
            <w:tcW w:w="2074"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5"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w:t>
            </w:r>
          </w:p>
        </w:tc>
        <w:tc>
          <w:tcPr>
            <w:tcW w:w="2074"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性要</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提供基于主机的数据库复制技术，</w:t>
            </w: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间的数据同步，此项提高可靠</w:t>
            </w:r>
          </w:p>
        </w:tc>
      </w:tr>
      <w:tr>
        <w:tblPrEx>
          <w:tblLayout w:type="fixed"/>
          <w:tblCellMar>
            <w:top w:w="0" w:type="dxa"/>
            <w:left w:w="0" w:type="dxa"/>
            <w:bottom w:w="0" w:type="dxa"/>
            <w:right w:w="0" w:type="dxa"/>
          </w:tblCellMar>
        </w:tblPrEx>
        <w:trPr>
          <w:cantSplit/>
          <w:trHeight w:val="23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求</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包括基于日志的备用数据库远程数据</w:t>
            </w:r>
          </w:p>
        </w:tc>
        <w:tc>
          <w:tcPr>
            <w:tcW w:w="2074"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性</w:t>
            </w:r>
          </w:p>
        </w:tc>
      </w:tr>
      <w:tr>
        <w:tblPrEx>
          <w:tblLayout w:type="fixed"/>
          <w:tblCellMar>
            <w:top w:w="0" w:type="dxa"/>
            <w:left w:w="0" w:type="dxa"/>
            <w:bottom w:w="0" w:type="dxa"/>
            <w:right w:w="0" w:type="dxa"/>
          </w:tblCellMar>
        </w:tblPrEx>
        <w:trPr>
          <w:cantSplit/>
          <w:trHeight w:val="22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库备份技术，并具备数据副本间的复制</w:t>
            </w:r>
          </w:p>
        </w:tc>
        <w:tc>
          <w:tcPr>
            <w:tcW w:w="2074"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9"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能力</w:t>
            </w:r>
          </w:p>
        </w:tc>
        <w:tc>
          <w:tcPr>
            <w:tcW w:w="2074"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9"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78</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★实例容灾</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在任意数据库实例出现故障时，集</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数据库实例出现故障时，集群 内服务正常运行，数据不丢失， 集群整体业务可用</w:t>
            </w:r>
          </w:p>
        </w:tc>
      </w:tr>
      <w:tr>
        <w:tblPrEx>
          <w:tblLayout w:type="fixed"/>
          <w:tblCellMar>
            <w:top w:w="0" w:type="dxa"/>
            <w:left w:w="0" w:type="dxa"/>
            <w:bottom w:w="0" w:type="dxa"/>
            <w:right w:w="0" w:type="dxa"/>
          </w:tblCellMar>
        </w:tblPrEx>
        <w:trPr>
          <w:cantSplit/>
          <w:trHeight w:val="934"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群内服务正常运行，数据不丢失，集群</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整体业务可用；</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在实例故障、节点故障等单数据库 实例故障时，RPO 时间等于 0，RTO 时</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9"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间小于 30s</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7"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79</w:t>
            </w:r>
          </w:p>
        </w:tc>
        <w:tc>
          <w:tcPr>
            <w:tcW w:w="683"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★容灾部署</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a)提供远程容灾部署与管理功能；</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灾难发生时，在保证生产系统</w:t>
            </w:r>
          </w:p>
        </w:tc>
      </w:tr>
      <w:tr>
        <w:tblPrEx>
          <w:tblLayout w:type="fixed"/>
          <w:tblCellMar>
            <w:top w:w="0" w:type="dxa"/>
            <w:left w:w="0" w:type="dxa"/>
            <w:bottom w:w="0" w:type="dxa"/>
            <w:right w:w="0" w:type="dxa"/>
          </w:tblCellMar>
        </w:tblPrEx>
        <w:trPr>
          <w:cantSplit/>
          <w:trHeight w:val="238"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性要</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b)提供生产中心与备份中心之间的容</w:t>
            </w: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数据尽量少丢失的情况下，保</w:t>
            </w:r>
          </w:p>
        </w:tc>
      </w:tr>
      <w:tr>
        <w:tblPrEx>
          <w:tblLayout w:type="fixed"/>
          <w:tblCellMar>
            <w:top w:w="0" w:type="dxa"/>
            <w:left w:w="0" w:type="dxa"/>
            <w:bottom w:w="0" w:type="dxa"/>
            <w:right w:w="0" w:type="dxa"/>
          </w:tblCellMar>
        </w:tblPrEx>
        <w:trPr>
          <w:cantSplit/>
          <w:trHeight w:val="245"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求</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灾部署与管理功能</w:t>
            </w: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持生产系统业务的不间断运行</w:t>
            </w:r>
          </w:p>
        </w:tc>
      </w:tr>
      <w:tr>
        <w:tblPrEx>
          <w:tblLayout w:type="fixed"/>
          <w:tblCellMar>
            <w:top w:w="0" w:type="dxa"/>
            <w:left w:w="0" w:type="dxa"/>
            <w:bottom w:w="0" w:type="dxa"/>
            <w:right w:w="0" w:type="dxa"/>
          </w:tblCellMar>
        </w:tblPrEx>
        <w:trPr>
          <w:cantSplit/>
          <w:trHeight w:val="237"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80</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★同城容灾</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是</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支持同城双中心部署，当主中心故</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小范围灾难发生时，支持多可 用区之间的部署和数据同步， RPO、RTO 的值越低代表产品可 靠性越强</w:t>
            </w:r>
          </w:p>
        </w:tc>
      </w:tr>
      <w:tr>
        <w:tblPrEx>
          <w:tblLayout w:type="fixed"/>
          <w:tblCellMar>
            <w:top w:w="0" w:type="dxa"/>
            <w:left w:w="0" w:type="dxa"/>
            <w:bottom w:w="0" w:type="dxa"/>
            <w:right w:w="0" w:type="dxa"/>
          </w:tblCellMar>
        </w:tblPrEx>
        <w:trPr>
          <w:cantSplit/>
          <w:trHeight w:val="943"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障时，业务切换到备中心；</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由于网络、供电等原因造成的可用 区级故障，触发集群计划外停机，在同 城多可用区场景下，RPO 时间等于 0，</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RTO 时间小于 1 分钟</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1411"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异地容灾</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是</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城市级故障，比如地震，业务可以</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切换到异地；</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异地灾备场景支持两地三中心部署 架构，在本地建立同城灾备中心，在异 地建立异地灾备中心， RPO 时间小于 1 分钟，RTO 时间小于 10 分钟</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防止自然灾害等导致城市级别 的灾难，分布式数据库集群通 过区域级别容灾保障其高可 用，RPO、RTO 的值越低代表产 品可靠性越强</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★服务端编 程稳定性</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支持当用户自定义的存储过程、函数运 行异常时，数据库稳定运行</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数据库遇错时，不影响正常运 行</w:t>
            </w:r>
          </w:p>
        </w:tc>
      </w:tr>
      <w:tr>
        <w:tblPrEx>
          <w:tblLayout w:type="fixed"/>
          <w:tblCellMar>
            <w:top w:w="0" w:type="dxa"/>
            <w:left w:w="0" w:type="dxa"/>
            <w:bottom w:w="0" w:type="dxa"/>
            <w:right w:w="0" w:type="dxa"/>
          </w:tblCellMar>
        </w:tblPrEx>
        <w:trPr>
          <w:cantSplit/>
          <w:trHeight w:val="253"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83</w:t>
            </w:r>
          </w:p>
        </w:tc>
        <w:tc>
          <w:tcPr>
            <w:tcW w:w="683"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★网络容错</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支持网络中断时，保障事务一致性</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保证在网络中断时仍保证数据</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性要</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库数据在故障前后数据保持一</w:t>
            </w:r>
          </w:p>
        </w:tc>
      </w:tr>
      <w:tr>
        <w:tblPrEx>
          <w:tblLayout w:type="fixed"/>
          <w:tblCellMar>
            <w:top w:w="0" w:type="dxa"/>
            <w:left w:w="0" w:type="dxa"/>
            <w:bottom w:w="0" w:type="dxa"/>
            <w:right w:w="0" w:type="dxa"/>
          </w:tblCellMar>
        </w:tblPrEx>
        <w:trPr>
          <w:cantSplit/>
          <w:trHeight w:val="237"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求</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致</w:t>
            </w:r>
          </w:p>
        </w:tc>
      </w:tr>
      <w:tr>
        <w:tblPrEx>
          <w:tblLayout w:type="fixed"/>
          <w:tblCellMar>
            <w:top w:w="0" w:type="dxa"/>
            <w:left w:w="0" w:type="dxa"/>
            <w:bottom w:w="0" w:type="dxa"/>
            <w:right w:w="0" w:type="dxa"/>
          </w:tblCellMar>
        </w:tblPrEx>
        <w:trPr>
          <w:cantSplit/>
          <w:trHeight w:val="239"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84</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★检测报警</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支持数据库实例启动时错误检测能</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发生错误情况，为用户提供告 警检测机制</w:t>
            </w:r>
          </w:p>
        </w:tc>
      </w:tr>
      <w:tr>
        <w:tblPrEx>
          <w:tblLayout w:type="fixed"/>
          <w:tblCellMar>
            <w:top w:w="0" w:type="dxa"/>
            <w:left w:w="0" w:type="dxa"/>
            <w:bottom w:w="0" w:type="dxa"/>
            <w:right w:w="0" w:type="dxa"/>
          </w:tblCellMar>
        </w:tblPrEx>
        <w:trPr>
          <w:cantSplit/>
          <w:trHeight w:val="233"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力；</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3"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支持加载不同文件格式、不同大小</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08"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数据出现错误时的故障检测和处理能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力；</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支持数据库备份执行过程中发生故</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2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障时报错或者报警能力；</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3"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支持数据库恢复发生故障时报错或</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者报警能力</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★故障恢复</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系统故障重启后能正常运行且支持 数据一致性；</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支持完全媒体故障恢复的能力； c) 提供基于时间点故障恢复功能</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为用户提供容错能力，可以保 证数据库服务正常和数据正确</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可靠 性要 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★不同级别 故障可恢复</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支持数据库事务故障、系统故障、存储 媒体故障不同级别的可恢复能力</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不同故障均具有可恢复能力， 才能保证数据的安全有效</w:t>
            </w:r>
          </w:p>
        </w:tc>
      </w:tr>
      <w:tr>
        <w:tblPrEx>
          <w:tblLayout w:type="fixed"/>
          <w:tblCellMar>
            <w:top w:w="0" w:type="dxa"/>
            <w:left w:w="0" w:type="dxa"/>
            <w:bottom w:w="0" w:type="dxa"/>
            <w:right w:w="0" w:type="dxa"/>
          </w:tblCellMar>
        </w:tblPrEx>
        <w:trPr>
          <w:cantSplit/>
          <w:trHeight w:val="252"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87</w:t>
            </w:r>
          </w:p>
        </w:tc>
        <w:tc>
          <w:tcPr>
            <w:tcW w:w="683"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兼容</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云化部署</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持虚拟化部署或容器化部署等云化部</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云上部署能为用户降低部署成</w:t>
            </w:r>
          </w:p>
        </w:tc>
      </w:tr>
      <w:tr>
        <w:tblPrEx>
          <w:tblLayout w:type="fixed"/>
          <w:tblCellMar>
            <w:top w:w="0" w:type="dxa"/>
            <w:left w:w="0" w:type="dxa"/>
            <w:bottom w:w="0" w:type="dxa"/>
            <w:right w:w="0" w:type="dxa"/>
          </w:tblCellMar>
        </w:tblPrEx>
        <w:trPr>
          <w:cantSplit/>
          <w:trHeight w:val="238"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署方式</w:t>
            </w: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本，提高运维能力</w:t>
            </w:r>
          </w:p>
        </w:tc>
      </w:tr>
      <w:tr>
        <w:tblPrEx>
          <w:tblLayout w:type="fixed"/>
          <w:tblCellMar>
            <w:top w:w="0" w:type="dxa"/>
            <w:left w:w="0" w:type="dxa"/>
            <w:bottom w:w="0" w:type="dxa"/>
            <w:right w:w="0" w:type="dxa"/>
          </w:tblCellMar>
        </w:tblPrEx>
        <w:trPr>
          <w:cantSplit/>
          <w:trHeight w:val="252"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88</w:t>
            </w:r>
          </w:p>
        </w:tc>
        <w:tc>
          <w:tcPr>
            <w:tcW w:w="683"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兼容</w:t>
            </w:r>
          </w:p>
        </w:tc>
        <w:tc>
          <w:tcPr>
            <w:tcW w:w="1012"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★硬件平台</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是</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同源支持以下至少三种 CPU 平台架</w:t>
            </w:r>
          </w:p>
        </w:tc>
        <w:tc>
          <w:tcPr>
            <w:tcW w:w="2074" w:type="dxa"/>
            <w:vMerge w:val="restart"/>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数据库需要支持不同的 CPU 平</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构：</w:t>
            </w:r>
          </w:p>
        </w:tc>
        <w:tc>
          <w:tcPr>
            <w:tcW w:w="2074" w:type="dxa"/>
            <w:vMerge w:val="continue"/>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兼容</w:t>
            </w: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 ARM；</w:t>
            </w:r>
          </w:p>
        </w:tc>
        <w:tc>
          <w:tcPr>
            <w:tcW w:w="2074" w:type="dxa"/>
            <w:vMerge w:val="restart"/>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台架构，至少三个，越多越好</w:t>
            </w:r>
          </w:p>
        </w:tc>
      </w:tr>
      <w:tr>
        <w:tblPrEx>
          <w:tblLayout w:type="fixed"/>
          <w:tblCellMar>
            <w:top w:w="0" w:type="dxa"/>
            <w:left w:w="0" w:type="dxa"/>
            <w:bottom w:w="0" w:type="dxa"/>
            <w:right w:w="0" w:type="dxa"/>
          </w:tblCellMar>
        </w:tblPrEx>
        <w:trPr>
          <w:cantSplit/>
          <w:trHeight w:val="23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2) LoongArch；</w:t>
            </w:r>
          </w:p>
        </w:tc>
        <w:tc>
          <w:tcPr>
            <w:tcW w:w="2074" w:type="dxa"/>
            <w:vMerge w:val="continue"/>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3) MIPS； 4) SW64； 5) x86；</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 SMP 和 NUMA 的运行环境</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89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兼容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★ODBC</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 ODBC</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供应商需根据用户需要，提供 兼容 ODBC 规范的数据库接口</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兼容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★JDBC</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 JDBC</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供应商需根据用户需求，提供 兼容 JDBC 规范的数据库接口</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★交付方式</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以光盘、便携式移动设备、镜像文件、 在线下载等交付方式提供产品交付物</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★产品维护 周期</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产品自发布之日起至产品停止功能升 级（包含不限于新特性、新硬件支持、 问题修复、安全补丁等）之日止≥5 年</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产品通用维护服务周期基本要 求，产品说明书中应明确产品 发布日期、计划停止升级日期、 计划停止服务日期</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★产品延伸 服务周期</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产品停止功能升级之日起至产品停止 功能维护（包括问题修复、安全补丁等） 之日止≥4 年</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产品通用维护服务周期基本要 求，可通过延长“产品维护周 期”替代，累计不低于 9 年</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94</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★产品延伸 安全服务周 期</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产品功能维护停止之日起至产品停止 安全维护（包括中高风险漏洞修复）之 日止≥2 年</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产品通用维护服务周期基本要 求，可用通过延长“产品维护 周期”或“产品延伸服务周期” 替代，累计不低于 11 年</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★售后服务 最小保障期</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自销售之日起，产品售后服务周期≥6 年</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自销售之日起，产品售后服务 周期不少于 6 年，包括产品停 售以后的特需销售</w:t>
            </w:r>
          </w:p>
        </w:tc>
      </w:tr>
      <w:tr>
        <w:tblPrEx>
          <w:tblLayout w:type="fixed"/>
          <w:tblCellMar>
            <w:top w:w="0" w:type="dxa"/>
            <w:left w:w="0" w:type="dxa"/>
            <w:bottom w:w="0" w:type="dxa"/>
            <w:right w:w="0" w:type="dxa"/>
          </w:tblCellMar>
        </w:tblPrEx>
        <w:trPr>
          <w:cantSplit/>
          <w:trHeight w:val="40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96</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★供应链与 服务保障基 础要求</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提供多种形式支持服务，包含电话、 电子邮件、远程连接等；</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提供技术支持服务，支持同城 4h、 异地 12h 响应要求，两个工作日解决问 题，对于未能解决的问题和故障提供可 行的升级方案；</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c) 提供培训材料、产品手册、培训视 频等培训相关内容；</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d) 建立全国技术服务体系和服务团 队，符合专业服务体系标准要求，提供 原厂中文服务；</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e) 服务周期内支持版本免费升级；</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f) 开源产品对获得的社区源代码进行 安全性和知识产权审查与管理；</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g) 提供数据库参数、慢 SQL 语句的性 能优化指南，包含性能优化的具体措 施、技巧、案例及建议等</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定制服务</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针对关键客户提供代码级定制优化服 务</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驻场服务</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提供原厂团队驻场服务</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99</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服务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在线反馈</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支持在线问题反馈</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w:t>
            </w:r>
          </w:p>
        </w:tc>
      </w:tr>
      <w:tr>
        <w:tblPrEx>
          <w:tblLayout w:type="fixed"/>
          <w:tblCellMar>
            <w:top w:w="0" w:type="dxa"/>
            <w:left w:w="0" w:type="dxa"/>
            <w:bottom w:w="0" w:type="dxa"/>
            <w:right w:w="0" w:type="dxa"/>
          </w:tblCellMar>
        </w:tblPrEx>
        <w:trPr>
          <w:cantSplit/>
          <w:trHeight w:val="97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100</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★基本要求6</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数据库应当符合安全可靠测评要求</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通过政府有关部门指定的中国 信息安全测评中心和国家保密 科技测评中心网站查看安全可 靠测评结果</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101</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安全架构</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将系统管理员分为数据库管理员、数据 库安全员和数据库审计员三种类型</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三元管理的安全架构，避免单 个用户权力集中而出现数据篡 改等隐患，此项提高安全性</w:t>
            </w:r>
          </w:p>
        </w:tc>
      </w:tr>
      <w:tr>
        <w:tblPrEx>
          <w:tblLayout w:type="fixed"/>
          <w:tblCellMar>
            <w:top w:w="0" w:type="dxa"/>
            <w:left w:w="0" w:type="dxa"/>
            <w:bottom w:w="0" w:type="dxa"/>
            <w:right w:w="0" w:type="dxa"/>
          </w:tblCellMar>
        </w:tblPrEx>
        <w:trPr>
          <w:cantSplit/>
          <w:trHeight w:val="728"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102</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★漏洞管理</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建立漏洞管理机制，及时通过邮件、网 站等方式将安全漏洞告知用户，并提供 安全补丁对漏洞进行修复</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建立漏洞管理机制，此项提高 安全性</w:t>
            </w:r>
          </w:p>
        </w:tc>
      </w:tr>
      <w:tr>
        <w:tblPrEx>
          <w:tblLayout w:type="fixed"/>
          <w:tblCellMar>
            <w:top w:w="0" w:type="dxa"/>
            <w:left w:w="0" w:type="dxa"/>
            <w:bottom w:w="0" w:type="dxa"/>
            <w:right w:w="0" w:type="dxa"/>
          </w:tblCellMar>
        </w:tblPrEx>
        <w:trPr>
          <w:cantSplit/>
          <w:trHeight w:val="49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103</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★身份鉴别 及访问控制</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提供身份鉴别及访问控制，加解密的密 码要求符合 GM/T0028 的相关规定</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通过商用密码检测机构检测并 经商用密码认证机构认证合格</w:t>
            </w:r>
          </w:p>
        </w:tc>
      </w:tr>
      <w:tr>
        <w:tblPrEx>
          <w:tblLayout w:type="fixed"/>
          <w:tblCellMar>
            <w:top w:w="0" w:type="dxa"/>
            <w:left w:w="0" w:type="dxa"/>
            <w:bottom w:w="0" w:type="dxa"/>
            <w:right w:w="0" w:type="dxa"/>
          </w:tblCellMar>
        </w:tblPrEx>
        <w:trPr>
          <w:cantSplit/>
          <w:trHeight w:val="254"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104</w:t>
            </w:r>
          </w:p>
        </w:tc>
        <w:tc>
          <w:tcPr>
            <w:tcW w:w="683"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防篡改</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a) 支持对指定的表开启防篡改能力，</w:t>
            </w:r>
          </w:p>
        </w:tc>
        <w:tc>
          <w:tcPr>
            <w:tcW w:w="20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保证数据的完整性和可靠性， 此项是根据用户需要提供高安 全要求</w:t>
            </w: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开启后，对重要数据的增、删、改操作，</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96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记录篡改校验信息，并提供篡改校验能</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力；</w:t>
            </w: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b) 支持对指定的表开启追溯能力，开 启后，对数据的变更具有全向追溯能</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40"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力，能够记录数据变更的历史信息以及</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236"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1012"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相应的操作记录</w:t>
            </w:r>
          </w:p>
        </w:tc>
        <w:tc>
          <w:tcPr>
            <w:tcW w:w="20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105</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全密态</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支持全密态的等值、非等值查询能力</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从客户端到服务端的数据全生 命周期的加密保护，此项是根 据用户需要提供的高安全要求</w:t>
            </w:r>
          </w:p>
        </w:tc>
      </w:tr>
      <w:tr>
        <w:tblPrEx>
          <w:tblLayout w:type="fixed"/>
          <w:tblCellMar>
            <w:top w:w="0" w:type="dxa"/>
            <w:left w:w="0" w:type="dxa"/>
            <w:bottom w:w="0" w:type="dxa"/>
            <w:right w:w="0" w:type="dxa"/>
          </w:tblCellMar>
        </w:tblPrEx>
        <w:trPr>
          <w:cantSplit/>
          <w:trHeight w:val="253" w:hRule="atLeast"/>
          <w:jc w:val="center"/>
        </w:trPr>
        <w:tc>
          <w:tcPr>
            <w:tcW w:w="596"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106</w:t>
            </w:r>
          </w:p>
        </w:tc>
        <w:tc>
          <w:tcPr>
            <w:tcW w:w="683"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w:t>
            </w:r>
          </w:p>
        </w:tc>
        <w:tc>
          <w:tcPr>
            <w:tcW w:w="1012"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安全扩展要</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支持自身数据的动态脱敏和透明加密</w:t>
            </w:r>
          </w:p>
        </w:tc>
        <w:tc>
          <w:tcPr>
            <w:tcW w:w="2074" w:type="dxa"/>
            <w:tcBorders>
              <w:top w:val="single" w:color="000000" w:sz="4" w:space="0"/>
              <w:left w:val="single" w:color="000000" w:sz="4" w:space="0"/>
              <w:bottom w:val="nil"/>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是根据用户需要提供的高安全</w:t>
            </w:r>
          </w:p>
        </w:tc>
      </w:tr>
      <w:tr>
        <w:tblPrEx>
          <w:tblLayout w:type="fixed"/>
          <w:tblCellMar>
            <w:top w:w="0" w:type="dxa"/>
            <w:left w:w="0" w:type="dxa"/>
            <w:bottom w:w="0" w:type="dxa"/>
            <w:right w:w="0" w:type="dxa"/>
          </w:tblCellMar>
        </w:tblPrEx>
        <w:trPr>
          <w:cantSplit/>
          <w:trHeight w:val="237" w:hRule="atLeast"/>
          <w:jc w:val="center"/>
        </w:trPr>
        <w:tc>
          <w:tcPr>
            <w:tcW w:w="596"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683"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c>
          <w:tcPr>
            <w:tcW w:w="1012"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求</w:t>
            </w:r>
          </w:p>
        </w:tc>
        <w:tc>
          <w:tcPr>
            <w:tcW w:w="781"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316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tc>
        <w:tc>
          <w:tcPr>
            <w:tcW w:w="2074" w:type="dxa"/>
            <w:tcBorders>
              <w:top w:val="nil"/>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要求</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107</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闪回查询</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支持数据库闪回查询</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指定查询某个指定时间戳或某 个变更前的数据，此项是根据 用户需要提供的高安全要求</w:t>
            </w:r>
          </w:p>
        </w:tc>
      </w:tr>
      <w:tr>
        <w:tblPrEx>
          <w:tblLayout w:type="fixed"/>
          <w:tblCellMar>
            <w:top w:w="0" w:type="dxa"/>
            <w:left w:w="0" w:type="dxa"/>
            <w:bottom w:w="0" w:type="dxa"/>
            <w:right w:w="0" w:type="dxa"/>
          </w:tblCellMar>
        </w:tblPrEx>
        <w:trPr>
          <w:cantSplit/>
          <w:trHeight w:val="730" w:hRule="atLeast"/>
          <w:jc w:val="center"/>
        </w:trPr>
        <w:tc>
          <w:tcPr>
            <w:tcW w:w="59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108</w:t>
            </w:r>
          </w:p>
        </w:tc>
        <w:tc>
          <w:tcPr>
            <w:tcW w:w="683"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安全 要求</w:t>
            </w:r>
          </w:p>
        </w:tc>
        <w:tc>
          <w:tcPr>
            <w:tcW w:w="101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闪回恢复</w:t>
            </w:r>
          </w:p>
        </w:tc>
        <w:tc>
          <w:tcPr>
            <w:tcW w:w="781"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p>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否</w:t>
            </w:r>
          </w:p>
        </w:tc>
        <w:tc>
          <w:tcPr>
            <w:tcW w:w="3160"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支持闪回查询实时恢复数据，支持不同 级别（如库级、表级等）的闪回恢复</w:t>
            </w:r>
          </w:p>
        </w:tc>
        <w:tc>
          <w:tcPr>
            <w:tcW w:w="20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before="26" w:line="240" w:lineRule="auto"/>
              <w:ind w:left="120" w:right="213"/>
              <w:rPr>
                <w:rFonts w:hint="eastAsia" w:asciiTheme="majorEastAsia" w:hAnsiTheme="majorEastAsia" w:eastAsiaTheme="majorEastAsia" w:cstheme="majorEastAsia"/>
                <w:kern w:val="2"/>
                <w:sz w:val="24"/>
                <w:szCs w:val="24"/>
                <w:lang w:eastAsia="zh-CN"/>
              </w:rPr>
            </w:pPr>
            <w:r>
              <w:rPr>
                <w:rFonts w:hint="eastAsia" w:asciiTheme="majorEastAsia" w:hAnsiTheme="majorEastAsia" w:eastAsiaTheme="majorEastAsia" w:cstheme="majorEastAsia"/>
                <w:kern w:val="2"/>
                <w:sz w:val="24"/>
                <w:szCs w:val="24"/>
                <w:lang w:eastAsia="zh-CN"/>
              </w:rPr>
              <w:t>闪回是数据库系统快速恢复错 误的机制，是根据用户需要提 供的高安全要求</w:t>
            </w:r>
          </w:p>
        </w:tc>
      </w:tr>
    </w:tbl>
    <w:p>
      <w:pPr>
        <w:spacing w:before="26" w:line="338" w:lineRule="auto"/>
        <w:ind w:left="120" w:right="213" w:firstLine="480"/>
        <w:rPr>
          <w:rFonts w:hint="eastAsia" w:asciiTheme="majorEastAsia" w:hAnsiTheme="majorEastAsia" w:eastAsiaTheme="majorEastAsia" w:cstheme="majorEastAsia"/>
          <w:b/>
          <w:bCs/>
          <w:sz w:val="24"/>
          <w:szCs w:val="24"/>
        </w:rPr>
      </w:pPr>
    </w:p>
    <w:p>
      <w:pPr>
        <w:tabs>
          <w:tab w:val="left" w:pos="1380"/>
        </w:tabs>
        <w:ind w:left="120"/>
        <w:rPr>
          <w:rFonts w:hint="eastAsia" w:asciiTheme="majorEastAsia" w:hAnsiTheme="majorEastAsia" w:eastAsiaTheme="majorEastAsia" w:cstheme="majorEastAsia"/>
          <w:w w:val="105"/>
          <w:sz w:val="24"/>
          <w:szCs w:val="24"/>
        </w:rPr>
      </w:pPr>
      <w:r>
        <w:rPr>
          <w:rFonts w:hint="eastAsia" w:asciiTheme="majorEastAsia" w:hAnsiTheme="majorEastAsia" w:eastAsiaTheme="majorEastAsia" w:cstheme="majorEastAsia"/>
          <w:w w:val="105"/>
          <w:sz w:val="24"/>
          <w:szCs w:val="24"/>
        </w:rPr>
        <w:br w:type="page"/>
      </w:r>
    </w:p>
    <w:p>
      <w:pPr>
        <w:tabs>
          <w:tab w:val="left" w:pos="1380"/>
        </w:tabs>
        <w:ind w:left="120"/>
        <w:rPr>
          <w:rFonts w:hint="eastAsia" w:asciiTheme="majorEastAsia" w:hAnsiTheme="majorEastAsia" w:eastAsiaTheme="majorEastAsia" w:cstheme="majorEastAsia"/>
          <w:w w:val="105"/>
          <w:sz w:val="24"/>
          <w:szCs w:val="24"/>
          <w:u w:val="single" w:color="000000"/>
        </w:rPr>
      </w:pPr>
      <w:r>
        <w:rPr>
          <w:rFonts w:hint="eastAsia" w:asciiTheme="majorEastAsia" w:hAnsiTheme="majorEastAsia" w:eastAsiaTheme="majorEastAsia" w:cstheme="majorEastAsia"/>
          <w:w w:val="105"/>
          <w:sz w:val="24"/>
          <w:szCs w:val="24"/>
        </w:rPr>
        <w:t>1.4.2.1.</w:t>
      </w:r>
      <w:r>
        <w:rPr>
          <w:rFonts w:hint="eastAsia" w:asciiTheme="majorEastAsia" w:hAnsiTheme="majorEastAsia" w:eastAsiaTheme="majorEastAsia" w:cstheme="majorEastAsia"/>
          <w:w w:val="105"/>
          <w:sz w:val="24"/>
          <w:szCs w:val="24"/>
        </w:rPr>
        <w:tab/>
      </w:r>
      <w:r>
        <w:rPr>
          <w:rFonts w:hint="eastAsia" w:asciiTheme="majorEastAsia" w:hAnsiTheme="majorEastAsia" w:eastAsiaTheme="majorEastAsia" w:cstheme="majorEastAsia"/>
          <w:w w:val="105"/>
          <w:sz w:val="24"/>
          <w:szCs w:val="24"/>
          <w:u w:val="single" w:color="000000"/>
        </w:rPr>
        <w:t>在满足通用参数基础上集中式数据库需满足的其他参数要求</w:t>
      </w:r>
    </w:p>
    <w:p>
      <w:pPr>
        <w:rPr>
          <w:rFonts w:hint="eastAsia" w:asciiTheme="majorEastAsia" w:hAnsiTheme="majorEastAsia" w:eastAsiaTheme="majorEastAsia" w:cstheme="majorEastAsia"/>
          <w:w w:val="105"/>
          <w:sz w:val="24"/>
          <w:szCs w:val="24"/>
          <w:u w:val="single" w:color="000000"/>
        </w:rPr>
      </w:pPr>
    </w:p>
    <w:tbl>
      <w:tblPr>
        <w:tblStyle w:val="52"/>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217"/>
        <w:gridCol w:w="7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jc w:val="cente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序号</w:t>
            </w:r>
          </w:p>
        </w:tc>
        <w:tc>
          <w:tcPr>
            <w:tcW w:w="1217" w:type="dxa"/>
            <w:vAlign w:val="center"/>
          </w:tcPr>
          <w:p>
            <w:pPr>
              <w:jc w:val="cente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功能项</w:t>
            </w:r>
          </w:p>
        </w:tc>
        <w:tc>
          <w:tcPr>
            <w:tcW w:w="7442" w:type="dxa"/>
            <w:vAlign w:val="center"/>
          </w:tcPr>
          <w:p>
            <w:pPr>
              <w:jc w:val="cente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功能要求</w:t>
            </w:r>
          </w:p>
        </w:tc>
        <w:tc>
          <w:tcPr>
            <w:tcW w:w="7442"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支持在国产化平台上进行安装部署，产品采用一套代码同时兼容多款异构数据库，安装过程中可选择Oracle、Mysql、SQL Server、Postgresql任意一种模式进行初始化，降低运维管控成本。数据库管理系统支持采用一套代码同时兼容多款异构数据库，数据库实例初始化时支持Oracle、Mysql、SQL Server、Postgresql兼容模式选择以体现广泛的应用兼容能力。以上需求应提供第三方测试报告证明。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功能要求</w:t>
            </w:r>
          </w:p>
        </w:tc>
        <w:tc>
          <w:tcPr>
            <w:tcW w:w="7442"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支持在创建索引create index与更新索引alter index语句中使用并行子句 parallel_clause设定索引创建的并行性。支持通过关键字PARALLEL指定 创建索引时启用并行创建功能，支持通过在PARALLEL关键字后设置并行进程数；支持通过NO PARALLEL关键字指定创建索引时关闭并行创建功能。以上需求应提供第三方测试报告证明。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功能要求</w:t>
            </w:r>
          </w:p>
        </w:tc>
        <w:tc>
          <w:tcPr>
            <w:tcW w:w="7442" w:type="dxa"/>
            <w:vAlign w:val="center"/>
          </w:tcPr>
          <w:p>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数据库产品可以提供QueryMapping查询映射功能，支持对DQL、DML及特定DDL等SQL语法的解析；支持语句级的Wildcard模式，以实现对表名、列名及变长数组的模糊匹配</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功能要求</w:t>
            </w:r>
          </w:p>
        </w:tc>
        <w:tc>
          <w:tcPr>
            <w:tcW w:w="7442" w:type="dxa"/>
            <w:vAlign w:val="center"/>
          </w:tcPr>
          <w:p>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支持对负数常量的精准识别，并具备将单条SQL语 句转换为多条执行语句的拆分能力，并在Text、Wildcard、Semantics多种模式下支持前后台函数的匹配，并配套提供专用的SQL转换工具、 Debug调试工具及数据缓存机制</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功能要求</w:t>
            </w:r>
          </w:p>
        </w:tc>
        <w:tc>
          <w:tcPr>
            <w:tcW w:w="7442"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支持创建索引可指定可见性，支持在CREATE INDEX语句中使用VISIBLE关键字创</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建可见索引，使用INVISIBLE关键字创建不可见索引；支持修改索引的可见性，支持在ALTER INDEX语句中使用VISIBLE关键字修改索引为可见，使用INVISBLE关键字修改索引为不可见；支持通过GUC参数设置优化器是否使用不可见索引；支持all_indexes视图中增加索引可见 性属性相关字段VISIBILITY、DOMIDX_MANAGEMENT、SEGMENT_CREATED、ORPHANED_ENTRIES、INDEXING、AUTO、CONSTRAINT_INDEX;支持在hint中指定不可见索引，对于优化器忽略 的不可见索引，仍可通过hint使用INDEX关键字指定其被优化器使用。以上需求应提供第三方测试报告证明。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6</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功能要求</w:t>
            </w:r>
          </w:p>
        </w:tc>
        <w:tc>
          <w:tcPr>
            <w:tcW w:w="7442"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支持在 Oracle、MySQL、SQLServer 三种数据库兼容模式下支持表继承的功能。父表支持普通表和外部表，父表的 DML 操作可以通过定义控制对子表 的级联影响；以上需求应提供第三方测试报告证明。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7</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安全性</w:t>
            </w:r>
          </w:p>
        </w:tc>
        <w:tc>
          <w:tcPr>
            <w:tcW w:w="7442"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数据存储应支持透明存储加密和手动数据加密功能，其中加密算法支持对称加密算法RC4、AES、DES/3DES、Blowfish、SM4；支持非对称加密算法SM2；支持摘要算法MD5；支持散列函数算法SM3多种算法，支持单机和集群场景。数据库系统应支持数据库管理员(SYSTEM)，数据库安全员(SSO)，数据库审计员 (SAO)和数据库对象操作员 (SOO)“多权分立”的安全设计架构，在行级访问控制具备安全员为用户授予READ、FULL 、WRITEUP 、WRITEDOWN、WRITEACROSS策略特权的能力。以上需求应提供第三方测试报告证明。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val="en-US" w:eastAsia="zh-CN"/>
              </w:rPr>
              <w:t>8</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兼容性</w:t>
            </w:r>
          </w:p>
        </w:tc>
        <w:tc>
          <w:tcPr>
            <w:tcW w:w="7442"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产品应兼容Oracle查询语句中分组查询子句group by子句、having子句、 以及层级查询子句start with子句、connect by子句可任意交换位置的写法。应兼容Oracle的XMLtable函数，支持xml数据行话与映射提取，支  持Xquery表达式解析执行，支持passing子句实现变量绑定功能， 支持Columns子句作为可选项，可通过Columns子句自定义返回列  名与数据类型，或省略columns子句直接返回xml节点序列。数据库管理系统在兼容Oracle，Mysql，SQLServer与PostgreSQL的模式中执行包含CTID过滤的查询语句，全部模式都支持行标识范围扫描TID Range Scan，能够在该查询语句的执行计划中显示TID Range Scan扫描关键字，与不使用TID Range Scan扫描方式的执行计划相区别；支持对普通表、全局临时表、本地临时表、非日志表unlogged表、分区表、继承表、类型化表Typed table、物化视图等使用TID Range Scan扫描方式。以上需求应提供第三方测试报告证明。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29" w:type="dxa"/>
            <w:vAlign w:val="center"/>
          </w:tcPr>
          <w:p>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val="en-US" w:eastAsia="zh-CN"/>
              </w:rPr>
              <w:t>9</w:t>
            </w:r>
          </w:p>
        </w:tc>
        <w:tc>
          <w:tcPr>
            <w:tcW w:w="1217"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功能要求</w:t>
            </w:r>
          </w:p>
        </w:tc>
        <w:tc>
          <w:tcPr>
            <w:tcW w:w="7442" w:type="dxa"/>
            <w:vAlign w:val="center"/>
          </w:tcPr>
          <w:p>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数据库对象管理工具应支持对计划任务的管理，包括：支持对作业Job、程序Program、调度程序Scchedule类型的计划任务进行管理；支持对计划任务进行实例级别的管理，可集中管控，简化管理复杂度；支持创建程序时，无需用户手动输入数据库名、用户名等数据库连接信息，可自动生成本库任务；支持使用时间日期设置调度任务，支持包括时间间隔和时间表达式两种形式的时间日期设置方式；支持查看计划任务的执行情况；支持不同版本数据库的计划任务共存管理，可根据数据库版本自动判断和切换计划任务管理策略</w:t>
            </w:r>
            <w:bookmarkStart w:id="2" w:name="OLE_LINK18"/>
            <w:r>
              <w:rPr>
                <w:rFonts w:hint="eastAsia" w:asciiTheme="majorEastAsia" w:hAnsiTheme="majorEastAsia" w:eastAsiaTheme="majorEastAsia" w:cstheme="majorEastAsia"/>
                <w:sz w:val="24"/>
                <w:szCs w:val="24"/>
              </w:rPr>
              <w:t>；</w:t>
            </w:r>
            <w:bookmarkEnd w:id="2"/>
            <w:r>
              <w:rPr>
                <w:rFonts w:hint="eastAsia" w:asciiTheme="majorEastAsia" w:hAnsiTheme="majorEastAsia" w:eastAsiaTheme="majorEastAsia" w:cstheme="majorEastAsia"/>
                <w:sz w:val="24"/>
                <w:szCs w:val="24"/>
              </w:rPr>
              <w:t>所提供数据库产品应具备高度兼容现有生产环境生态的能力，可以复用现有DBA技术栈与运维工具链,便于项目整体运维管理。以上需求应提供第三方测试报告证明。</w:t>
            </w:r>
          </w:p>
        </w:tc>
      </w:tr>
    </w:tbl>
    <w:p>
      <w:pPr>
        <w:rPr>
          <w:rFonts w:hint="eastAsia" w:asciiTheme="majorEastAsia" w:hAnsiTheme="majorEastAsia" w:eastAsiaTheme="majorEastAsia" w:cstheme="majorEastAsia"/>
          <w:sz w:val="24"/>
          <w:szCs w:val="24"/>
        </w:rPr>
      </w:pPr>
    </w:p>
    <w:p>
      <w:pPr>
        <w:spacing w:line="375" w:lineRule="exact"/>
        <w:ind w:left="120"/>
        <w:rPr>
          <w:rFonts w:hint="eastAsia" w:asciiTheme="majorEastAsia" w:hAnsiTheme="majorEastAsia" w:eastAsiaTheme="majorEastAsia" w:cstheme="majorEastAsia"/>
          <w:b w:val="0"/>
          <w:sz w:val="24"/>
          <w:szCs w:val="24"/>
        </w:rPr>
      </w:pPr>
      <w:r>
        <w:rPr>
          <w:rFonts w:hint="eastAsia" w:asciiTheme="majorEastAsia" w:hAnsiTheme="majorEastAsia" w:eastAsiaTheme="majorEastAsia" w:cstheme="majorEastAsia"/>
          <w:b/>
          <w:sz w:val="24"/>
          <w:szCs w:val="24"/>
        </w:rPr>
        <w:br w:type="pag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pacing w:val="0"/>
          <w:sz w:val="24"/>
          <w:szCs w:val="24"/>
        </w:rPr>
        <w:t xml:space="preserve"> </w:t>
      </w:r>
      <w:r>
        <w:rPr>
          <w:rFonts w:hint="eastAsia" w:asciiTheme="majorEastAsia" w:hAnsiTheme="majorEastAsia" w:eastAsiaTheme="majorEastAsia" w:cstheme="majorEastAsia"/>
          <w:sz w:val="24"/>
          <w:szCs w:val="24"/>
          <w:u w:val="single" w:color="000000"/>
          <w:lang w:eastAsia="zh-CN"/>
        </w:rPr>
        <w:t>服务器操作系统、桌面操作系统</w:t>
      </w:r>
      <w:r>
        <w:rPr>
          <w:rFonts w:hint="eastAsia" w:asciiTheme="majorEastAsia" w:hAnsiTheme="majorEastAsia" w:eastAsiaTheme="majorEastAsia" w:cstheme="majorEastAsia"/>
          <w:sz w:val="24"/>
          <w:szCs w:val="24"/>
          <w:u w:val="single" w:color="000000"/>
        </w:rPr>
        <w:t>通用参数</w:t>
      </w:r>
    </w:p>
    <w:p>
      <w:pPr>
        <w:spacing w:before="2"/>
        <w:rPr>
          <w:rFonts w:hint="eastAsia" w:asciiTheme="majorEastAsia" w:hAnsiTheme="majorEastAsia" w:eastAsiaTheme="majorEastAsia" w:cstheme="majorEastAsia"/>
          <w:b/>
          <w:bCs/>
          <w:sz w:val="24"/>
          <w:szCs w:val="24"/>
        </w:rPr>
      </w:pPr>
    </w:p>
    <w:p>
      <w:pPr>
        <w:spacing w:before="26" w:line="338" w:lineRule="auto"/>
        <w:ind w:left="120" w:right="213" w:firstLine="48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★投标人承诺所</w:t>
      </w:r>
      <w:r>
        <w:rPr>
          <w:rFonts w:hint="eastAsia" w:asciiTheme="majorEastAsia" w:hAnsiTheme="majorEastAsia" w:eastAsiaTheme="majorEastAsia" w:cstheme="majorEastAsia"/>
          <w:sz w:val="24"/>
          <w:szCs w:val="24"/>
          <w:highlight w:val="none"/>
        </w:rPr>
        <w:t>投</w:t>
      </w:r>
      <w:r>
        <w:rPr>
          <w:rFonts w:hint="eastAsia" w:asciiTheme="majorEastAsia" w:hAnsiTheme="majorEastAsia" w:eastAsiaTheme="majorEastAsia" w:cstheme="majorEastAsia"/>
          <w:sz w:val="24"/>
          <w:szCs w:val="24"/>
          <w:highlight w:val="none"/>
          <w:lang w:eastAsia="zh-CN"/>
        </w:rPr>
        <w:t>操作系统</w:t>
      </w:r>
      <w:r>
        <w:rPr>
          <w:rFonts w:hint="eastAsia" w:asciiTheme="majorEastAsia" w:hAnsiTheme="majorEastAsia" w:eastAsiaTheme="majorEastAsia" w:cstheme="majorEastAsia"/>
          <w:sz w:val="24"/>
          <w:szCs w:val="24"/>
          <w:highlight w:val="none"/>
        </w:rPr>
        <w:t>满足</w:t>
      </w:r>
      <w:r>
        <w:rPr>
          <w:rFonts w:hint="eastAsia" w:asciiTheme="majorEastAsia" w:hAnsiTheme="majorEastAsia" w:eastAsiaTheme="majorEastAsia" w:cstheme="majorEastAsia"/>
          <w:sz w:val="24"/>
          <w:szCs w:val="24"/>
        </w:rPr>
        <w:t>全部要求，</w:t>
      </w:r>
      <w:r>
        <w:rPr>
          <w:rFonts w:hint="eastAsia" w:asciiTheme="majorEastAsia" w:hAnsiTheme="majorEastAsia" w:eastAsiaTheme="majorEastAsia" w:cstheme="majorEastAsia"/>
          <w:b/>
          <w:bCs/>
          <w:sz w:val="24"/>
          <w:szCs w:val="24"/>
        </w:rPr>
        <w:t>提供加盖投标人公章的承诺函（格式自拟），否则作无效投标处理。</w:t>
      </w:r>
    </w:p>
    <w:p>
      <w:pPr>
        <w:spacing w:before="26" w:line="338" w:lineRule="auto"/>
        <w:ind w:left="120" w:right="213" w:firstLine="480"/>
        <w:jc w:val="cente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服务器操作系统</w:t>
      </w:r>
    </w:p>
    <w:tbl>
      <w:tblPr>
        <w:tblStyle w:val="52"/>
        <w:tblW w:w="9102" w:type="dxa"/>
        <w:tblInd w:w="0" w:type="dxa"/>
        <w:shd w:val="clear" w:color="auto" w:fill="auto"/>
        <w:tblLayout w:type="fixed"/>
        <w:tblCellMar>
          <w:top w:w="0" w:type="dxa"/>
          <w:left w:w="0" w:type="dxa"/>
          <w:bottom w:w="0" w:type="dxa"/>
          <w:right w:w="0" w:type="dxa"/>
        </w:tblCellMar>
      </w:tblPr>
      <w:tblGrid>
        <w:gridCol w:w="533"/>
        <w:gridCol w:w="721"/>
        <w:gridCol w:w="1440"/>
        <w:gridCol w:w="1544"/>
        <w:gridCol w:w="1033"/>
        <w:gridCol w:w="2145"/>
        <w:gridCol w:w="1686"/>
      </w:tblGrid>
      <w:tr>
        <w:tblPrEx>
          <w:shd w:val="clear" w:color="auto" w:fill="auto"/>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序号</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分类</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一级指标</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sz w:val="24"/>
                <w:szCs w:val="24"/>
                <w:lang w:val="en-US" w:eastAsia="zh-CN" w:bidi="ar"/>
              </w:rPr>
              <w:t xml:space="preserve"> 二级指标</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是否可以作为评分因素</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指标要求</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指标使用说明</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★操作系统支持多 CPU 架构</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★同源兼容多CPU 平台架构</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操作系统支持同源兼容 ARM、LoongArch、MIPS、SW64、x86 架构的CPU</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采购人可根据实际需要指定需要兼容的CPU 架构</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★操作系统支持CPU 内置功能</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★多核支持</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操作系统支持双核及多核处理器，包括核间负载均衡、线程绑定等，并提供接口，通过访问接口获取运行状态和控制多核调度</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多核调度可有效提升多任务并发处理能力</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★CPU 虚拟化支持</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 CPU 虚拟化技术</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CPU 硬件虚拟化可以有效提升虚拟化效率</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★动态调节 CPU运行频率</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操作系统根据负载情况，自动调节 CPU的运行频率</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支持此项功能可有效提升计算机能效</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★支持多 CPU</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支持跨路内存访问，支持 CPU 间负载均衡，支持并优化 NUMA 体系架构</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提高多任务并行计算与内存访问效率</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 CPU 内置安全功能</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CPU 硬件密码运算与随机数生成等功能；提供编程接口供应用程序调用；支持通过硬件指令判别临界区冲突；支持调用CPU 指令，实现自旋锁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提高密码运算效率，提升物理级安全防护能力</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★安装部署</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★安装方式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操作系统支持光盘安装、USB 闪存盘安装、网络安装和无人值守安装</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满足用户不同应用场景安装需求</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★安装模式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操作系统支持图形或文本安装模式</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满足用户不同应用场景安装需求</w:t>
            </w:r>
          </w:p>
        </w:tc>
      </w:tr>
      <w:tr>
        <w:tblPrEx>
          <w:tblLayout w:type="fixed"/>
          <w:tblCellMar>
            <w:top w:w="0" w:type="dxa"/>
            <w:left w:w="0" w:type="dxa"/>
            <w:bottom w:w="0" w:type="dxa"/>
            <w:right w:w="0" w:type="dxa"/>
          </w:tblCellMar>
        </w:tblPrEx>
        <w:trPr>
          <w:trHeight w:val="78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★安装过程配置</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操作系统支持安装界面文种设置、逻辑分区配置（如 LVM）、自定义分区设置、安装组件设置、时区设置、键盘布局设置、初始用户设置、计算机名设置和网络设置，支持通过 USB 闪存盘等方式加载硬件驱动、支持设置加密文件系统</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同时满足普通用户及专业技术人员安装部署可行化配置需求</w:t>
            </w:r>
          </w:p>
        </w:tc>
      </w:tr>
      <w:tr>
        <w:tblPrEx>
          <w:tblLayout w:type="fixed"/>
          <w:tblCellMar>
            <w:top w:w="0" w:type="dxa"/>
            <w:left w:w="0" w:type="dxa"/>
            <w:bottom w:w="0" w:type="dxa"/>
            <w:right w:w="0" w:type="dxa"/>
          </w:tblCellMar>
        </w:tblPrEx>
        <w:trPr>
          <w:trHeight w:val="18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★系统引导</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a)操作系统应支持UEFI2.0 及以上规范固件引导，当计算机以UEFI模式启动安装时，安装程序应分配 ESP，并在 ESP中放置启动引导文件，使系统能以UEFI模式引导；b)支持 bootloader 引导，支持 MBR 及GPT</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UEFI 是主流的固件规范，支持 UEFI 为操作系统基本功能</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★引导修复</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操作系统安装媒体提供系统引导修复功能，当已安装的系统引导被破坏时，可重建系统引导</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★引导参数编辑</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操作系统支持用户编辑引导参数，支持GRUB 口令保护</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★数据保护</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安装程序在安装执行前明确提示用户可能会删除已有数据，并提供退出/取消功能，当用户取消安装时，不改变硬盘上已有数据</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避免用户数据未经确认被格式化删除</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★分辨率自适应</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操作系统安装完成后应自动适配显示器最佳分辨率(文本模式除外)</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★安装配置正确性校验</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操作系统安装和配置过程中，如用户自定义的某些配置可能会影响系统启动或正常使用，予以明确提示</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0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★系统内核</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★内核要求</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a)若操作系统是基于Linux 内核的服务器操作系统应兼容 4.19 版内核b)若操作系统属于其他类型内核不做要求</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对操作系统兼容的内核版本提出要求，可提高不同批次采购的操作系统的兼容性；若操作系统市场主流内核版本升级，采购人可根据情况参考相关国家、行业或团体标准调整应兼容的内核版本</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★进程、线程调      度</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★NUMA</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操作系统支持基于 NUMA 的亲和调度</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★多核轮询</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 CPU 多核轮询调度</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★进程调度</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操作系统具备进程优先级动态调整能力，允许在进程运行时对优先级进行调整；区分实时进程与非实时进程，分别进行调度；支持进程运行状态检查</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★内存容量</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操作系统支持最大内存不小于 4TB</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操作系统须支持，支持的最大内存越大，表明操作系统扩展能力越强</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★内存大页管理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操作系统允许应用申请内存大页降低页表转换</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★NUMA</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 NUMA 近节点优化</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内存超分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操作系统支持虚拟内存超分，提升内存的使用率</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采购人根据实际需求选择，该功能多用于云计算场景下</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★存储管理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★RAID 支持</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操作系统支持硬 RAID 和软 RAID，支持软 RAID 级别 0、1、5、6、10</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★虚拟文件系统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操作系统支持将不同功能的外部设备抽象为统一的文件操作接口，包括存储、输入输出设备</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操作系统支持文件存储、检索和共享</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★可移动存储</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操作系统支持对可移动外部存储的管理，包括启停、禁用、恢复等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★外部独立存储</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操作系统支持使用外部独立存储设备</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★多路径聚合</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操作系统支持存储多路径聚合及 I/O 动态负载均衡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★故障检测</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操作系统支持硬盘损坏或老化检测及信息收集</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★虚拟内存</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操作系统支持将硬盘的特定分区或文件作为虚拟扩展内存用于存放内存数据，支持虚拟内存压缩</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★网络块设备挂载</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FCoE、iSCSI，支持将 Ceph块设备视为常规存储设备挂载到某个目录并作为标准文件系统使用</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存储缓存</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操作系统支持快速块设备作为慢速块设备缓存以加速 I/O</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★网络链路检测</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操作系统支持网络链路故障检测、链路事件通知和链路状态查询</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★TCP 卸载引擎</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操作系统支持运行 TCP 协议卸载引擎的网卡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8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功能</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★网络协议</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 IPv4、IPv6</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8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★多网卡绑定</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操作系统支持多网卡绑定</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用户态 TCP/IP 协议栈</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操作系统支持用户态 TCP/IP 协议栈</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★文件系统</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★文件系统支持</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XFS、EXT3、EXT4、NTFS、FAT32 等文件系统，支持相应格式分区创建、删除、格式化等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日志式文件系统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操作系统支持日志式文件系统</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★文件处理能力</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操作系统支持最大文件不小于 4TB，最大分区与文件系统不小于 10PB，最大文件名长度不小于 255 字节</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★分区大小调整</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操作系统支持动态调整分区大小，对系统分区容量进行改变</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5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授权激活</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产品许可机制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a)操作系统支持序列号授权、批量激活服务、场地授权等方式；未激活期间，系统不得频繁提示干扰用户正常使用；未激活系统不得影响用户数据安全与完整性；b)免激活的系统不适用</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根据用户实际需求选择</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★应用开发运行     环境</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★集成开发环境/开发框架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操作系统通过内置、软件仓库或附加光盘等方式提供开发环境，包括Qt、Eclipse、VSCode 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15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★开发工具库</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操作系统通过内置、软件仓库或附加光盘等方式提供开发库，包括 GNU C、GNUC++、Java、Qt 、Gtk+、Cairo、OpenGL、Perl、Python、Ruby、Rust、Golang、JS 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★编译器开发工具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操作系统通过内置、软件仓库或附加光盘等方式提供编译开发工具，包括 GCC、G++、Binutils、GDB、Make、CMake 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★文本编辑工具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操作系统通过内置、软件仓库或附加光盘等方式提供文本编辑工具，包括Emacs、Vim 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★软件包管理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操作系统支持查询软件包描述和包含文件，以及软件包依赖；支持在安装时自动提示并下载安装缺失的依赖软件包</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★开发文档</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供应商应提供软件开发参考文档、驱动开发参考文档、应用移植开发文档、API文档</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28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★服务支持</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 TCP/UDP</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★网络共享</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 NFS、SMB、FTP、CIFS等协议的数据网络共享服务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★WEB 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 HTTP、HTTPS、FastCGI 等协议 WEB 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★加密传输服务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 IPSec 和 SSL 协议的隧道加密传输服务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★数字证书服务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操作系统支持基于PKI体系的数字证书服务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★访问控制服务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 RBAC(基于角色的访问控制)机制的访问控制服务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★网络管理服务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 SNMP、NETCONF、RESTCONF 等协议的网络管理服务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★时间同步服务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 NTP 协议网络时间同步服务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功能</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★远程连接服务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RPC、rsync、SSH 等远程服务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★邮件服务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 SMTP、POP3、IMAP等的邮件服务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★身份鉴别服务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操作系统支持基于轻量级目录访问协议的统一身份鉴别服务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★数据存储和查询服务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操作系统支持结构化和非结构化格式数据的存储和查询服务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操作系统支持块、文件、对象等类型的数据存储服务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SQL、NoSQL、键值等类型的数据库</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★存储服务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操作系统支持多种传输速率和存储协议的 SAN 和 NAS 存储</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★集群支持</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操作系统支持服务基于主备机制的分布式集群、高可用集群的部署模式</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操作系统支持服务基于分布式通信协议的分布式集群、高可用集群的部署模式</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操作系统支持基于虚拟路由器冗余协议的高可用集群部署模式</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★分布式服务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操作系统支持基于同步、异步请求处理机制的分布式服务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★负载均衡模式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操作系统支持基于OSI模型的 4/7 层和链路层的负载均衡模式</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操作系统支持基于不同调度算法的负载均衡模式</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★高可用服务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操作系统提供对 HA 的支持，支持多种集群配置模式，包括主主模式、主备模式、N+1 模式和 N+M 模式，支持资源及节点故障检测</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开源组件</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开源数据库</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供应商可通过安装镜像内置、软件仓库或附加光盘等方式提供开源数据库，并对提供的开源组件进行签名认证，确保组件的安全性、稳定性、可靠性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支持常见开源数据库越多越好，如采购人使用开源解决方案，可要求操作系统支持指定的开源数据库软件</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开源中间件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供应商可通过安装镜像内置、软件仓库或附加光盘等方式提供开源中间件，并对提供的开源组件进行签名认证，确保组件的安全性、稳定性、可靠性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支持常见开源中间件越多越好，如采购人使用开源解决方案，可要求操作系统支持指定的开源中间件软件</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单机虚拟化管理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供应商可通过安装镜像内置、软件仓库或附加光盘等方式提供开源单机虚拟化管理软件，并对提供的开源组件进行签名认证，确保组件的安全性、稳定性、可靠性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支持此模块更好，可满足特定的单机虚拟化需求</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容器虚拟化软件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供应商可通过安装镜像内置、软件仓库或附加光盘等方式提供开源容器虚拟化软件，并对提供的开源组件进行签名认证，确保组件的安全性、稳定性、可靠性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容器管理工具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供应商可通过安装镜像内置、软件仓库或附加光盘等方式提供开源容器管理工具，并对提供的开源组件进行签名认证，确保组件的安全性、稳定性、可靠性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支持容器管理组件越多越好，如采购人没有云采购预算，拟使用开源云方案，可要求操作系统支持主流的容器、云组件或云管理工具</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分布式存储软件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供应商可通过安装镜像内置、软件仓库或附加光盘等方式提供开源分布式存储软件，并对提供的开源组件进行签名认证，确保组件的安全性、稳定性、可靠性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支持分布式存储组件越多越好，如采购人没有云采购预算，拟使用开源云方案，可要求操作系统支持主流的容器、云组件或云管理工具</w:t>
            </w:r>
          </w:p>
        </w:tc>
      </w:tr>
      <w:tr>
        <w:tblPrEx>
          <w:tblLayout w:type="fixed"/>
          <w:tblCellMar>
            <w:top w:w="0" w:type="dxa"/>
            <w:left w:w="0" w:type="dxa"/>
            <w:bottom w:w="0" w:type="dxa"/>
            <w:right w:w="0" w:type="dxa"/>
          </w:tblCellMar>
        </w:tblPrEx>
        <w:trPr>
          <w:trHeight w:val="7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云计算管理平台</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供应商可通过安装镜像内置、软件仓库或附加光盘等方式提供开源云计算管理平台，并对提供的开源组件进行签名认证，确保组件的安全性、稳定性、可靠性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支持云计算管理平台组件越多越好，如采购人没有云采购预算，拟使用开源云方案，可要求操作系统支持主流的容器、云组件或云管理工具</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★虚拟化</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★虚拟化部署</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操作系统支持在 KVM、Xen、Hyper-V 虚拟机上安装部署操作系统</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0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★内核虚拟化(KVM)</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KVM 虚拟化：对虚拟机进行启、停等管理操作；对虚拟机硬盘做快照并从快照恢复；兼容qemu、libvirt 标准接口；支持 UEFI 或legacy BIOS 方式启动；支持虚拟时钟 arch-timer；支持虚拟鼠标、键盘、触控板、声卡、显卡、硬盘、CDROM、串口 pty/p ipe/file 等设备；支持 Virtio 协议下的虚拟设备，包括串口、blk 驱动硬盘、SCSI 驱动硬盘、不同后端控制器类型的 Virtio 网卡(包括内核态、用户态、qemu)、GPU、vsock设备等；支持硬盘和网卡选择类型VF IO设备；支持虚拟机 CPU、内存、网卡、硬盘等离线调整；支持虚拟机网卡、硬盘、USB 设备热插拔；支持 PCI/PCIE 设备直通；支持虚拟机热迁移和加密传输；支持虚拟机远程访问；支持虚拟机CPU 和 I/O 线程绑定</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shd w:val="clear" w:color="auto" w:fill="auto"/>
          <w:tblLayout w:type="fixed"/>
          <w:tblCellMar>
            <w:top w:w="0" w:type="dxa"/>
            <w:left w:w="0" w:type="dxa"/>
            <w:bottom w:w="0" w:type="dxa"/>
            <w:right w:w="0" w:type="dxa"/>
          </w:tblCellMar>
        </w:tblPrEx>
        <w:trPr>
          <w:trHeight w:val="24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★KVM 虚拟机管理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操作系统支持虚拟机对主机的访问控制；虚拟机可以拥有独立的物理资源，且各个虚拟机之间严格隔离；支持大页内存运行虚拟机；支持三种 CPU 型号模拟模式，包括直通、宿主模型、自定义；支持虚拟机资源调配控制，包括Numa、CPU、内存、I/O、网卡；支持 CPU 拓扑模拟和透传</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shd w:val="clear" w:color="auto" w:fill="auto"/>
          <w:tblLayout w:type="fixed"/>
          <w:tblCellMar>
            <w:top w:w="0" w:type="dxa"/>
            <w:left w:w="0" w:type="dxa"/>
            <w:bottom w:w="0" w:type="dxa"/>
            <w:right w:w="0" w:type="dxa"/>
          </w:tblCellMar>
        </w:tblPrEx>
        <w:trPr>
          <w:trHeight w:val="51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★容器</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★容器虚拟化</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操作系统支持OC I ；支持进程命名空间隔离技术包括不限于 mnt、pid、 ipc、uts、user、network 等；支持在同 CPU指令架构下的不同规格硬件上无缝分发，保障运行兼容性；支持沙箱扩展；支持面向容器的独立逻辑文件管理，具备在容器创建时指定专用根文件夹，容器内进程文件访问重定向等功能；支持日志查询功能；支持通过控制终端对容器内主进程的标准输入输出对接交互；支持通过控制终端对容器内新建进程的标准输入输出对接交互；支持容器存储卷管理（新增、删除、卷容量配置、自动回收）、卷共享；支持面向容器的网络设备资源分配和使用；支持CN I；支持容器获取物理节点资源信息</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★容器镜像和存储管理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操作系统支持容器镜像导入、导出；支持容器镜像分层保存、导入</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95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★容器资源隔离和调配</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操作系统支持容器资源在线调整，包括CPU 资源、内存资源、I/O 资源等；支持文件配额分配、存储带宽资源使用量监控等机制，实现容器级 I/O 控制能力；支持面向容器的网络带宽调度策略，实现容器级网络带宽分配、使用量监控等机制；支持面向容器的存储空间使用监控、分配机制；支持容器 CPU 核独占；支持面向容器的 CPU 时间片资源按需划分机制；支持面向容器的内存分配和回收机制，实现内存使用量跟踪和管理；支持同一集群在线、离线业务混合部署；支持对容器的编排、负载均衡、调度等能力；支持根据容器在线与离线混合部署状态进行资源优先调度，提高计算机资源利用率</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★中文支持</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★字符编码集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操作系统应符合 GB 18030 的要求</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有特定语言文字处理需求时可提出具体要求</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★中文帮助文档</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操作系统内置中文帮助文档</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此项为操作系统易用性基本要求</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多语言图形界面</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操作系统的多文种图形用户界面应支持 GB 18030 规定</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有特定语言文字处理需求时可提出具体要求</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中文图形界面</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操作系统支持中文图形操作界面</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图形化界面，提供更好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★管理工具</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★系统信息查看工具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操作系统支持查看系统版本、内核版本、内存容量、CPU 型号等信息</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5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操作系统支持多网口自动连接、网络地址（常被称为“ IP 地址”）设置、DNS设置、路由设置；支持多网卡链路聚合，模式类型包括但不仅限于轮询、主备、802.3AD 动态链路聚合</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日期和时间管理工具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操作系统可设置时间同步服务器地址，支持局域网和广域网的同步设置</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日志服务管理工具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操作系统支持收集系统日志</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★帐户管理工具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操作系统支持帐户添加、删除、属性修改等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★用户操作审计工具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操作系统支持用户操作痕迹查询</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★存储管理工具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EXT、XFS、NTFS、FAT、SWAP 等多种格式的分区管理</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★SNMP 协议工具包</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SNMP 设备和操作信息检索</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★文本终端连接工具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操作系统支持多终端协同管理</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★服务管理工具集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操作系统支持服务启动与停止，查看服务状态及日志，查询服务启动顺序及依赖关系</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★配置管理工具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操作系统提供配置管理工具，可以简化任务配置及服务管理</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★监控管理工具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操作系统支持监控系统资源使用情况，包含 CPU、内存、存储 I/O、网络 I/O等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★守护进程</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操作系统支持按需启动守护进程，用户可自定义设定需求守护的进程，如遇异常可重新加载，实现应用持续运行</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★基础组件兼容</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★版本兼容</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操作系统基础运行库或开发环境向后（向下）兼容，即系统版本升级后，能兼容上一版本所运行的软件与设备</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★兼容周期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操作系统主版本兼容维护时间自发布之日起不低于 5 年，包括但不限于安全修复、功能升级、新硬件支持等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兼容方式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操作系统支持以增量升级包的方式实现版本更新</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★运行环境</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★文件系统层次结构</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供应商应给出长期兼容支持的文件系统层次结构</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★运行库</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供应商应给出长期兼容支持的运行库</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★命令</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供应商应给出长期兼容支持的常用命令</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软件包格式</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软件包格式转换</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RPM 或 DEB 格式的软件包，当系统不支持 RPM 或 DEB 格式的软件包时，提供工具对软件包格式进行转换</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★软件兼容</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★集群软件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供应商提供兼容的集群软件清单，且至少兼容一款产品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★虚拟化云平台</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供应商提供兼容的虚拟化平台软件清单，且至少兼容三款产品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★容器云</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供应商提供兼容的容器云软件清单，且至少兼容三款产品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★存储软件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供应商提供兼容的存储软件清单，且至少兼容一款产品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★数据库管理系统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供应商提供兼容的数据库软件清单，且至少兼容三款产品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★中间件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供应商提供兼容的中间件软件清单，且至少兼容三款产品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★运维平台</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供应商提供兼容的运维平台软件清单，且至少兼容一款产品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★备份软件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供应商提供兼容的备份恢复软件清单，且至少兼容一款产品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★大数据平台</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供应商提供兼容的大数据平台软件清单，且至少兼容一款产品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★终端防护及杀毒</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供应商提供兼容的终端防护及杀毒软件清单，且至少兼容一款产品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★网络防护</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供应商提供兼容的网络防护软件清单，且至少兼容一款产品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★身份认证</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供应商提供兼容的身份认证软件清单，且至少兼容一款产品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兼容软件越多越好，版本越新越好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★硬件兼容</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★服务器整机</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供应商提供兼容的服务器整机品牌及型号清单，且至少兼容一款产品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兼容设备越多越好，兼容等级越高越好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★A I 服务器</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供应商提供兼容的A I服务器整机品牌及型号清单，且至少兼容一款产品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兼容设备越多越好，兼容等级越高越好</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★存储</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供应商提供兼容的存储服务器整机品牌及型号清单，且至少兼容一款产品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兼容设备越多越好，兼容等级越高越好</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★部件兼容</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供应商提供兼容的系统总线、HBA 卡、RAID 卡、网卡、光纤卡、A I 加速卡、GPU、NPU 等品牌及型号清单</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兼容设备越多越好，兼容等级越高越好</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★稳定性</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★操作系统连续运行 168 小时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操作系统高负载下连续常态运行 168 小时无故障</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★备份还原</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★备份还原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操作系统提供备份还原功能，支持生成系统状态快照及恢复系统状态</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★内存纠错</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★内存纠错</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DDR3、DDR4 等内存上的ECC 查错、纠错</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★热插拔</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CPU 热插拔</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硬件支持时，操作系统支持 CPU 热插拔</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内存热插拔</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硬件支持时，操作系统支持内存热插拔</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★硬盘热插拔</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硬件支持时，操作系统支持硬盘热插拔</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★维护工具</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★远程维护</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操作系统提供远程控制管理工具，支持RDP、SSH、SPICE、VNC 等协议，方便用户进行文本或图形化形式的远程连接及维护</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★文件完整检查</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操作系统提供文件系统检查工具，对文件系统完整性进行检测和修复</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★内核分析</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操作系统提供内核性能分析工具，提供性能分析框架，支持对内核函数层面进行分析；提供内核探测工具，支持对内核及用户态程序动态追踪</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集中管可控</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操作系统提供集中管控工具，支持对区域内服务器操作系统进行集中管理维护</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提高系统维护效率，支持该功能优于不支持</w:t>
            </w:r>
          </w:p>
        </w:tc>
      </w:tr>
      <w:tr>
        <w:tblPrEx>
          <w:tblLayout w:type="fixed"/>
          <w:tblCellMar>
            <w:top w:w="0" w:type="dxa"/>
            <w:left w:w="0" w:type="dxa"/>
            <w:bottom w:w="0" w:type="dxa"/>
            <w:right w:w="0" w:type="dxa"/>
          </w:tblCellMar>
        </w:tblPrEx>
        <w:trPr>
          <w:trHeight w:val="15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兼容性评价</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操作系统提供软硬件兼容性检查工具，自动分析应用软件、硬件兼容性，定位兼容性问题；提供操作系统跨版本兼容性分析工具，在迁移前检查分析软硬件，定位兼容性问题。</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提高系统维护效率，支持该功能优于不支持</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性能调优</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操作系统提供性能测试调优工具，按系统工作特点（如计算为主、存储为主等）自动优化系统配置</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提高系统维护效率，支持该功能优于不支持</w:t>
            </w:r>
          </w:p>
        </w:tc>
      </w:tr>
      <w:tr>
        <w:tblPrEx>
          <w:tblLayout w:type="fixed"/>
          <w:tblCellMar>
            <w:top w:w="0" w:type="dxa"/>
            <w:left w:w="0" w:type="dxa"/>
            <w:bottom w:w="0" w:type="dxa"/>
            <w:right w:w="0" w:type="dxa"/>
          </w:tblCellMar>
        </w:tblPrEx>
        <w:trPr>
          <w:trHeight w:val="33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★日志管理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日志记录与存储</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对安全事件的日志记录，包括帐户增删改、成功登录、失败登录、敏感服务开启关闭、配置修改等，日志信息详实，包括所属用户、访问时间、访问地址等；支持内核异常日志信息的记录和存储；支持内核崩溃转储机制，系统崩溃时可收集整个内存信息；支持配置远程日志功能，可将指定日志内容归档到日志服务器；支持对日志功能进行访问控制，防止未经授权的访问</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日志处理与分析</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操作系统提供系统错误问题回溯分析工具，对系统崩溃问题及错误问题进行回溯；支持日志切分、一键收集、转储、同步机制</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0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★脆弱性管理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★脆弱性管理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故障管理框架，内置故障分析专家系统，可与外部同类型系统互联；具备故障响应、故障警告功能，提供用户接口，支持故障响应、警告信息分发；支持故障管理守护进程，使用统一的传输信道或机制上报故障信息；具备硬件故障信息捕获、紧急处理功能，包括 CPU、内存及 PCIe 设备等硬件的故障；支持诊断/响应组件动态加载机制；提供或支持第三方远程诊断框架及调测工具集，实现远程诊断及调试断点功能；支持物理机、虚拟机中操作系统的故障恢复</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2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★热补丁</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★热补丁</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对内核热补丁进行编号，每个热补丁拥有独立编号；支持增量修复以及回滚机制；提供热补丁合法性和一致性校验功能；提供热补丁管理机制和工具，功能至少覆盖补丁查询、安装、移除；提供热补丁升级和回滚系统日志，便于查询或回溯</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★系统升级</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★升级内容</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操作系统支持系统增量升级功能，对系统部件、安全补丁等升级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★升级方式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操作系统支持在线升级和离线升级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★数据保护</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操作系统升级不得修改破坏用户数据</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★兼容性</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操作系统升级不得影响原有软硬件兼容性，如有影响应显式的提示告知用户</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★回退</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操作系统提供升级回退机制，能卸载已升级的软件包，恢复系统原有状态，如升级为不可回退，则系统升级前以显式的提示告知用户</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★交付方式</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★交付方式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供应商提供光盘、USB 闪存盘、镜像文件（下载）等交付方式</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采购人可要求厂商同时提供一种或多种交付方式</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★服务周期</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★产品维护周期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产品自发布之日起至产品停止功能升级（包含不限于新特性、新硬件支持、问题修复、安全补丁等）之日止≥5 年</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产品通用维护服务周期基本要求</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★产品延伸服务周期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产品停止功能升级之日起至产品停止功能维护（包括问题修复、安全补丁等）之日止≥5 年</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产品通用维护服务周期基本要求，可通过延长“产品维护周期”替代，累计不低于 10年</w:t>
            </w:r>
          </w:p>
        </w:tc>
      </w:tr>
      <w:tr>
        <w:tblPrEx>
          <w:tblLayout w:type="fixed"/>
          <w:tblCellMar>
            <w:top w:w="0" w:type="dxa"/>
            <w:left w:w="0" w:type="dxa"/>
            <w:bottom w:w="0" w:type="dxa"/>
            <w:right w:w="0" w:type="dxa"/>
          </w:tblCellMar>
        </w:tblPrEx>
        <w:trPr>
          <w:trHeight w:val="6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★产品延伸安全服务周期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≥3 年</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产品通用维护服务周期基本要求，可通过延长“产品维护周期”或“产品延伸服务周期”替代，累计不低于 13 年</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★售后服务最小保障期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≥8 年</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自销售之日起，产品售后服务周期不少于8 年，包括产品停售以后的特需销售</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★售后服务</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★原厂服务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服务由操作系统厂商的正式员工提供，不由代理商提供</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★服务热线电话</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操作系统厂商为最终用户提供工作日每日不少于8h（覆盖一般工作时间，具体时间由企业标准给出）中文技术服务热线</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操作系统厂商提供的支持服务标准越高越好</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★技术服务标准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操作系统厂商提供工作日每日不少于8h 技术支持服务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操作系统厂商提供的支持服务标准越高越好</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定制优化增值服务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操作系统厂商提供代码级定制优化服务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定制优化能力可帮助规模采购人解决专业技术服务需求，采购人可根据需要要求供应商提供定制优化服务</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★技术服务时效</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操作系统厂商满足同城4h、异地 12h 响要求，两个工作日解决问题，对于未能解决的问题和故障提供可行的升级方案</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操作系统厂商提供的支持服务标准越高越好</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★技术服务保障</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发生非人为因素故障，在七日内由操作系统厂商原厂人员免费对产品进行补充或更换</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★现场交付与安     装调试</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★现场安装调试</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操作系统厂商提供产品安装与现场调试，并提供安装与调试所需的工具和设备</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★配套资料</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交付产品时操作系统厂商提供配套的技术资料，包括但不限于系统说明文件、用户手册（用户安装、操作、维护、故障排除）等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★系统更换</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★系统更换</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服务期内，操作系统厂商支持版本免费更换（注：更换后不延长服务期）</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1.安装介质损坏，免费更换安装介质；2.整机 CPU 体系架构变更时（原环境停止使用），可免费更换安装介质</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★厂商能力要求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★服务团队</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操作系统厂商建立全国技术服务体系和服务团队，为客户提供专业的原厂中文服务</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供应保障要求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★数据安全保障</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★数据收集安全保障</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除用户授权采集的信息外不采集其他数据，相关信息采集无安全风险，相关数据存储在大陆境内</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供应保障要求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★数据供给安全保障</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涉及数据下载的线上服务物理服务器不出境，包括代码仓库、系统补丁、安全补丁、服务网站等</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供应保障要求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★代码无风险</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★代码无风险</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操作系统厂商提供源代码，源代码可供第三方机构审查，开源许可合规，代码知识产权无风险，无恶意安全漏洞或后门，代码可追溯、可重构</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3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供应保障要求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工程构建体系</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工程构建体系</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操作系统厂商具备统一的工程构建体系，能用一套操作系统源码构建用于云侧计算、边侧计算场景中部署运行的操作系统，降低部署后系统维护、使用复杂度</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提供一套版本多端部署能力，可提高部署效率，提供比不提供更好</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★基本要求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★基本要求6</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操作系统应当符合安全可靠测评要求</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通过政府有关部门指定的中国信息安全测评中心和国家保密科技测评中心网站查看安全可靠测评结果</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★密码算法支持</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★密码算法实现</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GM/T 0002 、GM/T 0003和 GM/T 0004 规定的密码算法运算</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★随机数生成</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操作系统随机数质量符合 GM/T 0005《随机性检测规范》或 GB/T32915《信息安全技术二元序列随机性检测方法》</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★内置数字证书</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操作系统内置国家电子认证根 CA 的根证书</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★密码协议实现</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操作系统支持符合 GB/T 38636—2020的 TLCP</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18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★安全管理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★防火墙</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操作系统提供防火墙配置管理工具，支持基于协议、网络地址、端口的访问控制规则配置，规则修改后立即生效；支持关闭指定服务和端口，包括但不限于关闭远程访问、共享访问等；支持防止ARP 欺骗攻击</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★安全框架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操作系统提供统一访问控制安全框架</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6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三员管理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操作系统支持系统管理员、安全管理员、审计管理员分权管理</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提高系统安全性，支持该功能优于不支持</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文件完整性</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操作系统支持静态文件度量（如 IMA）和动态内存度量，保障特定文件及内存中运行程序的完整性</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提高系统安全性，支持该功能优于不支持</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可信计算</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操作系统支持机密计算框架，提供机密计算 SDK，能接入 1 种以上可信执行环境</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提高系统安全性，支持该功能优于不支持</w:t>
            </w:r>
          </w:p>
        </w:tc>
      </w:tr>
      <w:tr>
        <w:tblPrEx>
          <w:tblLayout w:type="fixed"/>
          <w:tblCellMar>
            <w:top w:w="0" w:type="dxa"/>
            <w:left w:w="0" w:type="dxa"/>
            <w:bottom w:w="0" w:type="dxa"/>
            <w:right w:w="0" w:type="dxa"/>
          </w:tblCellMar>
        </w:tblPrEx>
        <w:trPr>
          <w:trHeight w:val="9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内核保护</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操作系统支持内核完整性保护，保障内核不被非授权改变；提供内核模块加载黑名单机制</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提高系统安全性，支持该功能优于不支持</w:t>
            </w:r>
          </w:p>
        </w:tc>
      </w:tr>
      <w:tr>
        <w:tblPrEx>
          <w:tblLayout w:type="fixed"/>
          <w:tblCellMar>
            <w:top w:w="0" w:type="dxa"/>
            <w:left w:w="0" w:type="dxa"/>
            <w:bottom w:w="0" w:type="dxa"/>
            <w:right w:w="0" w:type="dxa"/>
          </w:tblCellMar>
        </w:tblPrEx>
        <w:trPr>
          <w:trHeight w:val="24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★身份鉴别</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★身份鉴别服务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用户标识使用帐户名和帐户 ID，在操作系统的整个生存周期内用户标识具有唯一性；支持用户口令复杂度校验及强口令管理；支持用户口令有效期配置；支持口令鉴别失败控制；支持口令加密算法配置，用户口令进行加密后以不可逆的密文形式保存；支持禁止根帐户（root）远程登录设置</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337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★访问控制</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★自主访问控制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允许客体拥有者以普通帐户决定并控制对客体的访问，并阻止非授权用户对客体的访问；普通用户缺省拥有新建、读写和删除私有目录下文件的权限；支持细粒度的自主访问控制，将访问控制的粒度控制在单个用户，对系统中的每一个客体，实现由客体拥有者以指定用户方式确定其对该客体的访问权限，而其他同组用户或非同组的用户和用户组对该客体的访问权则由客体拥有者授予</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1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★强制访问控制</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操作系统支持对应用程序的访问控制与资源限制，包括对文件、网络等客体的访问控制；支持应用安装控制、应用执行控制</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80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★安全审计</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能对身份鉴别的使用、自主访问控制、标记和强制访问控制策略的修改等生成审计日志；审计记录包括：事件类型、事件发生的日期、触发事件的用户、事件成功或失败等字段；支持审计日志查询和导出功能</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92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180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★漏洞管理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★漏洞管理</w:t>
            </w:r>
          </w:p>
        </w:tc>
        <w:tc>
          <w:tcPr>
            <w:tcW w:w="1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2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操作系统支持漏洞编号，每个漏洞独立编号，可直接使用 NVDB、CNVD 或 CVE编号；漏洞提醒，发现或获悉漏洞信息时，通过系统推送、电子邮件或官方网站等方式通知用户；漏洞修复，对已发现的安全漏洞通过补丁等方式对系统漏洞进行修复；漏洞列表，提供每个版本已修复的漏洞列表，提供命令或网页等方式方便用户查询漏洞及其修复情况</w:t>
            </w:r>
          </w:p>
        </w:tc>
        <w:tc>
          <w:tcPr>
            <w:tcW w:w="16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bl>
    <w:p>
      <w:pPr>
        <w:spacing w:before="26" w:line="338" w:lineRule="auto"/>
        <w:ind w:left="120" w:right="213" w:firstLine="480"/>
        <w:rPr>
          <w:rFonts w:hint="eastAsia" w:asciiTheme="majorEastAsia" w:hAnsiTheme="majorEastAsia" w:eastAsiaTheme="majorEastAsia" w:cstheme="majorEastAsia"/>
          <w:b/>
          <w:bCs/>
          <w:sz w:val="24"/>
          <w:szCs w:val="24"/>
        </w:rPr>
      </w:pPr>
    </w:p>
    <w:p>
      <w:pPr>
        <w:spacing w:before="26" w:line="338" w:lineRule="auto"/>
        <w:ind w:left="120" w:right="213" w:firstLine="480"/>
        <w:jc w:val="cente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桌面操作系统</w:t>
      </w:r>
    </w:p>
    <w:tbl>
      <w:tblPr>
        <w:tblStyle w:val="52"/>
        <w:tblW w:w="9102" w:type="dxa"/>
        <w:tblInd w:w="0" w:type="dxa"/>
        <w:shd w:val="clear" w:color="auto" w:fill="auto"/>
        <w:tblLayout w:type="fixed"/>
        <w:tblCellMar>
          <w:top w:w="0" w:type="dxa"/>
          <w:left w:w="0" w:type="dxa"/>
          <w:bottom w:w="0" w:type="dxa"/>
          <w:right w:w="0" w:type="dxa"/>
        </w:tblCellMar>
      </w:tblPr>
      <w:tblGrid>
        <w:gridCol w:w="533"/>
        <w:gridCol w:w="721"/>
        <w:gridCol w:w="1440"/>
        <w:gridCol w:w="1544"/>
        <w:gridCol w:w="1318"/>
        <w:gridCol w:w="1861"/>
        <w:gridCol w:w="1685"/>
      </w:tblGrid>
      <w:tr>
        <w:tblPrEx>
          <w:tblLayout w:type="fixed"/>
          <w:tblCellMar>
            <w:top w:w="0" w:type="dxa"/>
            <w:left w:w="0" w:type="dxa"/>
            <w:bottom w:w="0" w:type="dxa"/>
            <w:right w:w="0" w:type="dxa"/>
          </w:tblCellMar>
        </w:tblPrEx>
        <w:trPr>
          <w:trHeight w:val="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序号</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分类</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一级指标</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 xml:space="preserve"> </w:t>
            </w:r>
            <w:r>
              <w:rPr>
                <w:rFonts w:hint="eastAsia" w:asciiTheme="majorEastAsia" w:hAnsiTheme="majorEastAsia" w:eastAsiaTheme="majorEastAsia" w:cstheme="majorEastAsia"/>
                <w:sz w:val="24"/>
                <w:szCs w:val="24"/>
                <w:lang w:val="en-US" w:eastAsia="zh-CN" w:bidi="ar"/>
              </w:rPr>
              <w:t>二级指标</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是否可以作为评分因素</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指标要求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i w:val="0"/>
                <w:color w:val="000000"/>
                <w:sz w:val="24"/>
                <w:szCs w:val="24"/>
                <w:u w:val="none"/>
              </w:rPr>
            </w:pPr>
            <w:r>
              <w:rPr>
                <w:rFonts w:hint="eastAsia" w:asciiTheme="majorEastAsia" w:hAnsiTheme="majorEastAsia" w:eastAsiaTheme="majorEastAsia" w:cstheme="majorEastAsia"/>
                <w:b/>
                <w:i w:val="0"/>
                <w:color w:val="000000"/>
                <w:kern w:val="0"/>
                <w:sz w:val="24"/>
                <w:szCs w:val="24"/>
                <w:u w:val="none"/>
                <w:lang w:val="en-US" w:eastAsia="zh-CN" w:bidi="ar"/>
              </w:rPr>
              <w:t>指标使用说明</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★操作系统支持多 CPU 架构</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★同源兼容多CPU 平台架构</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操作系统同源兼容 ARM、LoongArch、MIPS、SW64、x86 等平台架构的 CPU</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采购人可根据实际需要指定具体需要兼容的 CPU 架构</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★操作系统支持CPU 内置功能</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★多核支持</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操作系统支持双核及多核处理器，支持核间负载均衡、线程绑定，并提供系统多核访问及调度接口</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多核调度可有效提升多任务并发处理能力</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★CPU 虚拟化支持</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 CPU 虚拟化技术</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CPU 硬件虚拟化可以有效提升虚拟化效率</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★动态调节 CPU运行频率</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操作系统根据负载情况，自动调节 CPU的运行频率</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支持此项功能可有效提升计算机能效</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 CPU 运行时低功耗状态切换</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操作系统根据负载的情况，自动切换CPU 的低功耗状态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支持此项功能可有效提升计算机能效</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 CPU 内置安全功能</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CPU 硬件密码运算与随机数生成等功能，并提供标准接口供应用程序调用</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提高密码运算效率，提升物理级安全防护能力</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★安装部署</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★安装方式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操作系统支持光盘、USB 闪存盘和网络等安装方式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此项为操作系统基本功能，满足用户不同应用场景安装需求</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★安装过程配置</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操作系统支持安装界面文种设置，默认为简化汉字方式显示，提供时区设置、计算机名设置等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有特定语言文字处理需求时可提出具体要求</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★硬盘分区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操作系统支持整个硬盘自动分区、自定义分区，支持逻辑分区配置（如 LVM），支持创建备份分区；自定义分区时能自动检测分区设置的合规性，删除已有分区或格式化硬盘提示告警信息</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同时满足普通用户及专业技术人员安装部署可行化配置需求</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★双硬盘安装</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当计算机同时存在固态硬盘和机械硬盘时，自动分区优先将系统盘（或分区）设置在固态硬盘，优先将数据盘（或分区）设置在机械硬盘</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机械硬盘一般容量大、数据存储及使用寿命长</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★多系统安装</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操作系统能够识别已安装的其他系统，可自动复用引导分区等，并实现多系统引导</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满足部分专业人员多系统使用需求</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★加密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操作系统应提供基于分区的用户数据加密功能，保护用户存储区数据安全</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避免硬盘数据文件被未授权读取</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★初始化备份</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操作系统应提供用户备份初始系统环境的功能</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供用户恢复系统到初始状态</w:t>
            </w:r>
          </w:p>
        </w:tc>
      </w:tr>
      <w:tr>
        <w:tblPrEx>
          <w:tblLayout w:type="fixed"/>
          <w:tblCellMar>
            <w:top w:w="0" w:type="dxa"/>
            <w:left w:w="0" w:type="dxa"/>
            <w:bottom w:w="0" w:type="dxa"/>
            <w:right w:w="0" w:type="dxa"/>
          </w:tblCellMar>
        </w:tblPrEx>
        <w:trPr>
          <w:trHeight w:val="73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★保留用户数据</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用户重装操作系统时提供保留用户数据的功能</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用户无需手动迁移、备份数据，即可完成系统重装</w:t>
            </w:r>
          </w:p>
        </w:tc>
      </w:tr>
      <w:tr>
        <w:tblPrEx>
          <w:tblLayout w:type="fixed"/>
          <w:tblCellMar>
            <w:top w:w="0" w:type="dxa"/>
            <w:left w:w="0" w:type="dxa"/>
            <w:bottom w:w="0" w:type="dxa"/>
            <w:right w:w="0" w:type="dxa"/>
          </w:tblCellMar>
        </w:tblPrEx>
        <w:trPr>
          <w:trHeight w:val="24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★系统引导</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★引导模式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操作系统应支持UEFI2.0 及以上规范固件引导：a）当计算机以 UEFI模式启动安装时，安装程序应分配 ESP，并在 ESP 中放置启动引导文件，使操作系统能以UEFI模式引导；b)当计算机固件不支持UEFI模式时，安装程序根据计算机固件提供的引导方式，安装系统引导代码或配置系统引导选单，使安装完的系统可以正常引导</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UEFI 是主流的固件规范，支持 UEFI 为操作系统基本功能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★引导修复</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安装程序提供系统引导修复功能，当已安装的操作系统引导被破坏时，可重建系统引导</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★其他安装要求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★图形化显示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操作系统应提供安装过程图形化显示</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019"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★安装提示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操作系统在安装执行前明确提示用户可能会删除已有数据，并提供退出或取消功能；当用户取消安装时，不改变硬盘上已有数据；如用户自定义的某些配置可能会影响后续的正常使用，予以明确提示</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避免用户数据未经确认被格式化删除</w:t>
            </w:r>
          </w:p>
        </w:tc>
      </w:tr>
      <w:tr>
        <w:tblPrEx>
          <w:tblLayout w:type="fixed"/>
          <w:tblCellMar>
            <w:top w:w="0" w:type="dxa"/>
            <w:left w:w="0" w:type="dxa"/>
            <w:bottom w:w="0" w:type="dxa"/>
            <w:right w:w="0" w:type="dxa"/>
          </w:tblCellMar>
        </w:tblPrEx>
        <w:trPr>
          <w:trHeight w:val="494"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★分辨率自适应</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操作系统安装完成后自动适配显示器最佳分辨率</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4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★系统内核</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★内核要求</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a)若操作系统是基于 Linux 内核的微型计算机操作系统应兼容 5.4 版内核主要功能，包括进程管理、内存管理、任务调度、中断处理、并发与同步处理等；b)若操作系统属于其他类型内核不做要求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对操作系统兼容的内核版本提出要求，可提高不同批次采购的操作系统的兼容性；若操作系统市场主流内核版本升级，采购人可根据情况参考相关国家、行业或团体标准调整应兼容的内核版本</w:t>
            </w:r>
          </w:p>
        </w:tc>
      </w:tr>
      <w:tr>
        <w:tblPrEx>
          <w:tblLayout w:type="fixed"/>
          <w:tblCellMar>
            <w:top w:w="0" w:type="dxa"/>
            <w:left w:w="0" w:type="dxa"/>
            <w:bottom w:w="0" w:type="dxa"/>
            <w:right w:w="0" w:type="dxa"/>
          </w:tblCellMar>
        </w:tblPrEx>
        <w:trPr>
          <w:trHeight w:val="494"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★进程管理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★进程调度</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操作系统支持进程创建、分组、删除及进程信息获取</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4"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★优先级设置</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操作系统支持进程优先级设置，包括优先级范围设置、优先级调度策略设置等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4"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★地址映射</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操作系统支持进程内存地址的正向映射和反向映射</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4"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★内存地址管理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操作系统支持基础连续虚拟地址、连续物理地址的申请、回收和释放</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★内存管理单元</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操作系统支持内存管理单元，通过页表映射实现虚拟地址和物理地址的映射关系</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2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★buddy 分配器</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a)若操作系统基于Linux 内核，支持buddy 分配器，支持 slob、s lub 或 slab分配器；b)若操作系统属于其他类型内核不做要求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★DMA 内存</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DMA 内存的申请和释放，包括流式 DMA、一致性 DMA 以及大内存DMA</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 zone 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a)若操作系统基于Linux 内核，操作系统支持内存 zone 管理；b)若操作系统属于其他类型内核不做要求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29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★内存分配方式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操作系统支持不交换硬盘的内存分配方式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调用接口</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操作系统提供非文件形式的内存动态函数库调用接口，以满足敏感内存动态库的非文件形式调用需求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采购人根据实际需求选择</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★任务调度</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★上下文切换</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操作系统支持进程上下文切换</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★进程负载均衡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操作系统支持进程负载均衡调度方式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★调度方式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操作系统支持进程基于时间片的调度方式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★抢占调度方式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操作系统支持进程抢占调度方式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★中断处理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★中断处理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操作系统支持硬件中断号和软件中断号的映射、注册和处理；支持高精度时钟中断、类软中断和类tasklet 下半部中断处理；支持中断使能、屏蔽、亲和力处理以及中断抢占；支持中断工作队列处理，包括工作队列创建、初始化、调度和回收等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★并发与同步处      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★并发同步处理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操作系统支持自旋锁、信号量、互斥体等原子操作；支持读写锁、类 RCU 原子操作；支持内存屏障操作</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★中文支持要求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★字符编码</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操作系统符合 GB 18030 的要求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★字库</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操作系统提供符合 GB 18030 标准的字库，至少包括宋体、仿宋体、黑体、楷体及小标宋体在内的 5 种字库；支持曲线字库，可无级放缩字形大小，以适应不同分辨率的输出设备，输出字形应字形正确，字体规范；支持用户扩展安装字库</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39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★输入法</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操作系统应内置输入法框架；至少提供一种音码和一种型码输入法；支持 GB 18030 中已编码的语言文字输入法的安装使用</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有特定语言文字处理需求时可提出具体要求</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★输入法标准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操作系统提供的通用键盘输入法应符合 GB/T 19246—2003 要求；如提供手写输入法，应符合 GB/T 18790—2010 要求；如提供语音输入法，应符合 GB/T 21023—2007 要求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满足用户个性化输入需求</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互联网输入法</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操作系统支持主流互联网输入法，支持输入法词库在线更新</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支持该功能时可提升用户输入体验</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★输出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系统配置的字库能被工具或软件正常调用打印和显示</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★表示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操作系统提供中文界面显示，提供符合要求的日期、星期、上下午、时间、货币、数字等显示及表示方式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★系统管理要求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★系统信息</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操作系统提供系统信息查看工具，支持用户查看系统版本、内核版本、内存容量、CPU 型号等信息</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★系统资源管理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操作系统提供系统资源管理工具并图形化显示进程信息、资源信息、文件资源信息等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★硬盘管理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操作系统提供硬盘管理工具，显示硬盘容量及硬盘信息，支持新建和删除硬盘分区，分区支持 EXT3、EXT4、FAT32、NTFS、XFS、exFAT、Btrfs 等文件系统格式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★设备信息</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操作系统提供设备信息工具，显示 CPU、内存、主板、存储、网卡、声卡、电源、USB、蓝牙等参数信息，显示硬件信息、计算机型号和操作系统信息、设备驱动状态（启用或禁用），并支持设备启用、禁用状态设置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55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★文件管理器</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按文件名、文件类型、文件修改时间、文件大小排序显示文件；支持文本文件、图片文件和视频文件首帧的预览；显示当前用户的主目录、桌面、文档、下载、回收站等文件资源；支持对光驱、闪存盘的访问；支持对网络资源的访问，包括 SMB、FTP、NFS 等协议下的网络资源；支持通过地址栏输入绝对路径定位文件夹；支持文件按照列表显示或网格图标显示；支持新建文件、文件夹和快捷方式，并支持扩展新建的文件类型；支持全选当前文件夹所有文件，支持文件多选、反选；支持复制、粘贴、删除、剪切、重命名、压缩等文件操作；支持选择文件打开方式，可以使用默认用程序打开，并支持修改默认用程序；支持按文件名、修改时间、文件大小等搜索</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49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全文搜索</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操作系统支持全文搜索，文件类型包括OFD、UOF、PDF、OOXML、纯文本、网页、XML、sh 脚本等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支持更优，可提高用户搜索效率</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★本地帐户管理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操作系统提供图形管理界面，支持帐户和用户组管理，支持口令、头像、权限设置，支持口令修改，支持重设管理帐户口令</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509"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★登录管理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操作系统支持本地帐户、LDAP 帐户鉴别登录，提供口令、指纹、人脸、U-Key等多种鉴别方式登录，支持本地帐户免口令登录和自动登录</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★鼠标管理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操作系统提供图形化鼠标管理工具；支持鼠标灵敏度、滚轮方向的设置与测试；支持左右手习惯设置；对于带触控板的微型计算机，应具有触控板管理功能，包括启动与禁止及相应的防误触等功能</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★键盘管理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操作系统提供键盘图形化管理工具；支持重复键延时及速度设置；支持数字键盘、大写锁定提示</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★显示管理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屏幕分辨率设置；支持屏幕刷新率设置；支持屏幕亮度设置；支持屏幕显示冷暖色温手动、自动调节；支持多个屏幕以复制、扩展、单独方式输出显示，支持多个屏幕显示位置设置，支持各屏幕显示方向独立设置；支持 4K 高分辨率屏幕显示，支持手动和自适应匹配设置窗口等比缩放显示；支持超宽屏显示，如：21:9、32:9 的显示器；支持触屏功能，包括选择、点击、双击、滚动等操作；支持登录界面、锁屏界面、系统桌面的背景图片设置；支持屏幕保护定时设置和帐户口令鉴权恢复</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★声音管理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操作系统支持输出音量大小设置、静音设置；支持系统默认音效配置；支持输入输出设备配置；支持输入噪音抑制开关设置；支持输出音量增强开关设置；支持输出声道左右平衡设置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★快捷键管理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操作系统支持预先定义系统快捷键；支持自定义快捷键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★时间日期管理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操作系统支持图形化显示；支持系统日期、时间设置；支持时区设置；支持网络时钟同步设置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★电源管理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操作系统支持空闲时显示器转入待机的时间设置；支持空闲时计算机转入屏幕保护的时间设置；支持屏幕显示亮度设置；便携式计算机使用时支持高性能、平衡、节能等模式设置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59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★输入法管理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操作系统支持添加和删除输入法；支持快捷键设置，包括输入法启动、输入法激活/非激活切换、顺序切换等；支持多种输入法共存</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★默认登录语言</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按照安装时选择的文种类型作为初次登录系统文种</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多语言图形界面</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GB18030 规定的文种的语言环境，支持已安装文种切换显示设置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有特定语言文字处理需求时可提出具体要求</w:t>
            </w:r>
          </w:p>
        </w:tc>
      </w:tr>
      <w:tr>
        <w:tblPrEx>
          <w:tblLayout w:type="fixed"/>
          <w:tblCellMar>
            <w:top w:w="0" w:type="dxa"/>
            <w:left w:w="0" w:type="dxa"/>
            <w:bottom w:w="0" w:type="dxa"/>
            <w:right w:w="0" w:type="dxa"/>
          </w:tblCellMar>
        </w:tblPrEx>
        <w:trPr>
          <w:trHeight w:val="26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★打印机管理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添加和删除打印机；支持添加本地打印机、网络打印机及共享打印机；支持打印机共享；支持查看打印机列表；支持任务队列管理，包括取消、暂停、挂起；支持页面设置；提供接口查询打印机打印状态，包括指定文件打印成功的页数、份数、页码及打印失败的文件名和页码等信息</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★外设管控</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操作系统支持动态显示未授权设备信息；支持接口控制、设备控制、权限控制等（接口包括 USB、蓝牙、网络接口等；设备包括打印机、摄录设备、USB 存储设备等；权限包括读、写、执行等）；支持按设备类型、设备 ID、接口等配置设备接入黑白名单策略；提供完整的连接记录，记录可追溯</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满足用户基本的输入输出管控需求</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★隐私文件保护</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操作系统提供基于独立口令和密钥保护的文件保险箱；支持口令和透明加解密鉴权访问文件保险箱内的文件和文件夹；支持手动上锁文件保险箱；支持通过密钥找回口令</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0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支持图形化显示；支持 DNS 设置；支持 IPV4/IPV6 地址配置；支持自动获取网络地址；支持网关设置；支持手动/自动设置网络代理服务器，支持 HTTP、HTTPS、FTP、SOCKS 等多种协议；支持无线网络管理，包括连接或断开网络、配置口令、手动刷新无线热点列表等；支持个人热点共享，包括有线、无线网络生成的网络热点；支持 L2TP、PPTP、OpenVPN、StrongSwan类型的 VPN 连接，支持新增、导入、编辑和删除连接配置，支持启用或禁用VPN 自动连接</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★默认应用程序管理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操作系统提供默认用程序管理工具，支持预先定义和修改指定用类型的默认程序，包括图片、文本、音视频、网页、邮件</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应用商店</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支持应用软件可视化管理；支持按日常办公、网络应用、多媒体、安全软件、应用开发、游戏娱乐等分类显示；支持应用软件搜索功能；支持应用软件推荐、下载、安装、卸载和升级</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根据用户实际需求选择</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★通知管理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操作系统任务栏提供通知中心图标，并显示消息提醒；系统和应用使用通知接口发送通知消息；支持对通知消息的管理，包括显示、删除、清理等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69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★主题管理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操作系统提供图形化主题管理工具；支持以深色、浅色和昼夜切换自动配色方式显示系统图形化界面；支持系统主题颜色设置；支持系统图标主题设置；支持系统光标主题设置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产品许可机制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a)操作系统支持序列号授权、批量激活服务、场地授权等未激活期间，系统不得频繁提示干扰用户正常使用；未激活系统不得影响用户数据安全与完整性；b)免激活的系统不适用</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根据用户实际需求选择</w:t>
            </w:r>
          </w:p>
        </w:tc>
      </w:tr>
      <w:tr>
        <w:tblPrEx>
          <w:tblLayout w:type="fixed"/>
          <w:tblCellMar>
            <w:top w:w="0" w:type="dxa"/>
            <w:left w:w="0" w:type="dxa"/>
            <w:bottom w:w="0" w:type="dxa"/>
            <w:right w:w="0" w:type="dxa"/>
          </w:tblCellMar>
        </w:tblPrEx>
        <w:trPr>
          <w:trHeight w:val="25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功能</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★图形化要求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★用户操作界面</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操作系统提供图形化操作界面</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★桌面图标</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操作系统默认提供我的系统、个人文档、回收站等图标</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1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★桌面图标管理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回收站工具，可收集要删除的文件和文件夹，并支持右键清空操作；支持应用程序快捷方式与文件共存；支持右键选单进行复制、剪切和粘贴文件操作；支持文件图标拖拽、摆放；支持图标名称修改；支持按照文件类别显示文件图标</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★桌面快捷选单</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操作系统支持桌面图标按照网格排列；支持右键选单新建纯文本；支持右键选单新建文件夹；支持右键选单选择图标排列顺序，排序可按名称、类型、修改时间、文件大小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31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★起始选单</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分类显示系统已安装应用；支持创建应用的快捷方式到桌面；支持添加应用访问快捷方式到任务栏；支持多种方式搜索内容，支持拼音搜索、模糊搜索快捷查找系统应用；支持新安装应用与应用列表中其他应用以明显方式区分，包括突出显示、增加标识或单独分类；包含电源操作按钮，并可触发系统退出界面；包含直接进入控制系统或配置系统的功能入口或应用图标</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0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★任务栏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操作系统应提供图形化任务管理工具栏，任务栏中应该包括快速启动栏、通知栏；提供快速启动应用程序区，可以添加或删除应用启动快捷方式；提供系统通知栏，显示网络、声音、电源、USB 设备等，支持应用程序（如输入法等）的状态信息；提供显示桌面功能，支持最小化当前所有窗口，在有活动窗口的情况下快速切换成只显示用户桌面；对已切换成只显示用户桌面的状态，可以快速切换回活动窗口状态；直观区分任务栏应用运行与未运行的状态；支持任务栏隐藏；支持任务栏位置调整</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★桌面工作区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操作系统支持多工作区，支持应用跨工作区移动；可配置工作区数量；可通过快捷键切换工作区</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★系统退出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操作系统退出界面应为模态或全屏界面，提供选择关机、重启、锁定、注销、休眠、待机等六种操作</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79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★窗口管理器</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对窗口的操作，如最小化、最大化、移动、改变大小、总是置顶或在最前端、关闭；提供窗口显示最小化、最大化和关闭按钮；提供窗口标题，显示窗口名称，并区别显示选中和未选中窗口；窗口可以在不同工作区中移动；提供窗口防呆功能，防止窗口完全移出桌面范围内；提供窗口切换功能，通过快捷键可在打开的窗口中按一定顺序进行快速切换；提供多任务视图功能，可以预览当前工作区内已打开的所有窗口；支持一键操作移开桌面所有窗口，显示桌面；提供多窗口分屏功能，支持屏幕分割显示各窗口，支持同时调整窗口尺寸</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★图形特效</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窗口显示支持模糊透明特效，当支持透明效果的窗口与其他窗口重叠时，前置窗口颜色能随背景窗口颜色的融合发生变化；提供窗口外观装饰效果设置，如边框、阴影、模糊、透明度、圆角等，且透明度可调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★常用软件支持</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★应用软件安全要求</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操作系统预装应用软件应进行签名认证，确保应用软件的安全性、稳定性、可靠性</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★压缩工具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操作系统提供压缩解压缩工具，支持zip、7z、tar、tar.7z、tar.bz2、tar.gz等压缩格式新建、打开、解压操作，以及对压缩文件中所含文件进行添加、删除、重命名等操作；支持解压 rar 格式文件；支持对压缩包进行加解密</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★音频播放工具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操作系统提供音频播放工具，支持 MP3、OGG、WAV 等音频格式文件；支持播放本地音频文件；支持本地音乐文件搜索功能；支持播放控制，可设置播放模式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★音频录制工具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操作系统提供音频录制工具，支持系统播放和传声器输入的音频录制为文件；支持录制音频过程中的录制、暂停、续录和停止等操作</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★视频播放工具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操作系统提供视频播放工具，支持 MKV、OGG 等封装格式的视频文件；支持播放本地视频文件；支持自动加载本地字幕；支持播放控制功能；提供软件解码与硬件编解码切换选项，如硬件支持编解码，应优先使用</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★视频录制工具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操作系统提供视频录制工具，支持通过摄像头等设备拍摄图片和录制音视频文件；拍摄照片时，支持设置构图网格、快门音效、多张连拍、延时拍摄、镜像拍摄和图像分辨率；录制音视频时，支持延时录制</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★光盘刻录管理工具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操作系统提供光盘刻录管理工具，支持CD-R、CD-RW、DVD-R、DVD-RW、DVD+R、DVD+RW 格式的光盘；支持将光盘复制为镜像文件保存到另一张光盘；支持将光盘镜像文件刻录到光盘；支持 ISO9660、UDF 格式光盘挂载、读取；支持 ISO9660 格式光盘追加刻录；支持检查光盘数据完整性</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33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★截图录屏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截图录屏工具，支持系统截图和录屏；支持延时捕捉屏幕图像设置；支持录制光标移动、鼠标点击、键盘操作痕迹、系统音频、传声器输入、摄像头画中画内容；支持多种截图区域，包括全屏、程序窗口和自选区域；支持多种保存选项，包括保存到系统默认文件夹、桌面、指定存储路径、剪贴板；系统截图支持保存为 PNG、JPG、BMP 等格式，录屏支持保存为 GIF、MP4、MKV等格式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89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★图像查看工具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操作系统提供图像查看工具，支持查看图像文件，支持 PNG、JPEG、TIFF、GIF、BMP 等图像格式；支持显示图像文件的基本信息，包括文件大小、图像格式、宽度和高度等；支持对图像文件的操作，包括放大、缩小、旋转、打印等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★文件扫描工具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操作系统提供文件扫描工具，支持扫描文件类型设置，包括 PNG、JPEG、TIFF、BMP、PDF 等；支持扫描颜色设置，包括彩色、灰度；支持扫描分辨率、幅面设置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★浏览器</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操作系统提供浏览器，支持 HTML4、HTML5、ECMAScript、CSS 等标准；支持符合国家密码管理要求的商用密码算法；支持国家电子认证根 CA 签发的符合相关要求的CA 机构证书；支持符合 GB/T 38636—2020 的 TLCP</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远程协助工具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操作系统提供远程协助工具，支持本地桌面被远程控制和对远程桌面的控制</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根据用户实际需求选择</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★文件共享</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操作系统提供文件共享工具，支持按用户身份进行读写权限设置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远程桌面支持</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操作系统提供支持 SSH、SFTP 的网络客户端工具</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支持更优，提高远程访问便携性</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★开发环境</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★开发环境</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操作系统通过内置、软件仓库或附加光盘等方式提供如 Qt、Eclipse、VSCode等集成开发环境</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★开发库</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操作系统通过内置、软件仓库或附加光盘等方式提供如 GNU C、GNU C++、Java、Qt 、Gtk+、Cairo、OpenGL、Perl、Python、Ruby、Rust、Golang、JS 等开发库</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★编译开发工具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操作系统通过内置、软件仓库或附加光盘等方式提供如 GCC、G++、Binutils、GDB、Make、CMake 等语言编译器</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49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★文本编辑工具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操作系统通过内置、软件仓库或附加光盘等方式提供如 Emacs、Vim 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99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功能要求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★开发支持</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★开发文档</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操作系统应内置或通过官方网站、社区等提供中文开发文档，包括：软件开发参考文档；驱动开发参考文档；应用移植开发文档；API 文档</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方便用户进行应用开发适配</w:t>
            </w:r>
          </w:p>
        </w:tc>
      </w:tr>
      <w:tr>
        <w:tblPrEx>
          <w:tblLayout w:type="fixed"/>
          <w:tblCellMar>
            <w:top w:w="0" w:type="dxa"/>
            <w:left w:w="0" w:type="dxa"/>
            <w:bottom w:w="0" w:type="dxa"/>
            <w:right w:w="0" w:type="dxa"/>
          </w:tblCellMar>
        </w:tblPrEx>
        <w:trPr>
          <w:trHeight w:val="194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★运行环境兼容</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★版本兼容</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操作系统基础运行库或开发环境向后（向下）兼容，即系统版本升级后，能兼容上一版本所运行的软件与设备；系统主版本兼容维护时间自发布之日起不低于 5 年，包括但不限于安全修复、功能升级、新硬件支持等；支持以增量升级包的方式实现版本更新</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★文件系统层次结构</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供应商应给出长期兼容支持的文件系统层次结构</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★运行库</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供应商应给出长期兼容支持的运行库</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★命令</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供应商应给出长期兼容支持的常用命令</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462"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★软件包</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软件包格式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操作系统是Linux 内核的操作系统时，支持安装 RPM 与 DEB 格式的软件包，当系统默认不支持 RPM 或 DEB 格式的软件包时，提供工具对软件包格式进行转换，软件包格式转换不影响软件对环境依赖关系</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可降低应用适配成本</w:t>
            </w:r>
          </w:p>
        </w:tc>
      </w:tr>
      <w:tr>
        <w:tblPrEx>
          <w:tblLayout w:type="fixed"/>
          <w:tblCellMar>
            <w:top w:w="0" w:type="dxa"/>
            <w:left w:w="0" w:type="dxa"/>
            <w:bottom w:w="0" w:type="dxa"/>
            <w:right w:w="0" w:type="dxa"/>
          </w:tblCellMar>
        </w:tblPrEx>
        <w:trPr>
          <w:trHeight w:val="2672"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★软件包管理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图形化方式下载、安装和卸载软件包；显示已安装软件包的描述和包含的文件；支持安装时优先自动进行缺失依赖软件包的下载和安装；自动检测本地安装包，当发现安装包未经签名认证时自动告警；在连接软件仓库/应用商店时（含局域网、广域网）能自动搜索并下载依赖的软件包</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★硬件兼容（整     机）</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★微型计算机兼容清单</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供应商提供兼容的台式微型计算机品牌及型号清单，且至少兼容一款产品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★便携式微型计算机兼容清单</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供应商提供兼容的便携式微型计算机品牌及型号清单，且至少兼容一款产品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★硬件兼容（部     件）</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★固件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供应商提供兼容的固件品牌及型号清单，且至少兼容一款产品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109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★显卡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供应商提供兼容的显卡品牌及型号清单，且至少兼容一款产品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供应商提供兼容的有线、无线网卡品牌及型号清单，且至少兼容一款产品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497"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★蓝牙</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供应商提供兼容的蓝牙设备品牌及型号清单，且至少兼容一款产品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★显示设备</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供应商提供兼容的显示设备品牌及型号清单，且至少兼容一款产品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★生物特征</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供应商提供兼容的生物识别设备（指纹、人脸）品牌及型号清单，且至少兼容一款产品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★硬件兼容（外设）</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★打印机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供应商提供兼容的打印机品牌及型号清单，且至少兼容一款产品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★扫描仪</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供应商提供兼容的扫描仪品牌及型号清单，且至少兼容一款产品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★摄录设备</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供应商提供兼容的摄录设备品牌及型号清单，且至少兼容一款产品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★存储设备</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 USB2.0，3.0，3.1 的 U盘和移动硬盘品牌及型号清单，且至少兼容一款产品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★主流蓝牙设备</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供应商提供兼容的蓝牙鼠标、键盘、音响等品牌及型号清单，且至少兼容一款产品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119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★主流 USB 外设</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供应商提供兼容的USB 设备，如 USB 鼠标、键盘、音响、网卡等品牌及型号清单，且至少兼容一款产品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兼容设备越多越好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★软件兼容（日常办公）</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★办公软件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供应商提供兼容的办公软件品牌及版本清单，且至少兼容一款产品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★版式软件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供应商提供兼容的版式软件品牌及版本清单，且至少兼容一款产品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★签名软件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供应商提供兼容的电子签名、电子签章、云签章、key 签署等签名软件的品牌及版本清单，且至少兼容一款产品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★软件兼容（安全防护）</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★杀毒软件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供应商提供兼容的杀毒软件的品牌及版本清单，且至少兼容一款产品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978"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★身份鉴别系统</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供应商提供兼容的通过指纹、人脸识别、Ukey 等方式对使用者身份进行验证的系统品牌及版本清单，且至少兼容一款产品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 日志管理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供应商提供兼容的日志管理软件品牌及版本清单，且至少兼容一款产品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36"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★防火墙</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供应商提供兼容的网络防护、安全管理等软件的品牌及版本清单，且至少兼容一款产品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★软件兼容（网络应用）</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★网络会议</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供应商提供兼容的网络会议软件的品牌及版本清单，且至少兼容一款产品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★浏览器</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供应商提供兼容的浏览器的品牌及版本清单，且至少兼容一款产品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2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129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★新闻信息</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供应商提供兼容的新闻信息类软件的品牌及版本清单，且至少兼容一款产品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25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兼容</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★社交软件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供应商提供兼容的社交软件的品牌及版本清单，且至少兼容一款产品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支持的品牌、版本越</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★软件兼容（多    媒体）</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★图形图像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供应商提供兼容的图像查看、图像编辑的品牌及版本清单，且至少兼容一款产品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★媒体播放</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供应商提供兼容的媒体播放类软件品牌及版本清单，且至少兼容一款产品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兼容性要求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★音乐电台</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供应商提供兼容的多媒体类软件品牌及版本清单，且至少兼容一款产品</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支持的品牌、版本越多越好</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★便捷使用</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★帮助提示</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操作系统提供内置系统和应用中文图文用户手册，包括使用说明、示例、常见故障处理等；对需要补充解释的部分，以合适方式提供中文提示</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36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★快捷键</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操作系统支持以下快捷键：&lt;Super&gt; 开始选单&lt;Alt&gt;+&lt;Tab&gt; 遍历窗口&lt;Shift&gt;+&lt;Alt&gt;+&lt;Tab&gt; 反向遍历窗口&lt;Alt&gt;+&lt;F4&gt; 关闭当前窗口&lt;Ctrl&gt;+&lt;A&gt; 全选&lt;Ctrl&gt;+&lt;X&gt; 剪切&lt;Ctrl&gt;+&lt;C&gt; 复制&lt;Ctrl&gt;+&lt;V&gt; 粘贴&lt;Ctrl&gt;+&lt;Space&gt; 开启/关闭输入法&lt;Ctrl&gt;+&lt;Shift&gt; 切换输入法&lt;Super&gt;+&lt;L&gt; 桌面锁定&lt;Super&gt;+&lt;D&gt; 显示桌面&lt;Super&gt;+&lt;E&gt; 打开文件管理器&lt;Ctrl&gt;+&lt;Alt&gt;+&lt;Delete&gt; 退出界面</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38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易用性要求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语音助手</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语音助手工具支持开启关闭系统应用，如应用商店、音视频播放、记事本、计算器等；支持显示控制，如调高调低屏幕亮度、开启关闭投影仪等；支持网络控制，如开启关闭无线局域网、开启关闭蓝牙等；支持语音播报，以语音方式播报当前窗口所显示的文字内容；支持语音听写，使用语音方式通过输入设备，以文字内容显示在当前可编辑窗口；支持语音翻译，支持语音方式通过输入设备，将内容进行中英文互译；支持音乐播放控制，如上一首、下一首、快进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支持更优，用户可选更多</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★系统稳定性</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★操作系统连续运行 72 小时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操作系统在 CPU 占用大于等于80%，或内存占用大于等于 80%压力情况下，连续运行 72 小时无故障</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★检查修复</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★系统修复</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操作系统提供文件系统检查与修复功能，能自动修复文件系统错误或以显式方式提示用户进行手动文件系统修复</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21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139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可靠性要求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★备份恢复</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★备份还原</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操作系统提供备份还原功能：支持系统的备份和还原；支持全盘备份到外部存储设备；支持还原到指定备份点；支持保留用户数据的系统还原；支持系统无法正常进入状态时，可对系统进行还原</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★系统维护</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 日志管理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操作系统提供日志管理工具：支持图形化显示；支持对系统日志信息的显示和刷新；支持对日志文件的查找和导出；支持对特定时间段内的日志进行筛选；支持系统日志定期清除功能</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1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可维护性要求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★系统升级</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系统增量升级功能，对系统部件、安全补丁等升级；支持在线升级和离线升级；升级不得修改破坏用户数据；升级不得影响原有软硬件兼容性；提供升级回退机制，能卸载已升级的软件包，恢复系统原有状态；如升级为不可回退，则系统升级前以显式的提示告知用户</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★交付方式</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★交付方式</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操作系统支持光盘、USB 闪存盘、镜像文件（下载）等交付方式</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用户可要求厂商同时提供一种或多种交付方式</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★产品维护服务     周期</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★产品维护周期</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产品自发布之日起至产品停止功能升级（包含不限于新特性、新硬件支持、问题修复、安全补丁等）之日止≥5 年</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★产品延伸服务周期</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产品停止功能升级之日起至产品停止功能维护（包括问题修复、安全补丁等）之日止≥4 年</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产品通用维护服务周期基本要求，可通过延长“产品维护周期”替代</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★产品延伸安全服务周期</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产品功能维护停止之日起至产品停止安全维护（包括中高风险漏洞修复）之日止≥2 年</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产品通用维护服务周期基本要求，可通过延长“产品延伸服务周期”替代</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★产品售后服务周期</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≥6 年</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自销售之日起，产品售后服务周期不少于6 年，包括产品停售以后的特需销售</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★售后服务</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★原厂服务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服务由操作系统厂商的正式员工提供，不由代理商提供</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★服务热线电话</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操作系统厂商为最终用户提供工作日每日不少于8h（应覆盖一般工作时间，具体时间由企业标准给出）中文技术服务热线</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操作系统厂商提供的支持服务标准越高越好</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149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★技术服务标准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操作系统厂商提供工作日每日不少于8h 技术支持服务</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操作系统厂商提供的支持服务标准越高越好</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定制优化增值服务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操作系统厂商提供代码级定制优化服务</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定制化能力可帮助规模用户解决专业技术服务需求，采购人可根据需要确定是否需要供应商提供定制优化服务</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★技术服务时效</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是</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操作系统厂商满足同城 4h、异地 12h 响应要求，两个工作日解决问题，对于未能解决的问题和故障提供可行的升级方案</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操作系统厂商提供的支持服务标准越高越好</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★技术服务保障</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发生非人为因素故障，在七日内由操作系统厂商原厂人员免费对产品进行补充或更换</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5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★交付与安装调试</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现场服务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单次采购 500 套及以上时提供原厂团队驻场服务</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采购人可根据需要确定是否需要供应商提供现场技术支持服务</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★配套资料</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操作系统厂商交付产品时提供配套的技术资料，包括但不限于系统说明文件、用户手册（用户安装、操作、维护、故障排除）等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★系统更换</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★系统更换</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服务期内，操作系统厂商支持版本免费更换（注：更换后不延长服务期）</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1.安装介质损坏，免费更换安装介质；2.整机 CPU 体系架构变更时（原环境停止使用），可免费安装介质</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服务要求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★厂商能力要求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★服务团队</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操作系统厂商建立全国技术服务体系和服务团队，为客户提供专业的原厂中文服务</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供应保障要求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★数据上行安全     保障</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★数据收集安全保障</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除用户授权采集的信息外不采集其他数据，相关信息采集无安全风险，相关数据存储在大陆境内</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供应保障要求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★数据下行安全     保障</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★数据供给安全保障</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数据供给安全保障：涉及数据下载的线上服务物理服务器不出境，包括代码仓库、系统补丁、安全补丁、服务网站等</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159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供应保障要求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★代码无风险</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★代码无风险</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操作系统厂商可提供源代码，源代码可供第三方机构审查，开源许可合规，代码知识产权无风险，无恶意安全漏洞或后门，代码可追溯、可重构</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21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★基本要求</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★基本要求</w:t>
            </w:r>
            <w:r>
              <w:rPr>
                <w:rFonts w:hint="eastAsia" w:asciiTheme="majorEastAsia" w:hAnsiTheme="majorEastAsia" w:eastAsiaTheme="majorEastAsia" w:cstheme="majorEastAsia"/>
                <w:i w:val="0"/>
                <w:color w:val="000000"/>
                <w:kern w:val="0"/>
                <w:sz w:val="24"/>
                <w:szCs w:val="24"/>
                <w:u w:val="none"/>
                <w:lang w:val="en-US" w:eastAsia="zh-CN" w:bidi="ar"/>
              </w:rPr>
              <w:t>3</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操作系统应当符合安全可靠测评要求</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通过政府有关部门指定的中国信息安全测评中心和国家保密科技测评中心网站查看安全可靠测评结果</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★密码算法支持</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★密码算法实现</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 GM/T 0002 、GM/T 0003和 GM/T 0004 规定的密码算法运算</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★随机数生成</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随机数质量符合GM/T 0005《随机性检测规范》或 GB/T32915《信息安全技术二元序列随机性检测方法》</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★内置数字证书</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操作系统内置国家电子认证根 CA 的根证书</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164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★密码协议实现</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操作系统支持符合 GB/T 38636—2020的 TLCP</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通过商用密码检测机构检测并经商用密码认证机构认证合格</w:t>
            </w:r>
          </w:p>
        </w:tc>
      </w:tr>
      <w:tr>
        <w:tblPrEx>
          <w:tblLayout w:type="fixed"/>
          <w:tblCellMar>
            <w:top w:w="0" w:type="dxa"/>
            <w:left w:w="0" w:type="dxa"/>
            <w:bottom w:w="0" w:type="dxa"/>
            <w:right w:w="0" w:type="dxa"/>
          </w:tblCellMar>
        </w:tblPrEx>
        <w:trPr>
          <w:trHeight w:val="73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165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★安全管理工具</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★安全管理工具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操作系统提供安全管理工具，包括帐户安全、网络防护、病毒防护、应用程序执行控制</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166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★身份鉴别</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★生物特征识别管理</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操作系统支持两种及以上的生物特征类型鉴别，如指纹、人脸；支持使用生物特征进行命令行、图形化提权操作的身份鉴别；支持使用生物特征进行系统登录操作的身份鉴别；支持用户管理自己的生物特征信息</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3"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167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★身份鉴别服务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用户标识使用帐户名和帐户ID，在操作系统的整个生存周期内帐户标识具有唯一性；支持配置帐户口令复杂度校验及强口令管理；支持帐户口令有效期配置；支持口令鉴别失败控制；支持口令加密算法配置，帐户口令进行加密后以不可逆的密文形式保存；支持禁止根帐户(root)远程登录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26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168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★访问控制</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★自主访问控制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允许客体拥有者以普通帐户决定并控制对客体的访问，并阻止非授权帐户对客体的访问普通用户缺省拥有新建、读写和删除私有目录下文件的权限；支持细粒度的自主访问控制，将访问控制的粒度控制在指定帐户，对系统中的每一个客体，实现由客体拥有者以指定帐户方式确定其对该客体的访问权限，而其他同组帐户或非同组的帐户和用户组对该客体的访问权则由客体拥有者授予</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97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169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★强制访问控制</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操作系统支持对应用程序的访问控制与资源限制，包括对文件、网络等客体的访问控制；支持应用安装控制、应用执行控制</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6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170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★安全审计</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能对身份鉴别的使用、自主访问控制、标记和强制访问控制策略的修改等生成审计日志；审计记录包括事件类型、事件发生的日期、触发事件的帐户、事件成功或失败等字段；支持审计日志查询和导出功能设置</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145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171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★防火墙工具</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★基本要求</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操作系统支持开启或关闭防火墙；支持添加防火墙规则，至少包括名称、协议、地址和端口；提供不同场景下的缺省防火墙配置，如公共、专用和自定义；支持不同的访问策略，包括允许、拒绝</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r>
        <w:tblPrEx>
          <w:tblLayout w:type="fixed"/>
          <w:tblCellMar>
            <w:top w:w="0" w:type="dxa"/>
            <w:left w:w="0" w:type="dxa"/>
            <w:bottom w:w="0" w:type="dxa"/>
            <w:right w:w="0" w:type="dxa"/>
          </w:tblCellMar>
        </w:tblPrEx>
        <w:trPr>
          <w:trHeight w:val="490"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172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Theme="majorEastAsia" w:hAnsiTheme="majorEastAsia" w:eastAsiaTheme="majorEastAsia" w:cstheme="majorEastAsia"/>
                <w:i w:val="0"/>
                <w:color w:val="000000"/>
                <w:sz w:val="24"/>
                <w:szCs w:val="24"/>
                <w:u w:val="none"/>
              </w:rPr>
            </w:pP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扩展要求</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提供一键关闭远程访问功能</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提高用户配置便捷性</w:t>
            </w:r>
          </w:p>
        </w:tc>
      </w:tr>
      <w:tr>
        <w:tblPrEx>
          <w:tblLayout w:type="fixed"/>
          <w:tblCellMar>
            <w:top w:w="0" w:type="dxa"/>
            <w:left w:w="0" w:type="dxa"/>
            <w:bottom w:w="0" w:type="dxa"/>
            <w:right w:w="0" w:type="dxa"/>
          </w:tblCellMar>
        </w:tblPrEx>
        <w:trPr>
          <w:trHeight w:val="2655" w:hRule="atLeast"/>
        </w:trPr>
        <w:tc>
          <w:tcPr>
            <w:tcW w:w="5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 xml:space="preserve">173 </w:t>
            </w:r>
          </w:p>
        </w:tc>
        <w:tc>
          <w:tcPr>
            <w:tcW w:w="7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安全要求</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★漏洞管理</w:t>
            </w:r>
          </w:p>
        </w:tc>
        <w:tc>
          <w:tcPr>
            <w:tcW w:w="15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★漏洞编号</w:t>
            </w:r>
          </w:p>
        </w:tc>
        <w:tc>
          <w:tcPr>
            <w:tcW w:w="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否</w:t>
            </w:r>
          </w:p>
        </w:tc>
        <w:tc>
          <w:tcPr>
            <w:tcW w:w="18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i w:val="0"/>
                <w:color w:val="000000"/>
                <w:kern w:val="0"/>
                <w:sz w:val="24"/>
                <w:szCs w:val="24"/>
                <w:u w:val="none"/>
                <w:lang w:val="en-US" w:eastAsia="zh-CN" w:bidi="ar"/>
              </w:rPr>
              <w:t>操作系统支持漏洞编号，每个漏洞独立编号，可直接使用 NVDB、CNVD 或 CVE编号；漏洞提醒，发现或获悉漏洞信息时，通过系统推送、电子邮件或官方网站等方式通知用户；漏洞修复，对已发现的安全漏洞通过补丁等方式对系统漏洞进行修复；漏洞列表，提供每个版本已修复的漏洞列表，并提供命令或网页等方式方便用户查询漏洞及其修复情况</w:t>
            </w:r>
          </w:p>
        </w:tc>
        <w:tc>
          <w:tcPr>
            <w:tcW w:w="16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color w:val="000000"/>
                <w:sz w:val="24"/>
                <w:szCs w:val="24"/>
                <w:u w:val="none"/>
              </w:rPr>
            </w:pPr>
            <w:r>
              <w:rPr>
                <w:rFonts w:hint="eastAsia" w:asciiTheme="majorEastAsia" w:hAnsiTheme="majorEastAsia" w:eastAsiaTheme="majorEastAsia" w:cstheme="majorEastAsia"/>
                <w:sz w:val="24"/>
                <w:szCs w:val="24"/>
                <w:lang w:val="en-US" w:eastAsia="zh-CN" w:bidi="ar"/>
              </w:rPr>
              <w:t>/</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华文楷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Sim Sun+ 2">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514758"/>
    </w:sdtPr>
    <w:sdtContent>
      <w:p>
        <w:pPr>
          <w:pStyle w:val="33"/>
          <w:jc w:val="center"/>
        </w:pPr>
        <w:r>
          <w:fldChar w:fldCharType="begin"/>
        </w:r>
        <w:r>
          <w:instrText xml:space="preserve">PAGE   \* MERGEFORMAT</w:instrText>
        </w:r>
        <w:r>
          <w:fldChar w:fldCharType="separate"/>
        </w:r>
        <w:r>
          <w:rPr>
            <w:lang w:val="zh-CN"/>
          </w:rPr>
          <w:t>1</w:t>
        </w:r>
        <w:r>
          <w:fldChar w:fldCharType="end"/>
        </w:r>
      </w:p>
    </w:sdtContent>
  </w:sdt>
  <w:p>
    <w:pPr>
      <w:pStyle w:val="3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pStyle w:val="15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25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224"/>
      <w:lvlText w:val="%1."/>
      <w:lvlJc w:val="left"/>
      <w:pPr>
        <w:tabs>
          <w:tab w:val="left" w:pos="360"/>
        </w:tabs>
        <w:ind w:left="360" w:hanging="360"/>
      </w:pPr>
      <w:rPr>
        <w:rFonts w:hint="default"/>
      </w:rPr>
    </w:lvl>
  </w:abstractNum>
  <w:abstractNum w:abstractNumId="3">
    <w:nsid w:val="00000026"/>
    <w:multiLevelType w:val="multilevel"/>
    <w:tmpl w:val="00000026"/>
    <w:lvl w:ilvl="0" w:tentative="0">
      <w:start w:val="1"/>
      <w:numFmt w:val="decimal"/>
      <w:pStyle w:val="15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5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1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15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267"/>
      <w:lvlText w:val="%1"/>
      <w:lvlJc w:val="left"/>
      <w:pPr>
        <w:ind w:left="680" w:hanging="680"/>
      </w:pPr>
      <w:rPr>
        <w:rFonts w:hint="eastAsia" w:ascii="宋体" w:hAnsi="宋体" w:eastAsia="宋体"/>
      </w:rPr>
    </w:lvl>
    <w:lvl w:ilvl="1" w:tentative="0">
      <w:start w:val="1"/>
      <w:numFmt w:val="decimal"/>
      <w:pStyle w:val="214"/>
      <w:lvlText w:val="%1.%2"/>
      <w:lvlJc w:val="left"/>
      <w:pPr>
        <w:ind w:left="851" w:hanging="851"/>
      </w:pPr>
      <w:rPr>
        <w:rFonts w:hint="eastAsia" w:ascii="宋体" w:hAnsi="宋体" w:eastAsia="宋体"/>
        <w:color w:val="auto"/>
      </w:rPr>
    </w:lvl>
    <w:lvl w:ilvl="2" w:tentative="0">
      <w:start w:val="1"/>
      <w:numFmt w:val="decimal"/>
      <w:pStyle w:val="21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3"/>
  </w:num>
  <w:num w:numId="2">
    <w:abstractNumId w:val="5"/>
  </w:num>
  <w:num w:numId="3">
    <w:abstractNumId w:val="0"/>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7B"/>
    <w:rsid w:val="00060A75"/>
    <w:rsid w:val="000932E8"/>
    <w:rsid w:val="000E2776"/>
    <w:rsid w:val="000F1FFF"/>
    <w:rsid w:val="00121300"/>
    <w:rsid w:val="00124E53"/>
    <w:rsid w:val="001415C2"/>
    <w:rsid w:val="001D6FE2"/>
    <w:rsid w:val="001F117D"/>
    <w:rsid w:val="002E329E"/>
    <w:rsid w:val="003009B4"/>
    <w:rsid w:val="003212FB"/>
    <w:rsid w:val="00324BD9"/>
    <w:rsid w:val="00334048"/>
    <w:rsid w:val="00351252"/>
    <w:rsid w:val="003A3CB0"/>
    <w:rsid w:val="00512599"/>
    <w:rsid w:val="00575B2C"/>
    <w:rsid w:val="005B4E82"/>
    <w:rsid w:val="005E743E"/>
    <w:rsid w:val="00603467"/>
    <w:rsid w:val="0063489B"/>
    <w:rsid w:val="00683975"/>
    <w:rsid w:val="006A7765"/>
    <w:rsid w:val="006B5F5E"/>
    <w:rsid w:val="006D4ACE"/>
    <w:rsid w:val="00755D7B"/>
    <w:rsid w:val="00762FB0"/>
    <w:rsid w:val="00787B64"/>
    <w:rsid w:val="00795E42"/>
    <w:rsid w:val="007971D2"/>
    <w:rsid w:val="00834FD7"/>
    <w:rsid w:val="00846841"/>
    <w:rsid w:val="00864014"/>
    <w:rsid w:val="00865AD3"/>
    <w:rsid w:val="008B0C6C"/>
    <w:rsid w:val="008B1476"/>
    <w:rsid w:val="008F1811"/>
    <w:rsid w:val="008F568F"/>
    <w:rsid w:val="00907CCF"/>
    <w:rsid w:val="00961719"/>
    <w:rsid w:val="0099669F"/>
    <w:rsid w:val="009B3175"/>
    <w:rsid w:val="009C5AEE"/>
    <w:rsid w:val="009E5A27"/>
    <w:rsid w:val="009E61BB"/>
    <w:rsid w:val="00A078E7"/>
    <w:rsid w:val="00A14CCB"/>
    <w:rsid w:val="00A26FC5"/>
    <w:rsid w:val="00A36130"/>
    <w:rsid w:val="00AC3B52"/>
    <w:rsid w:val="00AF5803"/>
    <w:rsid w:val="00B76128"/>
    <w:rsid w:val="00B85D11"/>
    <w:rsid w:val="00B91176"/>
    <w:rsid w:val="00C1655F"/>
    <w:rsid w:val="00C54DC2"/>
    <w:rsid w:val="00C71F6F"/>
    <w:rsid w:val="00CC39D9"/>
    <w:rsid w:val="00CD29C5"/>
    <w:rsid w:val="00CD7D81"/>
    <w:rsid w:val="00D76B4C"/>
    <w:rsid w:val="00D870BC"/>
    <w:rsid w:val="00DA0267"/>
    <w:rsid w:val="00DD67EB"/>
    <w:rsid w:val="00E178D8"/>
    <w:rsid w:val="00EC701B"/>
    <w:rsid w:val="00F0039D"/>
    <w:rsid w:val="00F17F9B"/>
    <w:rsid w:val="00F2627B"/>
    <w:rsid w:val="00F41BBB"/>
    <w:rsid w:val="00F87650"/>
    <w:rsid w:val="00F9787B"/>
    <w:rsid w:val="00FA558B"/>
    <w:rsid w:val="0B2D4AE8"/>
    <w:rsid w:val="0BCC364D"/>
    <w:rsid w:val="0EC374CD"/>
    <w:rsid w:val="0FE61D4E"/>
    <w:rsid w:val="11A20CDB"/>
    <w:rsid w:val="151C29F3"/>
    <w:rsid w:val="1C98397C"/>
    <w:rsid w:val="1CEE5DFA"/>
    <w:rsid w:val="1D8906D7"/>
    <w:rsid w:val="1DA14407"/>
    <w:rsid w:val="1E706FDD"/>
    <w:rsid w:val="1F7F39CF"/>
    <w:rsid w:val="29540563"/>
    <w:rsid w:val="29D20428"/>
    <w:rsid w:val="2B904B96"/>
    <w:rsid w:val="2BE502A3"/>
    <w:rsid w:val="2D0E5DCC"/>
    <w:rsid w:val="336565F4"/>
    <w:rsid w:val="33865CDB"/>
    <w:rsid w:val="35251B30"/>
    <w:rsid w:val="37AC2D77"/>
    <w:rsid w:val="38634BFE"/>
    <w:rsid w:val="38677016"/>
    <w:rsid w:val="39184CEB"/>
    <w:rsid w:val="3B4C2D3E"/>
    <w:rsid w:val="3C3D62C4"/>
    <w:rsid w:val="44EC1D67"/>
    <w:rsid w:val="45964E2C"/>
    <w:rsid w:val="499646CD"/>
    <w:rsid w:val="4C7B1D33"/>
    <w:rsid w:val="4DED6F89"/>
    <w:rsid w:val="52510A99"/>
    <w:rsid w:val="555F5B42"/>
    <w:rsid w:val="5C6A3579"/>
    <w:rsid w:val="5DC35C7F"/>
    <w:rsid w:val="62C958C2"/>
    <w:rsid w:val="67F965E5"/>
    <w:rsid w:val="6DC533E1"/>
    <w:rsid w:val="779F12EB"/>
    <w:rsid w:val="7946006C"/>
    <w:rsid w:val="799B6D30"/>
    <w:rsid w:val="7CD2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10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10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78"/>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79"/>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8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8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8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8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42"/>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index 8"/>
    <w:basedOn w:val="1"/>
    <w:next w:val="1"/>
    <w:qFormat/>
    <w:uiPriority w:val="0"/>
    <w:pPr>
      <w:ind w:left="1400" w:leftChars="1400"/>
    </w:pPr>
  </w:style>
  <w:style w:type="paragraph" w:styleId="14">
    <w:name w:val="Normal Indent"/>
    <w:basedOn w:val="1"/>
    <w:next w:val="1"/>
    <w:link w:val="119"/>
    <w:qFormat/>
    <w:uiPriority w:val="0"/>
    <w:pPr>
      <w:autoSpaceDE w:val="0"/>
      <w:autoSpaceDN w:val="0"/>
      <w:adjustRightInd w:val="0"/>
      <w:ind w:firstLine="420"/>
      <w:jc w:val="left"/>
    </w:pPr>
    <w:rPr>
      <w:rFonts w:ascii="宋体"/>
      <w:sz w:val="24"/>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84"/>
    <w:qFormat/>
    <w:uiPriority w:val="0"/>
    <w:pPr>
      <w:shd w:val="clear" w:color="auto" w:fill="000080"/>
    </w:pPr>
  </w:style>
  <w:style w:type="paragraph" w:styleId="17">
    <w:name w:val="annotation text"/>
    <w:basedOn w:val="1"/>
    <w:link w:val="116"/>
    <w:qFormat/>
    <w:uiPriority w:val="99"/>
    <w:pPr>
      <w:jc w:val="left"/>
    </w:pPr>
  </w:style>
  <w:style w:type="paragraph" w:styleId="18">
    <w:name w:val="index 6"/>
    <w:basedOn w:val="1"/>
    <w:next w:val="1"/>
    <w:unhideWhenUsed/>
    <w:qFormat/>
    <w:uiPriority w:val="0"/>
    <w:pPr>
      <w:ind w:left="1000" w:leftChars="1000"/>
    </w:pPr>
    <w:rPr>
      <w:szCs w:val="20"/>
    </w:rPr>
  </w:style>
  <w:style w:type="paragraph" w:styleId="19">
    <w:name w:val="Salutation"/>
    <w:basedOn w:val="1"/>
    <w:next w:val="1"/>
    <w:link w:val="291"/>
    <w:qFormat/>
    <w:uiPriority w:val="0"/>
  </w:style>
  <w:style w:type="paragraph" w:styleId="20">
    <w:name w:val="Body Text 3"/>
    <w:basedOn w:val="1"/>
    <w:link w:val="86"/>
    <w:qFormat/>
    <w:uiPriority w:val="0"/>
    <w:pPr>
      <w:spacing w:after="120"/>
    </w:pPr>
    <w:rPr>
      <w:sz w:val="16"/>
      <w:szCs w:val="16"/>
    </w:rPr>
  </w:style>
  <w:style w:type="paragraph" w:styleId="21">
    <w:name w:val="List Bullet 3"/>
    <w:basedOn w:val="1"/>
    <w:unhideWhenUsed/>
    <w:qFormat/>
    <w:uiPriority w:val="0"/>
    <w:pPr>
      <w:widowControl/>
      <w:tabs>
        <w:tab w:val="left" w:pos="435"/>
      </w:tabs>
      <w:spacing w:after="120" w:line="360" w:lineRule="auto"/>
      <w:ind w:left="435" w:hanging="454"/>
      <w:jc w:val="left"/>
    </w:pPr>
    <w:rPr>
      <w:rFonts w:cs="Arial"/>
      <w:kern w:val="0"/>
      <w:sz w:val="20"/>
      <w:szCs w:val="20"/>
    </w:rPr>
  </w:style>
  <w:style w:type="paragraph" w:styleId="22">
    <w:name w:val="Body Text Indent"/>
    <w:basedOn w:val="1"/>
    <w:next w:val="23"/>
    <w:link w:val="144"/>
    <w:qFormat/>
    <w:uiPriority w:val="0"/>
    <w:pPr>
      <w:spacing w:line="360" w:lineRule="auto"/>
      <w:ind w:firstLine="570"/>
    </w:pPr>
    <w:rPr>
      <w:sz w:val="24"/>
    </w:rPr>
  </w:style>
  <w:style w:type="paragraph" w:styleId="23">
    <w:name w:val="envelope return"/>
    <w:basedOn w:val="1"/>
    <w:unhideWhenUsed/>
    <w:qFormat/>
    <w:uiPriority w:val="99"/>
    <w:rPr>
      <w:rFonts w:ascii="Arial" w:hAnsi="Arial" w:cs="Arial"/>
      <w:kern w:val="1"/>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toc 5"/>
    <w:basedOn w:val="1"/>
    <w:next w:val="1"/>
    <w:qFormat/>
    <w:uiPriority w:val="0"/>
    <w:pPr>
      <w:ind w:left="1680" w:leftChars="800"/>
    </w:pPr>
  </w:style>
  <w:style w:type="paragraph" w:styleId="27">
    <w:name w:val="toc 3"/>
    <w:basedOn w:val="1"/>
    <w:next w:val="1"/>
    <w:qFormat/>
    <w:uiPriority w:val="39"/>
    <w:pPr>
      <w:ind w:left="840" w:leftChars="400"/>
    </w:pPr>
  </w:style>
  <w:style w:type="paragraph" w:styleId="28">
    <w:name w:val="Plain Text"/>
    <w:basedOn w:val="1"/>
    <w:link w:val="111"/>
    <w:qFormat/>
    <w:uiPriority w:val="0"/>
    <w:rPr>
      <w:rFonts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88"/>
    <w:qFormat/>
    <w:uiPriority w:val="0"/>
    <w:pPr>
      <w:ind w:left="100" w:leftChars="2500"/>
    </w:pPr>
    <w:rPr>
      <w:rFonts w:ascii="仿宋_GB2312" w:hAnsi="宋体" w:eastAsia="仿宋_GB2312"/>
      <w:color w:val="000000"/>
      <w:sz w:val="24"/>
    </w:rPr>
  </w:style>
  <w:style w:type="paragraph" w:styleId="31">
    <w:name w:val="Body Text Indent 2"/>
    <w:basedOn w:val="1"/>
    <w:link w:val="89"/>
    <w:qFormat/>
    <w:uiPriority w:val="0"/>
    <w:pPr>
      <w:ind w:firstLine="480" w:firstLineChars="200"/>
    </w:pPr>
    <w:rPr>
      <w:rFonts w:ascii="仿宋_GB2312" w:eastAsia="仿宋_GB2312"/>
      <w:sz w:val="24"/>
    </w:rPr>
  </w:style>
  <w:style w:type="paragraph" w:styleId="32">
    <w:name w:val="Balloon Text"/>
    <w:basedOn w:val="1"/>
    <w:link w:val="90"/>
    <w:qFormat/>
    <w:uiPriority w:val="0"/>
    <w:rPr>
      <w:sz w:val="18"/>
      <w:szCs w:val="18"/>
    </w:rPr>
  </w:style>
  <w:style w:type="paragraph" w:styleId="33">
    <w:name w:val="footer"/>
    <w:basedOn w:val="1"/>
    <w:link w:val="9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92"/>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link w:val="342"/>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Subtitle"/>
    <w:basedOn w:val="1"/>
    <w:next w:val="1"/>
    <w:link w:val="302"/>
    <w:qFormat/>
    <w:uiPriority w:val="0"/>
    <w:pPr>
      <w:spacing w:before="240" w:after="60" w:line="312" w:lineRule="auto"/>
      <w:jc w:val="center"/>
      <w:outlineLvl w:val="1"/>
    </w:pPr>
    <w:rPr>
      <w:rFonts w:ascii="Calibri Light" w:hAnsi="Calibri Light" w:cs="黑体"/>
      <w:b/>
      <w:bCs/>
      <w:kern w:val="28"/>
      <w:sz w:val="32"/>
      <w:szCs w:val="32"/>
    </w:rPr>
  </w:style>
  <w:style w:type="paragraph" w:styleId="38">
    <w:name w:val="List"/>
    <w:basedOn w:val="1"/>
    <w:unhideWhenUsed/>
    <w:qFormat/>
    <w:uiPriority w:val="0"/>
    <w:pPr>
      <w:adjustRightInd w:val="0"/>
      <w:spacing w:line="360" w:lineRule="atLeast"/>
      <w:ind w:left="420" w:hanging="420"/>
      <w:jc w:val="left"/>
    </w:pPr>
    <w:rPr>
      <w:rFonts w:ascii="宋体"/>
      <w:kern w:val="0"/>
      <w:sz w:val="24"/>
      <w:szCs w:val="20"/>
    </w:rPr>
  </w:style>
  <w:style w:type="paragraph" w:styleId="39">
    <w:name w:val="footnote text"/>
    <w:basedOn w:val="1"/>
    <w:unhideWhenUsed/>
    <w:qFormat/>
    <w:uiPriority w:val="99"/>
    <w:pPr>
      <w:snapToGrid w:val="0"/>
      <w:jc w:val="left"/>
    </w:pPr>
    <w:rPr>
      <w:sz w:val="18"/>
    </w:rPr>
  </w:style>
  <w:style w:type="paragraph" w:styleId="40">
    <w:name w:val="toc 6"/>
    <w:basedOn w:val="1"/>
    <w:next w:val="1"/>
    <w:qFormat/>
    <w:uiPriority w:val="0"/>
    <w:pPr>
      <w:ind w:left="2100" w:leftChars="1000"/>
    </w:pPr>
  </w:style>
  <w:style w:type="paragraph" w:styleId="41">
    <w:name w:val="Body Text Indent 3"/>
    <w:basedOn w:val="1"/>
    <w:link w:val="9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2">
    <w:name w:val="toc 2"/>
    <w:basedOn w:val="1"/>
    <w:next w:val="1"/>
    <w:qFormat/>
    <w:uiPriority w:val="39"/>
    <w:pPr>
      <w:tabs>
        <w:tab w:val="right" w:leader="dot" w:pos="8937"/>
      </w:tabs>
      <w:spacing w:line="312" w:lineRule="auto"/>
      <w:ind w:left="420" w:leftChars="200"/>
    </w:pPr>
  </w:style>
  <w:style w:type="paragraph" w:styleId="43">
    <w:name w:val="toc 9"/>
    <w:basedOn w:val="1"/>
    <w:next w:val="1"/>
    <w:qFormat/>
    <w:uiPriority w:val="0"/>
    <w:pPr>
      <w:ind w:left="3360" w:leftChars="1600"/>
    </w:pPr>
  </w:style>
  <w:style w:type="paragraph" w:styleId="44">
    <w:name w:val="Body Text 2"/>
    <w:basedOn w:val="1"/>
    <w:link w:val="328"/>
    <w:unhideWhenUsed/>
    <w:qFormat/>
    <w:uiPriority w:val="0"/>
    <w:pPr>
      <w:spacing w:line="300" w:lineRule="auto"/>
    </w:pPr>
    <w:rPr>
      <w:rFonts w:ascii="幼圆" w:hAnsi="Calibri" w:eastAsia="幼圆"/>
      <w:sz w:val="24"/>
    </w:rPr>
  </w:style>
  <w:style w:type="paragraph" w:styleId="45">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7">
    <w:name w:val="index 1"/>
    <w:basedOn w:val="1"/>
    <w:next w:val="1"/>
    <w:qFormat/>
    <w:uiPriority w:val="0"/>
    <w:rPr>
      <w:szCs w:val="20"/>
    </w:rPr>
  </w:style>
  <w:style w:type="paragraph" w:styleId="48">
    <w:name w:val="Title"/>
    <w:basedOn w:val="1"/>
    <w:link w:val="95"/>
    <w:qFormat/>
    <w:uiPriority w:val="0"/>
    <w:pPr>
      <w:jc w:val="center"/>
      <w:outlineLvl w:val="0"/>
    </w:pPr>
    <w:rPr>
      <w:b/>
      <w:sz w:val="32"/>
      <w:szCs w:val="20"/>
    </w:rPr>
  </w:style>
  <w:style w:type="paragraph" w:styleId="49">
    <w:name w:val="annotation subject"/>
    <w:basedOn w:val="17"/>
    <w:next w:val="17"/>
    <w:link w:val="96"/>
    <w:qFormat/>
    <w:uiPriority w:val="0"/>
    <w:rPr>
      <w:b/>
      <w:bCs/>
    </w:rPr>
  </w:style>
  <w:style w:type="paragraph" w:styleId="50">
    <w:name w:val="Body Text First Indent"/>
    <w:basedOn w:val="2"/>
    <w:link w:val="280"/>
    <w:qFormat/>
    <w:uiPriority w:val="99"/>
    <w:pPr>
      <w:tabs>
        <w:tab w:val="clear" w:pos="567"/>
      </w:tabs>
      <w:spacing w:before="0" w:after="120" w:line="240" w:lineRule="auto"/>
      <w:ind w:firstLine="420" w:firstLineChars="100"/>
    </w:pPr>
    <w:rPr>
      <w:rFonts w:ascii="Times New Roman" w:hAnsi="Times New Roman"/>
      <w:sz w:val="21"/>
    </w:rPr>
  </w:style>
  <w:style w:type="paragraph" w:styleId="51">
    <w:name w:val="Body Text First Indent 2"/>
    <w:basedOn w:val="22"/>
    <w:next w:val="1"/>
    <w:link w:val="131"/>
    <w:qFormat/>
    <w:uiPriority w:val="0"/>
    <w:pPr>
      <w:spacing w:after="120" w:line="480" w:lineRule="exact"/>
      <w:ind w:left="420" w:leftChars="200" w:firstLine="420" w:firstLineChars="200"/>
    </w:pPr>
    <w:rPr>
      <w:szCs w:val="20"/>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56">
    <w:name w:val="Strong"/>
    <w:basedOn w:val="55"/>
    <w:qFormat/>
    <w:uiPriority w:val="0"/>
    <w:rPr>
      <w:b/>
      <w:bCs/>
    </w:rPr>
  </w:style>
  <w:style w:type="character" w:styleId="57">
    <w:name w:val="page number"/>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HTML Cite"/>
    <w:qFormat/>
    <w:uiPriority w:val="0"/>
    <w:rPr>
      <w:i/>
      <w:iCs/>
    </w:rPr>
  </w:style>
  <w:style w:type="character" w:styleId="63">
    <w:name w:val="footnote reference"/>
    <w:basedOn w:val="55"/>
    <w:unhideWhenUsed/>
    <w:qFormat/>
    <w:uiPriority w:val="99"/>
    <w:rPr>
      <w:vertAlign w:val="superscript"/>
    </w:rPr>
  </w:style>
  <w:style w:type="paragraph" w:customStyle="1" w:styleId="64">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65">
    <w:name w:val="_Style 6"/>
    <w:basedOn w:val="1"/>
    <w:qFormat/>
    <w:uiPriority w:val="0"/>
    <w:pPr>
      <w:ind w:firstLine="420" w:firstLineChars="200"/>
    </w:pPr>
    <w:rPr>
      <w:rFonts w:ascii="Calibri" w:hAnsi="Calibri"/>
      <w:szCs w:val="22"/>
    </w:rPr>
  </w:style>
  <w:style w:type="paragraph" w:styleId="66">
    <w:name w:val="List Paragraph"/>
    <w:basedOn w:val="1"/>
    <w:link w:val="124"/>
    <w:qFormat/>
    <w:uiPriority w:val="34"/>
    <w:pPr>
      <w:ind w:firstLine="420" w:firstLineChars="200"/>
    </w:pPr>
    <w:rPr>
      <w:rFonts w:ascii="Calibri" w:hAnsi="Calibri"/>
      <w:szCs w:val="22"/>
    </w:rPr>
  </w:style>
  <w:style w:type="paragraph" w:customStyle="1" w:styleId="6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8">
    <w:name w:val="font71"/>
    <w:basedOn w:val="55"/>
    <w:qFormat/>
    <w:uiPriority w:val="0"/>
    <w:rPr>
      <w:rFonts w:hint="default" w:ascii="Arial" w:hAnsi="Arial" w:cs="Arial"/>
      <w:b/>
      <w:color w:val="000000"/>
      <w:sz w:val="40"/>
      <w:szCs w:val="40"/>
      <w:u w:val="none"/>
    </w:rPr>
  </w:style>
  <w:style w:type="character" w:customStyle="1" w:styleId="69">
    <w:name w:val="font61"/>
    <w:basedOn w:val="55"/>
    <w:qFormat/>
    <w:uiPriority w:val="0"/>
    <w:rPr>
      <w:rFonts w:hint="eastAsia" w:ascii="宋体" w:hAnsi="宋体" w:eastAsia="宋体" w:cs="宋体"/>
      <w:b/>
      <w:color w:val="000000"/>
      <w:sz w:val="40"/>
      <w:szCs w:val="40"/>
      <w:u w:val="none"/>
    </w:rPr>
  </w:style>
  <w:style w:type="character" w:customStyle="1" w:styleId="70">
    <w:name w:val="font91"/>
    <w:basedOn w:val="55"/>
    <w:qFormat/>
    <w:uiPriority w:val="0"/>
    <w:rPr>
      <w:rFonts w:hint="eastAsia" w:ascii="宋体" w:hAnsi="宋体" w:eastAsia="宋体" w:cs="宋体"/>
      <w:color w:val="000000"/>
      <w:sz w:val="20"/>
      <w:szCs w:val="20"/>
      <w:u w:val="none"/>
      <w:vertAlign w:val="superscript"/>
    </w:rPr>
  </w:style>
  <w:style w:type="character" w:customStyle="1" w:styleId="71">
    <w:name w:val="font121"/>
    <w:basedOn w:val="55"/>
    <w:qFormat/>
    <w:uiPriority w:val="0"/>
    <w:rPr>
      <w:rFonts w:hint="eastAsia" w:ascii="宋体" w:hAnsi="宋体" w:eastAsia="宋体" w:cs="宋体"/>
      <w:color w:val="FF0000"/>
      <w:sz w:val="20"/>
      <w:szCs w:val="20"/>
      <w:u w:val="none"/>
    </w:rPr>
  </w:style>
  <w:style w:type="character" w:customStyle="1" w:styleId="72">
    <w:name w:val="font31"/>
    <w:basedOn w:val="55"/>
    <w:qFormat/>
    <w:uiPriority w:val="0"/>
    <w:rPr>
      <w:rFonts w:hint="eastAsia" w:ascii="宋体" w:hAnsi="宋体" w:eastAsia="宋体" w:cs="宋体"/>
      <w:b/>
      <w:color w:val="000000"/>
      <w:sz w:val="20"/>
      <w:szCs w:val="20"/>
      <w:u w:val="none"/>
    </w:rPr>
  </w:style>
  <w:style w:type="character" w:customStyle="1" w:styleId="73">
    <w:name w:val="font111"/>
    <w:basedOn w:val="55"/>
    <w:qFormat/>
    <w:uiPriority w:val="0"/>
    <w:rPr>
      <w:rFonts w:hint="eastAsia" w:ascii="宋体" w:hAnsi="宋体" w:eastAsia="宋体" w:cs="宋体"/>
      <w:color w:val="000000"/>
      <w:sz w:val="20"/>
      <w:szCs w:val="20"/>
      <w:u w:val="none"/>
      <w:vertAlign w:val="superscript"/>
    </w:rPr>
  </w:style>
  <w:style w:type="character" w:customStyle="1" w:styleId="74">
    <w:name w:val="font01"/>
    <w:basedOn w:val="55"/>
    <w:qFormat/>
    <w:uiPriority w:val="0"/>
    <w:rPr>
      <w:rFonts w:hint="eastAsia" w:ascii="宋体" w:hAnsi="宋体" w:eastAsia="宋体" w:cs="宋体"/>
      <w:color w:val="000000"/>
      <w:sz w:val="24"/>
      <w:szCs w:val="24"/>
      <w:u w:val="none"/>
    </w:rPr>
  </w:style>
  <w:style w:type="character" w:customStyle="1" w:styleId="75">
    <w:name w:val="font101"/>
    <w:basedOn w:val="55"/>
    <w:qFormat/>
    <w:uiPriority w:val="0"/>
    <w:rPr>
      <w:rFonts w:hint="eastAsia" w:ascii="宋体" w:hAnsi="宋体" w:eastAsia="宋体" w:cs="宋体"/>
      <w:color w:val="000000"/>
      <w:sz w:val="24"/>
      <w:szCs w:val="24"/>
      <w:u w:val="none"/>
      <w:vertAlign w:val="superscript"/>
    </w:rPr>
  </w:style>
  <w:style w:type="character" w:customStyle="1" w:styleId="76">
    <w:name w:val="font11"/>
    <w:qFormat/>
    <w:uiPriority w:val="0"/>
    <w:rPr>
      <w:rFonts w:hint="eastAsia" w:ascii="宋体" w:hAnsi="宋体" w:eastAsia="宋体" w:cs="宋体"/>
      <w:color w:val="000000"/>
      <w:sz w:val="21"/>
      <w:szCs w:val="21"/>
      <w:u w:val="none"/>
    </w:rPr>
  </w:style>
  <w:style w:type="character" w:customStyle="1" w:styleId="77">
    <w:name w:val="标题 1 字符"/>
    <w:basedOn w:val="55"/>
    <w:link w:val="3"/>
    <w:qFormat/>
    <w:uiPriority w:val="0"/>
    <w:rPr>
      <w:rFonts w:ascii="宋体" w:hAnsi="Times New Roman"/>
      <w:b/>
      <w:kern w:val="44"/>
      <w:sz w:val="32"/>
    </w:rPr>
  </w:style>
  <w:style w:type="character" w:customStyle="1" w:styleId="78">
    <w:name w:val="标题 4 字符"/>
    <w:basedOn w:val="55"/>
    <w:link w:val="6"/>
    <w:qFormat/>
    <w:uiPriority w:val="0"/>
    <w:rPr>
      <w:rFonts w:ascii="Times New Roman" w:hAnsi="Times New Roman"/>
      <w:sz w:val="24"/>
    </w:rPr>
  </w:style>
  <w:style w:type="character" w:customStyle="1" w:styleId="79">
    <w:name w:val="标题 5 字符"/>
    <w:basedOn w:val="55"/>
    <w:link w:val="7"/>
    <w:qFormat/>
    <w:uiPriority w:val="9"/>
    <w:rPr>
      <w:rFonts w:ascii="Times New Roman" w:hAnsi="Times New Roman"/>
      <w:b/>
      <w:sz w:val="28"/>
    </w:rPr>
  </w:style>
  <w:style w:type="character" w:customStyle="1" w:styleId="80">
    <w:name w:val="标题 6 字符"/>
    <w:basedOn w:val="55"/>
    <w:link w:val="8"/>
    <w:qFormat/>
    <w:uiPriority w:val="9"/>
    <w:rPr>
      <w:rFonts w:ascii="Arial" w:hAnsi="Arial" w:eastAsia="黑体"/>
      <w:b/>
      <w:sz w:val="24"/>
    </w:rPr>
  </w:style>
  <w:style w:type="character" w:customStyle="1" w:styleId="81">
    <w:name w:val="标题 7 字符"/>
    <w:basedOn w:val="55"/>
    <w:link w:val="9"/>
    <w:qFormat/>
    <w:uiPriority w:val="9"/>
    <w:rPr>
      <w:rFonts w:ascii="Times New Roman" w:hAnsi="Times New Roman"/>
      <w:b/>
      <w:sz w:val="24"/>
    </w:rPr>
  </w:style>
  <w:style w:type="character" w:customStyle="1" w:styleId="82">
    <w:name w:val="标题 8 字符"/>
    <w:basedOn w:val="55"/>
    <w:link w:val="10"/>
    <w:qFormat/>
    <w:uiPriority w:val="0"/>
    <w:rPr>
      <w:rFonts w:ascii="Arial" w:hAnsi="Arial" w:eastAsia="黑体"/>
      <w:sz w:val="24"/>
    </w:rPr>
  </w:style>
  <w:style w:type="character" w:customStyle="1" w:styleId="83">
    <w:name w:val="标题 9 字符"/>
    <w:basedOn w:val="55"/>
    <w:link w:val="11"/>
    <w:qFormat/>
    <w:uiPriority w:val="0"/>
    <w:rPr>
      <w:rFonts w:ascii="Arial" w:hAnsi="Arial" w:eastAsia="黑体"/>
      <w:sz w:val="21"/>
    </w:rPr>
  </w:style>
  <w:style w:type="character" w:customStyle="1" w:styleId="84">
    <w:name w:val="文档结构图 字符"/>
    <w:basedOn w:val="55"/>
    <w:link w:val="16"/>
    <w:qFormat/>
    <w:uiPriority w:val="99"/>
    <w:rPr>
      <w:rFonts w:ascii="Times New Roman" w:hAnsi="Times New Roman"/>
      <w:kern w:val="2"/>
      <w:sz w:val="21"/>
      <w:szCs w:val="24"/>
      <w:shd w:val="clear" w:color="auto" w:fill="000080"/>
    </w:rPr>
  </w:style>
  <w:style w:type="character" w:customStyle="1" w:styleId="85">
    <w:name w:val="批注文字 字符"/>
    <w:basedOn w:val="55"/>
    <w:qFormat/>
    <w:uiPriority w:val="0"/>
    <w:rPr>
      <w:rFonts w:ascii="Times New Roman" w:hAnsi="Times New Roman"/>
      <w:kern w:val="2"/>
      <w:sz w:val="21"/>
      <w:szCs w:val="24"/>
    </w:rPr>
  </w:style>
  <w:style w:type="character" w:customStyle="1" w:styleId="86">
    <w:name w:val="正文文本 3 字符"/>
    <w:basedOn w:val="55"/>
    <w:link w:val="20"/>
    <w:qFormat/>
    <w:uiPriority w:val="0"/>
    <w:rPr>
      <w:rFonts w:ascii="Times New Roman" w:hAnsi="Times New Roman"/>
      <w:kern w:val="2"/>
      <w:sz w:val="16"/>
      <w:szCs w:val="16"/>
    </w:rPr>
  </w:style>
  <w:style w:type="character" w:customStyle="1" w:styleId="87">
    <w:name w:val="纯文本 字符"/>
    <w:basedOn w:val="55"/>
    <w:qFormat/>
    <w:uiPriority w:val="99"/>
    <w:rPr>
      <w:rFonts w:hAnsi="Courier New" w:cs="Courier New" w:asciiTheme="minorEastAsia" w:eastAsiaTheme="minorEastAsia"/>
      <w:kern w:val="2"/>
      <w:sz w:val="21"/>
      <w:szCs w:val="24"/>
    </w:rPr>
  </w:style>
  <w:style w:type="character" w:customStyle="1" w:styleId="88">
    <w:name w:val="日期 字符"/>
    <w:basedOn w:val="55"/>
    <w:link w:val="30"/>
    <w:qFormat/>
    <w:uiPriority w:val="99"/>
    <w:rPr>
      <w:rFonts w:ascii="仿宋_GB2312" w:hAnsi="宋体" w:eastAsia="仿宋_GB2312"/>
      <w:color w:val="000000"/>
      <w:kern w:val="2"/>
      <w:sz w:val="24"/>
      <w:szCs w:val="24"/>
    </w:rPr>
  </w:style>
  <w:style w:type="character" w:customStyle="1" w:styleId="89">
    <w:name w:val="正文文本缩进 2 字符"/>
    <w:basedOn w:val="55"/>
    <w:link w:val="31"/>
    <w:qFormat/>
    <w:uiPriority w:val="99"/>
    <w:rPr>
      <w:rFonts w:ascii="仿宋_GB2312" w:hAnsi="Times New Roman" w:eastAsia="仿宋_GB2312"/>
      <w:kern w:val="2"/>
      <w:sz w:val="24"/>
      <w:szCs w:val="24"/>
    </w:rPr>
  </w:style>
  <w:style w:type="character" w:customStyle="1" w:styleId="90">
    <w:name w:val="批注框文本 字符"/>
    <w:basedOn w:val="55"/>
    <w:link w:val="32"/>
    <w:qFormat/>
    <w:uiPriority w:val="99"/>
    <w:rPr>
      <w:rFonts w:ascii="Times New Roman" w:hAnsi="Times New Roman"/>
      <w:kern w:val="2"/>
      <w:sz w:val="18"/>
      <w:szCs w:val="18"/>
    </w:rPr>
  </w:style>
  <w:style w:type="character" w:customStyle="1" w:styleId="91">
    <w:name w:val="页脚 字符"/>
    <w:basedOn w:val="55"/>
    <w:link w:val="33"/>
    <w:qFormat/>
    <w:uiPriority w:val="99"/>
    <w:rPr>
      <w:rFonts w:ascii="宋体" w:hAnsi="Times New Roman"/>
      <w:sz w:val="18"/>
    </w:rPr>
  </w:style>
  <w:style w:type="character" w:customStyle="1" w:styleId="92">
    <w:name w:val="页眉 字符"/>
    <w:basedOn w:val="55"/>
    <w:link w:val="34"/>
    <w:qFormat/>
    <w:uiPriority w:val="99"/>
    <w:rPr>
      <w:rFonts w:ascii="Times New Roman" w:hAnsi="Times New Roman"/>
      <w:kern w:val="2"/>
      <w:sz w:val="18"/>
      <w:szCs w:val="18"/>
    </w:rPr>
  </w:style>
  <w:style w:type="character" w:customStyle="1" w:styleId="93">
    <w:name w:val="正文文本缩进 3 字符"/>
    <w:basedOn w:val="55"/>
    <w:link w:val="41"/>
    <w:qFormat/>
    <w:uiPriority w:val="99"/>
    <w:rPr>
      <w:rFonts w:ascii="宋体" w:hAnsi="Times New Roman"/>
      <w:sz w:val="24"/>
    </w:rPr>
  </w:style>
  <w:style w:type="character" w:customStyle="1" w:styleId="94">
    <w:name w:val="HTML 预设格式 字符"/>
    <w:basedOn w:val="55"/>
    <w:link w:val="45"/>
    <w:qFormat/>
    <w:uiPriority w:val="0"/>
    <w:rPr>
      <w:rFonts w:ascii="宋体" w:hAnsi="宋体" w:cs="宋体"/>
      <w:sz w:val="24"/>
      <w:szCs w:val="24"/>
    </w:rPr>
  </w:style>
  <w:style w:type="character" w:customStyle="1" w:styleId="95">
    <w:name w:val="标题 字符"/>
    <w:basedOn w:val="55"/>
    <w:link w:val="48"/>
    <w:qFormat/>
    <w:uiPriority w:val="0"/>
    <w:rPr>
      <w:rFonts w:ascii="Times New Roman" w:hAnsi="Times New Roman"/>
      <w:b/>
      <w:kern w:val="2"/>
      <w:sz w:val="32"/>
    </w:rPr>
  </w:style>
  <w:style w:type="character" w:customStyle="1" w:styleId="96">
    <w:name w:val="批注主题 字符"/>
    <w:basedOn w:val="85"/>
    <w:link w:val="49"/>
    <w:qFormat/>
    <w:uiPriority w:val="99"/>
    <w:rPr>
      <w:rFonts w:ascii="Times New Roman" w:hAnsi="Times New Roman"/>
      <w:b/>
      <w:bCs/>
      <w:kern w:val="2"/>
      <w:sz w:val="21"/>
      <w:szCs w:val="24"/>
    </w:rPr>
  </w:style>
  <w:style w:type="character" w:customStyle="1" w:styleId="97">
    <w:name w:val="chanpin拷贝"/>
    <w:qFormat/>
    <w:uiPriority w:val="0"/>
  </w:style>
  <w:style w:type="character" w:customStyle="1" w:styleId="98">
    <w:name w:val="段1 Char"/>
    <w:qFormat/>
    <w:uiPriority w:val="0"/>
    <w:rPr>
      <w:rFonts w:ascii="宋体" w:eastAsia="宋体"/>
      <w:sz w:val="24"/>
      <w:lang w:val="en-US" w:eastAsia="zh-CN" w:bidi="ar-SA"/>
    </w:rPr>
  </w:style>
  <w:style w:type="character" w:customStyle="1" w:styleId="99">
    <w:name w:val="正文格式 Char"/>
    <w:link w:val="100"/>
    <w:qFormat/>
    <w:locked/>
    <w:uiPriority w:val="0"/>
    <w:rPr>
      <w:rFonts w:ascii="宋体" w:hAnsi="宋体"/>
      <w:sz w:val="24"/>
      <w:szCs w:val="24"/>
      <w:lang w:val="en-GB"/>
    </w:rPr>
  </w:style>
  <w:style w:type="paragraph" w:customStyle="1" w:styleId="100">
    <w:name w:val="正文格式"/>
    <w:basedOn w:val="1"/>
    <w:link w:val="99"/>
    <w:qFormat/>
    <w:uiPriority w:val="0"/>
    <w:pPr>
      <w:spacing w:beforeLines="50" w:line="360" w:lineRule="auto"/>
      <w:ind w:firstLine="480" w:firstLineChars="200"/>
    </w:pPr>
    <w:rPr>
      <w:rFonts w:ascii="宋体" w:hAnsi="宋体"/>
      <w:kern w:val="0"/>
      <w:sz w:val="24"/>
      <w:lang w:val="en-GB"/>
    </w:rPr>
  </w:style>
  <w:style w:type="character" w:customStyle="1" w:styleId="101">
    <w:name w:val="正文表格 Char"/>
    <w:link w:val="102"/>
    <w:qFormat/>
    <w:uiPriority w:val="0"/>
    <w:rPr>
      <w:rFonts w:ascii="宋体" w:hAnsi="宋体"/>
      <w:color w:val="000000"/>
      <w:kern w:val="2"/>
      <w:sz w:val="21"/>
      <w:szCs w:val="21"/>
    </w:rPr>
  </w:style>
  <w:style w:type="paragraph" w:customStyle="1" w:styleId="102">
    <w:name w:val="正文表格"/>
    <w:basedOn w:val="1"/>
    <w:link w:val="101"/>
    <w:qFormat/>
    <w:uiPriority w:val="0"/>
    <w:pPr>
      <w:adjustRightInd w:val="0"/>
      <w:snapToGrid w:val="0"/>
      <w:jc w:val="left"/>
    </w:pPr>
    <w:rPr>
      <w:rFonts w:ascii="宋体" w:hAnsi="宋体"/>
      <w:color w:val="000000"/>
      <w:szCs w:val="21"/>
    </w:rPr>
  </w:style>
  <w:style w:type="character" w:customStyle="1" w:styleId="103">
    <w:name w:val="页脚 Char"/>
    <w:qFormat/>
    <w:uiPriority w:val="0"/>
    <w:rPr>
      <w:rFonts w:ascii="宋体" w:eastAsia="宋体"/>
      <w:sz w:val="18"/>
      <w:lang w:val="en-US" w:eastAsia="zh-CN" w:bidi="ar-SA"/>
    </w:rPr>
  </w:style>
  <w:style w:type="character" w:customStyle="1" w:styleId="104">
    <w:name w:val="标题 3 字符"/>
    <w:link w:val="5"/>
    <w:qFormat/>
    <w:uiPriority w:val="0"/>
    <w:rPr>
      <w:rFonts w:ascii="宋体" w:hAnsi="Times New Roman"/>
      <w:b/>
      <w:sz w:val="24"/>
      <w:u w:val="single"/>
    </w:rPr>
  </w:style>
  <w:style w:type="character" w:customStyle="1" w:styleId="105">
    <w:name w:val="标题 2 字符"/>
    <w:link w:val="4"/>
    <w:qFormat/>
    <w:uiPriority w:val="0"/>
    <w:rPr>
      <w:rFonts w:ascii="Arial" w:hAnsi="Arial" w:eastAsia="黑体"/>
      <w:b/>
      <w:sz w:val="30"/>
    </w:rPr>
  </w:style>
  <w:style w:type="character" w:customStyle="1" w:styleId="106">
    <w:name w:val="页眉 Char"/>
    <w:qFormat/>
    <w:uiPriority w:val="0"/>
    <w:rPr>
      <w:rFonts w:eastAsia="宋体"/>
      <w:kern w:val="2"/>
      <w:sz w:val="18"/>
      <w:szCs w:val="18"/>
      <w:lang w:val="en-US" w:eastAsia="zh-CN" w:bidi="ar-SA"/>
    </w:rPr>
  </w:style>
  <w:style w:type="character" w:customStyle="1" w:styleId="107">
    <w:name w:val="注释 Char"/>
    <w:link w:val="108"/>
    <w:qFormat/>
    <w:uiPriority w:val="0"/>
    <w:rPr>
      <w:rFonts w:ascii="宋体" w:hAnsi="宋体"/>
      <w:kern w:val="2"/>
      <w:sz w:val="21"/>
      <w:szCs w:val="21"/>
    </w:rPr>
  </w:style>
  <w:style w:type="paragraph" w:customStyle="1" w:styleId="108">
    <w:name w:val="注释"/>
    <w:basedOn w:val="1"/>
    <w:link w:val="107"/>
    <w:qFormat/>
    <w:uiPriority w:val="0"/>
    <w:pPr>
      <w:adjustRightInd w:val="0"/>
      <w:snapToGrid w:val="0"/>
      <w:ind w:left="420" w:hanging="420" w:hangingChars="200"/>
      <w:jc w:val="left"/>
    </w:pPr>
    <w:rPr>
      <w:rFonts w:ascii="宋体" w:hAnsi="宋体"/>
      <w:szCs w:val="21"/>
    </w:rPr>
  </w:style>
  <w:style w:type="character" w:customStyle="1" w:styleId="109">
    <w:name w:val="正文文本缩进 Char"/>
    <w:qFormat/>
    <w:uiPriority w:val="0"/>
    <w:rPr>
      <w:rFonts w:eastAsia="宋体"/>
      <w:kern w:val="2"/>
      <w:sz w:val="24"/>
      <w:szCs w:val="24"/>
      <w:lang w:val="en-US" w:eastAsia="zh-CN" w:bidi="ar-SA"/>
    </w:rPr>
  </w:style>
  <w:style w:type="character" w:customStyle="1" w:styleId="110">
    <w:name w:val="标题 3 Char"/>
    <w:qFormat/>
    <w:uiPriority w:val="0"/>
    <w:rPr>
      <w:rFonts w:ascii="宋体" w:eastAsia="宋体"/>
      <w:b/>
      <w:sz w:val="24"/>
      <w:u w:val="single"/>
      <w:lang w:val="en-US" w:eastAsia="zh-CN" w:bidi="ar-SA"/>
    </w:rPr>
  </w:style>
  <w:style w:type="character" w:customStyle="1" w:styleId="111">
    <w:name w:val="纯文本 字符2"/>
    <w:link w:val="28"/>
    <w:qFormat/>
    <w:uiPriority w:val="0"/>
    <w:rPr>
      <w:rFonts w:ascii="宋体" w:hAnsi="Courier New"/>
      <w:kern w:val="2"/>
      <w:sz w:val="21"/>
    </w:rPr>
  </w:style>
  <w:style w:type="character" w:customStyle="1" w:styleId="112">
    <w:name w:val="普通文字1 Char1"/>
    <w:qFormat/>
    <w:uiPriority w:val="0"/>
    <w:rPr>
      <w:rFonts w:ascii="宋体" w:hAnsi="Courier New" w:eastAsia="宋体"/>
      <w:kern w:val="2"/>
      <w:sz w:val="21"/>
      <w:lang w:val="en-US" w:eastAsia="zh-CN" w:bidi="ar-SA"/>
    </w:rPr>
  </w:style>
  <w:style w:type="character" w:customStyle="1" w:styleId="113">
    <w:name w:val="locality"/>
    <w:qFormat/>
    <w:uiPriority w:val="0"/>
  </w:style>
  <w:style w:type="character" w:customStyle="1" w:styleId="114">
    <w:name w:val="正文重点 Char"/>
    <w:link w:val="115"/>
    <w:qFormat/>
    <w:uiPriority w:val="0"/>
    <w:rPr>
      <w:b/>
      <w:sz w:val="24"/>
    </w:rPr>
  </w:style>
  <w:style w:type="paragraph" w:customStyle="1" w:styleId="115">
    <w:name w:val="正文重点"/>
    <w:basedOn w:val="1"/>
    <w:link w:val="114"/>
    <w:qFormat/>
    <w:uiPriority w:val="0"/>
    <w:pPr>
      <w:adjustRightInd w:val="0"/>
      <w:spacing w:line="360" w:lineRule="auto"/>
      <w:ind w:firstLine="482" w:firstLineChars="200"/>
      <w:jc w:val="left"/>
      <w:textAlignment w:val="baseline"/>
    </w:pPr>
    <w:rPr>
      <w:rFonts w:ascii="Calibri" w:hAnsi="Calibri"/>
      <w:b/>
      <w:kern w:val="0"/>
      <w:sz w:val="24"/>
      <w:szCs w:val="20"/>
    </w:rPr>
  </w:style>
  <w:style w:type="character" w:customStyle="1" w:styleId="116">
    <w:name w:val="批注文字 字符1"/>
    <w:link w:val="17"/>
    <w:qFormat/>
    <w:uiPriority w:val="0"/>
    <w:rPr>
      <w:rFonts w:ascii="Times New Roman" w:hAnsi="Times New Roman"/>
      <w:kern w:val="2"/>
      <w:sz w:val="21"/>
      <w:szCs w:val="24"/>
    </w:rPr>
  </w:style>
  <w:style w:type="character" w:customStyle="1" w:styleId="117">
    <w:name w:val="正文小标题 Char"/>
    <w:link w:val="118"/>
    <w:qFormat/>
    <w:uiPriority w:val="0"/>
    <w:rPr>
      <w:rFonts w:ascii="宋体" w:hAnsi="宋体"/>
      <w:b/>
      <w:i/>
      <w:color w:val="FF0000"/>
      <w:kern w:val="2"/>
      <w:sz w:val="24"/>
    </w:rPr>
  </w:style>
  <w:style w:type="paragraph" w:customStyle="1" w:styleId="118">
    <w:name w:val="正文小标题"/>
    <w:basedOn w:val="1"/>
    <w:next w:val="14"/>
    <w:link w:val="11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19">
    <w:name w:val="正文缩进 字符"/>
    <w:link w:val="14"/>
    <w:qFormat/>
    <w:uiPriority w:val="0"/>
    <w:rPr>
      <w:rFonts w:ascii="宋体" w:hAnsi="Times New Roman"/>
      <w:kern w:val="2"/>
      <w:sz w:val="24"/>
      <w:szCs w:val="24"/>
    </w:rPr>
  </w:style>
  <w:style w:type="character" w:customStyle="1" w:styleId="120">
    <w:name w:val="列出段落 Char"/>
    <w:qFormat/>
    <w:uiPriority w:val="34"/>
    <w:rPr>
      <w:rFonts w:ascii="Calibri" w:hAnsi="Calibri" w:eastAsia="宋体"/>
      <w:kern w:val="2"/>
      <w:sz w:val="21"/>
      <w:szCs w:val="22"/>
      <w:lang w:val="en-US" w:eastAsia="zh-CN" w:bidi="ar-SA"/>
    </w:rPr>
  </w:style>
  <w:style w:type="character" w:customStyle="1" w:styleId="121">
    <w:name w:val="black1"/>
    <w:qFormat/>
    <w:uiPriority w:val="0"/>
    <w:rPr>
      <w:color w:val="000000"/>
    </w:rPr>
  </w:style>
  <w:style w:type="character" w:customStyle="1" w:styleId="122">
    <w:name w:val="apple-style-span"/>
    <w:qFormat/>
    <w:uiPriority w:val="0"/>
    <w:rPr>
      <w:rFonts w:cs="Times New Roman"/>
    </w:rPr>
  </w:style>
  <w:style w:type="character" w:customStyle="1" w:styleId="123">
    <w:name w:val="正文缩进 Char"/>
    <w:qFormat/>
    <w:uiPriority w:val="0"/>
    <w:rPr>
      <w:rFonts w:ascii="宋体" w:eastAsia="宋体"/>
      <w:kern w:val="2"/>
      <w:sz w:val="24"/>
      <w:szCs w:val="24"/>
      <w:lang w:val="en-US" w:eastAsia="zh-CN" w:bidi="ar-SA"/>
    </w:rPr>
  </w:style>
  <w:style w:type="character" w:customStyle="1" w:styleId="124">
    <w:name w:val="列出段落 字符"/>
    <w:link w:val="66"/>
    <w:qFormat/>
    <w:uiPriority w:val="34"/>
    <w:rPr>
      <w:kern w:val="2"/>
      <w:sz w:val="21"/>
      <w:szCs w:val="22"/>
    </w:rPr>
  </w:style>
  <w:style w:type="character" w:customStyle="1" w:styleId="125">
    <w:name w:val="标题 Char"/>
    <w:qFormat/>
    <w:uiPriority w:val="99"/>
    <w:rPr>
      <w:b/>
      <w:kern w:val="2"/>
      <w:sz w:val="32"/>
    </w:rPr>
  </w:style>
  <w:style w:type="character" w:customStyle="1" w:styleId="126">
    <w:name w:val="纯文本 字符1"/>
    <w:qFormat/>
    <w:uiPriority w:val="0"/>
    <w:rPr>
      <w:rFonts w:ascii="宋体" w:hAnsi="Courier New"/>
    </w:rPr>
  </w:style>
  <w:style w:type="character" w:customStyle="1" w:styleId="127">
    <w:name w:val="标题 2 Char"/>
    <w:qFormat/>
    <w:uiPriority w:val="0"/>
    <w:rPr>
      <w:rFonts w:ascii="Arial" w:hAnsi="Arial" w:eastAsia="黑体"/>
      <w:b/>
      <w:sz w:val="30"/>
      <w:lang w:val="en-US" w:eastAsia="zh-CN" w:bidi="ar-SA"/>
    </w:rPr>
  </w:style>
  <w:style w:type="character" w:customStyle="1" w:styleId="128">
    <w:name w:val="标题 3 Char Char"/>
    <w:qFormat/>
    <w:uiPriority w:val="0"/>
    <w:rPr>
      <w:rFonts w:eastAsia="宋体"/>
      <w:b/>
      <w:bCs/>
      <w:kern w:val="2"/>
      <w:sz w:val="32"/>
      <w:szCs w:val="32"/>
      <w:lang w:val="en-US" w:eastAsia="zh-CN" w:bidi="ar-SA"/>
    </w:rPr>
  </w:style>
  <w:style w:type="character" w:customStyle="1" w:styleId="129">
    <w:name w:val="正文大标题 Char"/>
    <w:link w:val="130"/>
    <w:qFormat/>
    <w:uiPriority w:val="0"/>
    <w:rPr>
      <w:rFonts w:ascii="宋体" w:hAnsi="宋体"/>
      <w:b/>
      <w:color w:val="000000"/>
      <w:kern w:val="2"/>
      <w:sz w:val="28"/>
      <w:szCs w:val="21"/>
    </w:rPr>
  </w:style>
  <w:style w:type="paragraph" w:customStyle="1" w:styleId="130">
    <w:name w:val="正文大标题"/>
    <w:basedOn w:val="118"/>
    <w:next w:val="14"/>
    <w:link w:val="129"/>
    <w:qFormat/>
    <w:uiPriority w:val="0"/>
    <w:pPr>
      <w:jc w:val="center"/>
    </w:pPr>
    <w:rPr>
      <w:i w:val="0"/>
      <w:color w:val="000000"/>
      <w:sz w:val="28"/>
      <w:szCs w:val="21"/>
    </w:rPr>
  </w:style>
  <w:style w:type="character" w:customStyle="1" w:styleId="131">
    <w:name w:val="正文首行缩进 2 字符"/>
    <w:link w:val="51"/>
    <w:qFormat/>
    <w:uiPriority w:val="99"/>
    <w:rPr>
      <w:rFonts w:ascii="Times New Roman" w:hAnsi="Times New Roman"/>
      <w:kern w:val="2"/>
      <w:sz w:val="24"/>
    </w:rPr>
  </w:style>
  <w:style w:type="character" w:customStyle="1" w:styleId="132">
    <w:name w:val="title4"/>
    <w:qFormat/>
    <w:uiPriority w:val="0"/>
    <w:rPr>
      <w:b/>
      <w:bCs/>
      <w:color w:val="1D87B3"/>
      <w:sz w:val="15"/>
      <w:szCs w:val="15"/>
    </w:rPr>
  </w:style>
  <w:style w:type="character" w:customStyle="1" w:styleId="133">
    <w:name w:val="Char Char11"/>
    <w:qFormat/>
    <w:uiPriority w:val="0"/>
    <w:rPr>
      <w:rFonts w:ascii="宋体" w:eastAsia="宋体"/>
      <w:b/>
      <w:sz w:val="24"/>
      <w:u w:val="single"/>
      <w:lang w:val="en-US" w:eastAsia="zh-CN" w:bidi="ar-SA"/>
    </w:rPr>
  </w:style>
  <w:style w:type="character" w:customStyle="1" w:styleId="134">
    <w:name w:val="正文缩进 Char Char"/>
    <w:link w:val="135"/>
    <w:qFormat/>
    <w:uiPriority w:val="0"/>
    <w:rPr>
      <w:rFonts w:ascii="宋体"/>
      <w:snapToGrid w:val="0"/>
      <w:color w:val="000000"/>
      <w:kern w:val="28"/>
      <w:sz w:val="28"/>
    </w:rPr>
  </w:style>
  <w:style w:type="paragraph" w:customStyle="1" w:styleId="135">
    <w:name w:val="正文缩进1"/>
    <w:basedOn w:val="1"/>
    <w:link w:val="134"/>
    <w:qFormat/>
    <w:uiPriority w:val="0"/>
    <w:pPr>
      <w:widowControl/>
      <w:adjustRightInd w:val="0"/>
      <w:snapToGrid w:val="0"/>
      <w:spacing w:line="480" w:lineRule="exact"/>
      <w:ind w:firstLine="567"/>
    </w:pPr>
    <w:rPr>
      <w:rFonts w:ascii="宋体" w:hAnsi="Calibri"/>
      <w:snapToGrid w:val="0"/>
      <w:color w:val="000000"/>
      <w:kern w:val="28"/>
      <w:sz w:val="28"/>
      <w:szCs w:val="20"/>
    </w:rPr>
  </w:style>
  <w:style w:type="character" w:customStyle="1" w:styleId="136">
    <w:name w:val="批注文字 Char"/>
    <w:qFormat/>
    <w:uiPriority w:val="99"/>
    <w:rPr>
      <w:kern w:val="2"/>
      <w:sz w:val="21"/>
      <w:szCs w:val="24"/>
    </w:rPr>
  </w:style>
  <w:style w:type="character" w:customStyle="1" w:styleId="137">
    <w:name w:val="txt"/>
    <w:qFormat/>
    <w:uiPriority w:val="0"/>
  </w:style>
  <w:style w:type="character" w:customStyle="1" w:styleId="138">
    <w:name w:val="标题 2 Char Char"/>
    <w:qFormat/>
    <w:uiPriority w:val="0"/>
    <w:rPr>
      <w:rFonts w:ascii="Arial" w:hAnsi="Arial" w:eastAsia="黑体"/>
      <w:b/>
      <w:bCs/>
      <w:kern w:val="2"/>
      <w:sz w:val="32"/>
      <w:szCs w:val="32"/>
      <w:lang w:val="en-US" w:eastAsia="zh-CN" w:bidi="ar-SA"/>
    </w:rPr>
  </w:style>
  <w:style w:type="character" w:customStyle="1" w:styleId="139">
    <w:name w:val="chanpin1"/>
    <w:qFormat/>
    <w:uiPriority w:val="0"/>
    <w:rPr>
      <w:rFonts w:hint="default" w:ascii="ˎ̥" w:hAnsi="ˎ̥"/>
      <w:color w:val="000000"/>
      <w:sz w:val="20"/>
      <w:szCs w:val="20"/>
      <w:u w:val="none"/>
    </w:rPr>
  </w:style>
  <w:style w:type="character" w:customStyle="1" w:styleId="140">
    <w:name w:val="正文文本缩进 Char1"/>
    <w:link w:val="141"/>
    <w:qFormat/>
    <w:uiPriority w:val="0"/>
    <w:rPr>
      <w:rFonts w:ascii="宋体" w:hAnsi="宋体"/>
      <w:sz w:val="24"/>
      <w:szCs w:val="24"/>
    </w:rPr>
  </w:style>
  <w:style w:type="paragraph" w:customStyle="1" w:styleId="141">
    <w:name w:val="正文文本缩进1"/>
    <w:basedOn w:val="1"/>
    <w:link w:val="140"/>
    <w:qFormat/>
    <w:uiPriority w:val="0"/>
    <w:pPr>
      <w:spacing w:line="480" w:lineRule="exact"/>
      <w:ind w:firstLine="480" w:firstLineChars="200"/>
    </w:pPr>
    <w:rPr>
      <w:rFonts w:ascii="宋体" w:hAnsi="宋体"/>
      <w:kern w:val="0"/>
      <w:sz w:val="24"/>
    </w:rPr>
  </w:style>
  <w:style w:type="character" w:customStyle="1" w:styleId="142">
    <w:name w:val="正文文本 字符"/>
    <w:link w:val="2"/>
    <w:qFormat/>
    <w:uiPriority w:val="99"/>
    <w:rPr>
      <w:rFonts w:ascii="宋体" w:hAnsi="宋体"/>
      <w:kern w:val="2"/>
      <w:sz w:val="24"/>
      <w:szCs w:val="24"/>
    </w:rPr>
  </w:style>
  <w:style w:type="character" w:customStyle="1" w:styleId="143">
    <w:name w:val="c21"/>
    <w:qFormat/>
    <w:uiPriority w:val="0"/>
    <w:rPr>
      <w:rFonts w:hint="default" w:ascii="ˎ̥" w:hAnsi="ˎ̥"/>
      <w:color w:val="000000"/>
      <w:sz w:val="20"/>
      <w:szCs w:val="20"/>
      <w:u w:val="none"/>
    </w:rPr>
  </w:style>
  <w:style w:type="character" w:customStyle="1" w:styleId="144">
    <w:name w:val="正文文本缩进 字符"/>
    <w:link w:val="22"/>
    <w:qFormat/>
    <w:uiPriority w:val="99"/>
    <w:rPr>
      <w:rFonts w:ascii="Times New Roman" w:hAnsi="Times New Roman"/>
      <w:kern w:val="2"/>
      <w:sz w:val="24"/>
      <w:szCs w:val="24"/>
    </w:rPr>
  </w:style>
  <w:style w:type="character" w:customStyle="1" w:styleId="145">
    <w:name w:val="中等深浅网格 1 - 强调文字颜色 2 Char"/>
    <w:link w:val="146"/>
    <w:qFormat/>
    <w:uiPriority w:val="0"/>
    <w:rPr>
      <w:kern w:val="2"/>
      <w:sz w:val="21"/>
      <w:szCs w:val="24"/>
      <w:lang w:val="zh-CN"/>
    </w:rPr>
  </w:style>
  <w:style w:type="paragraph" w:customStyle="1" w:styleId="146">
    <w:name w:val="1"/>
    <w:link w:val="145"/>
    <w:qFormat/>
    <w:uiPriority w:val="0"/>
    <w:rPr>
      <w:rFonts w:ascii="Calibri" w:hAnsi="Calibri" w:eastAsia="宋体" w:cs="Times New Roman"/>
      <w:kern w:val="2"/>
      <w:sz w:val="21"/>
      <w:szCs w:val="24"/>
      <w:lang w:val="zh-CN" w:eastAsia="zh-CN" w:bidi="ar-SA"/>
    </w:rPr>
  </w:style>
  <w:style w:type="character" w:customStyle="1" w:styleId="147">
    <w:name w:val="street-address"/>
    <w:qFormat/>
    <w:uiPriority w:val="0"/>
  </w:style>
  <w:style w:type="character" w:customStyle="1" w:styleId="148">
    <w:name w:val="Char Char111"/>
    <w:qFormat/>
    <w:uiPriority w:val="0"/>
    <w:rPr>
      <w:rFonts w:ascii="宋体" w:eastAsia="宋体"/>
      <w:b/>
      <w:sz w:val="24"/>
      <w:u w:val="single"/>
      <w:lang w:val="en-US" w:eastAsia="zh-CN" w:bidi="ar-SA"/>
    </w:rPr>
  </w:style>
  <w:style w:type="character" w:customStyle="1" w:styleId="149">
    <w:name w:val="bjh-p"/>
    <w:qFormat/>
    <w:uiPriority w:val="0"/>
  </w:style>
  <w:style w:type="character" w:customStyle="1" w:styleId="150">
    <w:name w:val="纯文本 Char1"/>
    <w:qFormat/>
    <w:uiPriority w:val="99"/>
    <w:rPr>
      <w:rFonts w:ascii="宋体" w:hAnsi="Courier New" w:eastAsia="宋体"/>
      <w:kern w:val="2"/>
      <w:sz w:val="21"/>
      <w:lang w:val="en-US" w:eastAsia="zh-CN" w:bidi="ar-SA"/>
    </w:rPr>
  </w:style>
  <w:style w:type="paragraph" w:customStyle="1" w:styleId="15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52">
    <w:name w:val="一级条标题"/>
    <w:basedOn w:val="153"/>
    <w:next w:val="1"/>
    <w:qFormat/>
    <w:uiPriority w:val="0"/>
    <w:pPr>
      <w:numPr>
        <w:ilvl w:val="1"/>
      </w:numPr>
      <w:tabs>
        <w:tab w:val="left" w:pos="360"/>
        <w:tab w:val="left" w:pos="840"/>
      </w:tabs>
      <w:ind w:left="0" w:hanging="840"/>
      <w:outlineLvl w:val="1"/>
    </w:pPr>
  </w:style>
  <w:style w:type="paragraph" w:customStyle="1" w:styleId="15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5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图中文字"/>
    <w:basedOn w:val="1"/>
    <w:qFormat/>
    <w:uiPriority w:val="0"/>
    <w:pPr>
      <w:adjustRightInd w:val="0"/>
      <w:snapToGrid w:val="0"/>
      <w:spacing w:line="0" w:lineRule="atLeast"/>
      <w:jc w:val="center"/>
    </w:pPr>
    <w:rPr>
      <w:sz w:val="24"/>
      <w:szCs w:val="20"/>
    </w:rPr>
  </w:style>
  <w:style w:type="paragraph" w:customStyle="1" w:styleId="157">
    <w:name w:val="Char3 Char Char Char1"/>
    <w:basedOn w:val="1"/>
    <w:qFormat/>
    <w:uiPriority w:val="0"/>
    <w:rPr>
      <w:rFonts w:ascii="Tahoma" w:hAnsi="Tahoma"/>
      <w:sz w:val="24"/>
      <w:szCs w:val="20"/>
    </w:rPr>
  </w:style>
  <w:style w:type="paragraph" w:customStyle="1" w:styleId="158">
    <w:name w:val="项目编号2"/>
    <w:basedOn w:val="159"/>
    <w:qFormat/>
    <w:uiPriority w:val="0"/>
    <w:pPr>
      <w:numPr>
        <w:numId w:val="2"/>
      </w:numPr>
    </w:pPr>
  </w:style>
  <w:style w:type="paragraph" w:customStyle="1" w:styleId="15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0">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1">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64">
    <w:name w:val="五级条标题"/>
    <w:basedOn w:val="165"/>
    <w:next w:val="1"/>
    <w:qFormat/>
    <w:uiPriority w:val="0"/>
    <w:pPr>
      <w:numPr>
        <w:ilvl w:val="5"/>
      </w:numPr>
      <w:tabs>
        <w:tab w:val="left" w:pos="360"/>
        <w:tab w:val="left" w:pos="840"/>
      </w:tabs>
      <w:ind w:left="0" w:hanging="840"/>
      <w:outlineLvl w:val="5"/>
    </w:pPr>
  </w:style>
  <w:style w:type="paragraph" w:customStyle="1" w:styleId="165">
    <w:name w:val="四级条标题"/>
    <w:basedOn w:val="166"/>
    <w:next w:val="1"/>
    <w:qFormat/>
    <w:uiPriority w:val="0"/>
    <w:pPr>
      <w:numPr>
        <w:ilvl w:val="4"/>
      </w:numPr>
      <w:tabs>
        <w:tab w:val="left" w:pos="360"/>
        <w:tab w:val="left" w:pos="840"/>
      </w:tabs>
      <w:ind w:left="0" w:hanging="840"/>
      <w:outlineLvl w:val="4"/>
    </w:pPr>
  </w:style>
  <w:style w:type="paragraph" w:customStyle="1" w:styleId="166">
    <w:name w:val="三级条标题"/>
    <w:basedOn w:val="167"/>
    <w:next w:val="1"/>
    <w:qFormat/>
    <w:uiPriority w:val="0"/>
    <w:pPr>
      <w:numPr>
        <w:ilvl w:val="3"/>
        <w:numId w:val="1"/>
      </w:numPr>
      <w:tabs>
        <w:tab w:val="left" w:pos="360"/>
        <w:tab w:val="left" w:pos="840"/>
      </w:tabs>
      <w:ind w:left="0" w:hanging="840"/>
      <w:outlineLvl w:val="3"/>
    </w:pPr>
  </w:style>
  <w:style w:type="paragraph" w:customStyle="1" w:styleId="167">
    <w:name w:val="二级条标题"/>
    <w:basedOn w:val="152"/>
    <w:next w:val="1"/>
    <w:qFormat/>
    <w:uiPriority w:val="0"/>
    <w:pPr>
      <w:numPr>
        <w:ilvl w:val="0"/>
        <w:numId w:val="0"/>
      </w:numPr>
      <w:ind w:hanging="840"/>
      <w:outlineLvl w:val="2"/>
    </w:pPr>
    <w:rPr>
      <w:rFonts w:ascii="宋体" w:eastAsia="宋体"/>
      <w:b w:val="0"/>
    </w:rPr>
  </w:style>
  <w:style w:type="paragraph" w:customStyle="1" w:styleId="168">
    <w:name w:val="font8"/>
    <w:basedOn w:val="1"/>
    <w:qFormat/>
    <w:uiPriority w:val="0"/>
    <w:pPr>
      <w:widowControl/>
      <w:spacing w:before="100" w:beforeAutospacing="1" w:after="100" w:afterAutospacing="1"/>
      <w:jc w:val="left"/>
    </w:pPr>
    <w:rPr>
      <w:kern w:val="0"/>
      <w:sz w:val="36"/>
      <w:szCs w:val="36"/>
    </w:rPr>
  </w:style>
  <w:style w:type="paragraph" w:customStyle="1" w:styleId="169">
    <w:name w:val="Char3 Char Char Char"/>
    <w:basedOn w:val="1"/>
    <w:qFormat/>
    <w:uiPriority w:val="0"/>
    <w:rPr>
      <w:rFonts w:ascii="Tahoma" w:hAnsi="Tahoma"/>
      <w:sz w:val="24"/>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缺省文本"/>
    <w:basedOn w:val="1"/>
    <w:qFormat/>
    <w:uiPriority w:val="0"/>
    <w:pPr>
      <w:autoSpaceDE w:val="0"/>
      <w:autoSpaceDN w:val="0"/>
      <w:adjustRightInd w:val="0"/>
      <w:jc w:val="left"/>
    </w:pPr>
    <w:rPr>
      <w:kern w:val="0"/>
      <w:sz w:val="24"/>
    </w:rPr>
  </w:style>
  <w:style w:type="paragraph" w:customStyle="1" w:styleId="172">
    <w:name w:val="字元 字元"/>
    <w:basedOn w:val="1"/>
    <w:qFormat/>
    <w:uiPriority w:val="0"/>
    <w:rPr>
      <w:rFonts w:ascii="Tahoma" w:hAnsi="Tahoma"/>
      <w:sz w:val="24"/>
      <w:szCs w:val="20"/>
    </w:rPr>
  </w:style>
  <w:style w:type="paragraph" w:customStyle="1" w:styleId="173">
    <w:name w:val="Char Char Char1 Char2"/>
    <w:basedOn w:val="1"/>
    <w:qFormat/>
    <w:uiPriority w:val="0"/>
    <w:rPr>
      <w:rFonts w:ascii="Tahoma" w:hAnsi="Tahoma"/>
      <w:sz w:val="24"/>
      <w:szCs w:val="20"/>
    </w:rPr>
  </w:style>
  <w:style w:type="paragraph" w:customStyle="1" w:styleId="17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7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78">
    <w:name w:val="Char2"/>
    <w:basedOn w:val="1"/>
    <w:qFormat/>
    <w:uiPriority w:val="0"/>
    <w:rPr>
      <w:rFonts w:ascii="Tahoma" w:hAnsi="Tahoma"/>
      <w:sz w:val="24"/>
      <w:szCs w:val="20"/>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Char1"/>
    <w:basedOn w:val="1"/>
    <w:qFormat/>
    <w:uiPriority w:val="0"/>
    <w:pPr>
      <w:tabs>
        <w:tab w:val="left" w:pos="360"/>
      </w:tabs>
    </w:pPr>
    <w:rPr>
      <w:sz w:val="24"/>
    </w:rPr>
  </w:style>
  <w:style w:type="paragraph" w:customStyle="1" w:styleId="181">
    <w:name w:val="Char2 Char Char Char Char Char Char1"/>
    <w:basedOn w:val="1"/>
    <w:qFormat/>
    <w:uiPriority w:val="0"/>
    <w:pPr>
      <w:widowControl/>
      <w:spacing w:line="400" w:lineRule="exact"/>
      <w:jc w:val="center"/>
    </w:pPr>
  </w:style>
  <w:style w:type="paragraph" w:customStyle="1" w:styleId="1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3">
    <w:name w:val="文档正文"/>
    <w:basedOn w:val="1"/>
    <w:qFormat/>
    <w:uiPriority w:val="0"/>
    <w:pPr>
      <w:snapToGrid w:val="0"/>
      <w:spacing w:before="120" w:after="120" w:line="180" w:lineRule="auto"/>
    </w:pPr>
    <w:rPr>
      <w:rFonts w:ascii="Arial" w:hAnsi="Arial"/>
      <w:szCs w:val="20"/>
    </w:rPr>
  </w:style>
  <w:style w:type="paragraph" w:customStyle="1" w:styleId="184">
    <w:name w:val="Char Char Char Char Char Char Char Char Char Char"/>
    <w:basedOn w:val="1"/>
    <w:qFormat/>
    <w:uiPriority w:val="0"/>
  </w:style>
  <w:style w:type="paragraph" w:customStyle="1" w:styleId="18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89">
    <w:name w:val="字元 字元2"/>
    <w:basedOn w:val="1"/>
    <w:qFormat/>
    <w:uiPriority w:val="0"/>
    <w:rPr>
      <w:rFonts w:ascii="Tahoma" w:hAnsi="Tahoma"/>
      <w:sz w:val="24"/>
      <w:szCs w:val="20"/>
    </w:rPr>
  </w:style>
  <w:style w:type="paragraph" w:customStyle="1" w:styleId="190">
    <w:name w:val="List Paragraph1"/>
    <w:basedOn w:val="1"/>
    <w:qFormat/>
    <w:uiPriority w:val="34"/>
    <w:pPr>
      <w:ind w:firstLine="420" w:firstLineChars="200"/>
    </w:pPr>
    <w:rPr>
      <w:rFonts w:ascii="Calibri" w:hAnsi="Calibri"/>
      <w:szCs w:val="22"/>
    </w:rPr>
  </w:style>
  <w:style w:type="paragraph" w:customStyle="1" w:styleId="191">
    <w:name w:val="1 Char Char Char Char"/>
    <w:basedOn w:val="1"/>
    <w:qFormat/>
    <w:uiPriority w:val="0"/>
    <w:rPr>
      <w:rFonts w:ascii="Tahoma" w:hAnsi="Tahoma"/>
      <w:sz w:val="24"/>
      <w:szCs w:val="20"/>
    </w:rPr>
  </w:style>
  <w:style w:type="paragraph" w:customStyle="1" w:styleId="1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3">
    <w:name w:val="Char Char Char1 Char"/>
    <w:basedOn w:val="1"/>
    <w:qFormat/>
    <w:uiPriority w:val="0"/>
    <w:rPr>
      <w:rFonts w:ascii="Tahoma" w:hAnsi="Tahoma"/>
      <w:sz w:val="24"/>
      <w:szCs w:val="20"/>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95">
    <w:name w:val="列出段落1"/>
    <w:basedOn w:val="1"/>
    <w:qFormat/>
    <w:uiPriority w:val="34"/>
    <w:pPr>
      <w:ind w:firstLine="420" w:firstLineChars="200"/>
    </w:pPr>
    <w:rPr>
      <w:rFonts w:ascii="Calibri" w:hAnsi="Calibri"/>
      <w:szCs w:val="22"/>
    </w:rPr>
  </w:style>
  <w:style w:type="paragraph" w:customStyle="1" w:styleId="196">
    <w:name w:val="样式2"/>
    <w:basedOn w:val="47"/>
    <w:qFormat/>
    <w:uiPriority w:val="0"/>
    <w:pPr>
      <w:spacing w:line="360" w:lineRule="auto"/>
      <w:jc w:val="center"/>
    </w:pPr>
    <w:rPr>
      <w:sz w:val="24"/>
    </w:rPr>
  </w:style>
  <w:style w:type="paragraph" w:customStyle="1" w:styleId="197">
    <w:name w:val="正文文本样式 加粗"/>
    <w:basedOn w:val="198"/>
    <w:qFormat/>
    <w:uiPriority w:val="0"/>
    <w:rPr>
      <w:b/>
    </w:rPr>
  </w:style>
  <w:style w:type="paragraph" w:customStyle="1" w:styleId="198">
    <w:name w:val="正文文本样式"/>
    <w:basedOn w:val="1"/>
    <w:qFormat/>
    <w:uiPriority w:val="0"/>
    <w:pPr>
      <w:spacing w:line="360" w:lineRule="auto"/>
      <w:ind w:firstLine="482"/>
    </w:pPr>
    <w:rPr>
      <w:rFonts w:cs="宋体"/>
      <w:sz w:val="24"/>
      <w:szCs w:val="20"/>
    </w:rPr>
  </w:style>
  <w:style w:type="paragraph" w:customStyle="1" w:styleId="1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7">
    <w:name w:val="Char Char Char2"/>
    <w:basedOn w:val="1"/>
    <w:qFormat/>
    <w:uiPriority w:val="0"/>
    <w:rPr>
      <w:rFonts w:ascii="Tahoma" w:hAnsi="Tahoma"/>
      <w:sz w:val="24"/>
      <w:szCs w:val="20"/>
    </w:rPr>
  </w:style>
  <w:style w:type="paragraph" w:customStyle="1" w:styleId="208">
    <w:name w:val="Char21"/>
    <w:basedOn w:val="1"/>
    <w:qFormat/>
    <w:uiPriority w:val="0"/>
    <w:rPr>
      <w:rFonts w:ascii="Tahoma" w:hAnsi="Tahoma"/>
      <w:sz w:val="24"/>
      <w:szCs w:val="20"/>
    </w:rPr>
  </w:style>
  <w:style w:type="paragraph" w:customStyle="1" w:styleId="209">
    <w:name w:val="正文 + 楷体_GB2312"/>
    <w:basedOn w:val="1"/>
    <w:qFormat/>
    <w:uiPriority w:val="0"/>
    <w:pPr>
      <w:widowControl/>
      <w:jc w:val="left"/>
    </w:pPr>
    <w:rPr>
      <w:rFonts w:ascii="楷体_GB2312" w:eastAsia="楷体_GB2312" w:cs="Arial"/>
      <w:kern w:val="0"/>
      <w:sz w:val="24"/>
    </w:rPr>
  </w:style>
  <w:style w:type="paragraph" w:customStyle="1" w:styleId="21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12">
    <w:name w:val="Char Char Char"/>
    <w:basedOn w:val="1"/>
    <w:qFormat/>
    <w:uiPriority w:val="0"/>
    <w:rPr>
      <w:rFonts w:ascii="Tahoma" w:hAnsi="Tahoma"/>
      <w:sz w:val="24"/>
      <w:szCs w:val="20"/>
    </w:rPr>
  </w:style>
  <w:style w:type="paragraph" w:customStyle="1" w:styleId="213">
    <w:name w:val="修订1"/>
    <w:qFormat/>
    <w:uiPriority w:val="99"/>
    <w:rPr>
      <w:rFonts w:ascii="Times New Roman" w:hAnsi="Times New Roman" w:eastAsia="宋体" w:cs="Times New Roman"/>
      <w:kern w:val="2"/>
      <w:sz w:val="21"/>
      <w:szCs w:val="24"/>
      <w:lang w:val="en-US" w:eastAsia="zh-CN" w:bidi="ar-SA"/>
    </w:rPr>
  </w:style>
  <w:style w:type="paragraph" w:customStyle="1" w:styleId="214">
    <w:name w:val="正文须知-2级"/>
    <w:basedOn w:val="1"/>
    <w:qFormat/>
    <w:uiPriority w:val="0"/>
    <w:pPr>
      <w:numPr>
        <w:ilvl w:val="1"/>
        <w:numId w:val="4"/>
      </w:numPr>
      <w:adjustRightInd w:val="0"/>
      <w:snapToGrid w:val="0"/>
      <w:spacing w:line="300" w:lineRule="auto"/>
    </w:pPr>
    <w:rPr>
      <w:rFonts w:ascii="宋体" w:hAnsi="Calibri"/>
      <w:sz w:val="24"/>
      <w:szCs w:val="21"/>
    </w:rPr>
  </w:style>
  <w:style w:type="paragraph" w:customStyle="1" w:styleId="215">
    <w:name w:val="Char2 Char Char Char Char Char Char"/>
    <w:basedOn w:val="1"/>
    <w:qFormat/>
    <w:uiPriority w:val="0"/>
    <w:pPr>
      <w:widowControl/>
      <w:spacing w:line="400" w:lineRule="exact"/>
      <w:jc w:val="center"/>
    </w:pPr>
  </w:style>
  <w:style w:type="paragraph" w:customStyle="1" w:styleId="216">
    <w:name w:val="正文须知-3级"/>
    <w:basedOn w:val="1"/>
    <w:qFormat/>
    <w:uiPriority w:val="0"/>
    <w:pPr>
      <w:numPr>
        <w:ilvl w:val="2"/>
        <w:numId w:val="4"/>
      </w:numPr>
      <w:adjustRightInd w:val="0"/>
      <w:snapToGrid w:val="0"/>
      <w:spacing w:line="300" w:lineRule="auto"/>
      <w:ind w:hanging="355" w:hangingChars="355"/>
    </w:pPr>
    <w:rPr>
      <w:rFonts w:ascii="宋体" w:hAnsi="Calibri"/>
      <w:sz w:val="24"/>
      <w:szCs w:val="21"/>
    </w:rPr>
  </w:style>
  <w:style w:type="paragraph" w:customStyle="1" w:styleId="217">
    <w:name w:val="字元 字元1"/>
    <w:basedOn w:val="1"/>
    <w:qFormat/>
    <w:uiPriority w:val="0"/>
    <w:rPr>
      <w:rFonts w:ascii="Tahoma" w:hAnsi="Tahoma"/>
      <w:sz w:val="24"/>
      <w:szCs w:val="20"/>
    </w:rPr>
  </w:style>
  <w:style w:type="paragraph" w:customStyle="1" w:styleId="2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0">
    <w:name w:val="Char3"/>
    <w:basedOn w:val="1"/>
    <w:qFormat/>
    <w:uiPriority w:val="0"/>
    <w:pPr>
      <w:tabs>
        <w:tab w:val="left" w:pos="360"/>
      </w:tabs>
    </w:pPr>
    <w:rPr>
      <w:sz w:val="24"/>
    </w:rPr>
  </w:style>
  <w:style w:type="paragraph" w:customStyle="1" w:styleId="22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4">
    <w:name w:val="1名"/>
    <w:basedOn w:val="1"/>
    <w:qFormat/>
    <w:uiPriority w:val="0"/>
    <w:pPr>
      <w:numPr>
        <w:ilvl w:val="0"/>
        <w:numId w:val="5"/>
      </w:numPr>
      <w:spacing w:before="120"/>
    </w:pPr>
    <w:rPr>
      <w:rFonts w:ascii="宋体"/>
      <w:sz w:val="28"/>
      <w:szCs w:val="20"/>
    </w:rPr>
  </w:style>
  <w:style w:type="paragraph" w:customStyle="1" w:styleId="225">
    <w:name w:val="Char"/>
    <w:basedOn w:val="1"/>
    <w:qFormat/>
    <w:uiPriority w:val="0"/>
    <w:pPr>
      <w:tabs>
        <w:tab w:val="left" w:pos="360"/>
      </w:tabs>
    </w:pPr>
    <w:rPr>
      <w:sz w:val="24"/>
    </w:rPr>
  </w:style>
  <w:style w:type="paragraph" w:styleId="22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2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2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列出段落2"/>
    <w:basedOn w:val="1"/>
    <w:qFormat/>
    <w:uiPriority w:val="0"/>
    <w:pPr>
      <w:ind w:firstLine="420" w:firstLineChars="200"/>
    </w:pPr>
    <w:rPr>
      <w:rFonts w:ascii="Calibri" w:hAnsi="Calibri"/>
      <w:szCs w:val="22"/>
    </w:rPr>
  </w:style>
  <w:style w:type="paragraph" w:customStyle="1" w:styleId="232">
    <w:name w:val="Char Char Char Char Char Char Char Char Char Char1"/>
    <w:basedOn w:val="1"/>
    <w:qFormat/>
    <w:uiPriority w:val="0"/>
    <w:rPr>
      <w:rFonts w:ascii="宋体" w:hAnsi="宋体" w:cs="Courier New"/>
      <w:sz w:val="32"/>
      <w:szCs w:val="32"/>
    </w:rPr>
  </w:style>
  <w:style w:type="paragraph" w:customStyle="1" w:styleId="233">
    <w:name w:val="Char Char1"/>
    <w:basedOn w:val="16"/>
    <w:qFormat/>
    <w:uiPriority w:val="0"/>
    <w:rPr>
      <w:rFonts w:ascii="Tahoma" w:hAnsi="Tahoma"/>
      <w:sz w:val="24"/>
    </w:rPr>
  </w:style>
  <w:style w:type="paragraph" w:customStyle="1" w:styleId="234">
    <w:name w:val="Char Char Char1 Char1"/>
    <w:basedOn w:val="1"/>
    <w:qFormat/>
    <w:uiPriority w:val="0"/>
    <w:rPr>
      <w:rFonts w:ascii="Tahoma" w:hAnsi="Tahoma"/>
      <w:sz w:val="24"/>
      <w:szCs w:val="20"/>
    </w:rPr>
  </w:style>
  <w:style w:type="paragraph" w:customStyle="1" w:styleId="2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6">
    <w:name w:val="表格1"/>
    <w:basedOn w:val="1"/>
    <w:qFormat/>
    <w:uiPriority w:val="0"/>
    <w:pPr>
      <w:ind w:firstLine="480" w:firstLineChars="200"/>
      <w:jc w:val="center"/>
    </w:pPr>
    <w:rPr>
      <w:sz w:val="24"/>
      <w:szCs w:val="20"/>
    </w:rPr>
  </w:style>
  <w:style w:type="paragraph" w:customStyle="1" w:styleId="2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8">
    <w:name w:val="Char1 Char Char Char1"/>
    <w:basedOn w:val="1"/>
    <w:qFormat/>
    <w:uiPriority w:val="0"/>
    <w:rPr>
      <w:rFonts w:ascii="Tahoma" w:hAnsi="Tahoma" w:cs="仿宋_GB2312"/>
      <w:sz w:val="24"/>
      <w:szCs w:val="28"/>
    </w:rPr>
  </w:style>
  <w:style w:type="paragraph" w:customStyle="1" w:styleId="23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0">
    <w:name w:val="样式 标题 2 + 宋体 五号 行距: 单倍行距"/>
    <w:basedOn w:val="4"/>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2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2">
    <w:name w:val="项目符号1"/>
    <w:basedOn w:val="198"/>
    <w:qFormat/>
    <w:uiPriority w:val="0"/>
    <w:pPr>
      <w:ind w:left="-25" w:firstLine="0"/>
    </w:pPr>
  </w:style>
  <w:style w:type="paragraph" w:customStyle="1" w:styleId="2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44">
    <w:name w:val="_Style 160"/>
    <w:qFormat/>
    <w:uiPriority w:val="0"/>
    <w:rPr>
      <w:rFonts w:ascii="Times New Roman" w:hAnsi="Times New Roman" w:eastAsia="宋体" w:cs="Times New Roman"/>
      <w:kern w:val="2"/>
      <w:sz w:val="21"/>
      <w:szCs w:val="24"/>
      <w:lang w:val="en-US" w:eastAsia="zh-CN" w:bidi="ar-SA"/>
    </w:rPr>
  </w:style>
  <w:style w:type="paragraph" w:customStyle="1" w:styleId="245">
    <w:name w:val="Char3 Char Char Char2"/>
    <w:basedOn w:val="1"/>
    <w:qFormat/>
    <w:uiPriority w:val="0"/>
    <w:rPr>
      <w:rFonts w:ascii="Tahoma" w:hAnsi="Tahoma"/>
      <w:sz w:val="24"/>
      <w:szCs w:val="20"/>
    </w:rPr>
  </w:style>
  <w:style w:type="paragraph" w:customStyle="1" w:styleId="246">
    <w:name w:val="表格文字"/>
    <w:basedOn w:val="22"/>
    <w:qFormat/>
    <w:uiPriority w:val="0"/>
    <w:pPr>
      <w:spacing w:before="20" w:after="20" w:line="240" w:lineRule="auto"/>
      <w:ind w:firstLine="0"/>
    </w:pPr>
    <w:rPr>
      <w:rFonts w:ascii="Century Gothic" w:hAnsi="Century Gothic"/>
      <w:sz w:val="20"/>
      <w:szCs w:val="20"/>
    </w:rPr>
  </w:style>
  <w:style w:type="paragraph" w:customStyle="1" w:styleId="24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项目编号3"/>
    <w:basedOn w:val="198"/>
    <w:qFormat/>
    <w:uiPriority w:val="0"/>
    <w:pPr>
      <w:numPr>
        <w:ilvl w:val="0"/>
        <w:numId w:val="7"/>
      </w:numPr>
    </w:pPr>
  </w:style>
  <w:style w:type="paragraph" w:customStyle="1" w:styleId="252">
    <w:name w:val="Char Char4"/>
    <w:basedOn w:val="1"/>
    <w:qFormat/>
    <w:uiPriority w:val="0"/>
    <w:pPr>
      <w:widowControl/>
      <w:spacing w:line="400" w:lineRule="exact"/>
      <w:jc w:val="center"/>
    </w:pPr>
  </w:style>
  <w:style w:type="paragraph" w:customStyle="1" w:styleId="2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55">
    <w:name w:val="标题1-附件"/>
    <w:basedOn w:val="3"/>
    <w:qFormat/>
    <w:uiPriority w:val="0"/>
    <w:pPr>
      <w:jc w:val="left"/>
    </w:pPr>
    <w:rPr>
      <w:sz w:val="24"/>
      <w:szCs w:val="24"/>
    </w:rPr>
  </w:style>
  <w:style w:type="paragraph" w:customStyle="1" w:styleId="25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5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59">
    <w:name w:val="Char Char Char Char Char Char Char Char Char Char2"/>
    <w:basedOn w:val="1"/>
    <w:qFormat/>
    <w:uiPriority w:val="0"/>
    <w:rPr>
      <w:rFonts w:ascii="宋体" w:hAnsi="宋体" w:cs="Courier New"/>
      <w:sz w:val="32"/>
      <w:szCs w:val="32"/>
    </w:rPr>
  </w:style>
  <w:style w:type="paragraph" w:customStyle="1" w:styleId="26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1">
    <w:name w:val="Char Char Char1"/>
    <w:basedOn w:val="1"/>
    <w:qFormat/>
    <w:uiPriority w:val="0"/>
    <w:rPr>
      <w:rFonts w:ascii="Tahoma" w:hAnsi="Tahoma"/>
      <w:sz w:val="24"/>
      <w:szCs w:val="20"/>
    </w:rPr>
  </w:style>
  <w:style w:type="paragraph" w:customStyle="1" w:styleId="2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4">
    <w:name w:val="Char Char41"/>
    <w:basedOn w:val="1"/>
    <w:qFormat/>
    <w:uiPriority w:val="0"/>
    <w:pPr>
      <w:widowControl/>
      <w:spacing w:line="400" w:lineRule="exact"/>
      <w:jc w:val="center"/>
    </w:pPr>
  </w:style>
  <w:style w:type="paragraph" w:customStyle="1" w:styleId="26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6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67">
    <w:name w:val="正文须知-1级"/>
    <w:basedOn w:val="1"/>
    <w:next w:val="1"/>
    <w:qFormat/>
    <w:uiPriority w:val="0"/>
    <w:pPr>
      <w:numPr>
        <w:ilvl w:val="0"/>
        <w:numId w:val="4"/>
      </w:numPr>
      <w:adjustRightInd w:val="0"/>
      <w:snapToGrid w:val="0"/>
      <w:spacing w:line="300" w:lineRule="auto"/>
    </w:pPr>
    <w:rPr>
      <w:rFonts w:ascii="宋体" w:hAnsi="Calibri"/>
      <w:sz w:val="24"/>
      <w:szCs w:val="21"/>
    </w:rPr>
  </w:style>
  <w:style w:type="paragraph" w:customStyle="1" w:styleId="268">
    <w:name w:val="Char22"/>
    <w:basedOn w:val="1"/>
    <w:qFormat/>
    <w:uiPriority w:val="0"/>
    <w:rPr>
      <w:rFonts w:ascii="Tahoma" w:hAnsi="Tahoma"/>
      <w:sz w:val="24"/>
      <w:szCs w:val="20"/>
    </w:rPr>
  </w:style>
  <w:style w:type="table" w:customStyle="1" w:styleId="269">
    <w:name w:val="Table Normal"/>
    <w:unhideWhenUsed/>
    <w:qFormat/>
    <w:uiPriority w:val="2"/>
    <w:pPr>
      <w:widowControl w:val="0"/>
      <w:autoSpaceDE w:val="0"/>
      <w:autoSpaceDN w:val="0"/>
    </w:pPr>
    <w:rPr>
      <w:sz w:val="22"/>
      <w:szCs w:val="22"/>
      <w:lang w:eastAsia="en-US"/>
    </w:rPr>
    <w:tblPr>
      <w:tblLayout w:type="fixed"/>
      <w:tblCellMar>
        <w:top w:w="0" w:type="dxa"/>
        <w:left w:w="0" w:type="dxa"/>
        <w:bottom w:w="0" w:type="dxa"/>
        <w:right w:w="0" w:type="dxa"/>
      </w:tblCellMar>
    </w:tblPr>
  </w:style>
  <w:style w:type="paragraph" w:customStyle="1" w:styleId="270">
    <w:name w:val="样式 标题 1 + 四号 居中 段前: 12 磅 段后: 12 磅 行距: 单倍行距"/>
    <w:basedOn w:val="3"/>
    <w:qFormat/>
    <w:uiPriority w:val="0"/>
    <w:pPr>
      <w:spacing w:after="240" w:line="240" w:lineRule="auto"/>
      <w:ind w:left="-288"/>
    </w:pPr>
    <w:rPr>
      <w:rFonts w:cs="宋体"/>
      <w:sz w:val="28"/>
    </w:rPr>
  </w:style>
  <w:style w:type="table" w:customStyle="1" w:styleId="271">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2">
    <w:name w:val="网格型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3">
    <w:name w:val="网格型3"/>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4">
    <w:name w:val="网格型4"/>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5">
    <w:name w:val="网格型5"/>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6">
    <w:name w:val="网格型6"/>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7">
    <w:name w:val="网格型7"/>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78">
    <w:name w:val="修订2"/>
    <w:hidden/>
    <w:qFormat/>
    <w:uiPriority w:val="99"/>
    <w:rPr>
      <w:rFonts w:ascii="Times New Roman" w:hAnsi="Times New Roman" w:eastAsia="宋体" w:cs="Times New Roman"/>
      <w:kern w:val="2"/>
      <w:sz w:val="21"/>
      <w:szCs w:val="24"/>
      <w:lang w:val="en-US" w:eastAsia="zh-CN" w:bidi="ar-SA"/>
    </w:rPr>
  </w:style>
  <w:style w:type="paragraph" w:customStyle="1" w:styleId="279">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character" w:customStyle="1" w:styleId="280">
    <w:name w:val="正文首行缩进 字符"/>
    <w:basedOn w:val="142"/>
    <w:link w:val="50"/>
    <w:qFormat/>
    <w:uiPriority w:val="0"/>
    <w:rPr>
      <w:rFonts w:ascii="Times New Roman" w:hAnsi="Times New Roman"/>
      <w:kern w:val="2"/>
      <w:sz w:val="21"/>
      <w:szCs w:val="24"/>
    </w:rPr>
  </w:style>
  <w:style w:type="character" w:customStyle="1" w:styleId="281">
    <w:name w:val="font21"/>
    <w:qFormat/>
    <w:uiPriority w:val="0"/>
    <w:rPr>
      <w:rFonts w:hint="default" w:ascii="Calibri" w:hAnsi="Calibri" w:cs="Calibri"/>
      <w:color w:val="000000"/>
      <w:sz w:val="21"/>
      <w:szCs w:val="21"/>
      <w:u w:val="none"/>
    </w:rPr>
  </w:style>
  <w:style w:type="paragraph" w:customStyle="1" w:styleId="28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列出段落11"/>
    <w:basedOn w:val="1"/>
    <w:qFormat/>
    <w:uiPriority w:val="34"/>
    <w:pPr>
      <w:ind w:firstLine="420" w:firstLineChars="200"/>
    </w:pPr>
    <w:rPr>
      <w:rFonts w:ascii="Calibri" w:hAnsi="Calibri"/>
      <w:szCs w:val="22"/>
    </w:rPr>
  </w:style>
  <w:style w:type="paragraph" w:customStyle="1" w:styleId="284">
    <w:name w:val="引言二级条标题"/>
    <w:basedOn w:val="1"/>
    <w:next w:val="1"/>
    <w:qFormat/>
    <w:uiPriority w:val="0"/>
    <w:pPr>
      <w:tabs>
        <w:tab w:val="left" w:pos="1140"/>
      </w:tabs>
      <w:ind w:firstLine="360"/>
    </w:pPr>
    <w:rPr>
      <w:rFonts w:ascii="Calibri" w:hAnsi="Calibri" w:eastAsia="黑体"/>
      <w:b/>
      <w:bCs/>
      <w:sz w:val="22"/>
      <w:szCs w:val="21"/>
      <w:lang w:bidi="en-US"/>
    </w:rPr>
  </w:style>
  <w:style w:type="paragraph" w:customStyle="1" w:styleId="285">
    <w:name w:val="_Style 7"/>
    <w:basedOn w:val="1"/>
    <w:next w:val="195"/>
    <w:qFormat/>
    <w:uiPriority w:val="34"/>
    <w:pPr>
      <w:spacing w:line="360" w:lineRule="auto"/>
      <w:ind w:firstLine="420" w:firstLineChars="200"/>
    </w:pPr>
  </w:style>
  <w:style w:type="paragraph" w:customStyle="1" w:styleId="2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7">
    <w:name w:val="样式 样式 样式 四号 行距: 1.5 倍行距 + 首行缩进:  2 字符 + (西文) 宋体 (中文) 仿宋_GB2312..."/>
    <w:basedOn w:val="1"/>
    <w:qFormat/>
    <w:uiPriority w:val="0"/>
    <w:pPr>
      <w:spacing w:line="500" w:lineRule="atLeast"/>
      <w:ind w:firstLine="560" w:firstLineChars="200"/>
    </w:pPr>
    <w:rPr>
      <w:rFonts w:ascii="Calibri" w:hAnsi="Calibri"/>
      <w:sz w:val="28"/>
      <w:lang w:val="zh-CN"/>
    </w:rPr>
  </w:style>
  <w:style w:type="character" w:customStyle="1" w:styleId="288">
    <w:name w:val="ql-font-songti"/>
    <w:basedOn w:val="55"/>
    <w:qFormat/>
    <w:uiPriority w:val="0"/>
  </w:style>
  <w:style w:type="paragraph" w:customStyle="1" w:styleId="289">
    <w:name w:val="Table Text"/>
    <w:basedOn w:val="1"/>
    <w:semiHidden/>
    <w:qFormat/>
    <w:uiPriority w:val="0"/>
    <w:rPr>
      <w:rFonts w:ascii="黑体" w:hAnsi="黑体" w:eastAsia="黑体" w:cs="黑体"/>
      <w:sz w:val="18"/>
      <w:szCs w:val="18"/>
      <w:lang w:eastAsia="en-US"/>
    </w:rPr>
  </w:style>
  <w:style w:type="paragraph" w:customStyle="1" w:styleId="290">
    <w:name w:val="样式 样式 样式 样式 标题 2 + 宋体 五号 非加粗 黑色 + 段前: 6 磅 段后: 0 磅 行距: 单倍行距 + 段前:..."/>
    <w:basedOn w:val="1"/>
    <w:qFormat/>
    <w:uiPriority w:val="0"/>
    <w:pPr>
      <w:keepNext/>
      <w:keepLines/>
      <w:autoSpaceDE w:val="0"/>
      <w:autoSpaceDN w:val="0"/>
      <w:adjustRightInd w:val="0"/>
      <w:spacing w:before="240"/>
      <w:jc w:val="center"/>
      <w:outlineLvl w:val="1"/>
    </w:pPr>
    <w:rPr>
      <w:rFonts w:ascii="宋体" w:hAnsi="宋体"/>
      <w:b/>
      <w:bCs/>
      <w:color w:val="000000"/>
      <w:kern w:val="0"/>
      <w:szCs w:val="20"/>
    </w:rPr>
  </w:style>
  <w:style w:type="character" w:customStyle="1" w:styleId="291">
    <w:name w:val="称呼 字符"/>
    <w:basedOn w:val="55"/>
    <w:link w:val="19"/>
    <w:qFormat/>
    <w:uiPriority w:val="99"/>
    <w:rPr>
      <w:rFonts w:ascii="Times New Roman" w:hAnsi="Times New Roman"/>
      <w:kern w:val="2"/>
      <w:sz w:val="21"/>
      <w:szCs w:val="24"/>
    </w:rPr>
  </w:style>
  <w:style w:type="paragraph" w:customStyle="1" w:styleId="292">
    <w:name w:val="标书正文"/>
    <w:basedOn w:val="1"/>
    <w:qFormat/>
    <w:uiPriority w:val="0"/>
    <w:pPr>
      <w:suppressAutoHyphens/>
      <w:spacing w:line="360" w:lineRule="auto"/>
      <w:ind w:firstLine="200" w:firstLineChars="200"/>
    </w:pPr>
    <w:rPr>
      <w:rFonts w:ascii="Calibri" w:hAnsi="Calibri"/>
      <w:sz w:val="24"/>
    </w:rPr>
  </w:style>
  <w:style w:type="paragraph" w:customStyle="1" w:styleId="293">
    <w:name w:val="仿宋正文"/>
    <w:basedOn w:val="1"/>
    <w:qFormat/>
    <w:uiPriority w:val="0"/>
    <w:pPr>
      <w:adjustRightInd w:val="0"/>
      <w:spacing w:line="360" w:lineRule="auto"/>
      <w:ind w:firstLine="560" w:firstLineChars="200"/>
      <w:jc w:val="left"/>
      <w:textAlignment w:val="baseline"/>
    </w:pPr>
    <w:rPr>
      <w:rFonts w:ascii="仿宋" w:hAnsi="仿宋" w:eastAsia="仿宋" w:cs="仿宋"/>
      <w:kern w:val="0"/>
      <w:sz w:val="28"/>
      <w:szCs w:val="28"/>
    </w:rPr>
  </w:style>
  <w:style w:type="paragraph" w:customStyle="1" w:styleId="294">
    <w:name w:val="标准文件_段"/>
    <w:qFormat/>
    <w:uiPriority w:val="0"/>
    <w:pPr>
      <w:autoSpaceDE w:val="0"/>
      <w:autoSpaceDN w:val="0"/>
      <w:ind w:firstLine="200" w:firstLineChars="200"/>
      <w:jc w:val="both"/>
    </w:pPr>
    <w:rPr>
      <w:rFonts w:ascii="宋体" w:hAnsi="Times New Roman" w:eastAsia="宋体" w:cs="Times New Roman"/>
      <w:sz w:val="24"/>
      <w:lang w:val="en-US" w:eastAsia="zh-CN" w:bidi="ar-SA"/>
    </w:rPr>
  </w:style>
  <w:style w:type="paragraph" w:customStyle="1" w:styleId="295">
    <w:name w:val="_Style 289"/>
    <w:qFormat/>
    <w:uiPriority w:val="0"/>
    <w:rPr>
      <w:rFonts w:ascii="Times New Roman" w:hAnsi="Times New Roman" w:eastAsia="宋体" w:cs="Times New Roman"/>
      <w:kern w:val="2"/>
      <w:sz w:val="21"/>
      <w:szCs w:val="24"/>
      <w:lang w:val="en-US" w:eastAsia="zh-CN" w:bidi="ar-SA"/>
    </w:rPr>
  </w:style>
  <w:style w:type="character" w:customStyle="1" w:styleId="296">
    <w:name w:val="A2 Char"/>
    <w:link w:val="297"/>
    <w:qFormat/>
    <w:uiPriority w:val="0"/>
    <w:rPr>
      <w:rFonts w:ascii="Arial" w:hAnsi="Arial" w:eastAsia="黑体"/>
      <w:b/>
      <w:bCs/>
      <w:sz w:val="28"/>
      <w:szCs w:val="32"/>
      <w:lang w:val="zh-CN"/>
    </w:rPr>
  </w:style>
  <w:style w:type="paragraph" w:customStyle="1" w:styleId="297">
    <w:name w:val="A2"/>
    <w:basedOn w:val="4"/>
    <w:link w:val="296"/>
    <w:qFormat/>
    <w:uiPriority w:val="0"/>
    <w:pPr>
      <w:autoSpaceDE/>
      <w:autoSpaceDN/>
      <w:adjustRightInd/>
      <w:spacing w:before="260" w:after="260" w:line="360" w:lineRule="auto"/>
      <w:ind w:left="-25"/>
      <w:jc w:val="both"/>
    </w:pPr>
    <w:rPr>
      <w:bCs/>
      <w:sz w:val="28"/>
      <w:szCs w:val="32"/>
      <w:lang w:val="zh-CN"/>
    </w:rPr>
  </w:style>
  <w:style w:type="character" w:customStyle="1" w:styleId="298">
    <w:name w:val="正文首行缩进 2 Char"/>
    <w:qFormat/>
    <w:uiPriority w:val="0"/>
    <w:rPr>
      <w:rFonts w:eastAsia="宋体"/>
      <w:kern w:val="2"/>
      <w:sz w:val="24"/>
      <w:szCs w:val="24"/>
      <w:lang w:val="en-US" w:eastAsia="zh-CN" w:bidi="ar-SA"/>
    </w:rPr>
  </w:style>
  <w:style w:type="character" w:customStyle="1" w:styleId="299">
    <w:name w:val="正文文本缩进 3 Char"/>
    <w:qFormat/>
    <w:uiPriority w:val="0"/>
    <w:rPr>
      <w:rFonts w:ascii="宋体"/>
      <w:sz w:val="24"/>
    </w:rPr>
  </w:style>
  <w:style w:type="character" w:customStyle="1" w:styleId="300">
    <w:name w:val="标题 1 Char Char Char Char"/>
    <w:qFormat/>
    <w:uiPriority w:val="0"/>
    <w:rPr>
      <w:rFonts w:eastAsia="宋体"/>
      <w:b/>
      <w:bCs/>
      <w:kern w:val="44"/>
      <w:sz w:val="44"/>
      <w:szCs w:val="44"/>
      <w:lang w:val="en-US" w:eastAsia="zh-CN" w:bidi="ar-SA"/>
    </w:rPr>
  </w:style>
  <w:style w:type="character" w:customStyle="1" w:styleId="301">
    <w:name w:val="批注框文本 Char1"/>
    <w:semiHidden/>
    <w:qFormat/>
    <w:uiPriority w:val="99"/>
    <w:rPr>
      <w:rFonts w:ascii="Times New Roman" w:hAnsi="Times New Roman" w:eastAsia="宋体" w:cs="Times New Roman"/>
      <w:sz w:val="18"/>
      <w:szCs w:val="18"/>
    </w:rPr>
  </w:style>
  <w:style w:type="character" w:customStyle="1" w:styleId="302">
    <w:name w:val="副标题 字符1"/>
    <w:link w:val="37"/>
    <w:qFormat/>
    <w:uiPriority w:val="0"/>
    <w:rPr>
      <w:rFonts w:ascii="Calibri Light" w:hAnsi="Calibri Light" w:cs="黑体"/>
      <w:b/>
      <w:bCs/>
      <w:kern w:val="28"/>
      <w:sz w:val="32"/>
      <w:szCs w:val="32"/>
    </w:rPr>
  </w:style>
  <w:style w:type="character" w:customStyle="1" w:styleId="303">
    <w:name w:val="日期 Char1"/>
    <w:qFormat/>
    <w:uiPriority w:val="99"/>
    <w:rPr>
      <w:rFonts w:ascii="Times New Roman" w:hAnsi="Times New Roman" w:eastAsia="宋体" w:cs="Times New Roman"/>
      <w:szCs w:val="24"/>
    </w:rPr>
  </w:style>
  <w:style w:type="character" w:customStyle="1" w:styleId="304">
    <w:name w:val="批注主题 Char1"/>
    <w:semiHidden/>
    <w:qFormat/>
    <w:uiPriority w:val="99"/>
    <w:rPr>
      <w:rFonts w:ascii="Times New Roman" w:hAnsi="Times New Roman" w:eastAsia="宋体" w:cs="Times New Roman"/>
      <w:b/>
      <w:bCs/>
      <w:szCs w:val="24"/>
    </w:rPr>
  </w:style>
  <w:style w:type="character" w:customStyle="1" w:styleId="305">
    <w:name w:val="正文文本缩进 2 Char"/>
    <w:qFormat/>
    <w:uiPriority w:val="0"/>
    <w:rPr>
      <w:rFonts w:ascii="仿宋_GB2312" w:eastAsia="仿宋_GB2312"/>
      <w:kern w:val="2"/>
      <w:sz w:val="24"/>
      <w:szCs w:val="24"/>
    </w:rPr>
  </w:style>
  <w:style w:type="character" w:customStyle="1" w:styleId="306">
    <w:name w:val="称呼 Char1"/>
    <w:qFormat/>
    <w:locked/>
    <w:uiPriority w:val="0"/>
    <w:rPr>
      <w:kern w:val="2"/>
      <w:sz w:val="24"/>
      <w:lang w:val="zh-CN"/>
    </w:rPr>
  </w:style>
  <w:style w:type="character" w:customStyle="1" w:styleId="307">
    <w:name w:val="apple-converted-space"/>
    <w:qFormat/>
    <w:uiPriority w:val="0"/>
    <w:rPr>
      <w:rFonts w:cs="Times New Roman"/>
    </w:rPr>
  </w:style>
  <w:style w:type="character" w:customStyle="1" w:styleId="308">
    <w:name w:val="正文文本缩进 字符1"/>
    <w:qFormat/>
    <w:uiPriority w:val="0"/>
    <w:rPr>
      <w:rFonts w:eastAsia="宋体"/>
      <w:sz w:val="24"/>
      <w:szCs w:val="24"/>
    </w:rPr>
  </w:style>
  <w:style w:type="character" w:customStyle="1" w:styleId="309">
    <w:name w:val="HTML 预设格式 Char1"/>
    <w:semiHidden/>
    <w:qFormat/>
    <w:uiPriority w:val="99"/>
    <w:rPr>
      <w:rFonts w:ascii="Courier New" w:hAnsi="Courier New" w:eastAsia="宋体" w:cs="Courier New"/>
      <w:sz w:val="20"/>
      <w:szCs w:val="20"/>
    </w:rPr>
  </w:style>
  <w:style w:type="character" w:customStyle="1" w:styleId="310">
    <w:name w:val="正文文本缩进 Char3"/>
    <w:semiHidden/>
    <w:qFormat/>
    <w:uiPriority w:val="99"/>
    <w:rPr>
      <w:rFonts w:ascii="Times New Roman" w:hAnsi="Times New Roman" w:eastAsia="宋体" w:cs="Times New Roman"/>
      <w:szCs w:val="24"/>
    </w:rPr>
  </w:style>
  <w:style w:type="character" w:customStyle="1" w:styleId="311">
    <w:name w:val="标题 4 Char"/>
    <w:qFormat/>
    <w:uiPriority w:val="0"/>
    <w:rPr>
      <w:sz w:val="24"/>
    </w:rPr>
  </w:style>
  <w:style w:type="character" w:customStyle="1" w:styleId="312">
    <w:name w:val="15"/>
    <w:qFormat/>
    <w:uiPriority w:val="0"/>
    <w:rPr>
      <w:rFonts w:hint="eastAsia" w:ascii="宋体" w:hAnsi="宋体" w:eastAsia="宋体"/>
      <w:color w:val="000000"/>
      <w:sz w:val="20"/>
      <w:szCs w:val="20"/>
    </w:rPr>
  </w:style>
  <w:style w:type="character" w:customStyle="1" w:styleId="313">
    <w:name w:val="标题 2 字符1"/>
    <w:qFormat/>
    <w:locked/>
    <w:uiPriority w:val="0"/>
    <w:rPr>
      <w:rFonts w:ascii="Arial" w:hAnsi="Arial" w:eastAsia="宋体" w:cs="Times New Roman"/>
      <w:b/>
      <w:bCs/>
      <w:sz w:val="28"/>
      <w:szCs w:val="32"/>
    </w:rPr>
  </w:style>
  <w:style w:type="character" w:customStyle="1" w:styleId="314">
    <w:name w:val="标题 3 Char1"/>
    <w:qFormat/>
    <w:uiPriority w:val="0"/>
    <w:rPr>
      <w:rFonts w:ascii="宋体" w:eastAsia="宋体"/>
      <w:b/>
      <w:sz w:val="24"/>
      <w:u w:val="single"/>
      <w:lang w:val="en-US" w:eastAsia="zh-CN" w:bidi="ar-SA"/>
    </w:rPr>
  </w:style>
  <w:style w:type="character" w:customStyle="1" w:styleId="315">
    <w:name w:val="样式 宋体 四号"/>
    <w:qFormat/>
    <w:uiPriority w:val="0"/>
    <w:rPr>
      <w:rFonts w:hint="eastAsia" w:ascii="宋体" w:hAnsi="宋体" w:eastAsia="仿宋_GB2312"/>
      <w:sz w:val="28"/>
    </w:rPr>
  </w:style>
  <w:style w:type="character" w:customStyle="1" w:styleId="316">
    <w:name w:val="标题 3 字符1"/>
    <w:qFormat/>
    <w:locked/>
    <w:uiPriority w:val="0"/>
    <w:rPr>
      <w:rFonts w:ascii="Times New Roman" w:hAnsi="Times New Roman" w:eastAsia="宋体" w:cs="Times New Roman"/>
      <w:b/>
      <w:bCs/>
      <w:sz w:val="32"/>
      <w:szCs w:val="32"/>
    </w:rPr>
  </w:style>
  <w:style w:type="character" w:customStyle="1" w:styleId="317">
    <w:name w:val="称呼 Char"/>
    <w:qFormat/>
    <w:uiPriority w:val="0"/>
    <w:rPr>
      <w:rFonts w:ascii="Times New Roman" w:hAnsi="Times New Roman" w:eastAsia="宋体" w:cs="Times New Roman"/>
      <w:szCs w:val="24"/>
    </w:rPr>
  </w:style>
  <w:style w:type="character" w:customStyle="1" w:styleId="318">
    <w:name w:val="标题 Char2"/>
    <w:qFormat/>
    <w:uiPriority w:val="10"/>
    <w:rPr>
      <w:rFonts w:ascii="Cambria" w:hAnsi="Cambria" w:eastAsia="宋体" w:cs="Times New Roman"/>
      <w:b/>
      <w:bCs/>
      <w:sz w:val="32"/>
      <w:szCs w:val="32"/>
    </w:rPr>
  </w:style>
  <w:style w:type="character" w:customStyle="1" w:styleId="319">
    <w:name w:val="正文文本 3 Char1"/>
    <w:semiHidden/>
    <w:qFormat/>
    <w:uiPriority w:val="99"/>
    <w:rPr>
      <w:rFonts w:ascii="Times New Roman" w:hAnsi="Times New Roman" w:eastAsia="宋体" w:cs="Times New Roman"/>
      <w:sz w:val="16"/>
      <w:szCs w:val="16"/>
    </w:rPr>
  </w:style>
  <w:style w:type="character" w:customStyle="1" w:styleId="320">
    <w:name w:val="middle1"/>
    <w:qFormat/>
    <w:uiPriority w:val="0"/>
    <w:rPr>
      <w:rFonts w:hint="default"/>
      <w:sz w:val="21"/>
      <w:szCs w:val="21"/>
    </w:rPr>
  </w:style>
  <w:style w:type="character" w:customStyle="1" w:styleId="321">
    <w:name w:val="cf21"/>
    <w:qFormat/>
    <w:uiPriority w:val="0"/>
    <w:rPr>
      <w:rFonts w:hint="eastAsia" w:ascii="Microsoft YaHei UI" w:hAnsi="Microsoft YaHei UI" w:eastAsia="Microsoft YaHei UI"/>
      <w:sz w:val="18"/>
      <w:szCs w:val="18"/>
      <w:shd w:val="clear" w:color="auto" w:fill="FFFFFF"/>
    </w:rPr>
  </w:style>
  <w:style w:type="character" w:customStyle="1" w:styleId="322">
    <w:name w:val="页眉 Char1"/>
    <w:qFormat/>
    <w:uiPriority w:val="0"/>
    <w:rPr>
      <w:rFonts w:eastAsia="宋体"/>
      <w:kern w:val="2"/>
      <w:sz w:val="18"/>
      <w:szCs w:val="18"/>
      <w:lang w:val="en-US" w:eastAsia="zh-CN" w:bidi="ar-SA"/>
    </w:rPr>
  </w:style>
  <w:style w:type="character" w:customStyle="1" w:styleId="323">
    <w:name w:val="日期 Char"/>
    <w:qFormat/>
    <w:uiPriority w:val="0"/>
    <w:rPr>
      <w:rFonts w:ascii="仿宋_GB2312" w:hAnsi="宋体" w:eastAsia="仿宋_GB2312"/>
      <w:color w:val="000000"/>
      <w:kern w:val="2"/>
      <w:sz w:val="24"/>
      <w:szCs w:val="24"/>
    </w:rPr>
  </w:style>
  <w:style w:type="character" w:customStyle="1" w:styleId="324">
    <w:name w:val="正文文本 3 Char"/>
    <w:qFormat/>
    <w:uiPriority w:val="0"/>
    <w:rPr>
      <w:kern w:val="2"/>
      <w:sz w:val="16"/>
      <w:szCs w:val="16"/>
    </w:rPr>
  </w:style>
  <w:style w:type="character" w:customStyle="1" w:styleId="325">
    <w:name w:val="cf11"/>
    <w:qFormat/>
    <w:uiPriority w:val="0"/>
    <w:rPr>
      <w:rFonts w:hint="eastAsia" w:ascii="Microsoft YaHei UI" w:hAnsi="Microsoft YaHei UI" w:eastAsia="Microsoft YaHei UI"/>
      <w:sz w:val="18"/>
      <w:szCs w:val="18"/>
    </w:rPr>
  </w:style>
  <w:style w:type="character" w:customStyle="1" w:styleId="326">
    <w:name w:val="文档结构图 Char"/>
    <w:qFormat/>
    <w:uiPriority w:val="0"/>
    <w:rPr>
      <w:kern w:val="2"/>
      <w:sz w:val="21"/>
      <w:szCs w:val="24"/>
      <w:shd w:val="clear" w:color="auto" w:fill="000080"/>
    </w:rPr>
  </w:style>
  <w:style w:type="character" w:customStyle="1" w:styleId="327">
    <w:name w:val="Char Char Char Char Char"/>
    <w:qFormat/>
    <w:uiPriority w:val="0"/>
    <w:rPr>
      <w:rFonts w:hint="eastAsia" w:ascii="宋体" w:hAnsi="宋体" w:eastAsia="宋体"/>
      <w:kern w:val="2"/>
      <w:sz w:val="24"/>
      <w:szCs w:val="24"/>
      <w:lang w:val="en-US" w:eastAsia="zh-CN" w:bidi="ar-SA"/>
    </w:rPr>
  </w:style>
  <w:style w:type="character" w:customStyle="1" w:styleId="328">
    <w:name w:val="正文文本 2 字符1"/>
    <w:link w:val="44"/>
    <w:qFormat/>
    <w:uiPriority w:val="0"/>
    <w:rPr>
      <w:rFonts w:ascii="幼圆" w:eastAsia="幼圆"/>
      <w:kern w:val="2"/>
      <w:sz w:val="24"/>
      <w:szCs w:val="24"/>
    </w:rPr>
  </w:style>
  <w:style w:type="character" w:customStyle="1" w:styleId="329">
    <w:name w:val="批注框文本 Char"/>
    <w:qFormat/>
    <w:uiPriority w:val="0"/>
    <w:rPr>
      <w:kern w:val="2"/>
      <w:sz w:val="18"/>
      <w:szCs w:val="18"/>
    </w:rPr>
  </w:style>
  <w:style w:type="character" w:customStyle="1" w:styleId="330">
    <w:name w:val="Para head"/>
    <w:qFormat/>
    <w:uiPriority w:val="0"/>
    <w:rPr>
      <w:rFonts w:hint="default" w:ascii="Arial" w:hAnsi="Arial" w:eastAsia="Times New Roman" w:cs="Arial"/>
      <w:sz w:val="20"/>
    </w:rPr>
  </w:style>
  <w:style w:type="character" w:customStyle="1" w:styleId="331">
    <w:name w:val="标题 1 字符1"/>
    <w:qFormat/>
    <w:locked/>
    <w:uiPriority w:val="0"/>
    <w:rPr>
      <w:rFonts w:ascii="Times New Roman" w:hAnsi="Times New Roman" w:eastAsia="宋体" w:cs="Times New Roman"/>
      <w:b/>
      <w:bCs/>
      <w:sz w:val="28"/>
      <w:szCs w:val="44"/>
    </w:rPr>
  </w:style>
  <w:style w:type="character" w:customStyle="1" w:styleId="332">
    <w:name w:val="纯文本 Char2"/>
    <w:semiHidden/>
    <w:qFormat/>
    <w:uiPriority w:val="99"/>
    <w:rPr>
      <w:rFonts w:ascii="宋体" w:hAnsi="Courier New" w:eastAsia="宋体" w:cs="Courier New"/>
      <w:szCs w:val="21"/>
    </w:rPr>
  </w:style>
  <w:style w:type="character" w:customStyle="1" w:styleId="333">
    <w:name w:val="副标题 Char2"/>
    <w:qFormat/>
    <w:uiPriority w:val="11"/>
    <w:rPr>
      <w:rFonts w:ascii="Cambria" w:hAnsi="Cambria" w:eastAsia="宋体" w:cs="黑体"/>
      <w:b/>
      <w:bCs/>
      <w:kern w:val="28"/>
      <w:sz w:val="32"/>
      <w:szCs w:val="32"/>
    </w:rPr>
  </w:style>
  <w:style w:type="character" w:customStyle="1" w:styleId="334">
    <w:name w:val="副标题 Char1"/>
    <w:qFormat/>
    <w:uiPriority w:val="0"/>
    <w:rPr>
      <w:rFonts w:ascii="Calibri Light" w:hAnsi="Calibri Light" w:eastAsia="宋体" w:cs="Times New Roman"/>
      <w:b/>
      <w:bCs/>
      <w:kern w:val="28"/>
      <w:sz w:val="32"/>
      <w:szCs w:val="32"/>
    </w:rPr>
  </w:style>
  <w:style w:type="character" w:customStyle="1" w:styleId="335">
    <w:name w:val="正文文本缩进 2 Char1"/>
    <w:qFormat/>
    <w:uiPriority w:val="0"/>
    <w:rPr>
      <w:rFonts w:ascii="Times New Roman" w:hAnsi="Times New Roman" w:eastAsia="宋体" w:cs="Times New Roman"/>
      <w:szCs w:val="24"/>
    </w:rPr>
  </w:style>
  <w:style w:type="character" w:customStyle="1" w:styleId="336">
    <w:name w:val="批注文字 字符2"/>
    <w:qFormat/>
    <w:uiPriority w:val="99"/>
    <w:rPr>
      <w:szCs w:val="24"/>
    </w:rPr>
  </w:style>
  <w:style w:type="character" w:customStyle="1" w:styleId="337">
    <w:name w:val="正文文本缩进 2 字符1"/>
    <w:qFormat/>
    <w:uiPriority w:val="0"/>
    <w:rPr>
      <w:rFonts w:ascii="仿宋_GB2312" w:eastAsia="仿宋_GB2312"/>
      <w:sz w:val="24"/>
      <w:szCs w:val="24"/>
    </w:rPr>
  </w:style>
  <w:style w:type="character" w:customStyle="1" w:styleId="338">
    <w:name w:val="批注主题 字符1"/>
    <w:qFormat/>
    <w:uiPriority w:val="0"/>
    <w:rPr>
      <w:rFonts w:ascii="Times New Roman" w:hAnsi="Times New Roman" w:eastAsia="宋体" w:cs="Times New Roman"/>
      <w:b/>
      <w:bCs/>
      <w:szCs w:val="24"/>
    </w:rPr>
  </w:style>
  <w:style w:type="character" w:customStyle="1" w:styleId="339">
    <w:name w:val="font41"/>
    <w:qFormat/>
    <w:uiPriority w:val="0"/>
    <w:rPr>
      <w:rFonts w:hint="eastAsia" w:ascii="宋体" w:hAnsi="宋体" w:eastAsia="宋体" w:cs="宋体"/>
      <w:color w:val="000000"/>
      <w:sz w:val="21"/>
      <w:szCs w:val="21"/>
      <w:u w:val="none"/>
    </w:rPr>
  </w:style>
  <w:style w:type="character" w:customStyle="1" w:styleId="340">
    <w:name w:val="列出段落 Char1"/>
    <w:qFormat/>
    <w:uiPriority w:val="34"/>
    <w:rPr>
      <w:rFonts w:ascii="Calibri" w:hAnsi="Calibri" w:eastAsia="宋体"/>
      <w:kern w:val="2"/>
      <w:sz w:val="21"/>
      <w:szCs w:val="22"/>
      <w:lang w:val="en-US" w:eastAsia="zh-CN" w:bidi="ar-SA"/>
    </w:rPr>
  </w:style>
  <w:style w:type="character" w:customStyle="1" w:styleId="341">
    <w:name w:val="正文文本缩进 3 字符1"/>
    <w:qFormat/>
    <w:uiPriority w:val="0"/>
    <w:rPr>
      <w:rFonts w:ascii="宋体"/>
      <w:sz w:val="24"/>
    </w:rPr>
  </w:style>
  <w:style w:type="character" w:customStyle="1" w:styleId="342">
    <w:name w:val="目录 1 字符"/>
    <w:link w:val="35"/>
    <w:qFormat/>
    <w:locked/>
    <w:uiPriority w:val="39"/>
    <w:rPr>
      <w:rFonts w:ascii="宋体" w:hAnsi="宋体"/>
      <w:b/>
      <w:kern w:val="2"/>
      <w:sz w:val="24"/>
      <w:szCs w:val="24"/>
    </w:rPr>
  </w:style>
  <w:style w:type="character" w:customStyle="1" w:styleId="343">
    <w:name w:val="标题 1 Char"/>
    <w:qFormat/>
    <w:uiPriority w:val="0"/>
    <w:rPr>
      <w:rFonts w:ascii="宋体"/>
      <w:b/>
      <w:kern w:val="44"/>
      <w:sz w:val="32"/>
    </w:rPr>
  </w:style>
  <w:style w:type="character" w:customStyle="1" w:styleId="344">
    <w:name w:val="批注文字 Char1"/>
    <w:qFormat/>
    <w:uiPriority w:val="99"/>
    <w:rPr>
      <w:kern w:val="2"/>
      <w:sz w:val="21"/>
      <w:szCs w:val="24"/>
    </w:rPr>
  </w:style>
  <w:style w:type="character" w:customStyle="1" w:styleId="345">
    <w:name w:val="页眉 字符1"/>
    <w:qFormat/>
    <w:uiPriority w:val="99"/>
    <w:rPr>
      <w:sz w:val="18"/>
      <w:szCs w:val="18"/>
    </w:rPr>
  </w:style>
  <w:style w:type="character" w:customStyle="1" w:styleId="346">
    <w:name w:val="标题 5 Char"/>
    <w:qFormat/>
    <w:uiPriority w:val="0"/>
    <w:rPr>
      <w:b/>
      <w:sz w:val="28"/>
    </w:rPr>
  </w:style>
  <w:style w:type="character" w:customStyle="1" w:styleId="347">
    <w:name w:val="批注文字 Char2"/>
    <w:semiHidden/>
    <w:qFormat/>
    <w:uiPriority w:val="99"/>
    <w:rPr>
      <w:rFonts w:ascii="Times New Roman" w:hAnsi="Times New Roman" w:eastAsia="宋体" w:cs="Times New Roman"/>
      <w:szCs w:val="24"/>
    </w:rPr>
  </w:style>
  <w:style w:type="character" w:customStyle="1" w:styleId="348">
    <w:name w:val="标题 7 Char"/>
    <w:qFormat/>
    <w:uiPriority w:val="0"/>
    <w:rPr>
      <w:b/>
      <w:sz w:val="24"/>
    </w:rPr>
  </w:style>
  <w:style w:type="character" w:customStyle="1" w:styleId="349">
    <w:name w:val="Title Char"/>
    <w:qFormat/>
    <w:locked/>
    <w:uiPriority w:val="99"/>
    <w:rPr>
      <w:rFonts w:ascii="Arial" w:hAnsi="Arial" w:cs="Arial"/>
      <w:b/>
      <w:bCs/>
      <w:sz w:val="32"/>
      <w:szCs w:val="32"/>
    </w:rPr>
  </w:style>
  <w:style w:type="character" w:customStyle="1" w:styleId="350">
    <w:name w:val="HTML 预设格式 Char"/>
    <w:qFormat/>
    <w:uiPriority w:val="0"/>
    <w:rPr>
      <w:rFonts w:ascii="宋体" w:hAnsi="宋体" w:cs="宋体"/>
      <w:sz w:val="24"/>
      <w:szCs w:val="24"/>
    </w:rPr>
  </w:style>
  <w:style w:type="character" w:customStyle="1" w:styleId="351">
    <w:name w:val="font51"/>
    <w:qFormat/>
    <w:uiPriority w:val="0"/>
    <w:rPr>
      <w:rFonts w:ascii="Arial" w:hAnsi="Arial" w:cs="Arial"/>
      <w:b/>
      <w:color w:val="000000"/>
      <w:sz w:val="21"/>
      <w:szCs w:val="21"/>
      <w:u w:val="none"/>
    </w:rPr>
  </w:style>
  <w:style w:type="character" w:customStyle="1" w:styleId="352">
    <w:name w:val="页脚 Char1"/>
    <w:qFormat/>
    <w:uiPriority w:val="99"/>
    <w:rPr>
      <w:rFonts w:ascii="宋体" w:eastAsia="宋体"/>
      <w:sz w:val="18"/>
      <w:lang w:val="en-US" w:eastAsia="zh-CN" w:bidi="ar-SA"/>
    </w:rPr>
  </w:style>
  <w:style w:type="character" w:customStyle="1" w:styleId="353">
    <w:name w:val="px_10"/>
    <w:qFormat/>
    <w:uiPriority w:val="0"/>
  </w:style>
  <w:style w:type="character" w:customStyle="1" w:styleId="354">
    <w:name w:val="标题 Char1"/>
    <w:qFormat/>
    <w:uiPriority w:val="0"/>
    <w:rPr>
      <w:b/>
      <w:kern w:val="2"/>
      <w:sz w:val="32"/>
    </w:rPr>
  </w:style>
  <w:style w:type="character" w:customStyle="1" w:styleId="355">
    <w:name w:val="目录 1 Char"/>
    <w:qFormat/>
    <w:uiPriority w:val="0"/>
    <w:rPr>
      <w:rFonts w:hint="eastAsia" w:ascii="华文新魏" w:eastAsia="华文新魏"/>
      <w:b/>
      <w:bCs/>
      <w:iCs/>
      <w:kern w:val="2"/>
      <w:sz w:val="48"/>
      <w:szCs w:val="48"/>
      <w:lang w:val="en-US" w:eastAsia="zh-CN" w:bidi="ar-SA"/>
    </w:rPr>
  </w:style>
  <w:style w:type="character" w:customStyle="1" w:styleId="356">
    <w:name w:val="批注框文本 字符1"/>
    <w:qFormat/>
    <w:locked/>
    <w:uiPriority w:val="99"/>
    <w:rPr>
      <w:rFonts w:ascii="Times New Roman" w:hAnsi="Times New Roman" w:eastAsia="宋体" w:cs="Times New Roman"/>
      <w:sz w:val="18"/>
      <w:szCs w:val="18"/>
      <w:lang w:val="zh-CN"/>
    </w:rPr>
  </w:style>
  <w:style w:type="character" w:customStyle="1" w:styleId="357">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358">
    <w:name w:val="标题 2 Char1"/>
    <w:qFormat/>
    <w:uiPriority w:val="0"/>
    <w:rPr>
      <w:rFonts w:ascii="Arial" w:hAnsi="Arial" w:eastAsia="黑体"/>
      <w:b/>
      <w:sz w:val="30"/>
      <w:lang w:val="en-US" w:eastAsia="zh-CN" w:bidi="ar-SA"/>
    </w:rPr>
  </w:style>
  <w:style w:type="character" w:customStyle="1" w:styleId="359">
    <w:name w:val="样式1 Char"/>
    <w:link w:val="360"/>
    <w:qFormat/>
    <w:uiPriority w:val="0"/>
    <w:rPr>
      <w:rFonts w:ascii="宋体" w:hAnsi="宋体"/>
      <w:b/>
      <w:sz w:val="24"/>
    </w:rPr>
  </w:style>
  <w:style w:type="paragraph" w:customStyle="1" w:styleId="360">
    <w:name w:val="样式1"/>
    <w:basedOn w:val="1"/>
    <w:link w:val="359"/>
    <w:qFormat/>
    <w:uiPriority w:val="0"/>
    <w:pPr>
      <w:spacing w:before="120" w:after="120" w:line="300" w:lineRule="auto"/>
    </w:pPr>
    <w:rPr>
      <w:rFonts w:ascii="宋体" w:hAnsi="宋体"/>
      <w:b/>
      <w:kern w:val="0"/>
      <w:sz w:val="24"/>
      <w:szCs w:val="20"/>
    </w:rPr>
  </w:style>
  <w:style w:type="character" w:customStyle="1" w:styleId="361">
    <w:name w:val="正文文本 Char1"/>
    <w:qFormat/>
    <w:uiPriority w:val="99"/>
    <w:rPr>
      <w:rFonts w:ascii="Times New Roman" w:hAnsi="Times New Roman" w:eastAsia="宋体" w:cs="Times New Roman"/>
      <w:szCs w:val="24"/>
    </w:rPr>
  </w:style>
  <w:style w:type="character" w:customStyle="1" w:styleId="362">
    <w:name w:val="A3 Char"/>
    <w:link w:val="363"/>
    <w:qFormat/>
    <w:uiPriority w:val="0"/>
    <w:rPr>
      <w:rFonts w:ascii="Cambria" w:hAnsi="Cambria"/>
      <w:b/>
      <w:bCs/>
      <w:sz w:val="24"/>
      <w:szCs w:val="32"/>
      <w:lang w:val="zh-CN"/>
    </w:rPr>
  </w:style>
  <w:style w:type="paragraph" w:customStyle="1" w:styleId="363">
    <w:name w:val="A3"/>
    <w:basedOn w:val="5"/>
    <w:link w:val="362"/>
    <w:qFormat/>
    <w:uiPriority w:val="0"/>
    <w:pPr>
      <w:widowControl/>
      <w:autoSpaceDE/>
      <w:autoSpaceDN/>
      <w:adjustRightInd/>
      <w:spacing w:before="260" w:after="260" w:line="360" w:lineRule="auto"/>
      <w:ind w:left="-25"/>
      <w:jc w:val="both"/>
    </w:pPr>
    <w:rPr>
      <w:rFonts w:ascii="Cambria" w:hAnsi="Cambria"/>
      <w:bCs/>
      <w:szCs w:val="32"/>
      <w:u w:val="none"/>
      <w:lang w:val="zh-CN"/>
    </w:rPr>
  </w:style>
  <w:style w:type="character" w:customStyle="1" w:styleId="364">
    <w:name w:val="样式 楷体_GB2312"/>
    <w:qFormat/>
    <w:uiPriority w:val="0"/>
    <w:rPr>
      <w:rFonts w:hint="eastAsia" w:ascii="楷体_GB2312" w:hAnsi="楷体_GB2312" w:eastAsia="楷体_GB2312"/>
    </w:rPr>
  </w:style>
  <w:style w:type="character" w:customStyle="1" w:styleId="365">
    <w:name w:val="cf01"/>
    <w:qFormat/>
    <w:uiPriority w:val="0"/>
    <w:rPr>
      <w:rFonts w:hint="eastAsia" w:ascii="Microsoft YaHei UI" w:hAnsi="Microsoft YaHei UI" w:eastAsia="Microsoft YaHei UI"/>
      <w:sz w:val="18"/>
      <w:szCs w:val="18"/>
    </w:rPr>
  </w:style>
  <w:style w:type="character" w:customStyle="1" w:styleId="366">
    <w:name w:val="标题 8 Char"/>
    <w:qFormat/>
    <w:uiPriority w:val="0"/>
    <w:rPr>
      <w:rFonts w:ascii="Arial" w:hAnsi="Arial" w:eastAsia="黑体"/>
      <w:sz w:val="24"/>
    </w:rPr>
  </w:style>
  <w:style w:type="character" w:customStyle="1" w:styleId="367">
    <w:name w:val="font81"/>
    <w:qFormat/>
    <w:uiPriority w:val="0"/>
    <w:rPr>
      <w:rFonts w:hint="eastAsia" w:ascii="宋体" w:hAnsi="宋体" w:eastAsia="宋体" w:cs="宋体"/>
      <w:color w:val="000000"/>
      <w:sz w:val="21"/>
      <w:szCs w:val="21"/>
      <w:u w:val="none"/>
    </w:rPr>
  </w:style>
  <w:style w:type="character" w:customStyle="1" w:styleId="368">
    <w:name w:val="页脚 字符1"/>
    <w:qFormat/>
    <w:uiPriority w:val="99"/>
    <w:rPr>
      <w:sz w:val="18"/>
      <w:szCs w:val="18"/>
    </w:rPr>
  </w:style>
  <w:style w:type="character" w:customStyle="1" w:styleId="369">
    <w:name w:val="Title Char1"/>
    <w:qFormat/>
    <w:locked/>
    <w:uiPriority w:val="10"/>
    <w:rPr>
      <w:rFonts w:ascii="Cambria" w:hAnsi="Cambria" w:cs="Cambria"/>
      <w:b/>
      <w:bCs/>
      <w:sz w:val="32"/>
      <w:szCs w:val="32"/>
    </w:rPr>
  </w:style>
  <w:style w:type="character" w:customStyle="1" w:styleId="370">
    <w:name w:val="文档结构图 字符1"/>
    <w:qFormat/>
    <w:uiPriority w:val="99"/>
    <w:rPr>
      <w:szCs w:val="24"/>
      <w:shd w:val="clear" w:color="auto" w:fill="000080"/>
    </w:rPr>
  </w:style>
  <w:style w:type="character" w:customStyle="1" w:styleId="371">
    <w:name w:val="标题 6 Char"/>
    <w:qFormat/>
    <w:uiPriority w:val="0"/>
    <w:rPr>
      <w:rFonts w:ascii="Arial" w:hAnsi="Arial" w:eastAsia="黑体"/>
      <w:b/>
      <w:sz w:val="24"/>
    </w:rPr>
  </w:style>
  <w:style w:type="character" w:customStyle="1" w:styleId="372">
    <w:name w:val="正文首行缩进 Char"/>
    <w:qFormat/>
    <w:uiPriority w:val="99"/>
    <w:rPr>
      <w:rFonts w:ascii="宋体" w:hAnsi="宋体" w:eastAsia="等线"/>
      <w:kern w:val="2"/>
      <w:sz w:val="24"/>
      <w:szCs w:val="24"/>
    </w:rPr>
  </w:style>
  <w:style w:type="character" w:customStyle="1" w:styleId="373">
    <w:name w:val="st1"/>
    <w:qFormat/>
    <w:uiPriority w:val="0"/>
  </w:style>
  <w:style w:type="character" w:customStyle="1" w:styleId="374">
    <w:name w:val="正文文本缩进 Char2"/>
    <w:qFormat/>
    <w:uiPriority w:val="0"/>
    <w:rPr>
      <w:rFonts w:eastAsia="宋体"/>
      <w:kern w:val="2"/>
      <w:sz w:val="24"/>
      <w:szCs w:val="24"/>
      <w:lang w:val="en-US" w:eastAsia="zh-CN" w:bidi="ar-SA"/>
    </w:rPr>
  </w:style>
  <w:style w:type="character" w:customStyle="1" w:styleId="375">
    <w:name w:val="正文文本 Char"/>
    <w:qFormat/>
    <w:uiPriority w:val="0"/>
    <w:rPr>
      <w:rFonts w:ascii="宋体" w:hAnsi="宋体"/>
      <w:kern w:val="2"/>
      <w:sz w:val="24"/>
      <w:szCs w:val="24"/>
    </w:rPr>
  </w:style>
  <w:style w:type="character" w:customStyle="1" w:styleId="376">
    <w:name w:val="日期 字符1"/>
    <w:qFormat/>
    <w:uiPriority w:val="0"/>
  </w:style>
  <w:style w:type="character" w:customStyle="1" w:styleId="377">
    <w:name w:val="纯文本 Char"/>
    <w:qFormat/>
    <w:uiPriority w:val="0"/>
    <w:rPr>
      <w:rFonts w:hint="eastAsia" w:ascii="宋体" w:hAnsi="Courier New" w:eastAsia="宋体" w:cs="宋体"/>
      <w:kern w:val="2"/>
      <w:sz w:val="21"/>
    </w:rPr>
  </w:style>
  <w:style w:type="character" w:customStyle="1" w:styleId="378">
    <w:name w:val="正文缩进 Char1"/>
    <w:qFormat/>
    <w:uiPriority w:val="0"/>
    <w:rPr>
      <w:rFonts w:ascii="宋体" w:eastAsia="宋体"/>
      <w:kern w:val="2"/>
      <w:sz w:val="24"/>
      <w:szCs w:val="24"/>
      <w:lang w:val="en-US" w:eastAsia="zh-CN" w:bidi="ar-SA"/>
    </w:rPr>
  </w:style>
  <w:style w:type="character" w:customStyle="1" w:styleId="379">
    <w:name w:val="正文首行缩进 2 Char1"/>
    <w:semiHidden/>
    <w:qFormat/>
    <w:uiPriority w:val="99"/>
  </w:style>
  <w:style w:type="character" w:customStyle="1" w:styleId="380">
    <w:name w:val="正文文本缩进 3 Char1"/>
    <w:qFormat/>
    <w:uiPriority w:val="0"/>
    <w:rPr>
      <w:rFonts w:ascii="Times New Roman" w:hAnsi="Times New Roman" w:eastAsia="宋体" w:cs="Times New Roman"/>
      <w:sz w:val="16"/>
      <w:szCs w:val="16"/>
    </w:rPr>
  </w:style>
  <w:style w:type="character" w:customStyle="1" w:styleId="381">
    <w:name w:val="标题 9 Char"/>
    <w:qFormat/>
    <w:uiPriority w:val="0"/>
    <w:rPr>
      <w:rFonts w:ascii="Arial" w:hAnsi="Arial" w:eastAsia="黑体"/>
      <w:sz w:val="21"/>
    </w:rPr>
  </w:style>
  <w:style w:type="character" w:customStyle="1" w:styleId="382">
    <w:name w:val="文档结构图 Char1"/>
    <w:semiHidden/>
    <w:qFormat/>
    <w:uiPriority w:val="99"/>
    <w:rPr>
      <w:rFonts w:ascii="宋体" w:hAnsi="Times New Roman" w:eastAsia="宋体" w:cs="Times New Roman"/>
      <w:sz w:val="18"/>
      <w:szCs w:val="18"/>
    </w:rPr>
  </w:style>
  <w:style w:type="character" w:customStyle="1" w:styleId="383">
    <w:name w:val="hui3"/>
    <w:qFormat/>
    <w:uiPriority w:val="0"/>
    <w:rPr>
      <w:color w:val="333333"/>
    </w:rPr>
  </w:style>
  <w:style w:type="character" w:customStyle="1" w:styleId="384">
    <w:name w:val="副标题 字符"/>
    <w:basedOn w:val="55"/>
    <w:qFormat/>
    <w:uiPriority w:val="0"/>
    <w:rPr>
      <w:rFonts w:asciiTheme="minorHAnsi" w:hAnsiTheme="minorHAnsi" w:eastAsiaTheme="minorEastAsia" w:cstheme="minorBidi"/>
      <w:b/>
      <w:bCs/>
      <w:kern w:val="28"/>
      <w:sz w:val="32"/>
      <w:szCs w:val="32"/>
    </w:rPr>
  </w:style>
  <w:style w:type="character" w:customStyle="1" w:styleId="385">
    <w:name w:val="正文文本 2 字符"/>
    <w:basedOn w:val="55"/>
    <w:qFormat/>
    <w:uiPriority w:val="0"/>
    <w:rPr>
      <w:rFonts w:ascii="Times New Roman" w:hAnsi="Times New Roman"/>
      <w:kern w:val="2"/>
      <w:sz w:val="21"/>
      <w:szCs w:val="24"/>
    </w:rPr>
  </w:style>
  <w:style w:type="paragraph" w:customStyle="1" w:styleId="386">
    <w:name w:val="xl8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387">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right"/>
    </w:pPr>
    <w:rPr>
      <w:rFonts w:ascii="宋体" w:hAnsi="宋体" w:cs="宋体"/>
      <w:kern w:val="0"/>
      <w:sz w:val="20"/>
      <w:szCs w:val="20"/>
    </w:rPr>
  </w:style>
  <w:style w:type="paragraph" w:customStyle="1" w:styleId="388">
    <w:name w:val="xl63"/>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b/>
      <w:bCs/>
      <w:kern w:val="0"/>
      <w:sz w:val="24"/>
    </w:rPr>
  </w:style>
  <w:style w:type="paragraph" w:customStyle="1" w:styleId="389">
    <w:name w:val="列表段落1"/>
    <w:basedOn w:val="1"/>
    <w:qFormat/>
    <w:uiPriority w:val="34"/>
    <w:pPr>
      <w:ind w:firstLine="420" w:firstLineChars="200"/>
    </w:pPr>
  </w:style>
  <w:style w:type="paragraph" w:customStyle="1" w:styleId="390">
    <w:name w:val="目录文字"/>
    <w:basedOn w:val="1"/>
    <w:qFormat/>
    <w:uiPriority w:val="0"/>
    <w:pPr>
      <w:widowControl/>
      <w:spacing w:line="480" w:lineRule="auto"/>
      <w:jc w:val="left"/>
    </w:pPr>
    <w:rPr>
      <w:rFonts w:ascii="宋体" w:hAnsi="宋体"/>
      <w:kern w:val="0"/>
      <w:sz w:val="24"/>
      <w:szCs w:val="20"/>
    </w:rPr>
  </w:style>
  <w:style w:type="paragraph" w:customStyle="1" w:styleId="391">
    <w:name w:val="样式 标题 2 + 宋体 五号 非加粗 黑色"/>
    <w:basedOn w:val="4"/>
    <w:qFormat/>
    <w:uiPriority w:val="0"/>
    <w:pPr>
      <w:tabs>
        <w:tab w:val="left" w:pos="1140"/>
      </w:tabs>
      <w:autoSpaceDE/>
      <w:autoSpaceDN/>
      <w:spacing w:before="260" w:after="260" w:line="416" w:lineRule="atLeast"/>
      <w:ind w:left="1140" w:hanging="720"/>
      <w:jc w:val="left"/>
    </w:pPr>
    <w:rPr>
      <w:rFonts w:ascii="宋体" w:hAnsi="宋体" w:eastAsia="宋体"/>
      <w:b w:val="0"/>
      <w:color w:val="000000"/>
      <w:sz w:val="21"/>
      <w:szCs w:val="32"/>
    </w:rPr>
  </w:style>
  <w:style w:type="paragraph" w:customStyle="1" w:styleId="3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4">
    <w:name w:val="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397">
    <w:name w:val="A4"/>
    <w:basedOn w:val="6"/>
    <w:qFormat/>
    <w:uiPriority w:val="0"/>
    <w:pPr>
      <w:widowControl/>
      <w:tabs>
        <w:tab w:val="left" w:pos="360"/>
      </w:tabs>
      <w:adjustRightInd/>
      <w:spacing w:line="360" w:lineRule="auto"/>
      <w:textAlignment w:val="auto"/>
    </w:pPr>
    <w:rPr>
      <w:rFonts w:ascii="Cambria" w:hAnsi="Cambria"/>
      <w:b/>
      <w:bCs/>
      <w:szCs w:val="28"/>
      <w:lang w:val="zh-CN" w:eastAsia="zh-CN"/>
    </w:rPr>
  </w:style>
  <w:style w:type="paragraph" w:customStyle="1" w:styleId="398">
    <w:name w:val="Char1 Char Char Char Char Char Char Char Char Char"/>
    <w:basedOn w:val="1"/>
    <w:qFormat/>
    <w:uiPriority w:val="0"/>
    <w:pPr>
      <w:adjustRightInd w:val="0"/>
      <w:spacing w:line="360" w:lineRule="auto"/>
    </w:pPr>
    <w:rPr>
      <w:kern w:val="0"/>
      <w:sz w:val="24"/>
      <w:szCs w:val="20"/>
    </w:rPr>
  </w:style>
  <w:style w:type="paragraph" w:customStyle="1" w:styleId="399">
    <w:name w:val="A5"/>
    <w:basedOn w:val="7"/>
    <w:qFormat/>
    <w:uiPriority w:val="0"/>
    <w:pPr>
      <w:widowControl/>
      <w:tabs>
        <w:tab w:val="left" w:pos="360"/>
      </w:tabs>
      <w:adjustRightInd/>
      <w:spacing w:line="360" w:lineRule="auto"/>
      <w:textAlignment w:val="auto"/>
    </w:pPr>
    <w:rPr>
      <w:rFonts w:ascii="Cambria" w:hAnsi="Cambria"/>
      <w:bCs/>
      <w:kern w:val="2"/>
      <w:sz w:val="24"/>
      <w:szCs w:val="28"/>
      <w:lang w:val="zh-CN" w:eastAsia="zh-CN"/>
    </w:rPr>
  </w:style>
  <w:style w:type="paragraph" w:customStyle="1" w:styleId="400">
    <w:name w:val="xl57"/>
    <w:basedOn w:val="1"/>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01">
    <w:name w:val="font10"/>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402">
    <w:name w:val="xl108"/>
    <w:basedOn w:val="1"/>
    <w:qFormat/>
    <w:uiPriority w:val="99"/>
    <w:pPr>
      <w:widowControl/>
      <w:pBdr>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0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4">
    <w:name w:val="xl70"/>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405">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06">
    <w:name w:val="修订3"/>
    <w:qFormat/>
    <w:uiPriority w:val="0"/>
    <w:rPr>
      <w:rFonts w:ascii="Times New Roman" w:hAnsi="Times New Roman" w:eastAsia="宋体" w:cs="Times New Roman"/>
      <w:kern w:val="2"/>
      <w:sz w:val="21"/>
      <w:szCs w:val="24"/>
      <w:lang w:val="en-US" w:eastAsia="zh-CN" w:bidi="ar-SA"/>
    </w:rPr>
  </w:style>
  <w:style w:type="paragraph" w:customStyle="1" w:styleId="407">
    <w:name w:val="不缩进"/>
    <w:basedOn w:val="1"/>
    <w:qFormat/>
    <w:uiPriority w:val="0"/>
    <w:pPr>
      <w:spacing w:line="460" w:lineRule="atLeast"/>
      <w:ind w:right="100"/>
      <w:jc w:val="center"/>
    </w:pPr>
    <w:rPr>
      <w:sz w:val="24"/>
      <w:szCs w:val="20"/>
    </w:rPr>
  </w:style>
  <w:style w:type="paragraph" w:customStyle="1" w:styleId="408">
    <w:name w:val="t"/>
    <w:basedOn w:val="1"/>
    <w:qFormat/>
    <w:uiPriority w:val="0"/>
    <w:pPr>
      <w:widowControl/>
      <w:tabs>
        <w:tab w:val="left" w:pos="-1440"/>
        <w:tab w:val="left" w:pos="-720"/>
      </w:tabs>
      <w:suppressAutoHyphens/>
    </w:pPr>
    <w:rPr>
      <w:rFonts w:ascii="Arial" w:hAnsi="Arial" w:eastAsia="Times New Roman"/>
      <w:kern w:val="0"/>
      <w:sz w:val="20"/>
      <w:szCs w:val="20"/>
      <w:lang w:eastAsia="en-US"/>
    </w:rPr>
  </w:style>
  <w:style w:type="paragraph" w:customStyle="1" w:styleId="409">
    <w:name w:val="xl8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color w:val="000000"/>
      <w:kern w:val="0"/>
      <w:sz w:val="20"/>
      <w:szCs w:val="20"/>
    </w:rPr>
  </w:style>
  <w:style w:type="paragraph" w:customStyle="1" w:styleId="410">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11">
    <w:name w:val="xl8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2">
    <w:name w:val="xl75"/>
    <w:basedOn w:val="1"/>
    <w:qFormat/>
    <w:uiPriority w:val="99"/>
    <w:pPr>
      <w:widowControl/>
      <w:spacing w:before="100" w:beforeAutospacing="1" w:after="100" w:afterAutospacing="1"/>
      <w:jc w:val="center"/>
    </w:pPr>
    <w:rPr>
      <w:rFonts w:ascii="宋体" w:hAnsi="宋体" w:cs="宋体"/>
      <w:color w:val="FF0000"/>
      <w:kern w:val="0"/>
      <w:sz w:val="20"/>
      <w:szCs w:val="20"/>
    </w:rPr>
  </w:style>
  <w:style w:type="paragraph" w:customStyle="1" w:styleId="413">
    <w:name w:val="A6"/>
    <w:basedOn w:val="8"/>
    <w:qFormat/>
    <w:uiPriority w:val="0"/>
    <w:pPr>
      <w:widowControl/>
      <w:tabs>
        <w:tab w:val="left" w:pos="360"/>
      </w:tabs>
      <w:adjustRightInd/>
      <w:spacing w:line="300" w:lineRule="auto"/>
      <w:textAlignment w:val="auto"/>
    </w:pPr>
    <w:rPr>
      <w:rFonts w:ascii="Cambria" w:hAnsi="Cambria" w:eastAsia="宋体"/>
      <w:bCs/>
      <w:kern w:val="2"/>
      <w:szCs w:val="24"/>
      <w:lang w:val="zh-CN" w:eastAsia="zh-CN"/>
    </w:rPr>
  </w:style>
  <w:style w:type="paragraph" w:customStyle="1" w:styleId="414">
    <w:name w:val="xl105"/>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5">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416">
    <w:name w:val="xl8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7">
    <w:name w:val="xl8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8">
    <w:name w:val="xl109"/>
    <w:basedOn w:val="1"/>
    <w:qFormat/>
    <w:uiPriority w:val="99"/>
    <w:pPr>
      <w:widowControl/>
      <w:pBdr>
        <w:top w:val="single" w:color="auto" w:sz="4" w:space="0"/>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19">
    <w:name w:val="目录"/>
    <w:basedOn w:val="1"/>
    <w:qFormat/>
    <w:uiPriority w:val="0"/>
    <w:pPr>
      <w:widowControl/>
      <w:jc w:val="center"/>
    </w:pPr>
    <w:rPr>
      <w:rFonts w:ascii="宋体"/>
      <w:b/>
      <w:kern w:val="0"/>
      <w:sz w:val="36"/>
      <w:szCs w:val="20"/>
    </w:rPr>
  </w:style>
  <w:style w:type="paragraph" w:customStyle="1" w:styleId="420">
    <w:name w:val="xl112"/>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21">
    <w:name w:val="Char Char Char Char2 Char Char Char Char Char Char Char Char Char Char"/>
    <w:basedOn w:val="1"/>
    <w:qFormat/>
    <w:uiPriority w:val="0"/>
    <w:rPr>
      <w:rFonts w:ascii="仿宋_GB2312" w:eastAsia="仿宋_GB2312"/>
      <w:b/>
      <w:sz w:val="32"/>
      <w:szCs w:val="32"/>
    </w:rPr>
  </w:style>
  <w:style w:type="paragraph" w:customStyle="1" w:styleId="422">
    <w:name w:val="xl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000000"/>
      <w:kern w:val="0"/>
      <w:sz w:val="18"/>
      <w:szCs w:val="18"/>
    </w:rPr>
  </w:style>
  <w:style w:type="paragraph" w:customStyle="1" w:styleId="423">
    <w:name w:val="A7"/>
    <w:basedOn w:val="9"/>
    <w:next w:val="1"/>
    <w:qFormat/>
    <w:uiPriority w:val="0"/>
    <w:pPr>
      <w:widowControl/>
      <w:tabs>
        <w:tab w:val="left" w:pos="360"/>
        <w:tab w:val="left" w:pos="635"/>
      </w:tabs>
      <w:adjustRightInd/>
      <w:spacing w:line="300" w:lineRule="auto"/>
      <w:ind w:firstLine="400"/>
      <w:textAlignment w:val="auto"/>
    </w:pPr>
    <w:rPr>
      <w:rFonts w:ascii="Calibri" w:hAnsi="Calibri"/>
      <w:bCs/>
      <w:kern w:val="2"/>
      <w:szCs w:val="24"/>
      <w:lang w:val="zh-CN" w:eastAsia="zh-CN"/>
    </w:rPr>
  </w:style>
  <w:style w:type="paragraph" w:customStyle="1" w:styleId="424">
    <w:name w:val="_Style 284"/>
    <w:next w:val="1"/>
    <w:qFormat/>
    <w:uiPriority w:val="0"/>
    <w:pPr>
      <w:widowControl w:val="0"/>
      <w:adjustRightInd w:val="0"/>
      <w:spacing w:line="360" w:lineRule="atLeast"/>
    </w:pPr>
    <w:rPr>
      <w:rFonts w:ascii="Times New Roman" w:hAnsi="Times New Roman" w:eastAsia="宋体" w:cs="Times New Roman"/>
      <w:sz w:val="24"/>
      <w:szCs w:val="22"/>
      <w:lang w:val="en-US" w:eastAsia="zh-CN" w:bidi="ar-SA"/>
    </w:rPr>
  </w:style>
  <w:style w:type="paragraph" w:customStyle="1" w:styleId="425">
    <w:name w:val="列表段落3"/>
    <w:basedOn w:val="1"/>
    <w:qFormat/>
    <w:uiPriority w:val="0"/>
    <w:pPr>
      <w:ind w:firstLine="420" w:firstLineChars="200"/>
    </w:pPr>
    <w:rPr>
      <w:rFonts w:ascii="等线" w:hAnsi="等线"/>
      <w:szCs w:val="21"/>
    </w:rPr>
  </w:style>
  <w:style w:type="paragraph" w:customStyle="1" w:styleId="426">
    <w:name w:val="样式 Arial 左侧:  2 字符 行距: 固定值 29 磅"/>
    <w:basedOn w:val="1"/>
    <w:qFormat/>
    <w:uiPriority w:val="0"/>
    <w:pPr>
      <w:adjustRightInd w:val="0"/>
      <w:spacing w:line="580" w:lineRule="atLeast"/>
    </w:pPr>
    <w:rPr>
      <w:rFonts w:ascii="Arial" w:hAnsi="Arial"/>
      <w:kern w:val="0"/>
      <w:sz w:val="24"/>
      <w:szCs w:val="20"/>
    </w:rPr>
  </w:style>
  <w:style w:type="paragraph" w:customStyle="1" w:styleId="427">
    <w:name w:val="news"/>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428">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Calibri" w:hAnsi="Calibri"/>
      <w:sz w:val="21"/>
      <w:szCs w:val="22"/>
      <w:u w:val="none"/>
    </w:rPr>
  </w:style>
  <w:style w:type="paragraph" w:customStyle="1" w:styleId="4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30">
    <w:name w:val="样式 样式 样式 标题 2 + 宋体 五号 非加粗 黑色 + 段前: 6 磅 段后: 0 磅 行距: 单倍行距 + 段前: 12..."/>
    <w:basedOn w:val="431"/>
    <w:qFormat/>
    <w:uiPriority w:val="0"/>
    <w:pPr>
      <w:spacing w:before="240"/>
    </w:pPr>
  </w:style>
  <w:style w:type="paragraph" w:customStyle="1" w:styleId="431">
    <w:name w:val="样式 样式 标题 2 + 宋体 五号 非加粗 黑色 + 段前: 6 磅 段后: 0 磅 行距: 单倍行距"/>
    <w:basedOn w:val="391"/>
    <w:qFormat/>
    <w:uiPriority w:val="0"/>
    <w:pPr>
      <w:tabs>
        <w:tab w:val="clear" w:pos="1140"/>
      </w:tabs>
      <w:spacing w:before="120" w:after="0" w:line="240" w:lineRule="auto"/>
      <w:ind w:left="254"/>
      <w:textAlignment w:val="baseline"/>
    </w:pPr>
    <w:rPr>
      <w:rFonts w:cs="宋体"/>
      <w:szCs w:val="20"/>
    </w:rPr>
  </w:style>
  <w:style w:type="paragraph" w:customStyle="1" w:styleId="432">
    <w:name w:val="强调文字"/>
    <w:basedOn w:val="1"/>
    <w:qFormat/>
    <w:uiPriority w:val="0"/>
    <w:pPr>
      <w:spacing w:line="440" w:lineRule="exact"/>
      <w:ind w:firstLine="480" w:firstLineChars="200"/>
    </w:pPr>
    <w:rPr>
      <w:rFonts w:ascii="华文细黑" w:hAnsi="华文细黑" w:eastAsia="黑体" w:cs="Arial"/>
      <w:color w:val="800000"/>
      <w:kern w:val="0"/>
      <w:sz w:val="24"/>
      <w:szCs w:val="28"/>
    </w:rPr>
  </w:style>
  <w:style w:type="paragraph" w:customStyle="1" w:styleId="43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4">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435">
    <w:name w:val="xl89"/>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36">
    <w:name w:val="列出段落3"/>
    <w:basedOn w:val="1"/>
    <w:unhideWhenUsed/>
    <w:qFormat/>
    <w:uiPriority w:val="99"/>
    <w:pPr>
      <w:ind w:firstLine="420" w:firstLineChars="200"/>
    </w:pPr>
    <w:rPr>
      <w:rFonts w:ascii="宋体" w:hAnsi="宋体"/>
    </w:rPr>
  </w:style>
  <w:style w:type="paragraph" w:customStyle="1" w:styleId="43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8">
    <w:name w:val="xl97"/>
    <w:basedOn w:val="1"/>
    <w:qFormat/>
    <w:uiPriority w:val="99"/>
    <w:pPr>
      <w:widowControl/>
      <w:spacing w:before="100" w:beforeAutospacing="1" w:after="100" w:afterAutospacing="1"/>
      <w:jc w:val="center"/>
    </w:pPr>
    <w:rPr>
      <w:rFonts w:ascii="宋体" w:hAnsi="宋体" w:cs="宋体"/>
      <w:b/>
      <w:bCs/>
      <w:kern w:val="0"/>
      <w:sz w:val="20"/>
      <w:szCs w:val="20"/>
    </w:rPr>
  </w:style>
  <w:style w:type="paragraph" w:customStyle="1" w:styleId="439">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40">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Char Char Char Char Char Char Char Char Char Char Char Char Char"/>
    <w:basedOn w:val="1"/>
    <w:qFormat/>
    <w:uiPriority w:val="0"/>
    <w:rPr>
      <w:rFonts w:ascii="仿宋_GB2312" w:eastAsia="仿宋_GB2312"/>
      <w:b/>
      <w:sz w:val="32"/>
      <w:szCs w:val="32"/>
    </w:rPr>
  </w:style>
  <w:style w:type="paragraph" w:customStyle="1" w:styleId="442">
    <w:name w:val="A1"/>
    <w:basedOn w:val="3"/>
    <w:qFormat/>
    <w:uiPriority w:val="0"/>
    <w:pPr>
      <w:tabs>
        <w:tab w:val="left" w:pos="360"/>
      </w:tabs>
      <w:suppressAutoHyphens/>
      <w:autoSpaceDE/>
      <w:autoSpaceDN/>
      <w:adjustRightInd/>
      <w:spacing w:before="340" w:after="330" w:line="360" w:lineRule="auto"/>
      <w:ind w:left="-25"/>
      <w:jc w:val="both"/>
    </w:pPr>
    <w:rPr>
      <w:rFonts w:ascii="Cambria" w:hAnsi="Cambria"/>
      <w:bCs/>
      <w:sz w:val="30"/>
      <w:szCs w:val="44"/>
      <w:lang w:val="zh-CN" w:eastAsia="zh-CN"/>
    </w:rPr>
  </w:style>
  <w:style w:type="paragraph" w:customStyle="1" w:styleId="443">
    <w:name w:val="纯文本1"/>
    <w:basedOn w:val="1"/>
    <w:qFormat/>
    <w:uiPriority w:val="0"/>
    <w:rPr>
      <w:rFonts w:ascii="宋体" w:hAnsi="Courier New" w:cs="黑体"/>
      <w:szCs w:val="22"/>
    </w:rPr>
  </w:style>
  <w:style w:type="paragraph" w:customStyle="1" w:styleId="444">
    <w:name w:val="xl98"/>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45">
    <w:name w:val="xl7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446">
    <w:name w:val="Char Char Char Char2 Char Char Char Char Char Char Char"/>
    <w:basedOn w:val="1"/>
    <w:qFormat/>
    <w:uiPriority w:val="0"/>
    <w:rPr>
      <w:rFonts w:ascii="仿宋_GB2312" w:eastAsia="仿宋_GB2312"/>
      <w:b/>
      <w:sz w:val="32"/>
      <w:szCs w:val="32"/>
    </w:rPr>
  </w:style>
  <w:style w:type="paragraph" w:customStyle="1" w:styleId="447">
    <w:name w:val="xl7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448">
    <w:name w:val="xl62"/>
    <w:basedOn w:val="1"/>
    <w:qFormat/>
    <w:uiPriority w:val="0"/>
    <w:pPr>
      <w:widowControl/>
      <w:pBdr>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49">
    <w:name w:val="xl9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50">
    <w:name w:val="默认段落字体 Para Char Char Char Char Char Char Char Char Char1 Char Char Char Char Char Char Char"/>
    <w:basedOn w:val="16"/>
    <w:qFormat/>
    <w:uiPriority w:val="0"/>
    <w:rPr>
      <w:rFonts w:ascii="Tahoma" w:hAnsi="Tahoma"/>
      <w:sz w:val="24"/>
      <w:lang w:val="zh-CN" w:eastAsia="zh-CN"/>
    </w:rPr>
  </w:style>
  <w:style w:type="paragraph" w:customStyle="1" w:styleId="451">
    <w:name w:val="xl99"/>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52">
    <w:name w:val="菲页1"/>
    <w:basedOn w:val="4"/>
    <w:qFormat/>
    <w:uiPriority w:val="0"/>
    <w:pPr>
      <w:widowControl/>
      <w:autoSpaceDE/>
      <w:autoSpaceDN/>
      <w:adjustRightInd/>
      <w:spacing w:before="260" w:after="260" w:line="415" w:lineRule="auto"/>
    </w:pPr>
    <w:rPr>
      <w:rFonts w:ascii="黑体" w:hAnsi="宋体" w:eastAsia="宋体"/>
      <w:b w:val="0"/>
      <w:sz w:val="52"/>
    </w:rPr>
  </w:style>
  <w:style w:type="paragraph" w:customStyle="1" w:styleId="45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4">
    <w:name w:val="列表段落2"/>
    <w:basedOn w:val="1"/>
    <w:qFormat/>
    <w:uiPriority w:val="99"/>
    <w:pPr>
      <w:adjustRightInd w:val="0"/>
      <w:spacing w:line="360" w:lineRule="atLeast"/>
      <w:ind w:firstLine="420" w:firstLineChars="200"/>
      <w:jc w:val="left"/>
    </w:pPr>
    <w:rPr>
      <w:rFonts w:ascii="Calibri" w:hAnsi="Calibri"/>
      <w:kern w:val="0"/>
      <w:sz w:val="24"/>
      <w:szCs w:val="22"/>
    </w:rPr>
  </w:style>
  <w:style w:type="paragraph" w:customStyle="1" w:styleId="455">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6">
    <w:name w:val="xl56"/>
    <w:basedOn w:val="1"/>
    <w:qFormat/>
    <w:uiPriority w:val="0"/>
    <w:pPr>
      <w:widowControl/>
      <w:pBdr>
        <w:top w:val="single" w:color="auto" w:sz="4" w:space="0"/>
        <w:lef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7">
    <w:name w:val="TOC 标题1"/>
    <w:basedOn w:val="3"/>
    <w:next w:val="1"/>
    <w:qFormat/>
    <w:uiPriority w:val="0"/>
    <w:pPr>
      <w:widowControl/>
      <w:suppressAutoHyphens/>
      <w:autoSpaceDE/>
      <w:autoSpaceDN/>
      <w:adjustRightInd/>
      <w:spacing w:after="0" w:line="257" w:lineRule="auto"/>
      <w:jc w:val="left"/>
      <w:outlineLvl w:val="9"/>
    </w:pPr>
    <w:rPr>
      <w:rFonts w:ascii="Calibri Light" w:hAnsi="Calibri Light"/>
      <w:b w:val="0"/>
      <w:color w:val="2E74B5"/>
      <w:kern w:val="0"/>
      <w:szCs w:val="32"/>
      <w:lang w:val="zh-CN" w:eastAsia="zh-CN"/>
    </w:rPr>
  </w:style>
  <w:style w:type="paragraph" w:customStyle="1" w:styleId="458">
    <w:name w:val="3 Char Char Char Char"/>
    <w:basedOn w:val="1"/>
    <w:qFormat/>
    <w:uiPriority w:val="0"/>
    <w:rPr>
      <w:rFonts w:ascii="仿宋_GB2312" w:eastAsia="仿宋_GB2312"/>
      <w:b/>
      <w:sz w:val="32"/>
      <w:szCs w:val="32"/>
    </w:rPr>
  </w:style>
  <w:style w:type="paragraph" w:customStyle="1" w:styleId="459">
    <w:name w:val="xl9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0">
    <w:name w:val="菲页2"/>
    <w:basedOn w:val="5"/>
    <w:qFormat/>
    <w:uiPriority w:val="0"/>
    <w:pPr>
      <w:widowControl/>
      <w:tabs>
        <w:tab w:val="left" w:pos="1241"/>
      </w:tabs>
      <w:autoSpaceDE/>
      <w:autoSpaceDN/>
      <w:adjustRightInd/>
      <w:spacing w:before="120" w:line="360" w:lineRule="auto"/>
      <w:ind w:left="1241" w:hanging="420"/>
      <w:jc w:val="center"/>
    </w:pPr>
    <w:rPr>
      <w:rFonts w:ascii="黑体" w:hAnsi="宋体" w:eastAsia="黑体"/>
      <w:b w:val="0"/>
      <w:sz w:val="44"/>
      <w:u w:val="none"/>
    </w:rPr>
  </w:style>
  <w:style w:type="paragraph" w:customStyle="1" w:styleId="461">
    <w:name w:val="菲页(卷)"/>
    <w:basedOn w:val="3"/>
    <w:next w:val="410"/>
    <w:qFormat/>
    <w:uiPriority w:val="0"/>
    <w:pPr>
      <w:widowControl/>
      <w:tabs>
        <w:tab w:val="left" w:pos="435"/>
      </w:tabs>
      <w:suppressAutoHyphens/>
      <w:autoSpaceDE/>
      <w:autoSpaceDN/>
      <w:adjustRightInd/>
      <w:spacing w:before="0" w:after="0" w:line="240" w:lineRule="auto"/>
      <w:ind w:left="435" w:hanging="454"/>
      <w:outlineLvl w:val="1"/>
    </w:pPr>
    <w:rPr>
      <w:rFonts w:ascii="黑体" w:eastAsia="黑体"/>
      <w:b w:val="0"/>
      <w:kern w:val="0"/>
      <w:sz w:val="52"/>
      <w:lang w:val="zh-CN" w:eastAsia="zh-CN"/>
    </w:rPr>
  </w:style>
  <w:style w:type="paragraph" w:customStyle="1" w:styleId="462">
    <w:name w:val="Char Char Char Char Char Char Char Char Char2 Char Char Char Char Char Char Char Char Char Char Char Char Char"/>
    <w:basedOn w:val="1"/>
    <w:qFormat/>
    <w:uiPriority w:val="0"/>
    <w:rPr>
      <w:rFonts w:ascii="仿宋_GB2312" w:eastAsia="仿宋_GB2312"/>
      <w:b/>
      <w:sz w:val="32"/>
      <w:szCs w:val="32"/>
    </w:rPr>
  </w:style>
  <w:style w:type="paragraph" w:customStyle="1" w:styleId="463">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64">
    <w:name w:val="xl93"/>
    <w:basedOn w:val="1"/>
    <w:qFormat/>
    <w:uiPriority w:val="99"/>
    <w:pPr>
      <w:widowControl/>
      <w:spacing w:before="100" w:beforeAutospacing="1" w:after="100" w:afterAutospacing="1"/>
      <w:jc w:val="center"/>
      <w:textAlignment w:val="bottom"/>
    </w:pPr>
    <w:rPr>
      <w:rFonts w:ascii="宋体" w:hAnsi="宋体" w:cs="宋体"/>
      <w:kern w:val="0"/>
      <w:sz w:val="24"/>
    </w:rPr>
  </w:style>
  <w:style w:type="paragraph" w:customStyle="1" w:styleId="465">
    <w:name w:val="xl94"/>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466">
    <w:name w:val="xl59"/>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67">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68">
    <w:name w:val="xl6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69">
    <w:name w:val="xl61"/>
    <w:basedOn w:val="1"/>
    <w:qFormat/>
    <w:uiPriority w:val="0"/>
    <w:pPr>
      <w:widowControl/>
      <w:spacing w:before="100" w:beforeAutospacing="1" w:after="100" w:afterAutospacing="1"/>
      <w:jc w:val="left"/>
    </w:pPr>
    <w:rPr>
      <w:rFonts w:eastAsia="Arial Unicode MS"/>
      <w:kern w:val="0"/>
      <w:sz w:val="24"/>
    </w:rPr>
  </w:style>
  <w:style w:type="paragraph" w:customStyle="1" w:styleId="470">
    <w:name w:val="xl106"/>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1">
    <w:name w:val="xl104"/>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2">
    <w:name w:val="xl10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3">
    <w:name w:val="正文（标题三）"/>
    <w:basedOn w:val="1"/>
    <w:qFormat/>
    <w:uiPriority w:val="0"/>
    <w:pPr>
      <w:spacing w:line="360" w:lineRule="auto"/>
      <w:ind w:left="170" w:firstLine="425"/>
    </w:pPr>
    <w:rPr>
      <w:sz w:val="24"/>
    </w:rPr>
  </w:style>
  <w:style w:type="paragraph" w:customStyle="1" w:styleId="474">
    <w:name w:val="xl102"/>
    <w:basedOn w:val="1"/>
    <w:qFormat/>
    <w:uiPriority w:val="99"/>
    <w:pPr>
      <w:widowControl/>
      <w:spacing w:before="100" w:beforeAutospacing="1" w:after="100" w:afterAutospacing="1"/>
      <w:jc w:val="center"/>
    </w:pPr>
    <w:rPr>
      <w:rFonts w:ascii="宋体" w:hAnsi="宋体" w:cs="宋体"/>
      <w:b/>
      <w:bCs/>
      <w:color w:val="FF0000"/>
      <w:kern w:val="0"/>
      <w:sz w:val="18"/>
      <w:szCs w:val="18"/>
    </w:rPr>
  </w:style>
  <w:style w:type="paragraph" w:customStyle="1" w:styleId="475">
    <w:name w:val="xl58"/>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7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8">
    <w:name w:val="p0"/>
    <w:basedOn w:val="1"/>
    <w:qFormat/>
    <w:uiPriority w:val="99"/>
    <w:pPr>
      <w:widowControl/>
      <w:adjustRightInd w:val="0"/>
      <w:spacing w:before="100" w:beforeAutospacing="1" w:after="100" w:afterAutospacing="1" w:line="360" w:lineRule="atLeast"/>
      <w:jc w:val="left"/>
      <w:textAlignment w:val="baseline"/>
    </w:pPr>
    <w:rPr>
      <w:rFonts w:ascii="宋体" w:hAnsi="宋体" w:cs="宋体"/>
      <w:kern w:val="0"/>
      <w:sz w:val="24"/>
    </w:rPr>
  </w:style>
  <w:style w:type="paragraph" w:customStyle="1" w:styleId="479">
    <w:name w:val="宋 小四 1.5倍"/>
    <w:basedOn w:val="1"/>
    <w:qFormat/>
    <w:uiPriority w:val="0"/>
    <w:pPr>
      <w:widowControl/>
      <w:autoSpaceDE w:val="0"/>
      <w:autoSpaceDN w:val="0"/>
      <w:snapToGrid w:val="0"/>
      <w:spacing w:line="360" w:lineRule="auto"/>
      <w:jc w:val="left"/>
    </w:pPr>
    <w:rPr>
      <w:rFonts w:ascii="宋体" w:hAnsi="宋体"/>
      <w:spacing w:val="4"/>
      <w:kern w:val="0"/>
      <w:sz w:val="24"/>
      <w:lang w:bidi="en-US"/>
    </w:rPr>
  </w:style>
  <w:style w:type="paragraph" w:customStyle="1" w:styleId="480">
    <w:name w:val=".."/>
    <w:basedOn w:val="1"/>
    <w:next w:val="1"/>
    <w:qFormat/>
    <w:uiPriority w:val="0"/>
    <w:pPr>
      <w:autoSpaceDE w:val="0"/>
      <w:autoSpaceDN w:val="0"/>
      <w:adjustRightInd w:val="0"/>
      <w:jc w:val="left"/>
    </w:pPr>
    <w:rPr>
      <w:rFonts w:ascii="Sim Sun+ 2" w:eastAsia="Sim Sun+ 2"/>
      <w:kern w:val="0"/>
      <w:sz w:val="20"/>
      <w:lang w:eastAsia="en-US"/>
    </w:rPr>
  </w:style>
  <w:style w:type="paragraph" w:customStyle="1" w:styleId="481">
    <w:name w:val="xl6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482">
    <w:name w:val="样式 标题 3 + 无下划线"/>
    <w:basedOn w:val="5"/>
    <w:next w:val="5"/>
    <w:qFormat/>
    <w:uiPriority w:val="0"/>
    <w:rPr>
      <w:bCs/>
      <w:u w:val="none"/>
    </w:rPr>
  </w:style>
  <w:style w:type="paragraph" w:customStyle="1" w:styleId="483">
    <w:name w:val="样式 标题 3 + (中文) 黑体 小四 非加粗 段前: 7.8 磅 段后: 0 磅 行距: 固定值 20 磅"/>
    <w:basedOn w:val="5"/>
    <w:qFormat/>
    <w:uiPriority w:val="0"/>
    <w:pPr>
      <w:widowControl/>
      <w:autoSpaceDE/>
      <w:autoSpaceDN/>
      <w:adjustRightInd/>
      <w:spacing w:before="0" w:after="0" w:line="400" w:lineRule="exact"/>
    </w:pPr>
    <w:rPr>
      <w:rFonts w:ascii="Times New Roman" w:eastAsia="黑体" w:cs="宋体"/>
      <w:b w:val="0"/>
      <w:kern w:val="2"/>
      <w:u w:val="none"/>
    </w:rPr>
  </w:style>
  <w:style w:type="paragraph" w:customStyle="1" w:styleId="484">
    <w:name w:val="xl7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85">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86">
    <w:name w:val="正文an"/>
    <w:basedOn w:val="1"/>
    <w:qFormat/>
    <w:uiPriority w:val="0"/>
    <w:pPr>
      <w:adjustRightInd w:val="0"/>
      <w:snapToGrid w:val="0"/>
      <w:spacing w:line="300" w:lineRule="auto"/>
    </w:pPr>
    <w:rPr>
      <w:rFonts w:ascii="Arial Narrow" w:hAnsi="Arial Narrow" w:eastAsia="楷体_GB2312"/>
      <w:sz w:val="26"/>
    </w:rPr>
  </w:style>
  <w:style w:type="paragraph" w:customStyle="1" w:styleId="487">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88">
    <w:name w:val="强调文字2"/>
    <w:basedOn w:val="432"/>
    <w:qFormat/>
    <w:uiPriority w:val="0"/>
  </w:style>
  <w:style w:type="paragraph" w:customStyle="1" w:styleId="489">
    <w:name w:val="xl60"/>
    <w:basedOn w:val="1"/>
    <w:qFormat/>
    <w:uiPriority w:val="0"/>
    <w:pPr>
      <w:widowControl/>
      <w:pBdr>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90">
    <w:name w:val="xl11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92">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3">
    <w:name w:val="flType"/>
    <w:basedOn w:val="1"/>
    <w:qFormat/>
    <w:uiPriority w:val="0"/>
    <w:pPr>
      <w:adjustRightInd w:val="0"/>
      <w:spacing w:before="560" w:after="120" w:line="360" w:lineRule="atLeast"/>
      <w:jc w:val="center"/>
    </w:pPr>
    <w:rPr>
      <w:rFonts w:ascii="Arial" w:eastAsia="黑体"/>
      <w:kern w:val="0"/>
      <w:sz w:val="28"/>
      <w:szCs w:val="20"/>
    </w:rPr>
  </w:style>
  <w:style w:type="paragraph" w:customStyle="1" w:styleId="494">
    <w:name w:val="xl110"/>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95">
    <w:name w:val="样式 标题 4 + 段前: 5 磅 段后: 5 磅 行距: 单倍行距"/>
    <w:basedOn w:val="6"/>
    <w:qFormat/>
    <w:uiPriority w:val="0"/>
    <w:pPr>
      <w:spacing w:before="100" w:after="100" w:line="240" w:lineRule="auto"/>
      <w:jc w:val="left"/>
    </w:pPr>
    <w:rPr>
      <w:rFonts w:ascii="Arial" w:hAnsi="Arial" w:eastAsia="黑体" w:cs="宋体"/>
      <w:b/>
      <w:bCs/>
      <w:sz w:val="28"/>
      <w:lang w:val="zh-CN" w:eastAsia="zh-CN"/>
    </w:rPr>
  </w:style>
  <w:style w:type="paragraph" w:customStyle="1" w:styleId="496">
    <w:name w:val="xl111"/>
    <w:basedOn w:val="1"/>
    <w:qFormat/>
    <w:uiPriority w:val="99"/>
    <w:pPr>
      <w:widowControl/>
      <w:pBdr>
        <w:top w:val="single" w:color="auto"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97">
    <w:name w:val="xl92"/>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498">
    <w:name w:val="xl1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9">
    <w:name w:val="xl95"/>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500">
    <w:name w:val="xl67"/>
    <w:basedOn w:val="1"/>
    <w:qFormat/>
    <w:uiPriority w:val="99"/>
    <w:pPr>
      <w:widowControl/>
      <w:spacing w:before="100" w:beforeAutospacing="1" w:after="100" w:afterAutospacing="1"/>
      <w:jc w:val="left"/>
    </w:pPr>
    <w:rPr>
      <w:rFonts w:ascii="宋体" w:hAnsi="宋体" w:cs="宋体"/>
      <w:b/>
      <w:bCs/>
      <w:kern w:val="0"/>
      <w:sz w:val="20"/>
      <w:szCs w:val="20"/>
    </w:rPr>
  </w:style>
  <w:style w:type="paragraph" w:customStyle="1" w:styleId="501">
    <w:name w:val="xl54"/>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502">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503">
    <w:name w:val="列出段落 字符1"/>
    <w:qFormat/>
    <w:uiPriority w:val="34"/>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1728</Words>
  <Characters>9850</Characters>
  <Lines>82</Lines>
  <Paragraphs>23</Paragraphs>
  <TotalTime>0</TotalTime>
  <ScaleCrop>false</ScaleCrop>
  <LinksUpToDate>false</LinksUpToDate>
  <CharactersWithSpaces>11555</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2024-03-08T03:39:00Z</dcterms:created>
  <dc:creator>admin</dc:creator>
  <cp:lastModifiedBy>Admin</cp:lastModifiedBy>
  <dcterms:modified xsi:type="dcterms:W3CDTF">2026-10-13T05:40:19Z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