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7DF905">
      <w:pPr>
        <w:spacing w:line="360" w:lineRule="auto"/>
        <w:jc w:val="center"/>
        <w:outlineLvl w:val="0"/>
        <w:rPr>
          <w:b/>
          <w:sz w:val="36"/>
          <w:szCs w:val="36"/>
        </w:rPr>
      </w:pPr>
      <w:r>
        <w:rPr>
          <w:b/>
          <w:sz w:val="36"/>
          <w:szCs w:val="36"/>
        </w:rPr>
        <w:t>采购需求</w:t>
      </w:r>
    </w:p>
    <w:p w14:paraId="47AD481F">
      <w:pPr>
        <w:pStyle w:val="4"/>
      </w:pPr>
    </w:p>
    <w:p w14:paraId="4C42427D">
      <w:pPr>
        <w:pStyle w:val="7"/>
        <w:numPr>
          <w:ilvl w:val="0"/>
          <w:numId w:val="1"/>
        </w:numPr>
        <w:spacing w:line="360" w:lineRule="auto"/>
        <w:ind w:firstLineChars="0"/>
        <w:contextualSpacing/>
        <w:rPr>
          <w:rFonts w:hint="eastAsia" w:ascii="宋体" w:hAnsi="宋体" w:cs="宋体"/>
          <w:b/>
          <w:sz w:val="24"/>
          <w:szCs w:val="24"/>
        </w:rPr>
      </w:pPr>
      <w:r>
        <w:rPr>
          <w:rFonts w:hint="eastAsia" w:ascii="宋体" w:hAnsi="宋体" w:cs="宋体"/>
          <w:b/>
          <w:sz w:val="24"/>
          <w:szCs w:val="24"/>
        </w:rPr>
        <w:t>采购标的</w:t>
      </w:r>
    </w:p>
    <w:p w14:paraId="34FA6ADB">
      <w:pPr>
        <w:spacing w:line="360" w:lineRule="auto"/>
        <w:ind w:firstLine="482" w:firstLineChars="200"/>
        <w:contextualSpacing/>
        <w:jc w:val="left"/>
        <w:rPr>
          <w:rFonts w:hint="eastAsia" w:ascii="宋体" w:hAnsi="宋体" w:eastAsia="宋体"/>
          <w:b/>
          <w:sz w:val="24"/>
        </w:rPr>
      </w:pPr>
      <w:r>
        <w:rPr>
          <w:rFonts w:hint="eastAsia" w:ascii="宋体" w:hAnsi="宋体" w:eastAsia="宋体"/>
          <w:b/>
          <w:sz w:val="24"/>
        </w:rPr>
        <w:t>（一）</w:t>
      </w:r>
      <w:r>
        <w:rPr>
          <w:rFonts w:ascii="宋体" w:hAnsi="宋体" w:eastAsia="宋体"/>
          <w:b/>
          <w:sz w:val="24"/>
        </w:rPr>
        <w:t>采购标的</w:t>
      </w:r>
    </w:p>
    <w:tbl>
      <w:tblPr>
        <w:tblStyle w:val="5"/>
        <w:tblW w:w="92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4"/>
        <w:gridCol w:w="1600"/>
        <w:gridCol w:w="1670"/>
        <w:gridCol w:w="970"/>
        <w:gridCol w:w="4370"/>
      </w:tblGrid>
      <w:tr w14:paraId="1A18E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exact"/>
          <w:jc w:val="center"/>
        </w:trPr>
        <w:tc>
          <w:tcPr>
            <w:tcW w:w="684" w:type="dxa"/>
            <w:vAlign w:val="center"/>
          </w:tcPr>
          <w:p w14:paraId="254D9CAE">
            <w:pPr>
              <w:spacing w:line="276" w:lineRule="auto"/>
              <w:jc w:val="center"/>
              <w:rPr>
                <w:rFonts w:hint="eastAsia" w:ascii="宋体" w:hAnsi="宋体" w:eastAsia="宋体"/>
                <w:bCs/>
                <w:sz w:val="24"/>
              </w:rPr>
            </w:pPr>
            <w:r>
              <w:rPr>
                <w:rFonts w:hint="eastAsia" w:ascii="宋体" w:hAnsi="宋体" w:eastAsia="宋体"/>
                <w:bCs/>
                <w:sz w:val="24"/>
              </w:rPr>
              <w:t>序号</w:t>
            </w:r>
          </w:p>
        </w:tc>
        <w:tc>
          <w:tcPr>
            <w:tcW w:w="1600" w:type="dxa"/>
            <w:vAlign w:val="center"/>
          </w:tcPr>
          <w:p w14:paraId="235707B7">
            <w:pPr>
              <w:jc w:val="center"/>
              <w:rPr>
                <w:rFonts w:hint="eastAsia" w:ascii="宋体" w:hAnsi="宋体" w:eastAsia="宋体"/>
                <w:bCs/>
                <w:sz w:val="24"/>
              </w:rPr>
            </w:pPr>
            <w:r>
              <w:rPr>
                <w:rFonts w:hint="eastAsia" w:ascii="宋体" w:hAnsi="宋体" w:eastAsia="宋体" w:cs="宋体"/>
                <w:bCs/>
                <w:sz w:val="24"/>
              </w:rPr>
              <w:t>标的名称</w:t>
            </w:r>
          </w:p>
        </w:tc>
        <w:tc>
          <w:tcPr>
            <w:tcW w:w="1670" w:type="dxa"/>
            <w:vAlign w:val="center"/>
          </w:tcPr>
          <w:p w14:paraId="4A4FAB20">
            <w:pPr>
              <w:jc w:val="center"/>
              <w:rPr>
                <w:rFonts w:hint="eastAsia" w:ascii="宋体" w:hAnsi="宋体" w:eastAsia="宋体"/>
                <w:bCs/>
                <w:sz w:val="24"/>
              </w:rPr>
            </w:pPr>
            <w:r>
              <w:rPr>
                <w:rFonts w:hint="eastAsia" w:ascii="宋体" w:hAnsi="宋体" w:eastAsia="宋体" w:cs="宋体"/>
                <w:bCs/>
                <w:sz w:val="24"/>
              </w:rPr>
              <w:t>项目最高限价（万元）</w:t>
            </w:r>
          </w:p>
        </w:tc>
        <w:tc>
          <w:tcPr>
            <w:tcW w:w="970" w:type="dxa"/>
            <w:vAlign w:val="center"/>
          </w:tcPr>
          <w:p w14:paraId="273A5590">
            <w:pPr>
              <w:jc w:val="center"/>
              <w:rPr>
                <w:rFonts w:hint="eastAsia" w:ascii="宋体" w:hAnsi="宋体" w:eastAsia="宋体"/>
                <w:bCs/>
                <w:sz w:val="24"/>
              </w:rPr>
            </w:pPr>
            <w:r>
              <w:rPr>
                <w:rFonts w:hint="eastAsia" w:ascii="宋体" w:hAnsi="宋体" w:eastAsia="宋体" w:cs="宋体"/>
                <w:bCs/>
                <w:sz w:val="24"/>
              </w:rPr>
              <w:t>数量（套）</w:t>
            </w:r>
          </w:p>
        </w:tc>
        <w:tc>
          <w:tcPr>
            <w:tcW w:w="4370" w:type="dxa"/>
            <w:vAlign w:val="center"/>
          </w:tcPr>
          <w:p w14:paraId="257341C2">
            <w:pPr>
              <w:jc w:val="center"/>
              <w:rPr>
                <w:rFonts w:ascii="宋体" w:hAnsi="宋体" w:eastAsia="宋体" w:cs="宋体"/>
                <w:bCs/>
                <w:sz w:val="24"/>
                <w:lang w:val="en-US" w:eastAsia="zh-CN"/>
              </w:rPr>
            </w:pPr>
            <w:r>
              <w:rPr>
                <w:rFonts w:hint="eastAsia" w:ascii="宋体" w:hAnsi="宋体" w:eastAsia="宋体" w:cs="宋体"/>
                <w:bCs/>
                <w:sz w:val="24"/>
                <w:lang w:val="en-US" w:eastAsia="zh-CN"/>
              </w:rPr>
              <w:t>简要技术需求</w:t>
            </w:r>
          </w:p>
        </w:tc>
      </w:tr>
      <w:tr w14:paraId="16AA5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9" w:hRule="exact"/>
          <w:jc w:val="center"/>
        </w:trPr>
        <w:tc>
          <w:tcPr>
            <w:tcW w:w="684" w:type="dxa"/>
            <w:vAlign w:val="center"/>
          </w:tcPr>
          <w:p w14:paraId="387037D7">
            <w:pPr>
              <w:spacing w:line="276" w:lineRule="auto"/>
              <w:jc w:val="center"/>
              <w:rPr>
                <w:rFonts w:hint="eastAsia" w:ascii="宋体" w:hAnsi="宋体" w:eastAsia="宋体"/>
                <w:bCs/>
                <w:sz w:val="24"/>
              </w:rPr>
            </w:pPr>
            <w:r>
              <w:rPr>
                <w:rFonts w:hint="eastAsia" w:ascii="宋体" w:hAnsi="宋体" w:eastAsia="宋体"/>
                <w:bCs/>
                <w:sz w:val="24"/>
              </w:rPr>
              <w:t>1</w:t>
            </w:r>
          </w:p>
        </w:tc>
        <w:tc>
          <w:tcPr>
            <w:tcW w:w="1600" w:type="dxa"/>
            <w:tcBorders>
              <w:left w:val="single" w:color="auto" w:sz="4" w:space="0"/>
            </w:tcBorders>
            <w:vAlign w:val="center"/>
          </w:tcPr>
          <w:p w14:paraId="2B55E755">
            <w:pPr>
              <w:jc w:val="center"/>
              <w:rPr>
                <w:rFonts w:hint="eastAsia" w:ascii="宋体" w:hAnsi="宋体" w:eastAsia="宋体"/>
                <w:bCs/>
                <w:sz w:val="24"/>
              </w:rPr>
            </w:pPr>
            <w:r>
              <w:rPr>
                <w:rFonts w:hint="eastAsia" w:ascii="宋体" w:hAnsi="宋体" w:eastAsia="宋体"/>
                <w:bCs/>
                <w:sz w:val="24"/>
              </w:rPr>
              <w:t>献血方舱</w:t>
            </w:r>
          </w:p>
        </w:tc>
        <w:tc>
          <w:tcPr>
            <w:tcW w:w="1670" w:type="dxa"/>
            <w:tcBorders>
              <w:left w:val="single" w:color="auto" w:sz="4" w:space="0"/>
            </w:tcBorders>
            <w:vAlign w:val="center"/>
          </w:tcPr>
          <w:p w14:paraId="7E7512DC">
            <w:pPr>
              <w:jc w:val="center"/>
              <w:rPr>
                <w:rFonts w:hint="eastAsia" w:ascii="宋体" w:hAnsi="宋体" w:eastAsia="宋体"/>
                <w:bCs/>
                <w:sz w:val="24"/>
              </w:rPr>
            </w:pPr>
            <w:r>
              <w:rPr>
                <w:rFonts w:hint="eastAsia" w:ascii="宋体" w:hAnsi="宋体" w:eastAsia="宋体"/>
                <w:bCs/>
                <w:sz w:val="24"/>
              </w:rPr>
              <w:t>150</w:t>
            </w:r>
          </w:p>
        </w:tc>
        <w:tc>
          <w:tcPr>
            <w:tcW w:w="970" w:type="dxa"/>
            <w:tcBorders>
              <w:left w:val="single" w:color="auto" w:sz="4" w:space="0"/>
            </w:tcBorders>
            <w:vAlign w:val="center"/>
          </w:tcPr>
          <w:p w14:paraId="5BCEA5A8">
            <w:pPr>
              <w:jc w:val="center"/>
              <w:rPr>
                <w:rFonts w:hint="eastAsia" w:ascii="宋体" w:hAnsi="宋体" w:eastAsia="宋体"/>
                <w:bCs/>
                <w:sz w:val="24"/>
              </w:rPr>
            </w:pPr>
            <w:r>
              <w:rPr>
                <w:rFonts w:hint="eastAsia" w:ascii="宋体" w:hAnsi="宋体" w:eastAsia="宋体"/>
                <w:bCs/>
                <w:sz w:val="24"/>
              </w:rPr>
              <w:t>1</w:t>
            </w:r>
          </w:p>
        </w:tc>
        <w:tc>
          <w:tcPr>
            <w:tcW w:w="4370" w:type="dxa"/>
            <w:tcBorders>
              <w:left w:val="single" w:color="auto" w:sz="4" w:space="0"/>
            </w:tcBorders>
            <w:vAlign w:val="center"/>
          </w:tcPr>
          <w:p w14:paraId="12A06889">
            <w:pPr>
              <w:jc w:val="left"/>
              <w:rPr>
                <w:rFonts w:hint="eastAsia" w:ascii="宋体" w:hAnsi="宋体" w:eastAsia="宋体"/>
                <w:bCs/>
                <w:sz w:val="24"/>
              </w:rPr>
            </w:pPr>
            <w:r>
              <w:rPr>
                <w:rFonts w:hint="eastAsia" w:ascii="宋体" w:hAnsi="宋体" w:eastAsia="宋体"/>
                <w:bCs/>
                <w:sz w:val="24"/>
                <w:lang w:val="en-US" w:eastAsia="zh-CN"/>
              </w:rPr>
              <w:t>1.</w:t>
            </w:r>
            <w:r>
              <w:rPr>
                <w:rFonts w:hint="eastAsia" w:ascii="宋体" w:hAnsi="宋体" w:eastAsia="宋体"/>
                <w:bCs/>
                <w:sz w:val="24"/>
              </w:rPr>
              <w:t>规格尺寸：长为11米，宽为3.5米，高为3.1米。</w:t>
            </w:r>
          </w:p>
          <w:p w14:paraId="0B01A377">
            <w:pPr>
              <w:jc w:val="left"/>
              <w:rPr>
                <w:rFonts w:hint="eastAsia" w:ascii="宋体" w:hAnsi="宋体" w:eastAsia="宋体"/>
                <w:bCs/>
                <w:sz w:val="24"/>
              </w:rPr>
            </w:pPr>
            <w:r>
              <w:rPr>
                <w:rFonts w:hint="eastAsia" w:ascii="宋体" w:hAnsi="宋体" w:eastAsia="宋体"/>
                <w:bCs/>
                <w:sz w:val="24"/>
                <w:lang w:val="en-US" w:eastAsia="zh-CN"/>
              </w:rPr>
              <w:t>2</w:t>
            </w:r>
            <w:r>
              <w:rPr>
                <w:rFonts w:hint="eastAsia" w:ascii="宋体" w:hAnsi="宋体" w:eastAsia="宋体"/>
                <w:bCs/>
                <w:sz w:val="24"/>
              </w:rPr>
              <w:t>.投标人按照采购人确认的图纸、技术参数、配置清单，完成献血方舱设计、生产制造、出厂检验、包装、运输。</w:t>
            </w:r>
          </w:p>
          <w:p w14:paraId="0239D5FB">
            <w:pPr>
              <w:jc w:val="left"/>
              <w:rPr>
                <w:rFonts w:hint="eastAsia" w:ascii="宋体" w:hAnsi="宋体" w:eastAsia="宋体"/>
                <w:bCs/>
                <w:sz w:val="24"/>
              </w:rPr>
            </w:pPr>
            <w:r>
              <w:rPr>
                <w:rFonts w:hint="eastAsia" w:ascii="宋体" w:hAnsi="宋体" w:eastAsia="宋体"/>
                <w:bCs/>
                <w:sz w:val="24"/>
                <w:lang w:val="en-US" w:eastAsia="zh-CN"/>
              </w:rPr>
              <w:t>3</w:t>
            </w:r>
            <w:r>
              <w:rPr>
                <w:rFonts w:hint="eastAsia" w:ascii="宋体" w:hAnsi="宋体" w:eastAsia="宋体"/>
                <w:bCs/>
                <w:sz w:val="24"/>
              </w:rPr>
              <w:t>.包含内容：主体钢结构、围护板材、门窗、地板、吊顶、强弱电布线、照明、插座、空调机位、设备、密封、防腐、涂装等配置。</w:t>
            </w:r>
          </w:p>
        </w:tc>
      </w:tr>
    </w:tbl>
    <w:p w14:paraId="7F5A5186">
      <w:pPr>
        <w:spacing w:line="360" w:lineRule="auto"/>
        <w:ind w:firstLine="482" w:firstLineChars="200"/>
        <w:contextualSpacing/>
        <w:jc w:val="left"/>
        <w:rPr>
          <w:rFonts w:hint="eastAsia" w:ascii="宋体" w:hAnsi="宋体" w:eastAsia="宋体"/>
          <w:b/>
          <w:sz w:val="24"/>
        </w:rPr>
      </w:pPr>
      <w:r>
        <w:rPr>
          <w:rFonts w:hint="eastAsia" w:ascii="宋体" w:hAnsi="宋体" w:eastAsia="宋体"/>
          <w:b/>
          <w:sz w:val="24"/>
        </w:rPr>
        <w:t>（二）项目概况</w:t>
      </w:r>
    </w:p>
    <w:p w14:paraId="334B3357">
      <w:pPr>
        <w:pStyle w:val="3"/>
        <w:spacing w:line="360" w:lineRule="auto"/>
        <w:ind w:firstLine="480" w:firstLineChars="200"/>
        <w:rPr>
          <w:rFonts w:hint="eastAsia" w:hAnsi="宋体" w:cs="宋体"/>
          <w:bCs/>
        </w:rPr>
      </w:pPr>
      <w:r>
        <w:rPr>
          <w:rFonts w:hint="eastAsia" w:hAnsi="宋体" w:cs="宋体"/>
          <w:bCs/>
        </w:rPr>
        <w:t xml:space="preserve">为进一步优化无偿献血服务环境、改善献血者捐献体验、提升采血服务质量与献血人群满意度，贴合无偿献血公益服务标准化、人性化、现代化建设要求。补齐老旧采血设施短板，优化无偿献血服务环境，提升献血者捐献体验与服务满意度，依托硬件换新、布局优化、设施升级、流程提质，全方位升级献血者暖心服务。新献血屋投入使用后，从硬件设施、服务环境、采血流程、人文关怀、安全保障五大维度补齐原有短板，全方位优化献血全流程服务，切实为广大无偿献血者打造舒适、便捷、安全、暖心的献血服务空间，服务效能与献血者体验实现跨越式提升。 </w:t>
      </w:r>
    </w:p>
    <w:p w14:paraId="0F010889">
      <w:pPr>
        <w:pStyle w:val="3"/>
        <w:spacing w:line="360" w:lineRule="auto"/>
        <w:ind w:firstLine="480" w:firstLineChars="200"/>
        <w:rPr>
          <w:rFonts w:hint="eastAsia" w:hAnsi="宋体" w:cs="宋体"/>
          <w:bCs/>
        </w:rPr>
      </w:pPr>
      <w:r>
        <w:rPr>
          <w:rFonts w:hint="eastAsia" w:hAnsi="宋体" w:cs="宋体"/>
          <w:bCs/>
        </w:rPr>
        <w:t>献血方舱外观设计要借鉴使用传统与现代相结合的元素和配色，采用航空铝板加节能门窗为主体材质，经阳极氧化工艺处理后具有抗防腐蚀性好、耐用性强的特点。顶部采用双层隔热保温处理，并与灯箱标识融于一体，实现功能性与景观性的和谐统一。</w:t>
      </w:r>
    </w:p>
    <w:p w14:paraId="4D6B0E8C">
      <w:pPr>
        <w:pStyle w:val="3"/>
        <w:spacing w:line="360" w:lineRule="auto"/>
        <w:ind w:firstLine="480" w:firstLineChars="200"/>
        <w:rPr>
          <w:rFonts w:hint="eastAsia" w:hAnsi="宋体" w:cs="宋体"/>
          <w:bCs/>
        </w:rPr>
      </w:pPr>
      <w:r>
        <w:rPr>
          <w:rFonts w:hint="eastAsia" w:hAnsi="宋体" w:cs="宋体"/>
          <w:bCs/>
        </w:rPr>
        <w:t>献血方舱内部装饰风格要将医学元素与现代元素有机融合，兼顾工业美学与功能实用性。舱内遵循献血流程动线合理分区，设置健康检查区、血液采集区、献血者休息区、血液存放区、物料存放区、工作人员休息区等区域。配备中央空调、地暖与空气消毒机等设备，满足献血场所温湿度及空气质量相关要求。</w:t>
      </w:r>
    </w:p>
    <w:p w14:paraId="7036D121">
      <w:pPr>
        <w:pStyle w:val="3"/>
        <w:spacing w:line="360" w:lineRule="auto"/>
        <w:ind w:firstLine="480" w:firstLineChars="200"/>
        <w:rPr>
          <w:rFonts w:hint="eastAsia" w:hAnsi="宋体" w:cs="宋体"/>
          <w:bCs/>
        </w:rPr>
      </w:pPr>
      <w:r>
        <w:rPr>
          <w:rFonts w:hint="eastAsia" w:hAnsi="宋体" w:cs="宋体"/>
          <w:bCs/>
        </w:rPr>
        <w:t>以上设计内容需提供效果图，室外效果图不少于2张，室内按照不同空间划分设计，室内效果图不少于4张。</w:t>
      </w:r>
    </w:p>
    <w:p w14:paraId="5A6324DF">
      <w:pPr>
        <w:pStyle w:val="3"/>
        <w:spacing w:line="360" w:lineRule="auto"/>
        <w:ind w:firstLine="480" w:firstLineChars="200"/>
        <w:rPr>
          <w:rFonts w:hint="eastAsia" w:hAnsi="宋体" w:cs="宋体"/>
          <w:bCs/>
        </w:rPr>
      </w:pPr>
      <w:r>
        <w:rPr>
          <w:rFonts w:hint="eastAsia" w:hAnsi="宋体" w:cs="宋体"/>
          <w:bCs/>
        </w:rPr>
        <w:t>献血方舱布局符合业务流程要求，应急供电、消防器材和疏散安全等设施均符合献血场所配置行业标准，献血方舱内部根据使用需求设计不同功能空间，采用一体化设计，包括：吊顶与空调风口及照明灯具一体化，墙体与吊柜、储藏柜一体化，地板与采暖模块一体化，液压装置与底盘一体化，外窗与展示屏一体化等，使献血方舱可装配设计与一体化设计有机结合。为献血者全方位营造安全、舒适的献血环境。</w:t>
      </w:r>
    </w:p>
    <w:p w14:paraId="612D731E">
      <w:pPr>
        <w:pStyle w:val="7"/>
        <w:spacing w:line="360" w:lineRule="auto"/>
        <w:contextualSpacing/>
        <w:jc w:val="left"/>
        <w:rPr>
          <w:rFonts w:hint="eastAsia" w:ascii="宋体" w:hAnsi="宋体" w:eastAsia="宋体" w:cs="宋体"/>
          <w:bCs/>
          <w:sz w:val="24"/>
        </w:rPr>
      </w:pPr>
      <w:r>
        <w:rPr>
          <w:rFonts w:hint="eastAsia" w:ascii="宋体" w:hAnsi="宋体" w:eastAsia="宋体" w:cs="宋体"/>
          <w:bCs/>
          <w:sz w:val="24"/>
        </w:rPr>
        <w:t>依据《集装箱模块化组合房屋技术规程》T/CECS334-2013，《20J910-3:模块化钢结构房屋建筑构造》建造一个长为11米，宽为3.5米，高为3.1米，重量不大于10吨，功率不小于18kw，适应温度在-20℃至+45℃之间的可拼装可拆卸</w:t>
      </w:r>
      <w:r>
        <w:rPr>
          <w:rFonts w:hint="eastAsia" w:ascii="宋体" w:hAnsi="宋体"/>
          <w:sz w:val="24"/>
        </w:rPr>
        <w:t>献血方舱</w:t>
      </w:r>
      <w:r>
        <w:rPr>
          <w:rFonts w:hint="eastAsia" w:ascii="宋体" w:hAnsi="宋体" w:eastAsia="宋体" w:cs="宋体"/>
          <w:bCs/>
          <w:sz w:val="24"/>
        </w:rPr>
        <w:t>。</w:t>
      </w:r>
    </w:p>
    <w:p w14:paraId="3A39ABEC">
      <w:pPr>
        <w:pStyle w:val="2"/>
        <w:spacing w:line="360" w:lineRule="auto"/>
        <w:rPr>
          <w:rFonts w:hint="eastAsia" w:ascii="宋体" w:hAnsi="宋体" w:cs="宋体"/>
          <w:b/>
          <w:sz w:val="24"/>
        </w:rPr>
      </w:pPr>
      <w:r>
        <w:rPr>
          <w:rFonts w:hint="eastAsia" w:ascii="宋体" w:hAnsi="宋体" w:cs="宋体"/>
          <w:bCs/>
          <w:sz w:val="24"/>
        </w:rPr>
        <w:t>二、</w:t>
      </w:r>
      <w:r>
        <w:rPr>
          <w:rFonts w:hint="eastAsia" w:ascii="宋体" w:hAnsi="宋体" w:cs="宋体"/>
          <w:b/>
          <w:sz w:val="24"/>
        </w:rPr>
        <w:t>商务要求</w:t>
      </w:r>
    </w:p>
    <w:p w14:paraId="71B72035">
      <w:pPr>
        <w:spacing w:line="360" w:lineRule="auto"/>
        <w:ind w:firstLine="482" w:firstLineChars="200"/>
        <w:contextualSpacing/>
        <w:jc w:val="left"/>
        <w:rPr>
          <w:rFonts w:hint="eastAsia" w:ascii="宋体" w:hAnsi="宋体" w:cs="宋体"/>
          <w:b/>
          <w:sz w:val="24"/>
        </w:rPr>
      </w:pPr>
      <w:r>
        <w:rPr>
          <w:rFonts w:hint="eastAsia" w:ascii="宋体" w:hAnsi="宋体" w:cs="宋体"/>
          <w:b/>
          <w:sz w:val="24"/>
        </w:rPr>
        <w:t>（一）交货时间和地点：</w:t>
      </w:r>
    </w:p>
    <w:p w14:paraId="768A6327">
      <w:pPr>
        <w:pStyle w:val="7"/>
        <w:spacing w:line="360" w:lineRule="auto"/>
        <w:contextualSpacing/>
        <w:jc w:val="left"/>
        <w:rPr>
          <w:rFonts w:hint="eastAsia" w:ascii="宋体" w:hAnsi="宋体" w:cs="宋体"/>
          <w:bCs/>
          <w:sz w:val="24"/>
        </w:rPr>
      </w:pPr>
      <w:r>
        <w:rPr>
          <w:rFonts w:ascii="宋体" w:hAnsi="宋体" w:cs="宋体"/>
          <w:bCs/>
          <w:sz w:val="24"/>
        </w:rPr>
        <w:t>1.交货时间：</w:t>
      </w:r>
      <w:r>
        <w:rPr>
          <w:rFonts w:hint="eastAsia" w:ascii="宋体" w:hAnsi="宋体" w:cs="宋体"/>
          <w:bCs/>
          <w:sz w:val="24"/>
        </w:rPr>
        <w:t>合同签订后45</w:t>
      </w:r>
      <w:r>
        <w:rPr>
          <w:rFonts w:ascii="宋体" w:hAnsi="宋体" w:cs="宋体"/>
          <w:bCs/>
          <w:sz w:val="24"/>
        </w:rPr>
        <w:t>个</w:t>
      </w:r>
      <w:r>
        <w:rPr>
          <w:rFonts w:hint="eastAsia" w:ascii="宋体" w:hAnsi="宋体" w:cs="宋体"/>
          <w:bCs/>
          <w:sz w:val="24"/>
          <w:lang w:eastAsia="zh-CN"/>
        </w:rPr>
        <w:t>日历日</w:t>
      </w:r>
      <w:r>
        <w:rPr>
          <w:rFonts w:ascii="宋体" w:hAnsi="宋体" w:cs="宋体"/>
          <w:bCs/>
          <w:sz w:val="24"/>
        </w:rPr>
        <w:t>内完成交货</w:t>
      </w:r>
      <w:r>
        <w:rPr>
          <w:rFonts w:hint="eastAsia" w:ascii="宋体" w:hAnsi="宋体" w:cs="宋体"/>
          <w:bCs/>
          <w:sz w:val="24"/>
        </w:rPr>
        <w:t>。</w:t>
      </w:r>
    </w:p>
    <w:p w14:paraId="101D1FB6">
      <w:pPr>
        <w:spacing w:line="360" w:lineRule="auto"/>
        <w:ind w:firstLine="720" w:firstLineChars="300"/>
        <w:contextualSpacing/>
        <w:jc w:val="left"/>
        <w:rPr>
          <w:rFonts w:hint="eastAsia" w:ascii="宋体" w:hAnsi="宋体" w:cs="宋体"/>
          <w:bCs/>
          <w:sz w:val="24"/>
          <w:szCs w:val="22"/>
        </w:rPr>
      </w:pPr>
      <w:r>
        <w:rPr>
          <w:rFonts w:hint="eastAsia" w:ascii="宋体" w:hAnsi="宋体" w:cs="宋体"/>
          <w:bCs/>
          <w:sz w:val="24"/>
          <w:szCs w:val="22"/>
        </w:rPr>
        <w:t>安装调试：到货后5个</w:t>
      </w:r>
      <w:r>
        <w:rPr>
          <w:rFonts w:hint="eastAsia" w:ascii="宋体" w:hAnsi="宋体" w:cs="宋体"/>
          <w:bCs/>
          <w:sz w:val="24"/>
          <w:szCs w:val="22"/>
          <w:lang w:eastAsia="zh-CN"/>
        </w:rPr>
        <w:t>日历日</w:t>
      </w:r>
      <w:r>
        <w:rPr>
          <w:rFonts w:ascii="宋体" w:hAnsi="宋体" w:cs="宋体"/>
          <w:bCs/>
          <w:sz w:val="24"/>
          <w:szCs w:val="22"/>
        </w:rPr>
        <w:t>内完成</w:t>
      </w:r>
      <w:r>
        <w:rPr>
          <w:rFonts w:hint="eastAsia" w:ascii="宋体" w:hAnsi="宋体" w:cs="宋体"/>
          <w:bCs/>
          <w:sz w:val="24"/>
          <w:szCs w:val="22"/>
        </w:rPr>
        <w:t>安装、</w:t>
      </w:r>
      <w:r>
        <w:rPr>
          <w:rFonts w:ascii="宋体" w:hAnsi="宋体" w:cs="宋体"/>
          <w:bCs/>
          <w:sz w:val="24"/>
          <w:szCs w:val="22"/>
        </w:rPr>
        <w:t>调试</w:t>
      </w:r>
      <w:r>
        <w:rPr>
          <w:rFonts w:hint="eastAsia" w:ascii="宋体" w:hAnsi="宋体" w:cs="宋体"/>
          <w:bCs/>
          <w:sz w:val="24"/>
          <w:szCs w:val="22"/>
        </w:rPr>
        <w:t>工作。</w:t>
      </w:r>
    </w:p>
    <w:p w14:paraId="7AFEE112">
      <w:pPr>
        <w:pStyle w:val="3"/>
        <w:spacing w:line="360" w:lineRule="auto"/>
        <w:ind w:firstLine="480" w:firstLineChars="200"/>
        <w:rPr>
          <w:rFonts w:hint="eastAsia" w:hAnsi="宋体" w:cs="宋体"/>
          <w:bCs/>
        </w:rPr>
      </w:pPr>
      <w:r>
        <w:rPr>
          <w:rFonts w:hint="eastAsia" w:hAnsi="宋体" w:cs="宋体"/>
          <w:bCs/>
        </w:rPr>
        <w:t>2.交货地点：采购人指定地点</w:t>
      </w:r>
    </w:p>
    <w:p w14:paraId="6C4A4404">
      <w:pPr>
        <w:spacing w:line="360" w:lineRule="auto"/>
        <w:ind w:firstLine="482" w:firstLineChars="200"/>
        <w:contextualSpacing/>
        <w:jc w:val="left"/>
        <w:rPr>
          <w:rFonts w:hint="eastAsia" w:ascii="宋体" w:hAnsi="宋体" w:cs="宋体"/>
          <w:sz w:val="24"/>
        </w:rPr>
      </w:pPr>
      <w:r>
        <w:rPr>
          <w:rFonts w:hint="eastAsia" w:ascii="宋体" w:hAnsi="宋体" w:cs="宋体"/>
          <w:b/>
          <w:sz w:val="24"/>
        </w:rPr>
        <w:t>（二）付款条件（进度和方式）：</w:t>
      </w:r>
      <w:r>
        <w:rPr>
          <w:rFonts w:hint="eastAsia" w:ascii="宋体" w:hAnsi="宋体" w:cs="宋体"/>
          <w:bCs/>
          <w:sz w:val="24"/>
        </w:rPr>
        <w:t>见第六章《拟签订的合同文本》</w:t>
      </w:r>
    </w:p>
    <w:p w14:paraId="38A95030">
      <w:pPr>
        <w:pStyle w:val="4"/>
        <w:spacing w:line="360" w:lineRule="auto"/>
        <w:ind w:left="0" w:leftChars="0" w:firstLine="482" w:firstLineChars="200"/>
        <w:jc w:val="left"/>
        <w:rPr>
          <w:rFonts w:hint="eastAsia" w:ascii="宋体" w:hAnsi="宋体" w:cs="宋体"/>
          <w:sz w:val="24"/>
        </w:rPr>
      </w:pPr>
      <w:r>
        <w:rPr>
          <w:rFonts w:hint="eastAsia" w:ascii="宋体" w:hAnsi="宋体" w:cs="宋体"/>
          <w:b/>
          <w:bCs/>
          <w:sz w:val="24"/>
        </w:rPr>
        <w:t>（三）包装和运输</w:t>
      </w:r>
      <w:r>
        <w:rPr>
          <w:rFonts w:hint="eastAsia" w:ascii="宋体" w:hAnsi="宋体" w:cs="宋体"/>
          <w:sz w:val="24"/>
        </w:rPr>
        <w:t>（如适用，须满足《关于印发〈商品包装政府采购需求标准（试行）〉、〈快递包装政府采购需求标准（试行）〉的通知》（财办库﹝2020﹞123号））</w:t>
      </w:r>
    </w:p>
    <w:p w14:paraId="2ED52CD8">
      <w:pPr>
        <w:pStyle w:val="4"/>
        <w:spacing w:line="360" w:lineRule="auto"/>
        <w:ind w:left="0" w:leftChars="0" w:firstLine="482" w:firstLineChars="200"/>
        <w:jc w:val="left"/>
        <w:rPr>
          <w:rFonts w:hint="default" w:ascii="宋体" w:hAnsi="宋体" w:cs="宋体"/>
          <w:b w:val="0"/>
          <w:bCs w:val="0"/>
          <w:sz w:val="24"/>
          <w:lang w:val="en-US" w:eastAsia="zh-CN"/>
        </w:rPr>
      </w:pPr>
      <w:r>
        <w:rPr>
          <w:rFonts w:hint="eastAsia" w:ascii="宋体" w:hAnsi="宋体" w:cs="宋体"/>
          <w:b/>
          <w:bCs/>
          <w:sz w:val="24"/>
          <w:lang w:eastAsia="zh-CN"/>
        </w:rPr>
        <w:t>（</w:t>
      </w:r>
      <w:r>
        <w:rPr>
          <w:rFonts w:hint="eastAsia" w:ascii="宋体" w:hAnsi="宋体" w:cs="宋体"/>
          <w:b/>
          <w:bCs/>
          <w:sz w:val="24"/>
          <w:lang w:val="en-US" w:eastAsia="zh-CN"/>
        </w:rPr>
        <w:t>四</w:t>
      </w:r>
      <w:r>
        <w:rPr>
          <w:rFonts w:hint="eastAsia" w:ascii="宋体" w:hAnsi="宋体" w:cs="宋体"/>
          <w:b/>
          <w:bCs/>
          <w:sz w:val="24"/>
          <w:lang w:eastAsia="zh-CN"/>
        </w:rPr>
        <w:t>）</w:t>
      </w:r>
      <w:r>
        <w:rPr>
          <w:rFonts w:hint="eastAsia" w:ascii="宋体" w:hAnsi="宋体" w:cs="宋体"/>
          <w:b/>
          <w:bCs/>
          <w:sz w:val="24"/>
          <w:lang w:val="en-US" w:eastAsia="zh-CN"/>
        </w:rPr>
        <w:t>质保期：</w:t>
      </w:r>
      <w:r>
        <w:rPr>
          <w:rFonts w:hint="eastAsia" w:ascii="宋体" w:hAnsi="宋体" w:cs="宋体"/>
          <w:b w:val="0"/>
          <w:bCs w:val="0"/>
          <w:sz w:val="24"/>
          <w:lang w:val="en-US" w:eastAsia="zh-CN"/>
        </w:rPr>
        <w:t>方舱主体及方舱设备货物质保期为 36 个月，医用设备质保期为72个月。</w:t>
      </w:r>
    </w:p>
    <w:p w14:paraId="3E7671B6"/>
    <w:p w14:paraId="63DEE230">
      <w:pPr>
        <w:spacing w:line="360" w:lineRule="auto"/>
        <w:ind w:firstLine="482" w:firstLineChars="200"/>
        <w:outlineLvl w:val="1"/>
        <w:rPr>
          <w:rFonts w:hint="eastAsia" w:ascii="宋体" w:hAnsi="宋体" w:cs="宋体"/>
          <w:b/>
          <w:bCs/>
          <w:sz w:val="24"/>
        </w:rPr>
      </w:pPr>
      <w:r>
        <w:rPr>
          <w:rFonts w:hint="eastAsia" w:ascii="宋体" w:hAnsi="宋体" w:cs="宋体"/>
          <w:b/>
          <w:bCs/>
          <w:sz w:val="24"/>
        </w:rPr>
        <w:t>三、技术要求</w:t>
      </w:r>
    </w:p>
    <w:p w14:paraId="0A4AAD68">
      <w:pPr>
        <w:spacing w:line="360" w:lineRule="auto"/>
        <w:ind w:firstLine="482" w:firstLineChars="200"/>
        <w:contextualSpacing/>
        <w:outlineLvl w:val="1"/>
        <w:rPr>
          <w:rFonts w:hint="eastAsia" w:ascii="宋体" w:hAnsi="宋体" w:cs="宋体"/>
          <w:b/>
          <w:bCs/>
          <w:sz w:val="24"/>
        </w:rPr>
      </w:pPr>
      <w:r>
        <w:rPr>
          <w:rFonts w:hint="eastAsia" w:ascii="宋体" w:hAnsi="宋体" w:cs="宋体"/>
          <w:b/>
          <w:bCs/>
          <w:sz w:val="24"/>
        </w:rPr>
        <w:t>（一）基本要求</w:t>
      </w:r>
    </w:p>
    <w:p w14:paraId="7B615DF4">
      <w:pPr>
        <w:spacing w:line="360" w:lineRule="auto"/>
        <w:ind w:firstLine="482" w:firstLineChars="200"/>
        <w:contextualSpacing/>
        <w:rPr>
          <w:rFonts w:hint="eastAsia" w:ascii="宋体" w:hAnsi="宋体" w:cs="宋体"/>
          <w:b/>
          <w:bCs/>
          <w:sz w:val="24"/>
        </w:rPr>
      </w:pPr>
      <w:r>
        <w:rPr>
          <w:rFonts w:hint="eastAsia" w:ascii="宋体" w:hAnsi="宋体" w:cs="宋体"/>
          <w:b/>
          <w:bCs/>
          <w:sz w:val="24"/>
        </w:rPr>
        <w:t>1.采购标的需实现的功能或者目标</w:t>
      </w:r>
    </w:p>
    <w:p w14:paraId="39C39E07">
      <w:pPr>
        <w:spacing w:line="360" w:lineRule="auto"/>
        <w:ind w:firstLine="480" w:firstLineChars="200"/>
        <w:contextualSpacing/>
        <w:rPr>
          <w:rFonts w:hint="eastAsia" w:ascii="宋体" w:hAnsi="宋体" w:cs="宋体"/>
          <w:b/>
          <w:bCs/>
          <w:sz w:val="24"/>
        </w:rPr>
      </w:pPr>
      <w:r>
        <w:rPr>
          <w:rFonts w:hint="eastAsia" w:ascii="宋体" w:hAnsi="宋体"/>
          <w:sz w:val="24"/>
        </w:rPr>
        <w:t>本次采购是“献血方舱购置”，供应商应根据招标文件所提出的设备技术规格和服务要求，以满足招标文件要求的产品、优良的货物和优惠的价格，充分显示自己的竞争实力。</w:t>
      </w:r>
    </w:p>
    <w:p w14:paraId="75F178CF">
      <w:pPr>
        <w:spacing w:line="360" w:lineRule="auto"/>
        <w:ind w:firstLine="482" w:firstLineChars="200"/>
        <w:contextualSpacing/>
        <w:rPr>
          <w:rFonts w:hint="eastAsia" w:ascii="宋体" w:hAnsi="宋体" w:cs="宋体"/>
          <w:b/>
          <w:bCs/>
          <w:sz w:val="24"/>
        </w:rPr>
      </w:pPr>
      <w:r>
        <w:rPr>
          <w:rFonts w:hint="eastAsia" w:ascii="宋体" w:hAnsi="宋体" w:cs="宋体"/>
          <w:b/>
          <w:bCs/>
          <w:sz w:val="24"/>
        </w:rPr>
        <w:t>2.需执行的国家相关标准、行业标准、地方标准或者其他标准、规范：</w:t>
      </w:r>
    </w:p>
    <w:p w14:paraId="2BEEFA75">
      <w:pPr>
        <w:spacing w:line="360" w:lineRule="auto"/>
        <w:ind w:firstLine="480" w:firstLineChars="200"/>
        <w:jc w:val="left"/>
        <w:rPr>
          <w:rFonts w:hint="eastAsia" w:ascii="宋体" w:hAnsi="宋体" w:cs="宋体"/>
          <w:sz w:val="24"/>
        </w:rPr>
      </w:pPr>
      <w:r>
        <w:rPr>
          <w:rFonts w:hint="eastAsia" w:ascii="宋体" w:hAnsi="宋体" w:cs="宋体"/>
          <w:sz w:val="24"/>
        </w:rPr>
        <w:t>★2.1</w:t>
      </w:r>
      <w:r>
        <w:rPr>
          <w:rFonts w:ascii="宋体" w:hAnsi="宋体" w:cs="宋体"/>
          <w:sz w:val="24"/>
        </w:rPr>
        <w:t>生活</w:t>
      </w:r>
      <w:r>
        <w:rPr>
          <w:rFonts w:hint="eastAsia" w:ascii="宋体" w:hAnsi="宋体" w:cs="宋体"/>
          <w:sz w:val="24"/>
        </w:rPr>
        <w:t>冰箱、饮水机、微波炉须取得中国强制性产品认证</w:t>
      </w:r>
      <w:r>
        <w:rPr>
          <w:rFonts w:hint="eastAsia" w:ascii="宋体" w:hAnsi="宋体" w:cs="宋体"/>
          <w:sz w:val="24"/>
          <w:lang w:val="en-US" w:eastAsia="zh-CN"/>
        </w:rPr>
        <w:t>证书</w:t>
      </w:r>
      <w:r>
        <w:rPr>
          <w:rFonts w:hint="eastAsia" w:ascii="宋体" w:hAnsi="宋体" w:cs="宋体"/>
          <w:sz w:val="24"/>
        </w:rPr>
        <w:t>（提供3C认证证书复印件加盖投标人单位公章）</w:t>
      </w:r>
    </w:p>
    <w:p w14:paraId="6346E2CF">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全自动生化仪</w:t>
      </w:r>
      <w:r>
        <w:rPr>
          <w:rFonts w:hint="eastAsia" w:ascii="宋体" w:hAnsi="宋体" w:eastAsia="宋体" w:cs="宋体"/>
          <w:color w:val="auto"/>
          <w:sz w:val="24"/>
          <w:highlight w:val="none"/>
          <w:lang w:val="en-US" w:eastAsia="zh-CN"/>
        </w:rPr>
        <w:t>、医用血液冷藏箱</w:t>
      </w:r>
      <w:r>
        <w:rPr>
          <w:rFonts w:hint="eastAsia" w:ascii="宋体" w:hAnsi="宋体" w:cs="宋体"/>
          <w:color w:val="auto"/>
          <w:sz w:val="24"/>
          <w:highlight w:val="none"/>
          <w:lang w:val="en-US" w:eastAsia="zh-CN"/>
        </w:rPr>
        <w:t>、离心机</w:t>
      </w:r>
      <w:r>
        <w:rPr>
          <w:rFonts w:hint="eastAsia" w:ascii="宋体" w:hAnsi="宋体" w:eastAsia="宋体" w:cs="宋体"/>
          <w:color w:val="auto"/>
          <w:sz w:val="24"/>
          <w:highlight w:val="none"/>
        </w:rPr>
        <w:t>应按原国家食品药品监督管理总局颁发的《医疗器械注册管理办法》，办理医疗器械注册证或者办理备案，供应商须提供医疗器械注册证复印件或备案凭证加盖单位公章。</w:t>
      </w:r>
    </w:p>
    <w:p w14:paraId="063E57EB">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如供应商为代理商，所投</w:t>
      </w:r>
      <w:r>
        <w:rPr>
          <w:rFonts w:hint="eastAsia" w:ascii="宋体" w:hAnsi="宋体" w:eastAsia="宋体" w:cs="宋体"/>
          <w:color w:val="auto"/>
          <w:sz w:val="24"/>
          <w:highlight w:val="none"/>
          <w:lang w:val="en-US" w:eastAsia="zh-CN"/>
        </w:rPr>
        <w:t>投标</w:t>
      </w:r>
      <w:r>
        <w:rPr>
          <w:rFonts w:hint="eastAsia" w:ascii="宋体" w:hAnsi="宋体" w:eastAsia="宋体" w:cs="宋体"/>
          <w:color w:val="auto"/>
          <w:sz w:val="24"/>
          <w:highlight w:val="none"/>
        </w:rPr>
        <w:t>产品为国产医疗器械的，应按原国家食品药品监督管理总局颁发的《医疗器械生产监督管理办法》，还应提供制造厂商有效的医疗器械生产资格证明文件加盖单位公章。</w:t>
      </w:r>
    </w:p>
    <w:p w14:paraId="297D24B5">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2.4</w:t>
      </w:r>
      <w:r>
        <w:rPr>
          <w:rFonts w:hint="eastAsia" w:ascii="宋体" w:hAnsi="宋体" w:eastAsia="宋体" w:cs="宋体"/>
          <w:color w:val="auto"/>
          <w:sz w:val="24"/>
          <w:highlight w:val="none"/>
        </w:rPr>
        <w:t>投标产品属于消毒产品的，则投标产品制造厂商应具有有效的消毒产品生产企业卫生许可证，提供证书复印件加盖单位公章（不适用的产品除外）。</w:t>
      </w:r>
    </w:p>
    <w:p w14:paraId="7B7E9640">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2.5</w:t>
      </w:r>
      <w:r>
        <w:rPr>
          <w:rFonts w:hint="eastAsia" w:ascii="宋体" w:hAnsi="宋体" w:eastAsia="宋体" w:cs="宋体"/>
          <w:color w:val="auto"/>
          <w:sz w:val="24"/>
          <w:highlight w:val="none"/>
        </w:rPr>
        <w:t>投标产品属于消毒产品的，应完成卫生安全评价报告且卫生安全评价为合格，提供有效的卫生安全评价报告和备案凭证（网站截图等证明文件）复印件加盖单位公章（不适用的产品除外）。</w:t>
      </w:r>
    </w:p>
    <w:p w14:paraId="1B7BD9F6">
      <w:pPr>
        <w:spacing w:line="360" w:lineRule="auto"/>
        <w:ind w:firstLine="480" w:firstLineChars="200"/>
        <w:jc w:val="left"/>
      </w:pPr>
      <w:r>
        <w:rPr>
          <w:rFonts w:hint="eastAsia" w:ascii="宋体" w:hAnsi="宋体" w:cs="宋体"/>
          <w:sz w:val="24"/>
        </w:rPr>
        <w:t>2.</w:t>
      </w:r>
      <w:r>
        <w:rPr>
          <w:rFonts w:hint="eastAsia" w:ascii="宋体" w:hAnsi="宋体" w:cs="宋体"/>
          <w:sz w:val="24"/>
          <w:lang w:val="en-US" w:eastAsia="zh-CN"/>
        </w:rPr>
        <w:t>6</w:t>
      </w:r>
      <w:r>
        <w:rPr>
          <w:rFonts w:hint="eastAsia" w:ascii="宋体" w:hAnsi="宋体" w:cs="宋体"/>
          <w:sz w:val="24"/>
        </w:rPr>
        <w:t>投标产品及制造商应符合国家有关部门规定的相应技术法规及标准</w:t>
      </w:r>
      <w:r>
        <w:rPr>
          <w:rFonts w:hint="eastAsia" w:ascii="宋体" w:hAnsi="宋体" w:cs="宋体"/>
          <w:sz w:val="24"/>
          <w:lang w:eastAsia="zh-CN"/>
        </w:rPr>
        <w:t>、国家及行业现行标准、双方确认的技术协议、图纸要求</w:t>
      </w:r>
      <w:r>
        <w:rPr>
          <w:rFonts w:hint="eastAsia" w:ascii="宋体" w:hAnsi="宋体" w:cs="宋体"/>
          <w:sz w:val="24"/>
        </w:rPr>
        <w:t>。如国家有关部门对投标产品或其制造商有强制性规定或要求的，投标产品及其制造商必须符合相应规定或要求，且投标人须提供相关证明文件的复印件加盖投标单位公章。</w:t>
      </w:r>
    </w:p>
    <w:p w14:paraId="6BA543A0">
      <w:pPr>
        <w:spacing w:line="360" w:lineRule="auto"/>
        <w:ind w:firstLine="482" w:firstLineChars="200"/>
        <w:contextualSpacing/>
        <w:rPr>
          <w:rFonts w:hint="eastAsia" w:ascii="宋体" w:hAnsi="宋体" w:cs="宋体"/>
          <w:b/>
          <w:bCs/>
          <w:sz w:val="24"/>
        </w:rPr>
      </w:pPr>
      <w:r>
        <w:rPr>
          <w:rFonts w:hint="eastAsia" w:ascii="宋体" w:hAnsi="宋体" w:cs="宋体"/>
          <w:b/>
          <w:bCs/>
          <w:sz w:val="24"/>
        </w:rPr>
        <w:t>3.为落实政府采购政策需满足的要求</w:t>
      </w:r>
    </w:p>
    <w:p w14:paraId="42E188F8">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71219C34">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3.2监狱企业扶持政策：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0BF55EBC">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3.3促进残疾人就业政府采购政策：根据《三部门联合发布关于促进残疾人就业政府采购政策的通知》（财库〔2017〕141 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14:paraId="1CDCA2CE">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56BA771F">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4CED9B29">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3.6实施本国产品标准及相关政策：依据《国务院办公厅关于在政府采购中实施本国产品标准及相关政策的通知》（国办发〔2025〕34 号）规定，本项目</w:t>
      </w:r>
      <w:r>
        <w:rPr>
          <w:rFonts w:hint="eastAsia"/>
          <w:sz w:val="24"/>
        </w:rPr>
        <w:t>既有本国产品又有非本国产品参与竞争的，如</w:t>
      </w:r>
      <w:r>
        <w:rPr>
          <w:rFonts w:hint="eastAsia" w:ascii="宋体" w:hAnsi="宋体" w:cs="宋体"/>
          <w:kern w:val="0"/>
          <w:sz w:val="24"/>
        </w:rPr>
        <w:t>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投标人应出具招标文件要求的证明材料给予证明，否则评标时不予认可。投标人应对提交的证明材料真实性负责，提交证明材料不真实的，应承担相应的法律责任。</w:t>
      </w:r>
    </w:p>
    <w:p w14:paraId="169675E4">
      <w:pPr>
        <w:spacing w:line="360" w:lineRule="auto"/>
        <w:ind w:firstLine="482" w:firstLineChars="200"/>
        <w:rPr>
          <w:rFonts w:hint="eastAsia" w:ascii="宋体" w:hAnsi="宋体" w:cs="宋体"/>
          <w:sz w:val="24"/>
          <w:lang w:val="en-US" w:eastAsia="zh-CN"/>
        </w:rPr>
      </w:pPr>
      <w:r>
        <w:rPr>
          <w:rFonts w:hint="eastAsia" w:ascii="宋体" w:hAnsi="宋体" w:cs="宋体"/>
          <w:b/>
          <w:bCs/>
          <w:sz w:val="24"/>
        </w:rPr>
        <w:t>（二）</w:t>
      </w:r>
      <w:r>
        <w:rPr>
          <w:rFonts w:hint="eastAsia" w:ascii="宋体" w:hAnsi="宋体" w:cs="宋体"/>
          <w:sz w:val="24"/>
          <w:lang w:val="en-US" w:eastAsia="zh-CN"/>
        </w:rPr>
        <w:t>设计要求</w:t>
      </w:r>
    </w:p>
    <w:p w14:paraId="094817D5">
      <w:pPr>
        <w:spacing w:line="360" w:lineRule="auto"/>
        <w:ind w:firstLine="480" w:firstLineChars="200"/>
        <w:rPr>
          <w:rFonts w:hint="eastAsia" w:ascii="宋体" w:hAnsi="宋体" w:cs="宋体"/>
          <w:sz w:val="24"/>
        </w:rPr>
      </w:pPr>
      <w:r>
        <w:rPr>
          <w:rFonts w:hint="eastAsia" w:ascii="宋体" w:hAnsi="宋体" w:cs="宋体"/>
          <w:sz w:val="24"/>
        </w:rPr>
        <w:t>献血方舱外观设计要借鉴使用传统与现代相结合的元素和配色，采用航空铝板加节能门窗为主体材质，经阳极氧化工艺处理后具有抗防腐蚀性好、耐用性强的特点。顶部采用双层隔热保温处理，并与灯箱标识融于一体，实现功能性与景观性的和谐统一。</w:t>
      </w:r>
    </w:p>
    <w:p w14:paraId="6AACBD2D">
      <w:pPr>
        <w:spacing w:line="360" w:lineRule="auto"/>
        <w:ind w:firstLine="480" w:firstLineChars="200"/>
        <w:rPr>
          <w:rFonts w:hint="eastAsia" w:ascii="宋体" w:hAnsi="宋体" w:cs="宋体"/>
          <w:sz w:val="24"/>
        </w:rPr>
      </w:pPr>
      <w:r>
        <w:rPr>
          <w:rFonts w:hint="eastAsia" w:ascii="宋体" w:hAnsi="宋体" w:cs="宋体"/>
          <w:sz w:val="24"/>
        </w:rPr>
        <w:t>献血方舱内部装饰风格要将医学元素与现代元素有机融合，兼顾工业美学与功能实用性。舱内遵循献血流程动线合理分区，设置健康检查区、血液采集区、献血者休息区、血液存放区、物料存放区、工作人员休息区等区域。配备中央空调、地暖与空气消毒机等设备，满足献血场所温湿度及空气质量相关要求。</w:t>
      </w:r>
    </w:p>
    <w:p w14:paraId="45715930">
      <w:pPr>
        <w:spacing w:line="360" w:lineRule="auto"/>
        <w:ind w:firstLine="480" w:firstLineChars="200"/>
        <w:rPr>
          <w:rFonts w:hint="eastAsia" w:ascii="宋体" w:hAnsi="宋体" w:cs="宋体"/>
          <w:sz w:val="24"/>
        </w:rPr>
      </w:pPr>
      <w:r>
        <w:rPr>
          <w:rFonts w:hint="eastAsia" w:ascii="宋体" w:hAnsi="宋体" w:cs="宋体"/>
          <w:sz w:val="24"/>
        </w:rPr>
        <w:t>以上设计内容需提供效果图，室外效果图不少于2张，室内按照不同空间划分设计，室内效果图不少于4张。</w:t>
      </w:r>
    </w:p>
    <w:p w14:paraId="02EF6700">
      <w:pPr>
        <w:spacing w:line="360" w:lineRule="auto"/>
        <w:ind w:firstLine="480" w:firstLineChars="200"/>
        <w:rPr>
          <w:rFonts w:hint="eastAsia" w:eastAsia="宋体"/>
          <w:lang w:val="en-US" w:eastAsia="zh-CN"/>
        </w:rPr>
      </w:pPr>
      <w:r>
        <w:rPr>
          <w:rFonts w:hint="eastAsia" w:ascii="宋体" w:hAnsi="宋体" w:cs="宋体"/>
          <w:sz w:val="24"/>
        </w:rPr>
        <w:t>献血方舱布局符合业务流程要求，应急供电、消防器材和疏散安全等设施均符合献血场所配置行业标准，献血方舱内部根据使用需求设计不同功能空间，采用一体化设计，包括：吊顶与空调风口及照明灯具一体化，墙体与吊柜、储藏柜一体化，地板与采暖模块一体化，液压装置与底盘一体化，外窗与展示屏一体化等，使献血方舱可装配设计与一体化设计有机结合。为献血者全方位营造安全、舒适的献血环境</w:t>
      </w:r>
      <w:r>
        <w:rPr>
          <w:rFonts w:hint="eastAsia" w:ascii="宋体" w:hAnsi="宋体" w:cs="宋体"/>
          <w:sz w:val="24"/>
          <w:lang w:eastAsia="zh-CN"/>
        </w:rPr>
        <w:t>。</w:t>
      </w:r>
    </w:p>
    <w:p w14:paraId="14F79966">
      <w:pPr>
        <w:widowControl w:val="0"/>
        <w:suppressAutoHyphens/>
        <w:spacing w:line="360" w:lineRule="auto"/>
        <w:ind w:firstLine="480" w:firstLineChars="200"/>
        <w:contextualSpacing/>
        <w:jc w:val="left"/>
        <w:rPr>
          <w:rFonts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（三）技术规格要求</w:t>
      </w:r>
    </w:p>
    <w:p w14:paraId="54505D97">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一）舱体主体结构</w:t>
      </w:r>
    </w:p>
    <w:p w14:paraId="64D151DA">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1.献血方舱外形：长为11米，宽为3.5米，高为3.1米，总重量≤10吨，总功率不小于18kw，适应温度在-20℃至+45℃之间的可拼装可拆卸。</w:t>
      </w:r>
    </w:p>
    <w:p w14:paraId="7A633002">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主体框架：钢架主材厚度≥6mm,与钢架链接辅材厚度≥3mm，所有钢材均需具备防腐及防锈性能，焊接处均做防腐处理。本体坚固耐用不变型，结构设计牢固安全，使用寿命≥10年，抗风等级≥10级，抗震烈度达到8度及以上，整体为复合钢结构。</w:t>
      </w:r>
    </w:p>
    <w:p w14:paraId="724A6014">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3.舱体：外表采用</w:t>
      </w:r>
      <w:bookmarkStart w:id="0" w:name="OLE_LINK1"/>
      <w:r>
        <w:rPr>
          <w:rFonts w:hint="eastAsia" w:ascii="宋体" w:hAnsi="宋体" w:eastAsia="宋体" w:cs="宋体"/>
          <w:color w:val="auto"/>
          <w:kern w:val="2"/>
          <w:sz w:val="24"/>
          <w:szCs w:val="24"/>
          <w:lang w:val="en-US" w:eastAsia="zh-CN" w:bidi="ar-SA"/>
        </w:rPr>
        <w:t>航空铝板</w:t>
      </w:r>
      <w:bookmarkEnd w:id="0"/>
      <w:r>
        <w:rPr>
          <w:rFonts w:hint="eastAsia" w:ascii="宋体" w:hAnsi="宋体" w:eastAsia="宋体" w:cs="宋体"/>
          <w:color w:val="auto"/>
          <w:kern w:val="2"/>
          <w:sz w:val="24"/>
          <w:szCs w:val="24"/>
          <w:lang w:val="en-US" w:eastAsia="zh-CN" w:bidi="ar-SA"/>
        </w:rPr>
        <w:t>，内外双层；单层厚度≥2.5mm，氧化工艺/烤漆，漆面厚度≥250um；舱体中间≥100mm</w:t>
      </w:r>
      <w:bookmarkStart w:id="1" w:name="OLE_LINK2"/>
      <w:r>
        <w:rPr>
          <w:rFonts w:hint="eastAsia" w:ascii="宋体" w:hAnsi="宋体" w:eastAsia="宋体" w:cs="宋体"/>
          <w:color w:val="auto"/>
          <w:kern w:val="2"/>
          <w:sz w:val="24"/>
          <w:szCs w:val="24"/>
          <w:lang w:val="en-US" w:eastAsia="zh-CN" w:bidi="ar-SA"/>
        </w:rPr>
        <w:t>聚氨酯发泡工艺</w:t>
      </w:r>
      <w:bookmarkEnd w:id="1"/>
      <w:r>
        <w:rPr>
          <w:rFonts w:hint="eastAsia" w:ascii="宋体" w:hAnsi="宋体" w:eastAsia="宋体" w:cs="宋体"/>
          <w:color w:val="auto"/>
          <w:kern w:val="2"/>
          <w:sz w:val="24"/>
          <w:szCs w:val="24"/>
          <w:lang w:val="en-US" w:eastAsia="zh-CN" w:bidi="ar-SA"/>
        </w:rPr>
        <w:t>，防火等级不低于B1级；隔热层铺设；舱体采用整体铝板工艺。</w:t>
      </w:r>
    </w:p>
    <w:p w14:paraId="41B059E3">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4.底盘：使用电动平衡支撑系统，静态时底盘保证稳固。</w:t>
      </w:r>
    </w:p>
    <w:p w14:paraId="73170AFA">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二）舱体表面装置</w:t>
      </w:r>
    </w:p>
    <w:p w14:paraId="30CC9804">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1.照明LED灯（≥30个）：设置箱体照明、“北京市红十字血液中心”发光LOGO。</w:t>
      </w:r>
    </w:p>
    <w:p w14:paraId="67F86385">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2.窗户：</w:t>
      </w:r>
    </w:p>
    <w:p w14:paraId="7B2D19CC">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2.1</w:t>
      </w:r>
      <w:r>
        <w:rPr>
          <w:rFonts w:hint="eastAsia" w:ascii="宋体" w:hAnsi="宋体" w:cs="宋体"/>
          <w:color w:val="auto"/>
          <w:kern w:val="2"/>
          <w:sz w:val="24"/>
          <w:szCs w:val="24"/>
          <w:highlight w:val="none"/>
          <w:lang w:val="en-US" w:eastAsia="zh-CN" w:bidi="ar-SA"/>
        </w:rPr>
        <w:t>舱体</w:t>
      </w:r>
      <w:r>
        <w:rPr>
          <w:rFonts w:ascii="宋体" w:hAnsi="宋体" w:eastAsia="宋体" w:cs="宋体"/>
          <w:color w:val="auto"/>
          <w:kern w:val="2"/>
          <w:sz w:val="24"/>
          <w:szCs w:val="24"/>
          <w:highlight w:val="none"/>
          <w:lang w:val="en-US" w:eastAsia="zh-CN" w:bidi="ar-SA"/>
        </w:rPr>
        <w:t>两侧</w:t>
      </w:r>
      <w:r>
        <w:rPr>
          <w:rFonts w:hint="eastAsia" w:ascii="宋体" w:hAnsi="宋体" w:eastAsia="宋体" w:cs="宋体"/>
          <w:color w:val="auto"/>
          <w:kern w:val="2"/>
          <w:sz w:val="24"/>
          <w:szCs w:val="24"/>
          <w:highlight w:val="none"/>
          <w:lang w:val="en-US" w:eastAsia="zh-CN" w:bidi="ar-SA"/>
        </w:rPr>
        <w:t>铝合金落地窗</w:t>
      </w:r>
      <w:r>
        <w:rPr>
          <w:rFonts w:hint="eastAsia" w:ascii="宋体" w:hAnsi="宋体" w:cs="宋体"/>
          <w:color w:val="auto"/>
          <w:kern w:val="2"/>
          <w:sz w:val="24"/>
          <w:szCs w:val="24"/>
          <w:highlight w:val="none"/>
          <w:lang w:val="en-US" w:eastAsia="zh-CN" w:bidi="ar-SA"/>
        </w:rPr>
        <w:t>共</w:t>
      </w:r>
      <w:r>
        <w:rPr>
          <w:rFonts w:hint="eastAsia" w:ascii="宋体" w:hAnsi="宋体" w:eastAsia="宋体" w:cs="宋体"/>
          <w:color w:val="auto"/>
          <w:kern w:val="2"/>
          <w:sz w:val="24"/>
          <w:szCs w:val="24"/>
          <w:highlight w:val="none"/>
          <w:lang w:val="en-US" w:eastAsia="zh-CN" w:bidi="ar-SA"/>
        </w:rPr>
        <w:t>：≥</w:t>
      </w:r>
      <w:r>
        <w:rPr>
          <w:rFonts w:ascii="宋体" w:hAnsi="宋体" w:eastAsia="宋体" w:cs="宋体"/>
          <w:color w:val="auto"/>
          <w:kern w:val="2"/>
          <w:sz w:val="24"/>
          <w:szCs w:val="24"/>
          <w:highlight w:val="none"/>
          <w:lang w:val="en-US" w:eastAsia="zh-CN" w:bidi="ar-SA"/>
        </w:rPr>
        <w:t>5</w:t>
      </w:r>
      <w:r>
        <w:rPr>
          <w:rFonts w:hint="eastAsia" w:ascii="宋体" w:hAnsi="宋体" w:eastAsia="宋体" w:cs="宋体"/>
          <w:color w:val="auto"/>
          <w:kern w:val="2"/>
          <w:sz w:val="24"/>
          <w:szCs w:val="24"/>
          <w:highlight w:val="none"/>
          <w:lang w:val="en-US" w:eastAsia="zh-CN" w:bidi="ar-SA"/>
        </w:rPr>
        <w:t>扇</w:t>
      </w:r>
      <w:r>
        <w:rPr>
          <w:rFonts w:ascii="宋体" w:hAnsi="宋体" w:eastAsia="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双层节能落地窗。</w:t>
      </w:r>
    </w:p>
    <w:p w14:paraId="3B0A12EB">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2.2山墙铝合金窗：≥1扇，双层节能窗。</w:t>
      </w:r>
    </w:p>
    <w:p w14:paraId="260B7F22">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3.电动门：</w:t>
      </w:r>
    </w:p>
    <w:p w14:paraId="283905BC">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配置电动门1樘，配置防蚊防蝇设施；采用铝合金节能门，符合气密性（50秒内压差≤1.5kPa）和水密性要求，确保开关寿命≥10万次。经项拉伸强度：≥5700N/5cm，纬向拉伸强度≥5100N/5cm，撕裂强度：主方向≥900N，次方向≥80N；使用温度：-30℃- 70℃，防火等级不低于B1级。</w:t>
      </w:r>
    </w:p>
    <w:p w14:paraId="5F318B7E">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w:t>
      </w:r>
      <w:r>
        <w:rPr>
          <w:rFonts w:ascii="宋体" w:hAnsi="宋体" w:eastAsia="宋体" w:cs="宋体"/>
          <w:color w:val="auto"/>
          <w:kern w:val="2"/>
          <w:sz w:val="24"/>
          <w:szCs w:val="24"/>
          <w:lang w:val="en-US" w:eastAsia="zh-CN" w:bidi="ar-SA"/>
        </w:rPr>
        <w:t>窗</w:t>
      </w:r>
      <w:r>
        <w:rPr>
          <w:rFonts w:hint="eastAsia" w:ascii="宋体" w:hAnsi="宋体" w:eastAsia="宋体" w:cs="宋体"/>
          <w:color w:val="auto"/>
          <w:kern w:val="2"/>
          <w:sz w:val="24"/>
          <w:szCs w:val="24"/>
          <w:lang w:val="en-US" w:eastAsia="zh-CN" w:bidi="ar-SA"/>
        </w:rPr>
        <w:t>帘：≥</w:t>
      </w:r>
      <w:r>
        <w:rPr>
          <w:rFonts w:ascii="宋体" w:hAnsi="宋体" w:eastAsia="宋体" w:cs="宋体"/>
          <w:color w:val="auto"/>
          <w:kern w:val="2"/>
          <w:sz w:val="24"/>
          <w:szCs w:val="24"/>
          <w:lang w:val="en-US" w:eastAsia="zh-CN" w:bidi="ar-SA"/>
        </w:rPr>
        <w:t>6套（与窗体数量匹配），</w:t>
      </w:r>
      <w:r>
        <w:rPr>
          <w:rFonts w:hint="eastAsia" w:ascii="宋体" w:hAnsi="宋体" w:eastAsia="宋体" w:cs="宋体"/>
          <w:color w:val="auto"/>
          <w:kern w:val="2"/>
          <w:sz w:val="24"/>
          <w:szCs w:val="24"/>
          <w:lang w:val="en-US" w:eastAsia="zh-CN" w:bidi="ar-SA"/>
        </w:rPr>
        <w:t>具备防紫外线、隔热功能，紫外线遮光率≥97%，</w:t>
      </w:r>
      <w:bookmarkStart w:id="2" w:name="OLE_LINK4"/>
      <w:r>
        <w:rPr>
          <w:rFonts w:hint="eastAsia" w:ascii="宋体" w:hAnsi="宋体" w:eastAsia="宋体" w:cs="宋体"/>
          <w:color w:val="auto"/>
          <w:kern w:val="2"/>
          <w:sz w:val="24"/>
          <w:szCs w:val="24"/>
          <w:lang w:val="en-US" w:eastAsia="zh-CN" w:bidi="ar-SA"/>
        </w:rPr>
        <w:t>隔热系数≤0.</w:t>
      </w:r>
      <w:bookmarkEnd w:id="2"/>
      <w:r>
        <w:rPr>
          <w:rFonts w:hint="eastAsia" w:ascii="宋体" w:hAnsi="宋体" w:eastAsia="宋体" w:cs="宋体"/>
          <w:color w:val="auto"/>
          <w:kern w:val="2"/>
          <w:sz w:val="24"/>
          <w:szCs w:val="24"/>
          <w:lang w:val="en-US" w:eastAsia="zh-CN" w:bidi="ar-SA"/>
        </w:rPr>
        <w:t>2，‌厚度‌：0.52±5%毫米，克重440g/㎡±5%，‌防火等级‌：不低于B1级，耐光色牢度不低于4.5级。</w:t>
      </w:r>
    </w:p>
    <w:p w14:paraId="1215FECD">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三）献血方舱内装</w:t>
      </w:r>
    </w:p>
    <w:p w14:paraId="7FED6B73">
      <w:pPr>
        <w:keepNext w:val="0"/>
        <w:keepLines w:val="0"/>
        <w:pageBreakBefore w:val="0"/>
        <w:widowControl w:val="0"/>
        <w:numPr>
          <w:ilvl w:val="0"/>
          <w:numId w:val="0"/>
        </w:numPr>
        <w:suppressAutoHyphens/>
        <w:kinsoku/>
        <w:wordWrap/>
        <w:overflowPunct/>
        <w:topLinePunct w:val="0"/>
        <w:autoSpaceDE/>
        <w:autoSpaceDN/>
        <w:bidi w:val="0"/>
        <w:spacing w:line="360" w:lineRule="auto"/>
        <w:ind w:left="0" w:leftChars="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w:t>
      </w:r>
      <w:r>
        <w:rPr>
          <w:rFonts w:hint="eastAsia" w:ascii="宋体" w:hAnsi="宋体" w:eastAsia="宋体" w:cs="宋体"/>
          <w:color w:val="auto"/>
          <w:kern w:val="2"/>
          <w:sz w:val="24"/>
          <w:szCs w:val="24"/>
          <w:lang w:val="en-US" w:eastAsia="zh-CN" w:bidi="ar-SA"/>
        </w:rPr>
        <w:t>内墙：航空铝板安装，航空铝板吊顶；隔断定制，空间分隔采用平移电动门3樘。</w:t>
      </w:r>
    </w:p>
    <w:p w14:paraId="4EF36640">
      <w:pPr>
        <w:keepNext w:val="0"/>
        <w:keepLines w:val="0"/>
        <w:pageBreakBefore w:val="0"/>
        <w:widowControl w:val="0"/>
        <w:numPr>
          <w:ilvl w:val="0"/>
          <w:numId w:val="0"/>
        </w:numPr>
        <w:suppressAutoHyphens/>
        <w:kinsoku/>
        <w:wordWrap/>
        <w:overflowPunct/>
        <w:topLinePunct w:val="0"/>
        <w:autoSpaceDE/>
        <w:autoSpaceDN/>
        <w:bidi w:val="0"/>
        <w:spacing w:line="360" w:lineRule="auto"/>
        <w:ind w:left="0" w:leftChars="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1.1  航空铝板：吊顶厚度0.8–1.2mm，墙板厚度0.8–1.5mm。</w:t>
      </w:r>
    </w:p>
    <w:p w14:paraId="28040A18">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2.舱内照明（1套），LED灯带，定制棚灯，筒灯等。</w:t>
      </w:r>
    </w:p>
    <w:p w14:paraId="4F9B2053">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2.1光源功率：单颗LED功率：≥5-15mW；输入电压：一般为3.0-3.4V。</w:t>
      </w:r>
    </w:p>
    <w:p w14:paraId="0A8E32AA">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2.2发光角度：10°-120°。</w:t>
      </w:r>
    </w:p>
    <w:p w14:paraId="24C9AB8C">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2.3可调角设计‌色温‌：普通照明≥6500K‌，显色指数（Ra）：常规照明≥80，高要求场景（采血位）≥99。</w:t>
      </w:r>
    </w:p>
    <w:p w14:paraId="346DAE8A">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2.4平均寿命：普通LED≥60,000小时，新型阵列≥50,000小时（有效寿命≥10,000小时），具有环保性：不含汞等有害物质，光污染低≤45cd/m²。</w:t>
      </w:r>
    </w:p>
    <w:p w14:paraId="5AD7EA78">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3.地板（1套）：采用蜂窝板（三层，上下均为铝板）+石英砂地板革。</w:t>
      </w:r>
    </w:p>
    <w:p w14:paraId="362F3ED5">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3.1蜂窝板：</w:t>
      </w:r>
    </w:p>
    <w:p w14:paraId="76A3D17D">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3.1.1面板层：采用双层高锰合金铝板，厚度0.8–1.5mm，表面处理阳极氧化蜂窝芯层：厚度10–25mm，由铝合金箔（厚度0.04–0.06mm）构成六边形阵列，边长5–6mm，密度3.6–7kg/m³，孔隙率≥95%。</w:t>
      </w:r>
    </w:p>
    <w:p w14:paraId="16D358FB">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3.1.2背板层：厚度0.6–1.0mm，与面板同材质，需具备防潮防锈处理。</w:t>
      </w:r>
    </w:p>
    <w:p w14:paraId="56A4108A">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3.1.3表面处理：氟碳喷涂，三涂两烤工艺。</w:t>
      </w:r>
    </w:p>
    <w:p w14:paraId="3B2FFFFF">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3.1.4物理性能：抗压强度≥270MPa，密度6-7kg/m³，平整度≤0.1mm。</w:t>
      </w:r>
    </w:p>
    <w:p w14:paraId="49A648DF">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3.2石英砂地板革应满足：GB/T 4085-2015（PVC卷材地板）、JG/T 547-2017（防滑地板）标准。厚度：2-3mm，需与蜂窝板结合紧密，避免脱落。‌‌</w:t>
      </w:r>
    </w:p>
    <w:p w14:paraId="5E5D379A">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4.石墨烯电热膜地板采暖系统（1套）</w:t>
      </w:r>
    </w:p>
    <w:p w14:paraId="7FDEB04A">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4.1电热转换效率：≥95%。</w:t>
      </w:r>
    </w:p>
    <w:p w14:paraId="3F832200">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4.2热导率：石墨烯材料热导率≥5300 W/(m·K)。</w:t>
      </w:r>
    </w:p>
    <w:p w14:paraId="72BE9D8F">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4.3升温速度：通电后10-30分钟地面温度≥30-40℃。</w:t>
      </w:r>
    </w:p>
    <w:p w14:paraId="0EE8D566">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4.4功率范围：270W至1400W。</w:t>
      </w:r>
    </w:p>
    <w:p w14:paraId="3C8D5577">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4.5使用寿命：设计寿命≥10年。</w:t>
      </w:r>
    </w:p>
    <w:p w14:paraId="3C3ED80F">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4.6防水：不低于IPX7级、防漏电、防过热三重保护，支持智能断电系统。</w:t>
      </w:r>
    </w:p>
    <w:p w14:paraId="24ADC041">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 xml:space="preserve">4.7安装特性，厚度：模块化设计厚度≤15cm，适配层高受限空间；裸膜厚度≤1mm，总系统厚度可控。 </w:t>
      </w:r>
    </w:p>
    <w:p w14:paraId="27F68D3A">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5.全舱智能控制系统（1套）：</w:t>
      </w:r>
    </w:p>
    <w:p w14:paraId="2E09934E">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 xml:space="preserve">5.1智能门锁：支持远程开锁、指纹识别、密码输入、蓝牙配对等多种开锁方式，可联动灯光、空调等设备，智能开关支持远程控制照明设备开关状态。 </w:t>
      </w:r>
    </w:p>
    <w:p w14:paraId="7BD17BC4">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5.2顶部空调/暖气设备：调节温度、风力、模式（如制冷/制热）等。</w:t>
      </w:r>
    </w:p>
    <w:p w14:paraId="621ADC77">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5.3智能窗帘：控制开合比例、定时开关。</w:t>
      </w:r>
    </w:p>
    <w:p w14:paraId="6EAE39C2">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5.4照明系统：亮度调节、开关控制。</w:t>
      </w:r>
    </w:p>
    <w:p w14:paraId="33FC4E58">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5.5安防系统：实时监控画面查看、报警阈值设置等。</w:t>
      </w:r>
    </w:p>
    <w:p w14:paraId="5E7CDE6E">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5.6环境监测：温湿度显示及调节目标值设定。</w:t>
      </w:r>
    </w:p>
    <w:p w14:paraId="3CC616E0">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5.7远程可控。</w:t>
      </w:r>
    </w:p>
    <w:p w14:paraId="093164B2">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6.内装材料及辅材（1套）：内装材料必须符合材料环保标准，所用材料必须符合GB 50325-2020《民用建筑工程室内环境污染控制标准》。甲醛释放量在饰面人造板材≤0.124mg/m³。水性涂料TVOC含量≤80g/L，溶剂型涂料≤20g/L。内部电线，网线，五孔插座/三孔插座/USB开关面板/室外防水插座电源/配电箱等均应符合国标。</w:t>
      </w:r>
    </w:p>
    <w:p w14:paraId="024EE522">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7.集成家具（1套）：投标人承诺按照采购人方舱设计方案要求，提供配套集成家具，并结合内装完工后的剩余空间进行量身定制，分别满足采血作业、献血人员休息使用需求。</w:t>
      </w:r>
    </w:p>
    <w:p w14:paraId="21B57FB5">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四）献血方舱设备</w:t>
      </w:r>
    </w:p>
    <w:p w14:paraId="491A2BAC">
      <w:pPr>
        <w:keepNext w:val="0"/>
        <w:keepLines w:val="0"/>
        <w:pageBreakBefore w:val="0"/>
        <w:widowControl w:val="0"/>
        <w:tabs>
          <w:tab w:val="left" w:pos="312"/>
        </w:tabs>
        <w:suppressAutoHyphens/>
        <w:kinsoku/>
        <w:wordWrap/>
        <w:overflowPunct/>
        <w:topLinePunct w:val="0"/>
        <w:autoSpaceDE/>
        <w:autoSpaceDN/>
        <w:bidi w:val="0"/>
        <w:spacing w:line="360" w:lineRule="auto"/>
        <w:ind w:left="0" w:firstLine="480" w:firstLineChars="200"/>
        <w:jc w:val="both"/>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 空气消毒机：</w:t>
      </w:r>
      <w:r>
        <w:rPr>
          <w:rFonts w:ascii="宋体" w:hAnsi="宋体" w:eastAsia="宋体" w:cs="宋体"/>
          <w:color w:val="auto"/>
          <w:kern w:val="2"/>
          <w:sz w:val="24"/>
          <w:szCs w:val="24"/>
          <w:lang w:val="en-US" w:eastAsia="zh-CN" w:bidi="ar-SA"/>
        </w:rPr>
        <w:t>1台，</w:t>
      </w:r>
      <w:r>
        <w:rPr>
          <w:rFonts w:hint="eastAsia" w:ascii="宋体" w:hAnsi="宋体" w:eastAsia="宋体" w:cs="宋体"/>
          <w:color w:val="auto"/>
          <w:kern w:val="2"/>
          <w:sz w:val="24"/>
          <w:szCs w:val="24"/>
          <w:lang w:val="en-US" w:eastAsia="zh-CN" w:bidi="ar-SA"/>
        </w:rPr>
        <w:t>壁挂式，动态连续消毒，消毒时无味无辐射，不腐蚀设备，适用体积≥120m</w:t>
      </w:r>
      <w:r>
        <w:rPr>
          <w:rFonts w:hint="eastAsia" w:ascii="宋体" w:hAnsi="宋体" w:eastAsia="宋体" w:cs="宋体"/>
          <w:color w:val="auto"/>
          <w:kern w:val="2"/>
          <w:sz w:val="24"/>
          <w:szCs w:val="24"/>
          <w:vertAlign w:val="superscript"/>
          <w:lang w:val="en-US" w:eastAsia="zh-CN" w:bidi="ar-SA"/>
        </w:rPr>
        <w:t>3</w:t>
      </w:r>
      <w:r>
        <w:rPr>
          <w:rFonts w:hint="eastAsia" w:ascii="宋体" w:hAnsi="宋体" w:eastAsia="宋体" w:cs="宋体"/>
          <w:color w:val="auto"/>
          <w:kern w:val="2"/>
          <w:sz w:val="24"/>
          <w:szCs w:val="24"/>
          <w:lang w:val="en-US" w:eastAsia="zh-CN" w:bidi="ar-SA"/>
        </w:rPr>
        <w:t>。</w:t>
      </w:r>
    </w:p>
    <w:p w14:paraId="37EEA6F4">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w:t>
      </w:r>
      <w:r>
        <w:rPr>
          <w:rFonts w:ascii="宋体" w:hAnsi="宋体" w:eastAsia="宋体" w:cs="宋体"/>
          <w:color w:val="auto"/>
          <w:kern w:val="2"/>
          <w:sz w:val="24"/>
          <w:szCs w:val="24"/>
          <w:lang w:val="en-US" w:eastAsia="zh-CN" w:bidi="ar-SA"/>
        </w:rPr>
        <w:t>生活</w:t>
      </w:r>
      <w:r>
        <w:rPr>
          <w:rFonts w:hint="eastAsia" w:ascii="宋体" w:hAnsi="宋体" w:eastAsia="宋体" w:cs="宋体"/>
          <w:color w:val="auto"/>
          <w:kern w:val="2"/>
          <w:sz w:val="24"/>
          <w:szCs w:val="24"/>
          <w:lang w:val="en-US" w:eastAsia="zh-CN" w:bidi="ar-SA"/>
        </w:rPr>
        <w:t>冰箱（1台）：电压：220v，频率：50Hz,防触电，保护类别：不低于I类，总容积：≥100L，冷冻室容积：≥20L，冷藏室容积：≥80L。</w:t>
      </w:r>
    </w:p>
    <w:p w14:paraId="23CF5DE2">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3.微波炉（1台）：电压：220v，频率：50Hz,额定输入功率：≥1200W，微波输出功率：≥700W，额定微波频率：2450MHz。</w:t>
      </w:r>
    </w:p>
    <w:p w14:paraId="3C2C4391">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4.饮料柜（1台）：电压：220v，频率：50Hz，容量≥40L,温度范围：≥35-55℃。</w:t>
      </w:r>
    </w:p>
    <w:p w14:paraId="43CABFB2">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5.饮水机（1台）：额定电压：220v，频率50Hz，制热功率≥550W，制冷功率≥70W，制冷水能力≤15℃（0.5L/h）,使用环境温度10℃-50℃，使用环境湿度≤90℃，制热水能力≥90℃（5L/h）。</w:t>
      </w:r>
    </w:p>
    <w:p w14:paraId="6147E29F">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6.中央空调及新风系统（1套）：额定电压：220V或380v，频率50Hz，额定制冷容量≥20KW,额定制热量容量≥22.4KW。</w:t>
      </w:r>
    </w:p>
    <w:p w14:paraId="35A83EC9">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7.监控系统：</w:t>
      </w:r>
    </w:p>
    <w:p w14:paraId="49571750">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7.1企业级模块化路由器（1台）：</w:t>
      </w:r>
    </w:p>
    <w:p w14:paraId="303A9E8C">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7.1.1固定接口：3×GE（含1×Combo光电复用接口），≥2个USB 2.0端口，≥1个Mini-USB控制台端口，≥1个串行辅助。</w:t>
      </w:r>
    </w:p>
    <w:p w14:paraId="4CEF1272">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7.1.2扩展插槽：SIC插槽≥4个，支持FE、GE、EPON/GPON、3G/LTE等多种接口模块。</w:t>
      </w:r>
    </w:p>
    <w:p w14:paraId="2E24DD28">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7.2硬盘录像机（1台）：</w:t>
      </w:r>
    </w:p>
    <w:p w14:paraId="6F2C0159">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7.2.1前智能分析：支持前智能人脸检测、人脸识别、周界防范、智能动检、立体行为分析、人群分布、人数统计、车牌识别功能。</w:t>
      </w:r>
    </w:p>
    <w:p w14:paraId="34DA89FD">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7.2.2周界前智能性能（路数）：全通道（最大处理6个事件/秒）。</w:t>
      </w:r>
    </w:p>
    <w:p w14:paraId="28E2F58D">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7.2.3人脸识别前智能性能（路数）：全通道（最大处理6个事件/秒）。</w:t>
      </w:r>
    </w:p>
    <w:p w14:paraId="22EFBDA3">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7.2.4接入路数：≥8路。</w:t>
      </w:r>
    </w:p>
    <w:p w14:paraId="7D219A98">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7.2.5分辨率：支持12MP；8MP；6MP；5MP；4MP；3MP；1080p；720p；960p；D1；CIF；QCIF等。</w:t>
      </w:r>
    </w:p>
    <w:p w14:paraId="7B2AF0BF">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7.2.6报警输入：≥4路；报警输出：≥2路。</w:t>
      </w:r>
    </w:p>
    <w:p w14:paraId="178F4150">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▲7.2.7硬盘接口：≥4个；SATA，单盘：≥20T。</w:t>
      </w:r>
    </w:p>
    <w:p w14:paraId="23B93249">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7.2.8网络接口：≥2个（10M/100M/1000M以太网口，RJ-45）。</w:t>
      </w:r>
    </w:p>
    <w:p w14:paraId="595DC9B5">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7.3半球摄像机（≥8个）</w:t>
      </w:r>
    </w:p>
    <w:p w14:paraId="0CBC7914">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7.3.1传感器类型：1/3英寸CMOS。</w:t>
      </w:r>
    </w:p>
    <w:p w14:paraId="3E71E7E8">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7.3.2像素：≥400万。</w:t>
      </w:r>
    </w:p>
    <w:p w14:paraId="5A8B8990">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7.3.3最大分辨率：≥2560×1440。</w:t>
      </w:r>
    </w:p>
    <w:p w14:paraId="769A815D">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7.3.4补光灯：1颗红外灯。</w:t>
      </w:r>
    </w:p>
    <w:p w14:paraId="55CD6110">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7.3.5镜头类型：定焦。</w:t>
      </w:r>
    </w:p>
    <w:p w14:paraId="68232E1C">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7.3.6镜头焦距：≥3.6mm。</w:t>
      </w:r>
    </w:p>
    <w:p w14:paraId="7BC97ABA">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7.3.7镜头光圈：F2.0。</w:t>
      </w:r>
    </w:p>
    <w:p w14:paraId="464B4C4A">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7.3.8智能编码：支持H.264；支持H.265；支持宽动态；支持内置MIC。</w:t>
      </w:r>
    </w:p>
    <w:p w14:paraId="3C22AEF9">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7.3.9报警事件：网络断开；IP冲突；非法访问；动态检测；视频遮挡；音频异常侦测；安全异常。</w:t>
      </w:r>
    </w:p>
    <w:p w14:paraId="1C34569C">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7.3.10预览用户数：≥6个（总带宽：≥24M）。</w:t>
      </w:r>
    </w:p>
    <w:p w14:paraId="399B6259">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7.3.11供电方式：DC12V/PoE。</w:t>
      </w:r>
    </w:p>
    <w:p w14:paraId="4057BF6C">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7.3.12防护等级：不低于IP67；外壳防护等级：不低于IK10。</w:t>
      </w:r>
    </w:p>
    <w:p w14:paraId="72C8D846">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7.4机械硬盘（2块）：单盘容量：≥4TB；缓存：≥256MB；转速：≥5400RPM；硬盘接口：SATA。</w:t>
      </w:r>
    </w:p>
    <w:p w14:paraId="03BA2DE6">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7.5 POE交换机（1台）：</w:t>
      </w:r>
    </w:p>
    <w:p w14:paraId="4C9BE646">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7.5.1交换容量：≥128Gbps。</w:t>
      </w:r>
    </w:p>
    <w:p w14:paraId="14C415AC">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7.5.2包转发率：≥30Mpps。</w:t>
      </w:r>
    </w:p>
    <w:p w14:paraId="3982498B">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7.5.3业务端口：≥16个10/100BASE-T电口(PoE)、≥2个10/100/1000BASE-T电口(Combo)、≥2个1000BASE-X SFP端口环网协议支持STP、RSTP。</w:t>
      </w:r>
    </w:p>
    <w:p w14:paraId="3B6927E6">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7.5.4支持VLAN功能。</w:t>
      </w:r>
    </w:p>
    <w:p w14:paraId="701714C0">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7.5.5链路聚合。</w:t>
      </w:r>
    </w:p>
    <w:p w14:paraId="60211D83">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7.5.6设备管理：WEB管理、APP管理。</w:t>
      </w:r>
    </w:p>
    <w:p w14:paraId="58A9FA57">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7.5.7供电方式：100～240VAC。</w:t>
      </w:r>
    </w:p>
    <w:p w14:paraId="42FA3CFA">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7.5.8空载功耗：≤6W。</w:t>
      </w:r>
    </w:p>
    <w:p w14:paraId="460DC9E7">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7.5.9散热方式：内置风扇散热。</w:t>
      </w:r>
    </w:p>
    <w:p w14:paraId="3AF39582">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7.5.10安装方式：桌面式、机架式安装。</w:t>
      </w:r>
    </w:p>
    <w:p w14:paraId="722A3384">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7.6网卡（1个）：三网通,支持APP控制，无线速率：≥150M，卡插卡，非机卡绑定,含一年流量每月≥2000G。</w:t>
      </w:r>
    </w:p>
    <w:p w14:paraId="7D45A118">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8.宣传拼接屏</w:t>
      </w:r>
    </w:p>
    <w:p w14:paraId="6085DB3E">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8.1室内宣传拼接屏（1套）：</w:t>
      </w:r>
    </w:p>
    <w:p w14:paraId="23C032B9">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8.1.1观看距离：3-5米。</w:t>
      </w:r>
    </w:p>
    <w:p w14:paraId="399B7C5B">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8.1.2亮度范围：300-1000cd/㎡，对比度：≥10000:1。</w:t>
      </w:r>
    </w:p>
    <w:p w14:paraId="4A022362">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8.1.3功耗：平均12-350W/㎡。</w:t>
      </w:r>
    </w:p>
    <w:p w14:paraId="774965C7">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8.1.4散热设计‌：压铸铝合金箱体，无风扇静音结构。</w:t>
      </w:r>
    </w:p>
    <w:p w14:paraId="0575CA2E">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8.1.5防护等级：不低于IP20（仅防尘）。</w:t>
      </w:r>
    </w:p>
    <w:p w14:paraId="4C1B7E30">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8.1.6寿命：≥100,000小时。</w:t>
      </w:r>
    </w:p>
    <w:p w14:paraId="699B7EC4">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8.1.7盲点率：出厂时＜0.0003%。</w:t>
      </w:r>
    </w:p>
    <w:p w14:paraId="6C7C902D">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8.2室外宣传拼接屏（1套）</w:t>
      </w:r>
    </w:p>
    <w:p w14:paraId="5F4A6B9C">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8.2.1亮度与可视性：白平衡亮度≥5000cd/㎡，可视角度水平。≥100°-170°，垂直≥100°-140°，最佳视距离≥3米。</w:t>
      </w:r>
    </w:p>
    <w:p w14:paraId="05C668CB">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8.2.2全屏为全彩屏，色彩与刷新：支持16.7M全彩显示，灰度等级不低于256级，对比度≥6000:1。</w:t>
      </w:r>
    </w:p>
    <w:p w14:paraId="777E83A8">
      <w:pPr>
        <w:keepNext w:val="0"/>
        <w:keepLines w:val="0"/>
        <w:pageBreakBefore w:val="0"/>
        <w:widowControl w:val="0"/>
        <w:suppressAutoHyphens/>
        <w:kinsoku/>
        <w:wordWrap/>
        <w:overflowPunct/>
        <w:topLinePunct w:val="0"/>
        <w:autoSpaceDE/>
        <w:autoSpaceDN/>
        <w:bidi w:val="0"/>
        <w:spacing w:line="360" w:lineRule="auto"/>
        <w:ind w:left="0" w:firstLine="480" w:firstLineChars="200"/>
        <w:contextualSpacing/>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8.2.3电气与环境适应性：功耗与电压，峰值功耗≤800W/㎡，平均功耗≤240W。</w:t>
      </w:r>
    </w:p>
    <w:p w14:paraId="16D3BB13">
      <w:pPr>
        <w:keepNext w:val="0"/>
        <w:keepLines w:val="0"/>
        <w:pageBreakBefore w:val="0"/>
        <w:widowControl w:val="0"/>
        <w:suppressAutoHyphens/>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8.2.4防护等级：防水防尘不低于IP65，工作温度范围-20℃至+60℃。</w:t>
      </w:r>
    </w:p>
    <w:p w14:paraId="104DB15C">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9.外接电源</w:t>
      </w:r>
      <w:bookmarkStart w:id="3" w:name="OLE_LINK5"/>
      <w:bookmarkStart w:id="4" w:name="OLE_LINK3"/>
      <w:r>
        <w:rPr>
          <w:rFonts w:hint="eastAsia" w:ascii="宋体" w:hAnsi="宋体" w:eastAsia="宋体" w:cs="宋体"/>
          <w:sz w:val="24"/>
          <w:szCs w:val="32"/>
          <w:lang w:val="en-US" w:eastAsia="zh-CN"/>
        </w:rPr>
        <w:t>：设置16A电源插座，用于户外照明及音响等设备用电，电源盒嵌入舱体，外开盖板门有安全锁。</w:t>
      </w:r>
    </w:p>
    <w:p w14:paraId="5433DA73">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eastAsia="zh-CN"/>
        </w:rPr>
      </w:pPr>
      <w:r>
        <w:rPr>
          <w:rFonts w:hint="eastAsia" w:ascii="宋体" w:hAnsi="宋体" w:eastAsia="宋体" w:cs="宋体"/>
          <w:sz w:val="24"/>
          <w:szCs w:val="32"/>
          <w:lang w:val="en-US" w:eastAsia="zh-CN"/>
        </w:rPr>
        <w:t>五）</w:t>
      </w:r>
      <w:r>
        <w:rPr>
          <w:rFonts w:hint="eastAsia" w:ascii="宋体" w:hAnsi="宋体" w:eastAsia="宋体" w:cs="宋体"/>
          <w:sz w:val="24"/>
          <w:szCs w:val="32"/>
          <w:lang w:eastAsia="zh-CN"/>
        </w:rPr>
        <w:t>血液采集设备</w:t>
      </w:r>
    </w:p>
    <w:p w14:paraId="79BA5333">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1.身份证自动识别器（1套）</w:t>
      </w:r>
    </w:p>
    <w:p w14:paraId="1FC3A271">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1.1血液采集过程中献血者身份信息录入， 自动识别二代身份证真伪，核查献血员身份信息,身份证异常情况可提示报警。</w:t>
      </w:r>
    </w:p>
    <w:p w14:paraId="52E958C5">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1.2二代身份证识别系统结合采购人现使用的业务系统使用，能够实时将体检、采血信息回传至数据库</w:t>
      </w:r>
      <w:r>
        <w:rPr>
          <w:rFonts w:ascii="宋体" w:hAnsi="宋体" w:eastAsia="宋体" w:cs="宋体"/>
          <w:sz w:val="24"/>
          <w:szCs w:val="32"/>
          <w:lang w:val="en-US" w:eastAsia="zh-CN"/>
        </w:rPr>
        <w:t>，中标人负责系统接入及因此产生的相关费用</w:t>
      </w:r>
      <w:r>
        <w:rPr>
          <w:rFonts w:hint="eastAsia" w:ascii="宋体" w:hAnsi="宋体" w:eastAsia="宋体" w:cs="宋体"/>
          <w:sz w:val="24"/>
          <w:szCs w:val="32"/>
          <w:lang w:val="en-US" w:eastAsia="zh-CN"/>
        </w:rPr>
        <w:t>。</w:t>
      </w:r>
    </w:p>
    <w:p w14:paraId="52AB35BD">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1.3身份证自动识别系统适用于站内采血、站外采血车以及固定采血点多种采血模式。</w:t>
      </w:r>
    </w:p>
    <w:p w14:paraId="5B93B2CF">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1.4 5秒内即可识别、录入、保存身份证全部信息。</w:t>
      </w:r>
    </w:p>
    <w:p w14:paraId="68E21B55">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1.5能够自动识别数据端口，无需另配电源的产品。</w:t>
      </w:r>
    </w:p>
    <w:p w14:paraId="2D16AAAA">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1.6不用工具就可进行安全模块拆卸和更换。</w:t>
      </w:r>
    </w:p>
    <w:p w14:paraId="22FD2C21">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1.7加入电源保护开关设置的二代证阅读（验证）产品。</w:t>
      </w:r>
    </w:p>
    <w:p w14:paraId="6979A877">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1.8检测安全模块状态，获取安全模块 ID 号、获取身份证芯片SN号。</w:t>
      </w:r>
    </w:p>
    <w:p w14:paraId="4B1BDFAA">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2.扫码枪</w:t>
      </w:r>
      <w:r>
        <w:rPr>
          <w:rFonts w:hint="eastAsia" w:ascii="宋体" w:hAnsi="宋体" w:cs="宋体"/>
          <w:sz w:val="24"/>
          <w:szCs w:val="32"/>
        </w:rPr>
        <w:t>（2把）</w:t>
      </w:r>
    </w:p>
    <w:p w14:paraId="12E41476">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2.1扫描精度：3-4mil。</w:t>
      </w:r>
    </w:p>
    <w:p w14:paraId="15C1F54E">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2.2抗震能力：1-1.5M。</w:t>
      </w:r>
    </w:p>
    <w:p w14:paraId="1F2EF42E">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2.3像素≥30万。</w:t>
      </w:r>
    </w:p>
    <w:p w14:paraId="164F9BC5">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2.4扫描介质：纸质、屏幕、薄膜。</w:t>
      </w:r>
    </w:p>
    <w:p w14:paraId="7913B605">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3.PDA手持终端</w:t>
      </w:r>
      <w:r>
        <w:rPr>
          <w:rFonts w:hint="eastAsia" w:ascii="宋体" w:hAnsi="宋体" w:cs="宋体"/>
          <w:sz w:val="24"/>
          <w:szCs w:val="32"/>
          <w:lang w:val="en-US" w:eastAsia="zh-CN"/>
        </w:rPr>
        <w:t>（6台）</w:t>
      </w:r>
    </w:p>
    <w:p w14:paraId="3FAD0FE8">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3.1处理器：八核处理器，频率≥2.3GHZ。</w:t>
      </w:r>
    </w:p>
    <w:p w14:paraId="206B040E">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3.2 内存：运行内存≥4GB  RAM，储存内存≥64GB  ROM，支持用户存储扩展。</w:t>
      </w:r>
    </w:p>
    <w:p w14:paraId="1910965A">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3.3续航能力：可充电的锂离子电池，容量≥4500mAh ，工作时间≥10 小时，Type-C 接口，支持OTG。</w:t>
      </w:r>
    </w:p>
    <w:p w14:paraId="0323BAB0">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3.4屏幕尺寸≥5.0英寸， 电容多点触控，支持戴手套/带水触摸；分辨率≥1280*720。</w:t>
      </w:r>
    </w:p>
    <w:p w14:paraId="2811402A">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3.5支持扫描二维码自动连接进入采购人现有使用系统的服务地址</w:t>
      </w:r>
      <w:r>
        <w:rPr>
          <w:rFonts w:ascii="宋体" w:hAnsi="宋体" w:eastAsia="宋体" w:cs="宋体"/>
          <w:sz w:val="24"/>
          <w:szCs w:val="32"/>
          <w:lang w:val="en-US" w:eastAsia="zh-CN"/>
        </w:rPr>
        <w:t>，中标人负责系统接入及因此产生的相关费用</w:t>
      </w:r>
      <w:r>
        <w:rPr>
          <w:rFonts w:hint="eastAsia" w:ascii="宋体" w:hAnsi="宋体" w:eastAsia="宋体" w:cs="宋体"/>
          <w:sz w:val="24"/>
          <w:szCs w:val="32"/>
          <w:lang w:val="en-US" w:eastAsia="zh-CN"/>
        </w:rPr>
        <w:t>。</w:t>
      </w:r>
    </w:p>
    <w:p w14:paraId="68C0A7FC">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3.6支持扫码，核对献血者基本信息（照片、性别、血型、证件号等信息）。</w:t>
      </w:r>
    </w:p>
    <w:p w14:paraId="4F9AEB4F">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4.打印机(存折证书针式打印机</w:t>
      </w:r>
      <w:r>
        <w:rPr>
          <w:rFonts w:hint="eastAsia" w:ascii="宋体" w:hAnsi="宋体" w:cs="宋体"/>
          <w:sz w:val="24"/>
          <w:szCs w:val="32"/>
          <w:lang w:val="en-US" w:eastAsia="zh-CN"/>
        </w:rPr>
        <w:t>）（</w:t>
      </w:r>
      <w:r>
        <w:rPr>
          <w:rFonts w:ascii="宋体" w:hAnsi="宋体" w:eastAsia="宋体" w:cs="宋体"/>
          <w:sz w:val="24"/>
          <w:szCs w:val="32"/>
          <w:lang w:val="en-US" w:eastAsia="zh-CN"/>
        </w:rPr>
        <w:t>1台</w:t>
      </w:r>
      <w:r>
        <w:rPr>
          <w:rFonts w:hint="eastAsia" w:ascii="宋体" w:hAnsi="宋体" w:eastAsia="宋体" w:cs="宋体"/>
          <w:sz w:val="24"/>
          <w:szCs w:val="32"/>
          <w:lang w:val="en-US" w:eastAsia="zh-CN"/>
        </w:rPr>
        <w:t>)</w:t>
      </w:r>
    </w:p>
    <w:p w14:paraId="0C4E5E1C">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4.1无故障使用≥10000小时。</w:t>
      </w:r>
    </w:p>
    <w:p w14:paraId="7B2FC183">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4.2速度：≥3英寸/秒。</w:t>
      </w:r>
    </w:p>
    <w:p w14:paraId="539456B6">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4.3接口：USB接口。</w:t>
      </w:r>
    </w:p>
    <w:p w14:paraId="14FDB935">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4.4列宽：≥50列。</w:t>
      </w:r>
    </w:p>
    <w:p w14:paraId="3424EC8D">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4.5支持尺寸为：≥75mm（L）*100mm（H）</w:t>
      </w:r>
    </w:p>
    <w:p w14:paraId="2C5889AF">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5.全血采血椅</w:t>
      </w:r>
      <w:r>
        <w:rPr>
          <w:rFonts w:hint="eastAsia" w:ascii="宋体" w:hAnsi="宋体" w:cs="宋体"/>
          <w:sz w:val="24"/>
          <w:szCs w:val="32"/>
          <w:lang w:val="en-US" w:eastAsia="zh-CN"/>
        </w:rPr>
        <w:t>（4个）</w:t>
      </w:r>
    </w:p>
    <w:p w14:paraId="164F653F">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具备良好的人体工程学设计，下方腿部可以抬起，两侧扶手设计需符合人体工程学，支持高度、角度调节，实现半卧位、侧卧位采血。稳固性强，座位承重≥180kg，且在使用过程中无晃动、位移现象。材质应易清洁、消毒，防止交叉感染，表面皮革舒适柔软，符合人体工程学原理，采用防水、抗菌的皮革材质。电源电压：AC 220V 50Hz，电源需配备防触电保护装置，电机电压≤24V，确保操作安全，功率：≤250W，带USB插口。</w:t>
      </w:r>
    </w:p>
    <w:p w14:paraId="1C4BDDDE">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6.全自动生化仪（1台）</w:t>
      </w:r>
    </w:p>
    <w:p w14:paraId="254EE27B">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6.1测试范围：丙氨酸氨基转移酶(ALT)活性、血红蛋白(HB)浓度、乳糜血(CB)程度和溶血率（HR），同时具备全自动生化分析仪各项检测功能。</w:t>
      </w:r>
    </w:p>
    <w:p w14:paraId="28E6F83B">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6.2分析方法：一点终点法、两点终点法、速率法、固定时间法、免疫透射比浊法等。</w:t>
      </w:r>
    </w:p>
    <w:p w14:paraId="58915129">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6.3检测通道：8通道，具备8个独立检测通道，可同时完成ALT、HB、CB、HR等项目检测。</w:t>
      </w:r>
    </w:p>
    <w:p w14:paraId="17651165">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6.4波长：340nm～600nm。</w:t>
      </w:r>
    </w:p>
    <w:p w14:paraId="3461966E">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★6.5一次性比色杯、分立式比色，无交叉污染。</w:t>
      </w:r>
    </w:p>
    <w:p w14:paraId="5DC2BC63">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6.6检测样本类型：末梢血、静脉血。</w:t>
      </w:r>
    </w:p>
    <w:p w14:paraId="4A6445FE">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6.7加样系统：具备液面感应功能。加样针采用</w:t>
      </w:r>
      <w:r>
        <w:rPr>
          <w:rFonts w:ascii="宋体" w:hAnsi="宋体" w:eastAsia="宋体" w:cs="宋体"/>
          <w:sz w:val="24"/>
          <w:szCs w:val="32"/>
          <w:lang w:val="en-US" w:eastAsia="zh-CN"/>
        </w:rPr>
        <w:t>防粘</w:t>
      </w:r>
      <w:r>
        <w:rPr>
          <w:rFonts w:hint="eastAsia" w:ascii="宋体" w:hAnsi="宋体" w:eastAsia="宋体" w:cs="宋体"/>
          <w:sz w:val="24"/>
          <w:szCs w:val="32"/>
          <w:lang w:val="en-US" w:eastAsia="zh-CN"/>
        </w:rPr>
        <w:t>涂层，</w:t>
      </w:r>
      <w:r>
        <w:rPr>
          <w:rFonts w:ascii="宋体" w:hAnsi="宋体" w:eastAsia="宋体" w:cs="宋体"/>
          <w:sz w:val="24"/>
          <w:szCs w:val="32"/>
          <w:lang w:val="en-US" w:eastAsia="zh-CN"/>
        </w:rPr>
        <w:t>抗酸碱、耐热，</w:t>
      </w:r>
      <w:r>
        <w:rPr>
          <w:rFonts w:hint="eastAsia" w:ascii="宋体" w:hAnsi="宋体" w:eastAsia="宋体" w:cs="宋体"/>
          <w:sz w:val="24"/>
          <w:szCs w:val="32"/>
          <w:lang w:val="en-US" w:eastAsia="zh-CN"/>
        </w:rPr>
        <w:t>具有极佳的疏水性。采用立体内外壁清洗技术，自动维护清洗。</w:t>
      </w:r>
    </w:p>
    <w:p w14:paraId="621AAB59">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6.8操作系统：全中文图形化界面，≥7英寸彩色触摸屏。中、英文显示界面，具有查询功能，全程反应曲线监测和数据显示功能；中英文报告单；</w:t>
      </w:r>
    </w:p>
    <w:p w14:paraId="28FAA48D">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6.9恒温系统:37±0.1℃，温度实时显示。</w:t>
      </w:r>
    </w:p>
    <w:p w14:paraId="61C0466B">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★6.10质控分析：检测结果可自动形成质控图，具备统计分析功能。</w:t>
      </w:r>
    </w:p>
    <w:p w14:paraId="502C8346">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6.11数据处理：具备条码扫描、显示、储存、传输、打印功能，可保存≥10万个检测结果、随时查询；具备数据统计功能，选择时间区间，可查看统计图。</w:t>
      </w:r>
    </w:p>
    <w:p w14:paraId="21E138CB">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6.12报警提示功能：具备少样本、纯水不足等报警提示功能。</w:t>
      </w:r>
    </w:p>
    <w:p w14:paraId="7C560773">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6.13配套试剂盒</w:t>
      </w:r>
    </w:p>
    <w:p w14:paraId="722B0D2A">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配套ALT、HB试剂盒，试剂包装采用热压封膜预分装单包装试剂，密封性好，无挥发，无泄漏。</w:t>
      </w:r>
    </w:p>
    <w:p w14:paraId="720A6872">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7.自动采血系统（1套）</w:t>
      </w:r>
    </w:p>
    <w:p w14:paraId="273C32A9">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▲7.1设备总宽度尺寸≤350mm，符合献血屋和献血车的安装空间要求。</w:t>
      </w:r>
    </w:p>
    <w:p w14:paraId="6330C935">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7.2系统支持采血位一体化模式，也可支持两台单个全血采血位拼装模式，独立运行，互不干扰。 </w:t>
      </w:r>
    </w:p>
    <w:p w14:paraId="04C52AB9">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7.3系统具备集条码核对、导管热合、针头处理、信息登记等一体功能。 </w:t>
      </w:r>
    </w:p>
    <w:p w14:paraId="4A11134D">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7.4设备具备对献血登记码、血袋标签码、各留样管码的标签进行自动核对功能。 </w:t>
      </w:r>
    </w:p>
    <w:p w14:paraId="3B86985D">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7.5设备具备主针头自动留样功能与无遮挡横排试管架，试管架横排放置≥4支标本管，同时具备灯光辅助判别标本管留样是否足量功能，支持4mL-8mL留样标本管。</w:t>
      </w:r>
    </w:p>
    <w:p w14:paraId="08B9583F">
      <w:pPr>
        <w:keepNext w:val="0"/>
        <w:keepLines w:val="0"/>
        <w:pageBreakBefore w:val="0"/>
        <w:widowControl w:val="0"/>
        <w:kinsoku/>
        <w:wordWrap/>
        <w:overflowPunct/>
        <w:topLinePunct w:val="0"/>
        <w:autoSpaceDE/>
        <w:autoSpaceDN/>
        <w:bidi w:val="0"/>
        <w:adjustRightInd/>
        <w:snapToGrid/>
        <w:spacing w:line="360" w:lineRule="auto"/>
        <w:ind w:left="719" w:leftChars="228" w:hanging="240" w:hangingChars="1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 7.6设备具备机械手自动抓取、自行拉断分离针头，自动丢弃针头到锐器盒功能。7.7系统具备可视化自动摇匀标本管功能。</w:t>
      </w:r>
    </w:p>
    <w:p w14:paraId="05DFE9B9">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 7.8系统自动留样过程中，具有自动控制血液留样速度功能。</w:t>
      </w:r>
    </w:p>
    <w:p w14:paraId="1AF982A2">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 7.9系统具有采血登记信息数据存储管理功能，储存容量支持≥100万条采血登记信息。</w:t>
      </w:r>
    </w:p>
    <w:p w14:paraId="235D249B">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 ▲7.10采血主针头自动热合断离过程中，具备对连接主针头的血袋导管进行连续两道自动热合功能，两个热合口的间距≤4cm。（提供第三方检测机构出具的功能检测报告）</w:t>
      </w:r>
    </w:p>
    <w:p w14:paraId="59ED7A9B">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ascii="宋体" w:hAnsi="宋体" w:eastAsia="宋体" w:cs="宋体"/>
          <w:sz w:val="24"/>
          <w:szCs w:val="32"/>
          <w:lang w:val="en-US" w:eastAsia="zh-CN"/>
        </w:rPr>
      </w:pPr>
      <w:r>
        <w:rPr>
          <w:rFonts w:hint="eastAsia" w:ascii="宋体" w:hAnsi="宋体" w:eastAsia="宋体" w:cs="宋体"/>
          <w:sz w:val="24"/>
          <w:szCs w:val="32"/>
          <w:lang w:val="en-US" w:eastAsia="zh-CN"/>
        </w:rPr>
        <w:t>▲7.11设备</w:t>
      </w:r>
      <w:r>
        <w:rPr>
          <w:rFonts w:ascii="宋体" w:hAnsi="宋体" w:eastAsia="宋体" w:cs="宋体"/>
          <w:sz w:val="24"/>
          <w:szCs w:val="32"/>
          <w:lang w:val="en-US" w:eastAsia="zh-CN"/>
        </w:rPr>
        <w:t>提供开放数据接口，可</w:t>
      </w:r>
      <w:r>
        <w:rPr>
          <w:rFonts w:hint="eastAsia" w:ascii="宋体" w:hAnsi="宋体" w:eastAsia="宋体" w:cs="宋体"/>
          <w:sz w:val="24"/>
          <w:szCs w:val="32"/>
          <w:lang w:val="en-US" w:eastAsia="zh-CN"/>
        </w:rPr>
        <w:t>实现与血站业务系统对接，自动提取相关信息，并能上传采血数据至业务系统</w:t>
      </w:r>
      <w:r>
        <w:rPr>
          <w:rFonts w:ascii="宋体" w:hAnsi="宋体" w:eastAsia="宋体" w:cs="宋体"/>
          <w:sz w:val="24"/>
          <w:szCs w:val="32"/>
          <w:lang w:val="en-US" w:eastAsia="zh-CN"/>
        </w:rPr>
        <w:t>，中标人负责系统接入及因此产生的相关费用</w:t>
      </w:r>
      <w:r>
        <w:rPr>
          <w:rFonts w:hint="eastAsia" w:ascii="宋体" w:hAnsi="宋体" w:eastAsia="宋体" w:cs="宋体"/>
          <w:sz w:val="24"/>
          <w:szCs w:val="32"/>
          <w:lang w:val="en-US" w:eastAsia="zh-CN"/>
        </w:rPr>
        <w:t>。</w:t>
      </w:r>
      <w:r>
        <w:rPr>
          <w:rFonts w:hint="eastAsia" w:ascii="宋体" w:hAnsi="宋体" w:cs="宋体"/>
          <w:sz w:val="24"/>
          <w:szCs w:val="32"/>
          <w:lang w:val="en-US" w:eastAsia="zh-CN"/>
        </w:rPr>
        <w:t>（提供承诺书并加盖投标人公章）</w:t>
      </w:r>
    </w:p>
    <w:p w14:paraId="5928EF18">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▲7.12系统具备锐器盒盒盖自动开启和关闭功能，具有监测其容纳情况及提醒功能。</w:t>
      </w:r>
    </w:p>
    <w:p w14:paraId="3C0B3AB4">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7.13设备支持系统主屏幕对采血秤的工作控制。采血秤放置平台可兼容体积适宜的其他品牌采血秤使用。</w:t>
      </w:r>
    </w:p>
    <w:p w14:paraId="23A82AB2">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7.14设备具备机械手，可自动打开和关闭一次性塑料针头回收盒盖，无需手动加盖锐器盒，无暴露风险，同时具备针头回收盒针头容纳数量的统计及更换提醒功能。 </w:t>
      </w:r>
    </w:p>
    <w:p w14:paraId="58EEC6C4">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7.15设备具备伸缩采血秤放置平台，放置平台长宽尺寸≥400*230mm。 </w:t>
      </w:r>
    </w:p>
    <w:p w14:paraId="3B8B63E4">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7.16质保期内提供全面的原厂售后服务，问题响应时间≤2小时，到现场时间≤48小时。</w:t>
      </w:r>
    </w:p>
    <w:p w14:paraId="6CD5830B">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 xml:space="preserve">7.17提供科室工作人员培训≥2次。 </w:t>
      </w:r>
    </w:p>
    <w:p w14:paraId="3DB1029E">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8.献血征询体检一体机（1台）</w:t>
      </w:r>
    </w:p>
    <w:p w14:paraId="4F537CFB">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8.1设备具有一体化设计，具备测量血压、健康征询及血容量测评的功能。</w:t>
      </w:r>
    </w:p>
    <w:p w14:paraId="5AA467B5">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8.2血压计测量范围：0mmHg～300mmHg ，测量精度： ±2mmHg；脉搏测量范围：30～200(次/分) ，测量精度： ±2%。</w:t>
      </w:r>
    </w:p>
    <w:p w14:paraId="7309DA0E">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8.3.设备具有液晶触摸屏，屏幕尺寸≥15英寸。</w:t>
      </w:r>
    </w:p>
    <w:p w14:paraId="23061223">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8.4设备具有读取身份证信息及扫描献血预约二维码功能，对接采购人现使用的业务系统，自动填入献血征询表。</w:t>
      </w:r>
    </w:p>
    <w:p w14:paraId="47207A5D">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8.5设备具有屏幕填写献血征询表问答题功能，</w:t>
      </w:r>
      <w:r>
        <w:rPr>
          <w:rFonts w:ascii="宋体" w:hAnsi="宋体" w:eastAsia="宋体" w:cs="宋体"/>
          <w:sz w:val="24"/>
          <w:szCs w:val="32"/>
          <w:lang w:val="en-US" w:eastAsia="zh-CN"/>
        </w:rPr>
        <w:t>开放数据接口，可</w:t>
      </w:r>
      <w:r>
        <w:rPr>
          <w:rFonts w:hint="eastAsia" w:ascii="宋体" w:hAnsi="宋体" w:eastAsia="宋体" w:cs="宋体"/>
          <w:sz w:val="24"/>
          <w:szCs w:val="32"/>
          <w:lang w:val="en-US" w:eastAsia="zh-CN"/>
        </w:rPr>
        <w:t>对接采购人现使用的业务系统， 自动填入献血征询表，可匹配采购人现使用业务系统升级</w:t>
      </w:r>
      <w:r>
        <w:rPr>
          <w:rFonts w:ascii="宋体" w:hAnsi="宋体" w:eastAsia="宋体" w:cs="宋体"/>
          <w:sz w:val="24"/>
          <w:szCs w:val="32"/>
          <w:lang w:val="en-US" w:eastAsia="zh-CN"/>
        </w:rPr>
        <w:t>，中标人负责系统接入及因此产生的相关费用</w:t>
      </w:r>
      <w:r>
        <w:rPr>
          <w:rFonts w:hint="eastAsia" w:ascii="宋体" w:hAnsi="宋体" w:eastAsia="宋体" w:cs="宋体"/>
          <w:sz w:val="24"/>
          <w:szCs w:val="32"/>
          <w:lang w:val="en-US" w:eastAsia="zh-CN"/>
        </w:rPr>
        <w:t>。</w:t>
      </w:r>
    </w:p>
    <w:p w14:paraId="11B2BBCC">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8.6设备具有右臂袖筒式血压计可自动前后移动≥15cm。</w:t>
      </w:r>
    </w:p>
    <w:p w14:paraId="31AA211B">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8.7设备具有右臂袖筒式血压计可自动升降移动≥10cm。</w:t>
      </w:r>
    </w:p>
    <w:p w14:paraId="146C368C">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8.8设备右臂袖筒式血压计可水平旋转≥20 °,自适应人体坐姿状态下手臂角度。</w:t>
      </w:r>
    </w:p>
    <w:p w14:paraId="1002F42E">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8.9设备整机具备称重与座椅一体化设计，满足体重测量功能，无需额外连接称重模块或座椅。</w:t>
      </w:r>
    </w:p>
    <w:p w14:paraId="1EA38B4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8.10设备具有一体化称重座椅具备导轨式前后移动收纳的功能，收纳后设备深度尺寸≤850mm。</w:t>
      </w:r>
    </w:p>
    <w:p w14:paraId="2C903D21">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8.11设备具有打印功能，可打印献血登记表等。</w:t>
      </w:r>
    </w:p>
    <w:p w14:paraId="1961C3FE">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8.12设备具有内置标签打印机，可打印献血排队号等。</w:t>
      </w:r>
    </w:p>
    <w:p w14:paraId="62F36D99">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8.13设备实现与采购人现使用的业务系统无缝对接，自动提取相关信息，并能上传采血数据至现使用的业务系统。</w:t>
      </w:r>
    </w:p>
    <w:p w14:paraId="05808CF6">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9.医用血液冷藏箱（1台）</w:t>
      </w:r>
    </w:p>
    <w:p w14:paraId="7BD62A89">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9.1具有数字显示功能；</w:t>
      </w:r>
    </w:p>
    <w:p w14:paraId="7B6A0BA7">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9.2箱内温度2℃-8℃；</w:t>
      </w:r>
    </w:p>
    <w:p w14:paraId="4DB5667D">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9.3有效容积：≥140L；</w:t>
      </w:r>
    </w:p>
    <w:p w14:paraId="552D812D">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9.4电压：220v；</w:t>
      </w:r>
    </w:p>
    <w:p w14:paraId="2AD33C6F">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9.5频率：50Hz；</w:t>
      </w:r>
    </w:p>
    <w:p w14:paraId="7FD37C9A">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9.6具备断电报警功能；具备高低温报警功能；</w:t>
      </w:r>
    </w:p>
    <w:p w14:paraId="1D63D0E6">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9.7配备≥4层搁架。</w:t>
      </w:r>
    </w:p>
    <w:p w14:paraId="32386531">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10.离心机（1台）</w:t>
      </w:r>
    </w:p>
    <w:p w14:paraId="25199FC5">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10.1转速：≥6000转/分 。</w:t>
      </w:r>
    </w:p>
    <w:p w14:paraId="4CC48884">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10.2最大相对离心力：≥2000×g 。</w:t>
      </w:r>
    </w:p>
    <w:p w14:paraId="3554E8FF">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▲10.3容量：1.5ml×6</w:t>
      </w:r>
      <w:r>
        <w:rPr>
          <w:rFonts w:ascii="宋体" w:hAnsi="宋体" w:eastAsia="宋体" w:cs="宋体"/>
          <w:sz w:val="24"/>
          <w:szCs w:val="32"/>
          <w:lang w:val="en-US" w:eastAsia="zh-CN"/>
        </w:rPr>
        <w:t>或1</w:t>
      </w:r>
      <w:r>
        <w:rPr>
          <w:rFonts w:hint="eastAsia" w:ascii="宋体" w:hAnsi="宋体" w:eastAsia="宋体" w:cs="宋体"/>
          <w:sz w:val="24"/>
          <w:szCs w:val="32"/>
          <w:lang w:val="en-US" w:eastAsia="zh-CN"/>
        </w:rPr>
        <w:t>.5ml×8</w:t>
      </w:r>
      <w:r>
        <w:rPr>
          <w:rFonts w:ascii="宋体" w:hAnsi="宋体" w:eastAsia="宋体" w:cs="宋体"/>
          <w:sz w:val="24"/>
          <w:szCs w:val="32"/>
          <w:lang w:val="en-US" w:eastAsia="zh-CN"/>
        </w:rPr>
        <w:t>或</w:t>
      </w:r>
      <w:r>
        <w:rPr>
          <w:rFonts w:hint="eastAsia" w:ascii="宋体" w:hAnsi="宋体" w:eastAsia="宋体" w:cs="宋体"/>
          <w:sz w:val="24"/>
          <w:szCs w:val="32"/>
          <w:lang w:val="en-US" w:eastAsia="zh-CN"/>
        </w:rPr>
        <w:t>1.5ml×10。</w:t>
      </w:r>
    </w:p>
    <w:p w14:paraId="55340168">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▲10.4翻盖开关功能，开盖即自动停止、外盖坚固不易破碎。</w:t>
      </w:r>
    </w:p>
    <w:p w14:paraId="3A754C8E">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10.5有定时功能。</w:t>
      </w:r>
    </w:p>
    <w:p w14:paraId="0339490B">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10.6噪音≤60dB运行。</w:t>
      </w:r>
    </w:p>
    <w:p w14:paraId="28B062C4">
      <w:pPr>
        <w:widowControl w:val="0"/>
        <w:suppressAutoHyphens/>
        <w:spacing w:after="140" w:line="276" w:lineRule="auto"/>
        <w:jc w:val="both"/>
        <w:rPr>
          <w:rFonts w:ascii="仿宋_GB2312" w:hAnsi="仿宋_GB2312" w:eastAsia="仿宋_GB2312" w:cs="仿宋_GB2312"/>
          <w:kern w:val="2"/>
          <w:sz w:val="32"/>
          <w:szCs w:val="32"/>
          <w:lang w:val="en-US" w:eastAsia="zh-CN" w:bidi="ar-SA"/>
        </w:rPr>
      </w:pPr>
    </w:p>
    <w:bookmarkEnd w:id="3"/>
    <w:bookmarkEnd w:id="4"/>
    <w:p w14:paraId="6992DDA6">
      <w:pPr>
        <w:spacing w:line="360" w:lineRule="auto"/>
        <w:ind w:firstLine="482" w:firstLineChars="200"/>
        <w:contextualSpacing/>
        <w:jc w:val="left"/>
        <w:rPr>
          <w:rFonts w:hint="eastAsia" w:ascii="宋体" w:hAnsi="宋体" w:eastAsia="宋体"/>
          <w:b/>
          <w:sz w:val="24"/>
          <w:lang w:val="en-US" w:eastAsia="zh-CN"/>
        </w:rPr>
      </w:pPr>
    </w:p>
    <w:p w14:paraId="1DD152EE">
      <w:pPr>
        <w:spacing w:line="360" w:lineRule="auto"/>
        <w:ind w:firstLine="482" w:firstLineChars="200"/>
        <w:contextualSpacing/>
        <w:jc w:val="left"/>
        <w:rPr>
          <w:rFonts w:hint="eastAsia" w:ascii="宋体" w:hAnsi="宋体" w:eastAsia="宋体"/>
          <w:b/>
          <w:sz w:val="24"/>
          <w:lang w:val="en-US" w:eastAsia="zh-CN"/>
        </w:rPr>
      </w:pPr>
    </w:p>
    <w:p w14:paraId="0E78692C">
      <w:pPr>
        <w:spacing w:line="360" w:lineRule="auto"/>
        <w:ind w:firstLine="482" w:firstLineChars="200"/>
        <w:contextualSpacing/>
        <w:jc w:val="left"/>
        <w:rPr>
          <w:rFonts w:hint="eastAsia" w:ascii="宋体" w:hAnsi="宋体" w:eastAsia="宋体"/>
          <w:b/>
          <w:sz w:val="24"/>
          <w:lang w:val="en-US" w:eastAsia="zh-CN"/>
        </w:rPr>
      </w:pPr>
    </w:p>
    <w:p w14:paraId="4AA43344">
      <w:pPr>
        <w:rPr>
          <w:rFonts w:hint="eastAsia" w:ascii="宋体" w:hAnsi="宋体" w:eastAsia="宋体"/>
          <w:b/>
          <w:sz w:val="24"/>
          <w:lang w:val="en-US" w:eastAsia="zh-CN"/>
        </w:rPr>
      </w:pPr>
      <w:r>
        <w:rPr>
          <w:rFonts w:hint="eastAsia" w:ascii="宋体" w:hAnsi="宋体" w:eastAsia="宋体"/>
          <w:b/>
          <w:sz w:val="24"/>
          <w:lang w:val="en-US" w:eastAsia="zh-CN"/>
        </w:rPr>
        <w:br w:type="page"/>
      </w:r>
    </w:p>
    <w:p w14:paraId="2C7911CC">
      <w:pPr>
        <w:spacing w:line="360" w:lineRule="auto"/>
        <w:ind w:firstLine="482" w:firstLineChars="200"/>
        <w:contextualSpacing/>
        <w:jc w:val="left"/>
        <w:rPr>
          <w:rFonts w:hint="eastAsia" w:ascii="宋体" w:hAnsi="宋体" w:eastAsia="宋体"/>
          <w:b/>
          <w:sz w:val="24"/>
        </w:rPr>
      </w:pPr>
      <w:r>
        <w:rPr>
          <w:rFonts w:hint="eastAsia" w:ascii="宋体" w:hAnsi="宋体" w:eastAsia="宋体"/>
          <w:b/>
          <w:sz w:val="24"/>
          <w:lang w:val="en-US" w:eastAsia="zh-CN"/>
        </w:rPr>
        <w:t>六</w:t>
      </w:r>
      <w:r>
        <w:rPr>
          <w:rFonts w:hint="eastAsia" w:ascii="宋体" w:hAnsi="宋体" w:eastAsia="宋体"/>
          <w:b/>
          <w:sz w:val="24"/>
        </w:rPr>
        <w:t>）基本配置清单</w:t>
      </w:r>
    </w:p>
    <w:tbl>
      <w:tblPr>
        <w:tblStyle w:val="5"/>
        <w:tblW w:w="542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8"/>
        <w:gridCol w:w="2634"/>
        <w:gridCol w:w="2161"/>
        <w:gridCol w:w="1231"/>
        <w:gridCol w:w="1111"/>
        <w:gridCol w:w="1111"/>
      </w:tblGrid>
      <w:tr w14:paraId="0BB41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pct"/>
            <w:vAlign w:val="center"/>
          </w:tcPr>
          <w:p w14:paraId="2723BE0D">
            <w:pPr>
              <w:jc w:val="center"/>
              <w:rPr>
                <w:rFonts w:hint="eastAsia" w:ascii="宋体" w:hAnsi="宋体"/>
                <w:b/>
                <w:bCs/>
                <w:sz w:val="24"/>
                <w:szCs w:val="32"/>
              </w:rPr>
            </w:pPr>
            <w:r>
              <w:rPr>
                <w:rFonts w:hint="eastAsia" w:ascii="宋体" w:hAnsi="宋体"/>
                <w:b/>
                <w:bCs/>
                <w:sz w:val="24"/>
                <w:szCs w:val="32"/>
              </w:rPr>
              <w:t>序号</w:t>
            </w:r>
          </w:p>
        </w:tc>
        <w:tc>
          <w:tcPr>
            <w:tcW w:w="1424" w:type="pct"/>
            <w:vAlign w:val="center"/>
          </w:tcPr>
          <w:p w14:paraId="28EAAC28">
            <w:pPr>
              <w:jc w:val="center"/>
              <w:rPr>
                <w:rFonts w:hint="eastAsia" w:ascii="宋体" w:hAnsi="宋体"/>
                <w:b/>
                <w:bCs/>
                <w:sz w:val="24"/>
                <w:szCs w:val="32"/>
              </w:rPr>
            </w:pPr>
            <w:r>
              <w:rPr>
                <w:rFonts w:hint="eastAsia" w:ascii="宋体" w:hAnsi="宋体"/>
                <w:b/>
                <w:bCs/>
                <w:sz w:val="24"/>
                <w:szCs w:val="32"/>
              </w:rPr>
              <w:t>标的名称</w:t>
            </w:r>
          </w:p>
        </w:tc>
        <w:tc>
          <w:tcPr>
            <w:tcW w:w="1168" w:type="pct"/>
            <w:vAlign w:val="center"/>
          </w:tcPr>
          <w:p w14:paraId="3B15D683">
            <w:pPr>
              <w:jc w:val="center"/>
              <w:rPr>
                <w:rFonts w:hint="eastAsia" w:ascii="宋体" w:hAnsi="宋体"/>
                <w:b/>
                <w:bCs/>
                <w:sz w:val="24"/>
                <w:szCs w:val="32"/>
              </w:rPr>
            </w:pPr>
            <w:r>
              <w:rPr>
                <w:rFonts w:hint="eastAsia" w:ascii="宋体" w:hAnsi="宋体"/>
                <w:b/>
                <w:bCs/>
                <w:sz w:val="24"/>
                <w:szCs w:val="32"/>
              </w:rPr>
              <w:t>数量</w:t>
            </w:r>
          </w:p>
        </w:tc>
        <w:tc>
          <w:tcPr>
            <w:tcW w:w="665" w:type="pct"/>
            <w:vAlign w:val="center"/>
          </w:tcPr>
          <w:p w14:paraId="6B773D9A">
            <w:pPr>
              <w:jc w:val="center"/>
              <w:rPr>
                <w:rFonts w:ascii="宋体" w:hAnsi="宋体" w:eastAsia="宋体"/>
                <w:b/>
                <w:bCs/>
                <w:sz w:val="24"/>
                <w:szCs w:val="32"/>
                <w:lang w:val="en-US" w:eastAsia="zh-CN"/>
              </w:rPr>
            </w:pPr>
            <w:r>
              <w:rPr>
                <w:rFonts w:hint="eastAsia" w:ascii="宋体" w:hAnsi="宋体"/>
                <w:b/>
                <w:bCs/>
                <w:sz w:val="24"/>
                <w:szCs w:val="32"/>
                <w:lang w:val="en-US" w:eastAsia="zh-CN"/>
              </w:rPr>
              <w:t>★是否需要医疗器械注册证/备案凭证</w:t>
            </w:r>
          </w:p>
        </w:tc>
        <w:tc>
          <w:tcPr>
            <w:tcW w:w="600" w:type="pct"/>
            <w:vAlign w:val="center"/>
          </w:tcPr>
          <w:p w14:paraId="22EB304C">
            <w:pPr>
              <w:jc w:val="center"/>
              <w:rPr>
                <w:rFonts w:hint="eastAsia" w:ascii="宋体" w:hAnsi="宋体"/>
                <w:b/>
                <w:bCs/>
                <w:sz w:val="24"/>
                <w:szCs w:val="32"/>
              </w:rPr>
            </w:pPr>
            <w:r>
              <w:rPr>
                <w:rFonts w:hint="eastAsia" w:ascii="宋体" w:hAnsi="宋体"/>
                <w:b/>
                <w:bCs/>
                <w:sz w:val="24"/>
                <w:szCs w:val="32"/>
                <w:lang w:val="en-US" w:eastAsia="zh-CN"/>
              </w:rPr>
              <w:t>★是否需要提供3C认证证书</w:t>
            </w:r>
          </w:p>
        </w:tc>
        <w:tc>
          <w:tcPr>
            <w:tcW w:w="600" w:type="pct"/>
            <w:vAlign w:val="center"/>
          </w:tcPr>
          <w:p w14:paraId="05108431">
            <w:pPr>
              <w:jc w:val="center"/>
              <w:rPr>
                <w:rFonts w:hint="default" w:ascii="宋体" w:hAnsi="宋体"/>
                <w:b/>
                <w:bCs/>
                <w:sz w:val="24"/>
                <w:szCs w:val="32"/>
                <w:lang w:val="en-US" w:eastAsia="zh-CN"/>
              </w:rPr>
            </w:pPr>
            <w:r>
              <w:rPr>
                <w:rFonts w:hint="eastAsia" w:ascii="宋体" w:hAnsi="宋体"/>
                <w:b/>
                <w:bCs/>
                <w:sz w:val="24"/>
                <w:szCs w:val="32"/>
                <w:lang w:val="en-US" w:eastAsia="zh-CN"/>
              </w:rPr>
              <w:t>备注</w:t>
            </w:r>
          </w:p>
        </w:tc>
      </w:tr>
      <w:tr w14:paraId="38419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pct"/>
            <w:vAlign w:val="center"/>
          </w:tcPr>
          <w:p w14:paraId="0C1E6844">
            <w:pPr>
              <w:widowControl/>
              <w:jc w:val="center"/>
              <w:textAlignment w:val="center"/>
              <w:rPr>
                <w:rFonts w:hint="eastAsia" w:ascii="宋体" w:hAnsi="宋体" w:cs="宋体"/>
                <w:sz w:val="24"/>
              </w:rPr>
            </w:pPr>
            <w:r>
              <w:rPr>
                <w:rFonts w:hint="eastAsia" w:ascii="宋体" w:hAnsi="宋体" w:cs="宋体"/>
                <w:sz w:val="24"/>
              </w:rPr>
              <w:t>1</w:t>
            </w:r>
          </w:p>
        </w:tc>
        <w:tc>
          <w:tcPr>
            <w:tcW w:w="1424" w:type="pct"/>
            <w:tcBorders>
              <w:left w:val="single" w:color="auto" w:sz="4" w:space="0"/>
            </w:tcBorders>
            <w:vAlign w:val="center"/>
          </w:tcPr>
          <w:p w14:paraId="038524EC">
            <w:pPr>
              <w:widowControl/>
              <w:jc w:val="center"/>
              <w:textAlignment w:val="center"/>
              <w:rPr>
                <w:rFonts w:hint="eastAsia" w:ascii="宋体" w:hAnsi="宋体" w:eastAsia="宋体"/>
                <w:sz w:val="24"/>
                <w:lang w:eastAsia="zh-CN"/>
              </w:rPr>
            </w:pPr>
            <w:r>
              <w:rPr>
                <w:rFonts w:hint="eastAsia" w:ascii="宋体" w:hAnsi="宋体" w:cs="宋体"/>
                <w:bCs/>
                <w:sz w:val="24"/>
                <w:lang w:eastAsia="zh-CN"/>
              </w:rPr>
              <w:t>舱体主体结构</w:t>
            </w:r>
          </w:p>
        </w:tc>
        <w:tc>
          <w:tcPr>
            <w:tcW w:w="1168" w:type="pct"/>
            <w:tcBorders>
              <w:left w:val="single" w:color="auto" w:sz="4" w:space="0"/>
            </w:tcBorders>
            <w:vAlign w:val="center"/>
          </w:tcPr>
          <w:p w14:paraId="3EBAADC2">
            <w:pPr>
              <w:widowControl/>
              <w:jc w:val="center"/>
              <w:textAlignment w:val="center"/>
              <w:rPr>
                <w:rFonts w:hint="eastAsia" w:ascii="宋体" w:hAnsi="宋体" w:cs="等线"/>
                <w:color w:val="000000"/>
                <w:kern w:val="0"/>
                <w:sz w:val="24"/>
              </w:rPr>
            </w:pPr>
            <w:r>
              <w:rPr>
                <w:rFonts w:hint="eastAsia" w:ascii="宋体" w:hAnsi="宋体" w:cs="等线"/>
                <w:color w:val="000000"/>
                <w:kern w:val="0"/>
                <w:sz w:val="24"/>
              </w:rPr>
              <w:t>1套</w:t>
            </w:r>
          </w:p>
        </w:tc>
        <w:tc>
          <w:tcPr>
            <w:tcW w:w="665" w:type="pct"/>
            <w:tcBorders>
              <w:left w:val="single" w:color="auto" w:sz="4" w:space="0"/>
            </w:tcBorders>
            <w:vAlign w:val="center"/>
          </w:tcPr>
          <w:p w14:paraId="64F16D2B">
            <w:pPr>
              <w:widowControl/>
              <w:jc w:val="center"/>
              <w:textAlignment w:val="center"/>
              <w:rPr>
                <w:rFonts w:hint="eastAsia" w:ascii="宋体" w:hAnsi="宋体" w:eastAsia="宋体" w:cs="宋体"/>
                <w:color w:val="000000"/>
                <w:sz w:val="24"/>
                <w:lang w:val="en-US" w:eastAsia="zh-CN"/>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1F1E66DC">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1871E99C">
            <w:pPr>
              <w:widowControl/>
              <w:jc w:val="center"/>
              <w:textAlignment w:val="center"/>
              <w:rPr>
                <w:rFonts w:hint="eastAsia" w:ascii="宋体" w:hAnsi="宋体" w:cs="宋体"/>
                <w:color w:val="000000"/>
                <w:sz w:val="24"/>
                <w:lang w:val="en-US" w:eastAsia="zh-CN"/>
              </w:rPr>
            </w:pPr>
          </w:p>
        </w:tc>
      </w:tr>
      <w:tr w14:paraId="11DEF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pct"/>
            <w:vAlign w:val="center"/>
          </w:tcPr>
          <w:p w14:paraId="09BA3C8A">
            <w:pPr>
              <w:widowControl/>
              <w:jc w:val="center"/>
              <w:textAlignment w:val="center"/>
              <w:rPr>
                <w:rFonts w:hint="eastAsia" w:ascii="宋体" w:hAnsi="宋体" w:cs="宋体"/>
                <w:color w:val="000000"/>
                <w:kern w:val="0"/>
                <w:sz w:val="24"/>
              </w:rPr>
            </w:pPr>
            <w:r>
              <w:rPr>
                <w:rFonts w:hint="eastAsia" w:ascii="宋体" w:hAnsi="宋体" w:cs="宋体"/>
                <w:color w:val="000000"/>
                <w:kern w:val="0"/>
                <w:sz w:val="24"/>
              </w:rPr>
              <w:t>2</w:t>
            </w:r>
          </w:p>
        </w:tc>
        <w:tc>
          <w:tcPr>
            <w:tcW w:w="4460" w:type="pct"/>
            <w:gridSpan w:val="5"/>
            <w:tcBorders>
              <w:left w:val="single" w:color="auto" w:sz="4" w:space="0"/>
            </w:tcBorders>
            <w:vAlign w:val="center"/>
          </w:tcPr>
          <w:p w14:paraId="27989C33">
            <w:pPr>
              <w:widowControl/>
              <w:jc w:val="center"/>
              <w:textAlignment w:val="center"/>
              <w:rPr>
                <w:rFonts w:hint="eastAsia" w:ascii="宋体" w:hAnsi="宋体" w:eastAsia="宋体"/>
                <w:bCs/>
                <w:sz w:val="24"/>
              </w:rPr>
            </w:pPr>
            <w:r>
              <w:rPr>
                <w:rFonts w:hint="eastAsia" w:ascii="宋体" w:hAnsi="宋体" w:eastAsia="宋体"/>
                <w:bCs/>
                <w:sz w:val="24"/>
              </w:rPr>
              <w:t>舱体表面装置</w:t>
            </w:r>
          </w:p>
        </w:tc>
      </w:tr>
      <w:tr w14:paraId="38332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pct"/>
            <w:vAlign w:val="center"/>
          </w:tcPr>
          <w:p w14:paraId="60AA51E6">
            <w:pPr>
              <w:widowControl/>
              <w:jc w:val="center"/>
              <w:textAlignment w:val="center"/>
              <w:rPr>
                <w:rFonts w:hint="eastAsia" w:ascii="宋体" w:hAnsi="宋体" w:cs="宋体"/>
                <w:sz w:val="24"/>
              </w:rPr>
            </w:pPr>
            <w:r>
              <w:rPr>
                <w:rFonts w:hint="eastAsia" w:ascii="宋体" w:hAnsi="宋体" w:cs="宋体"/>
                <w:sz w:val="24"/>
              </w:rPr>
              <w:t>2.1</w:t>
            </w:r>
          </w:p>
        </w:tc>
        <w:tc>
          <w:tcPr>
            <w:tcW w:w="1424" w:type="pct"/>
            <w:tcBorders>
              <w:left w:val="single" w:color="auto" w:sz="4" w:space="0"/>
            </w:tcBorders>
            <w:vAlign w:val="center"/>
          </w:tcPr>
          <w:p w14:paraId="240A4478">
            <w:pPr>
              <w:widowControl/>
              <w:jc w:val="center"/>
              <w:textAlignment w:val="center"/>
              <w:rPr>
                <w:rFonts w:hint="eastAsia" w:ascii="宋体" w:hAnsi="宋体" w:cs="宋体"/>
                <w:bCs/>
                <w:sz w:val="24"/>
              </w:rPr>
            </w:pPr>
            <w:r>
              <w:rPr>
                <w:rFonts w:hint="eastAsia" w:ascii="宋体" w:hAnsi="宋体" w:cs="宋体"/>
                <w:bCs/>
                <w:sz w:val="24"/>
              </w:rPr>
              <w:t>照明灯</w:t>
            </w:r>
          </w:p>
        </w:tc>
        <w:tc>
          <w:tcPr>
            <w:tcW w:w="1168" w:type="pct"/>
            <w:tcBorders>
              <w:left w:val="single" w:color="auto" w:sz="4" w:space="0"/>
            </w:tcBorders>
            <w:vAlign w:val="center"/>
          </w:tcPr>
          <w:p w14:paraId="7B536DA7">
            <w:pPr>
              <w:widowControl/>
              <w:jc w:val="center"/>
              <w:textAlignment w:val="center"/>
              <w:rPr>
                <w:rFonts w:hint="eastAsia" w:ascii="宋体" w:hAnsi="宋体" w:cs="等线"/>
                <w:color w:val="000000"/>
                <w:kern w:val="0"/>
                <w:sz w:val="24"/>
              </w:rPr>
            </w:pPr>
            <w:r>
              <w:rPr>
                <w:rFonts w:hint="eastAsia" w:ascii="宋体" w:hAnsi="宋体" w:cs="等线"/>
                <w:color w:val="000000"/>
                <w:kern w:val="0"/>
                <w:sz w:val="24"/>
              </w:rPr>
              <w:t>≥30个</w:t>
            </w:r>
          </w:p>
        </w:tc>
        <w:tc>
          <w:tcPr>
            <w:tcW w:w="665" w:type="pct"/>
            <w:tcBorders>
              <w:left w:val="single" w:color="auto" w:sz="4" w:space="0"/>
            </w:tcBorders>
            <w:vAlign w:val="center"/>
          </w:tcPr>
          <w:p w14:paraId="065D0A0D">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7B6DCFF7">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76C89616">
            <w:pPr>
              <w:widowControl/>
              <w:jc w:val="center"/>
              <w:textAlignment w:val="center"/>
              <w:rPr>
                <w:rFonts w:hint="eastAsia" w:ascii="宋体" w:hAnsi="宋体" w:cs="宋体"/>
                <w:color w:val="000000"/>
                <w:sz w:val="24"/>
                <w:lang w:val="en-US" w:eastAsia="zh-CN"/>
              </w:rPr>
            </w:pPr>
          </w:p>
        </w:tc>
      </w:tr>
      <w:tr w14:paraId="04E66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pct"/>
            <w:vAlign w:val="center"/>
          </w:tcPr>
          <w:p w14:paraId="37B55B5A">
            <w:pPr>
              <w:widowControl/>
              <w:jc w:val="center"/>
              <w:textAlignment w:val="center"/>
              <w:rPr>
                <w:rFonts w:hint="eastAsia" w:ascii="宋体" w:hAnsi="宋体" w:eastAsia="宋体" w:cs="宋体"/>
                <w:sz w:val="24"/>
                <w:lang w:eastAsia="zh-CN"/>
              </w:rPr>
            </w:pPr>
            <w:r>
              <w:rPr>
                <w:rFonts w:hint="eastAsia" w:ascii="宋体" w:hAnsi="宋体" w:cs="宋体"/>
                <w:sz w:val="24"/>
              </w:rPr>
              <w:t>2.</w:t>
            </w:r>
            <w:r>
              <w:rPr>
                <w:rFonts w:hint="eastAsia" w:ascii="宋体" w:hAnsi="宋体" w:cs="宋体"/>
                <w:sz w:val="24"/>
                <w:lang w:val="en-US" w:eastAsia="zh-CN"/>
              </w:rPr>
              <w:t>2</w:t>
            </w:r>
          </w:p>
        </w:tc>
        <w:tc>
          <w:tcPr>
            <w:tcW w:w="4460" w:type="pct"/>
            <w:gridSpan w:val="5"/>
            <w:tcBorders>
              <w:left w:val="single" w:color="auto" w:sz="4" w:space="0"/>
            </w:tcBorders>
            <w:vAlign w:val="center"/>
          </w:tcPr>
          <w:p w14:paraId="5202C477">
            <w:pPr>
              <w:widowControl/>
              <w:jc w:val="center"/>
              <w:textAlignment w:val="center"/>
              <w:rPr>
                <w:rFonts w:hint="eastAsia" w:ascii="宋体" w:hAnsi="宋体" w:eastAsia="宋体"/>
                <w:bCs/>
                <w:sz w:val="24"/>
              </w:rPr>
            </w:pPr>
            <w:r>
              <w:rPr>
                <w:rFonts w:hint="eastAsia" w:ascii="宋体" w:hAnsi="宋体" w:eastAsia="宋体"/>
                <w:bCs/>
                <w:sz w:val="24"/>
              </w:rPr>
              <w:t>窗户</w:t>
            </w:r>
          </w:p>
        </w:tc>
      </w:tr>
      <w:tr w14:paraId="63EA4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pct"/>
            <w:vAlign w:val="center"/>
          </w:tcPr>
          <w:p w14:paraId="7A9AA1E0">
            <w:pPr>
              <w:widowControl/>
              <w:jc w:val="center"/>
              <w:textAlignment w:val="center"/>
              <w:rPr>
                <w:rFonts w:hint="eastAsia" w:ascii="宋体" w:hAnsi="宋体" w:cs="宋体"/>
                <w:sz w:val="24"/>
              </w:rPr>
            </w:pPr>
            <w:r>
              <w:rPr>
                <w:rFonts w:hint="eastAsia" w:ascii="宋体" w:hAnsi="宋体" w:cs="宋体"/>
                <w:sz w:val="24"/>
              </w:rPr>
              <w:t>2.</w:t>
            </w:r>
            <w:r>
              <w:rPr>
                <w:rFonts w:hint="eastAsia" w:ascii="宋体" w:hAnsi="宋体" w:cs="宋体"/>
                <w:sz w:val="24"/>
                <w:lang w:val="en-US" w:eastAsia="zh-CN"/>
              </w:rPr>
              <w:t>2</w:t>
            </w:r>
            <w:r>
              <w:rPr>
                <w:rFonts w:hint="eastAsia" w:ascii="宋体" w:hAnsi="宋体" w:cs="宋体"/>
                <w:sz w:val="24"/>
              </w:rPr>
              <w:t>.1</w:t>
            </w:r>
          </w:p>
        </w:tc>
        <w:tc>
          <w:tcPr>
            <w:tcW w:w="1424" w:type="pct"/>
            <w:tcBorders>
              <w:left w:val="single" w:color="auto" w:sz="4" w:space="0"/>
            </w:tcBorders>
            <w:vAlign w:val="center"/>
          </w:tcPr>
          <w:p w14:paraId="4B7DADB5">
            <w:pPr>
              <w:widowControl/>
              <w:jc w:val="center"/>
              <w:textAlignment w:val="center"/>
              <w:rPr>
                <w:rFonts w:hint="eastAsia" w:ascii="宋体" w:hAnsi="宋体" w:cs="宋体"/>
                <w:bCs/>
                <w:sz w:val="24"/>
              </w:rPr>
            </w:pPr>
            <w:r>
              <w:rPr>
                <w:rFonts w:hint="eastAsia" w:ascii="宋体" w:hAnsi="宋体" w:cs="宋体"/>
                <w:color w:val="auto"/>
                <w:kern w:val="2"/>
                <w:sz w:val="24"/>
                <w:szCs w:val="24"/>
                <w:highlight w:val="none"/>
                <w:lang w:val="en-US" w:eastAsia="zh-CN" w:bidi="ar-SA"/>
              </w:rPr>
              <w:t>舱体</w:t>
            </w:r>
            <w:r>
              <w:rPr>
                <w:rFonts w:ascii="宋体" w:hAnsi="宋体" w:eastAsia="宋体" w:cs="宋体"/>
                <w:color w:val="auto"/>
                <w:kern w:val="2"/>
                <w:sz w:val="24"/>
                <w:szCs w:val="24"/>
                <w:highlight w:val="none"/>
                <w:lang w:val="en-US" w:eastAsia="zh-CN" w:bidi="ar-SA"/>
              </w:rPr>
              <w:t>两侧</w:t>
            </w:r>
            <w:r>
              <w:rPr>
                <w:rFonts w:hint="eastAsia" w:ascii="宋体" w:hAnsi="宋体" w:eastAsia="宋体" w:cs="宋体"/>
                <w:color w:val="auto"/>
                <w:kern w:val="2"/>
                <w:sz w:val="24"/>
                <w:szCs w:val="24"/>
                <w:highlight w:val="none"/>
                <w:lang w:val="en-US" w:eastAsia="zh-CN" w:bidi="ar-SA"/>
              </w:rPr>
              <w:t>铝合金落地窗</w:t>
            </w:r>
          </w:p>
        </w:tc>
        <w:tc>
          <w:tcPr>
            <w:tcW w:w="1168" w:type="pct"/>
            <w:tcBorders>
              <w:left w:val="single" w:color="auto" w:sz="4" w:space="0"/>
            </w:tcBorders>
            <w:vAlign w:val="center"/>
          </w:tcPr>
          <w:p w14:paraId="3F0CE100">
            <w:pPr>
              <w:widowControl/>
              <w:jc w:val="center"/>
              <w:textAlignment w:val="center"/>
              <w:rPr>
                <w:rFonts w:hint="eastAsia" w:ascii="宋体" w:hAnsi="宋体" w:cs="等线"/>
                <w:color w:val="000000"/>
                <w:kern w:val="0"/>
                <w:sz w:val="24"/>
              </w:rPr>
            </w:pPr>
            <w:r>
              <w:rPr>
                <w:rFonts w:hint="eastAsia" w:ascii="宋体" w:hAnsi="宋体" w:eastAsia="宋体" w:cs="宋体"/>
                <w:color w:val="auto"/>
                <w:kern w:val="2"/>
                <w:sz w:val="24"/>
                <w:szCs w:val="24"/>
                <w:highlight w:val="none"/>
                <w:lang w:val="en-US" w:eastAsia="zh-CN" w:bidi="ar-SA"/>
              </w:rPr>
              <w:t>≥</w:t>
            </w:r>
            <w:r>
              <w:rPr>
                <w:rFonts w:ascii="宋体" w:hAnsi="宋体" w:eastAsia="宋体" w:cs="宋体"/>
                <w:color w:val="auto"/>
                <w:kern w:val="2"/>
                <w:sz w:val="24"/>
                <w:szCs w:val="24"/>
                <w:highlight w:val="none"/>
                <w:lang w:val="en-US" w:eastAsia="zh-CN" w:bidi="ar-SA"/>
              </w:rPr>
              <w:t>5</w:t>
            </w:r>
            <w:r>
              <w:rPr>
                <w:rFonts w:hint="eastAsia" w:ascii="宋体" w:hAnsi="宋体" w:eastAsia="宋体" w:cs="宋体"/>
                <w:color w:val="auto"/>
                <w:kern w:val="2"/>
                <w:sz w:val="24"/>
                <w:szCs w:val="24"/>
                <w:highlight w:val="none"/>
                <w:lang w:val="en-US" w:eastAsia="zh-CN" w:bidi="ar-SA"/>
              </w:rPr>
              <w:t>扇</w:t>
            </w:r>
          </w:p>
        </w:tc>
        <w:tc>
          <w:tcPr>
            <w:tcW w:w="665" w:type="pct"/>
            <w:tcBorders>
              <w:left w:val="single" w:color="auto" w:sz="4" w:space="0"/>
            </w:tcBorders>
            <w:vAlign w:val="center"/>
          </w:tcPr>
          <w:p w14:paraId="75907D2F">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30AAE32C">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6F17F509">
            <w:pPr>
              <w:widowControl/>
              <w:jc w:val="center"/>
              <w:textAlignment w:val="center"/>
              <w:rPr>
                <w:rFonts w:hint="eastAsia" w:ascii="宋体" w:hAnsi="宋体" w:cs="宋体"/>
                <w:color w:val="000000"/>
                <w:sz w:val="24"/>
                <w:lang w:val="en-US" w:eastAsia="zh-CN"/>
              </w:rPr>
            </w:pPr>
          </w:p>
        </w:tc>
      </w:tr>
      <w:tr w14:paraId="2A179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pct"/>
            <w:vAlign w:val="center"/>
          </w:tcPr>
          <w:p w14:paraId="3119AD8C">
            <w:pPr>
              <w:widowControl/>
              <w:jc w:val="center"/>
              <w:textAlignment w:val="center"/>
              <w:rPr>
                <w:rFonts w:hint="eastAsia" w:ascii="宋体" w:hAnsi="宋体" w:cs="宋体"/>
                <w:sz w:val="24"/>
              </w:rPr>
            </w:pPr>
            <w:r>
              <w:rPr>
                <w:rFonts w:hint="eastAsia" w:ascii="宋体" w:hAnsi="宋体" w:cs="宋体"/>
                <w:sz w:val="24"/>
              </w:rPr>
              <w:t>2.</w:t>
            </w:r>
            <w:r>
              <w:rPr>
                <w:rFonts w:hint="eastAsia" w:ascii="宋体" w:hAnsi="宋体" w:cs="宋体"/>
                <w:sz w:val="24"/>
                <w:lang w:val="en-US" w:eastAsia="zh-CN"/>
              </w:rPr>
              <w:t>2</w:t>
            </w:r>
            <w:r>
              <w:rPr>
                <w:rFonts w:hint="eastAsia" w:ascii="宋体" w:hAnsi="宋体" w:cs="宋体"/>
                <w:sz w:val="24"/>
              </w:rPr>
              <w:t>.2</w:t>
            </w:r>
          </w:p>
        </w:tc>
        <w:tc>
          <w:tcPr>
            <w:tcW w:w="1424" w:type="pct"/>
            <w:tcBorders>
              <w:left w:val="single" w:color="auto" w:sz="4" w:space="0"/>
            </w:tcBorders>
            <w:vAlign w:val="center"/>
          </w:tcPr>
          <w:p w14:paraId="3E057BA8">
            <w:pPr>
              <w:widowControl/>
              <w:jc w:val="center"/>
              <w:textAlignment w:val="center"/>
              <w:rPr>
                <w:rFonts w:hint="eastAsia" w:ascii="宋体" w:hAnsi="宋体" w:cs="宋体"/>
                <w:bCs/>
                <w:sz w:val="24"/>
              </w:rPr>
            </w:pPr>
            <w:r>
              <w:rPr>
                <w:rFonts w:hint="eastAsia" w:ascii="宋体" w:hAnsi="宋体" w:eastAsia="宋体" w:cs="宋体"/>
                <w:color w:val="auto"/>
                <w:kern w:val="2"/>
                <w:sz w:val="24"/>
                <w:szCs w:val="24"/>
                <w:lang w:val="en-US" w:eastAsia="zh-CN" w:bidi="ar-SA"/>
              </w:rPr>
              <w:t>山墙铝合金窗</w:t>
            </w:r>
          </w:p>
        </w:tc>
        <w:tc>
          <w:tcPr>
            <w:tcW w:w="1168" w:type="pct"/>
            <w:tcBorders>
              <w:left w:val="single" w:color="auto" w:sz="4" w:space="0"/>
            </w:tcBorders>
            <w:vAlign w:val="center"/>
          </w:tcPr>
          <w:p w14:paraId="05ACDC7F">
            <w:pPr>
              <w:widowControl/>
              <w:jc w:val="center"/>
              <w:textAlignment w:val="center"/>
              <w:rPr>
                <w:rFonts w:hint="eastAsia" w:ascii="宋体" w:hAnsi="宋体" w:cs="等线"/>
                <w:color w:val="000000"/>
                <w:kern w:val="0"/>
                <w:sz w:val="24"/>
              </w:rPr>
            </w:pPr>
            <w:r>
              <w:rPr>
                <w:rFonts w:hint="eastAsia" w:ascii="宋体" w:hAnsi="宋体" w:eastAsia="宋体" w:cs="宋体"/>
                <w:color w:val="auto"/>
                <w:kern w:val="2"/>
                <w:sz w:val="24"/>
                <w:szCs w:val="24"/>
                <w:highlight w:val="none"/>
                <w:lang w:val="en-US" w:eastAsia="zh-CN" w:bidi="ar-SA"/>
              </w:rPr>
              <w:t>≥1</w:t>
            </w:r>
            <w:r>
              <w:rPr>
                <w:rFonts w:hint="eastAsia" w:ascii="宋体" w:hAnsi="宋体" w:eastAsia="宋体"/>
                <w:bCs/>
                <w:sz w:val="24"/>
              </w:rPr>
              <w:t>扇</w:t>
            </w:r>
          </w:p>
        </w:tc>
        <w:tc>
          <w:tcPr>
            <w:tcW w:w="665" w:type="pct"/>
            <w:tcBorders>
              <w:left w:val="single" w:color="auto" w:sz="4" w:space="0"/>
            </w:tcBorders>
            <w:vAlign w:val="center"/>
          </w:tcPr>
          <w:p w14:paraId="10E2BB05">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51F82E4E">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4BEFFB5F">
            <w:pPr>
              <w:widowControl/>
              <w:jc w:val="center"/>
              <w:textAlignment w:val="center"/>
              <w:rPr>
                <w:rFonts w:hint="eastAsia" w:ascii="宋体" w:hAnsi="宋体" w:cs="宋体"/>
                <w:color w:val="000000"/>
                <w:sz w:val="24"/>
                <w:lang w:val="en-US" w:eastAsia="zh-CN"/>
              </w:rPr>
            </w:pPr>
          </w:p>
        </w:tc>
      </w:tr>
      <w:tr w14:paraId="151B3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pct"/>
            <w:vAlign w:val="center"/>
          </w:tcPr>
          <w:p w14:paraId="7EAD505A">
            <w:pPr>
              <w:widowControl/>
              <w:jc w:val="center"/>
              <w:textAlignment w:val="center"/>
              <w:rPr>
                <w:rFonts w:hint="eastAsia" w:ascii="宋体" w:hAnsi="宋体" w:eastAsia="宋体" w:cs="宋体"/>
                <w:sz w:val="24"/>
                <w:lang w:eastAsia="zh-CN"/>
              </w:rPr>
            </w:pPr>
            <w:r>
              <w:rPr>
                <w:rFonts w:hint="eastAsia" w:ascii="宋体" w:hAnsi="宋体" w:cs="宋体"/>
                <w:sz w:val="24"/>
              </w:rPr>
              <w:t>2.</w:t>
            </w:r>
            <w:r>
              <w:rPr>
                <w:rFonts w:hint="eastAsia" w:ascii="宋体" w:hAnsi="宋体" w:cs="宋体"/>
                <w:sz w:val="24"/>
                <w:lang w:val="en-US" w:eastAsia="zh-CN"/>
              </w:rPr>
              <w:t>3</w:t>
            </w:r>
          </w:p>
        </w:tc>
        <w:tc>
          <w:tcPr>
            <w:tcW w:w="1424" w:type="pct"/>
            <w:tcBorders>
              <w:left w:val="single" w:color="auto" w:sz="4" w:space="0"/>
            </w:tcBorders>
            <w:vAlign w:val="center"/>
          </w:tcPr>
          <w:p w14:paraId="63AB9B74">
            <w:pPr>
              <w:widowControl/>
              <w:jc w:val="center"/>
              <w:textAlignment w:val="center"/>
              <w:rPr>
                <w:rFonts w:hint="eastAsia" w:ascii="宋体" w:hAnsi="宋体" w:cs="宋体"/>
                <w:bCs/>
                <w:sz w:val="24"/>
              </w:rPr>
            </w:pPr>
            <w:r>
              <w:rPr>
                <w:rFonts w:hint="eastAsia" w:ascii="宋体" w:hAnsi="宋体" w:cs="宋体"/>
                <w:bCs/>
                <w:sz w:val="24"/>
              </w:rPr>
              <w:t>电动门</w:t>
            </w:r>
          </w:p>
        </w:tc>
        <w:tc>
          <w:tcPr>
            <w:tcW w:w="1168" w:type="pct"/>
            <w:tcBorders>
              <w:left w:val="single" w:color="auto" w:sz="4" w:space="0"/>
            </w:tcBorders>
            <w:vAlign w:val="center"/>
          </w:tcPr>
          <w:p w14:paraId="64E1DBEB">
            <w:pPr>
              <w:widowControl/>
              <w:jc w:val="center"/>
              <w:textAlignment w:val="center"/>
              <w:rPr>
                <w:rFonts w:hint="eastAsia" w:ascii="宋体" w:hAnsi="宋体" w:cs="等线"/>
                <w:color w:val="000000"/>
                <w:kern w:val="0"/>
                <w:sz w:val="24"/>
              </w:rPr>
            </w:pPr>
            <w:r>
              <w:rPr>
                <w:rFonts w:hint="eastAsia" w:ascii="宋体" w:hAnsi="宋体" w:eastAsia="宋体"/>
                <w:bCs/>
                <w:sz w:val="24"/>
                <w:lang w:val="en-US" w:eastAsia="zh-CN"/>
              </w:rPr>
              <w:t>1</w:t>
            </w:r>
            <w:r>
              <w:rPr>
                <w:rFonts w:hint="eastAsia" w:ascii="宋体" w:hAnsi="宋体" w:eastAsia="宋体"/>
                <w:bCs/>
                <w:sz w:val="24"/>
              </w:rPr>
              <w:t>樘</w:t>
            </w:r>
          </w:p>
        </w:tc>
        <w:tc>
          <w:tcPr>
            <w:tcW w:w="665" w:type="pct"/>
            <w:tcBorders>
              <w:left w:val="single" w:color="auto" w:sz="4" w:space="0"/>
            </w:tcBorders>
            <w:vAlign w:val="center"/>
          </w:tcPr>
          <w:p w14:paraId="185F29CB">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65413BEB">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6654D221">
            <w:pPr>
              <w:widowControl/>
              <w:jc w:val="center"/>
              <w:textAlignment w:val="center"/>
              <w:rPr>
                <w:rFonts w:hint="eastAsia" w:ascii="宋体" w:hAnsi="宋体" w:cs="宋体"/>
                <w:color w:val="000000"/>
                <w:sz w:val="24"/>
                <w:lang w:val="en-US" w:eastAsia="zh-CN"/>
              </w:rPr>
            </w:pPr>
          </w:p>
        </w:tc>
      </w:tr>
      <w:tr w14:paraId="38D04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pct"/>
            <w:vAlign w:val="center"/>
          </w:tcPr>
          <w:p w14:paraId="06981C7E">
            <w:pPr>
              <w:widowControl/>
              <w:jc w:val="center"/>
              <w:textAlignment w:val="center"/>
              <w:rPr>
                <w:rFonts w:hint="eastAsia" w:ascii="宋体" w:hAnsi="宋体" w:eastAsia="宋体" w:cs="宋体"/>
                <w:sz w:val="24"/>
                <w:lang w:eastAsia="zh-CN"/>
              </w:rPr>
            </w:pPr>
            <w:r>
              <w:rPr>
                <w:rFonts w:hint="eastAsia" w:ascii="宋体" w:hAnsi="宋体" w:cs="宋体"/>
                <w:sz w:val="24"/>
              </w:rPr>
              <w:t>2.</w:t>
            </w:r>
            <w:r>
              <w:rPr>
                <w:rFonts w:hint="eastAsia" w:ascii="宋体" w:hAnsi="宋体" w:cs="宋体"/>
                <w:sz w:val="24"/>
                <w:lang w:val="en-US" w:eastAsia="zh-CN"/>
              </w:rPr>
              <w:t>4</w:t>
            </w:r>
          </w:p>
        </w:tc>
        <w:tc>
          <w:tcPr>
            <w:tcW w:w="1424" w:type="pct"/>
            <w:tcBorders>
              <w:left w:val="single" w:color="auto" w:sz="4" w:space="0"/>
            </w:tcBorders>
            <w:vAlign w:val="center"/>
          </w:tcPr>
          <w:p w14:paraId="2765E603">
            <w:pPr>
              <w:widowControl/>
              <w:jc w:val="center"/>
              <w:textAlignment w:val="center"/>
              <w:rPr>
                <w:rFonts w:hint="eastAsia" w:ascii="宋体" w:hAnsi="宋体" w:cs="宋体"/>
                <w:bCs/>
                <w:sz w:val="24"/>
              </w:rPr>
            </w:pPr>
            <w:r>
              <w:rPr>
                <w:rFonts w:ascii="宋体" w:hAnsi="宋体" w:eastAsia="宋体" w:cs="宋体"/>
                <w:color w:val="auto"/>
                <w:kern w:val="2"/>
                <w:sz w:val="24"/>
                <w:szCs w:val="24"/>
                <w:lang w:val="en-US" w:eastAsia="zh-CN" w:bidi="ar-SA"/>
              </w:rPr>
              <w:t>窗</w:t>
            </w:r>
            <w:r>
              <w:rPr>
                <w:rFonts w:hint="eastAsia" w:ascii="宋体" w:hAnsi="宋体" w:eastAsia="宋体" w:cs="宋体"/>
                <w:color w:val="auto"/>
                <w:kern w:val="2"/>
                <w:sz w:val="24"/>
                <w:szCs w:val="24"/>
                <w:lang w:val="en-US" w:eastAsia="zh-CN" w:bidi="ar-SA"/>
              </w:rPr>
              <w:t>帘</w:t>
            </w:r>
          </w:p>
        </w:tc>
        <w:tc>
          <w:tcPr>
            <w:tcW w:w="1168" w:type="pct"/>
            <w:tcBorders>
              <w:left w:val="single" w:color="auto" w:sz="4" w:space="0"/>
            </w:tcBorders>
            <w:vAlign w:val="center"/>
          </w:tcPr>
          <w:p w14:paraId="1663F363">
            <w:pPr>
              <w:widowControl/>
              <w:jc w:val="center"/>
              <w:textAlignment w:val="center"/>
              <w:rPr>
                <w:rFonts w:hint="eastAsia" w:ascii="宋体" w:hAnsi="宋体" w:cs="等线"/>
                <w:color w:val="000000"/>
                <w:kern w:val="0"/>
                <w:sz w:val="24"/>
              </w:rPr>
            </w:pPr>
            <w:r>
              <w:rPr>
                <w:rFonts w:hint="eastAsia" w:ascii="宋体" w:hAnsi="宋体" w:eastAsia="宋体" w:cs="宋体"/>
                <w:color w:val="auto"/>
                <w:kern w:val="2"/>
                <w:sz w:val="24"/>
                <w:szCs w:val="24"/>
                <w:lang w:val="en-US" w:eastAsia="zh-CN" w:bidi="ar-SA"/>
              </w:rPr>
              <w:t>≥</w:t>
            </w:r>
            <w:r>
              <w:rPr>
                <w:rFonts w:ascii="宋体" w:hAnsi="宋体" w:eastAsia="宋体" w:cs="宋体"/>
                <w:color w:val="auto"/>
                <w:kern w:val="2"/>
                <w:sz w:val="24"/>
                <w:szCs w:val="24"/>
                <w:lang w:val="en-US" w:eastAsia="zh-CN" w:bidi="ar-SA"/>
              </w:rPr>
              <w:t>6套（与窗体数量匹配）</w:t>
            </w:r>
          </w:p>
        </w:tc>
        <w:tc>
          <w:tcPr>
            <w:tcW w:w="665" w:type="pct"/>
            <w:tcBorders>
              <w:left w:val="single" w:color="auto" w:sz="4" w:space="0"/>
            </w:tcBorders>
            <w:vAlign w:val="center"/>
          </w:tcPr>
          <w:p w14:paraId="599106EA">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3EF7BBE5">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7D233058">
            <w:pPr>
              <w:widowControl/>
              <w:jc w:val="center"/>
              <w:textAlignment w:val="center"/>
              <w:rPr>
                <w:rFonts w:hint="eastAsia" w:ascii="宋体" w:hAnsi="宋体" w:cs="宋体"/>
                <w:color w:val="000000"/>
                <w:sz w:val="24"/>
                <w:lang w:val="en-US" w:eastAsia="zh-CN"/>
              </w:rPr>
            </w:pPr>
          </w:p>
        </w:tc>
      </w:tr>
      <w:tr w14:paraId="55197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pct"/>
            <w:vAlign w:val="center"/>
          </w:tcPr>
          <w:p w14:paraId="1E17DA04">
            <w:pPr>
              <w:widowControl/>
              <w:jc w:val="center"/>
              <w:textAlignment w:val="center"/>
              <w:rPr>
                <w:rFonts w:hint="eastAsia" w:ascii="宋体" w:hAnsi="宋体" w:cs="宋体"/>
                <w:sz w:val="24"/>
              </w:rPr>
            </w:pPr>
            <w:r>
              <w:rPr>
                <w:rFonts w:hint="eastAsia" w:ascii="宋体" w:hAnsi="宋体" w:cs="宋体"/>
                <w:sz w:val="24"/>
              </w:rPr>
              <w:t>3</w:t>
            </w:r>
          </w:p>
        </w:tc>
        <w:tc>
          <w:tcPr>
            <w:tcW w:w="4460" w:type="pct"/>
            <w:gridSpan w:val="5"/>
            <w:tcBorders>
              <w:left w:val="single" w:color="auto" w:sz="4" w:space="0"/>
            </w:tcBorders>
            <w:vAlign w:val="center"/>
          </w:tcPr>
          <w:p w14:paraId="0999AF65">
            <w:pPr>
              <w:widowControl/>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献血</w:t>
            </w:r>
            <w:r>
              <w:rPr>
                <w:rFonts w:hint="eastAsia" w:ascii="宋体" w:hAnsi="宋体" w:cs="宋体"/>
                <w:bCs/>
                <w:sz w:val="24"/>
              </w:rPr>
              <w:t>方舱内装</w:t>
            </w:r>
          </w:p>
        </w:tc>
      </w:tr>
      <w:tr w14:paraId="4A4D0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pct"/>
            <w:vAlign w:val="center"/>
          </w:tcPr>
          <w:p w14:paraId="27DB2F8E">
            <w:pPr>
              <w:widowControl/>
              <w:jc w:val="center"/>
              <w:textAlignment w:val="center"/>
              <w:rPr>
                <w:rFonts w:hint="eastAsia" w:ascii="宋体" w:hAnsi="宋体" w:cs="宋体"/>
                <w:sz w:val="24"/>
              </w:rPr>
            </w:pPr>
            <w:r>
              <w:rPr>
                <w:rFonts w:hint="eastAsia" w:ascii="宋体" w:hAnsi="宋体" w:cs="宋体"/>
                <w:sz w:val="24"/>
              </w:rPr>
              <w:t>3.1</w:t>
            </w:r>
          </w:p>
        </w:tc>
        <w:tc>
          <w:tcPr>
            <w:tcW w:w="1424" w:type="pct"/>
            <w:tcBorders>
              <w:left w:val="single" w:color="auto" w:sz="4" w:space="0"/>
            </w:tcBorders>
            <w:vAlign w:val="center"/>
          </w:tcPr>
          <w:p w14:paraId="2F3B1B5E">
            <w:pPr>
              <w:widowControl/>
              <w:jc w:val="center"/>
              <w:textAlignment w:val="center"/>
              <w:rPr>
                <w:rFonts w:hint="eastAsia" w:ascii="宋体" w:hAnsi="宋体" w:cs="宋体"/>
                <w:bCs/>
                <w:sz w:val="24"/>
              </w:rPr>
            </w:pPr>
            <w:r>
              <w:rPr>
                <w:rFonts w:ascii="宋体" w:hAnsi="宋体" w:cs="宋体"/>
                <w:bCs/>
                <w:sz w:val="24"/>
              </w:rPr>
              <w:t>内墙</w:t>
            </w:r>
          </w:p>
        </w:tc>
        <w:tc>
          <w:tcPr>
            <w:tcW w:w="1168" w:type="pct"/>
            <w:tcBorders>
              <w:left w:val="single" w:color="auto" w:sz="4" w:space="0"/>
            </w:tcBorders>
            <w:vAlign w:val="center"/>
          </w:tcPr>
          <w:p w14:paraId="4BF57B65">
            <w:pPr>
              <w:widowControl/>
              <w:jc w:val="center"/>
              <w:textAlignment w:val="center"/>
              <w:rPr>
                <w:rFonts w:hint="eastAsia" w:ascii="宋体" w:hAnsi="宋体" w:cs="等线"/>
                <w:color w:val="000000"/>
                <w:kern w:val="0"/>
                <w:sz w:val="24"/>
              </w:rPr>
            </w:pPr>
            <w:r>
              <w:rPr>
                <w:rFonts w:hint="eastAsia" w:ascii="宋体" w:hAnsi="宋体" w:eastAsia="宋体"/>
                <w:bCs/>
                <w:sz w:val="24"/>
              </w:rPr>
              <w:t>1套</w:t>
            </w:r>
          </w:p>
        </w:tc>
        <w:tc>
          <w:tcPr>
            <w:tcW w:w="665" w:type="pct"/>
            <w:tcBorders>
              <w:left w:val="single" w:color="auto" w:sz="4" w:space="0"/>
            </w:tcBorders>
            <w:vAlign w:val="center"/>
          </w:tcPr>
          <w:p w14:paraId="74DE14F8">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6AB35BA9">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53D1E7AA">
            <w:pPr>
              <w:widowControl/>
              <w:jc w:val="center"/>
              <w:textAlignment w:val="center"/>
              <w:rPr>
                <w:rFonts w:hint="eastAsia" w:ascii="宋体" w:hAnsi="宋体" w:cs="宋体"/>
                <w:color w:val="000000"/>
                <w:sz w:val="24"/>
                <w:lang w:val="en-US" w:eastAsia="zh-CN"/>
              </w:rPr>
            </w:pPr>
          </w:p>
        </w:tc>
      </w:tr>
      <w:tr w14:paraId="6EB82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pct"/>
            <w:vAlign w:val="center"/>
          </w:tcPr>
          <w:p w14:paraId="636AE33F">
            <w:pPr>
              <w:widowControl/>
              <w:jc w:val="center"/>
              <w:textAlignment w:val="center"/>
              <w:rPr>
                <w:rFonts w:hint="eastAsia" w:ascii="宋体" w:hAnsi="宋体" w:cs="宋体"/>
                <w:sz w:val="24"/>
              </w:rPr>
            </w:pPr>
            <w:r>
              <w:rPr>
                <w:rFonts w:hint="eastAsia" w:ascii="宋体" w:hAnsi="宋体" w:cs="宋体"/>
                <w:sz w:val="24"/>
              </w:rPr>
              <w:t>3.2</w:t>
            </w:r>
          </w:p>
        </w:tc>
        <w:tc>
          <w:tcPr>
            <w:tcW w:w="1424" w:type="pct"/>
            <w:tcBorders>
              <w:left w:val="single" w:color="auto" w:sz="4" w:space="0"/>
            </w:tcBorders>
            <w:vAlign w:val="center"/>
          </w:tcPr>
          <w:p w14:paraId="5CA9D314">
            <w:pPr>
              <w:widowControl/>
              <w:jc w:val="center"/>
              <w:textAlignment w:val="center"/>
              <w:rPr>
                <w:rFonts w:hint="eastAsia" w:ascii="宋体" w:hAnsi="宋体" w:cs="宋体"/>
                <w:bCs/>
                <w:sz w:val="24"/>
              </w:rPr>
            </w:pPr>
            <w:r>
              <w:rPr>
                <w:rFonts w:ascii="宋体" w:hAnsi="宋体" w:cs="宋体"/>
                <w:bCs/>
                <w:sz w:val="24"/>
              </w:rPr>
              <w:t>舱内照明</w:t>
            </w:r>
          </w:p>
        </w:tc>
        <w:tc>
          <w:tcPr>
            <w:tcW w:w="1168" w:type="pct"/>
            <w:tcBorders>
              <w:left w:val="single" w:color="auto" w:sz="4" w:space="0"/>
            </w:tcBorders>
            <w:vAlign w:val="center"/>
          </w:tcPr>
          <w:p w14:paraId="4D17CD4B">
            <w:pPr>
              <w:widowControl/>
              <w:jc w:val="center"/>
              <w:textAlignment w:val="center"/>
              <w:rPr>
                <w:rFonts w:hint="eastAsia" w:ascii="宋体" w:hAnsi="宋体" w:cs="等线"/>
                <w:color w:val="000000"/>
                <w:kern w:val="0"/>
                <w:sz w:val="24"/>
              </w:rPr>
            </w:pPr>
            <w:r>
              <w:rPr>
                <w:rFonts w:hint="eastAsia" w:ascii="宋体" w:hAnsi="宋体" w:eastAsia="宋体"/>
                <w:bCs/>
                <w:sz w:val="24"/>
              </w:rPr>
              <w:t>1套</w:t>
            </w:r>
          </w:p>
        </w:tc>
        <w:tc>
          <w:tcPr>
            <w:tcW w:w="665" w:type="pct"/>
            <w:tcBorders>
              <w:left w:val="single" w:color="auto" w:sz="4" w:space="0"/>
            </w:tcBorders>
            <w:vAlign w:val="center"/>
          </w:tcPr>
          <w:p w14:paraId="1E07A892">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05E6A531">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7D54C104">
            <w:pPr>
              <w:widowControl/>
              <w:jc w:val="center"/>
              <w:textAlignment w:val="center"/>
              <w:rPr>
                <w:rFonts w:hint="eastAsia" w:ascii="宋体" w:hAnsi="宋体" w:cs="宋体"/>
                <w:color w:val="000000"/>
                <w:sz w:val="24"/>
                <w:lang w:val="en-US" w:eastAsia="zh-CN"/>
              </w:rPr>
            </w:pPr>
          </w:p>
        </w:tc>
      </w:tr>
      <w:tr w14:paraId="6BD13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pct"/>
            <w:vAlign w:val="center"/>
          </w:tcPr>
          <w:p w14:paraId="30CC51C6">
            <w:pPr>
              <w:widowControl/>
              <w:jc w:val="center"/>
              <w:textAlignment w:val="center"/>
              <w:rPr>
                <w:rFonts w:hint="eastAsia" w:ascii="宋体" w:hAnsi="宋体" w:cs="宋体"/>
                <w:sz w:val="24"/>
              </w:rPr>
            </w:pPr>
            <w:r>
              <w:rPr>
                <w:rFonts w:hint="eastAsia" w:ascii="宋体" w:hAnsi="宋体" w:cs="宋体"/>
                <w:sz w:val="24"/>
              </w:rPr>
              <w:t>3.3</w:t>
            </w:r>
          </w:p>
        </w:tc>
        <w:tc>
          <w:tcPr>
            <w:tcW w:w="1424" w:type="pct"/>
            <w:tcBorders>
              <w:left w:val="single" w:color="auto" w:sz="4" w:space="0"/>
            </w:tcBorders>
            <w:vAlign w:val="center"/>
          </w:tcPr>
          <w:p w14:paraId="7E841A1A">
            <w:pPr>
              <w:widowControl/>
              <w:jc w:val="center"/>
              <w:textAlignment w:val="center"/>
              <w:rPr>
                <w:rFonts w:hint="eastAsia" w:ascii="宋体" w:hAnsi="宋体" w:cs="宋体"/>
                <w:bCs/>
                <w:sz w:val="24"/>
              </w:rPr>
            </w:pPr>
            <w:r>
              <w:rPr>
                <w:rFonts w:hint="eastAsia" w:ascii="宋体" w:hAnsi="宋体" w:cs="宋体"/>
                <w:bCs/>
                <w:sz w:val="24"/>
              </w:rPr>
              <w:t>地板</w:t>
            </w:r>
          </w:p>
        </w:tc>
        <w:tc>
          <w:tcPr>
            <w:tcW w:w="1168" w:type="pct"/>
            <w:tcBorders>
              <w:left w:val="single" w:color="auto" w:sz="4" w:space="0"/>
            </w:tcBorders>
            <w:vAlign w:val="center"/>
          </w:tcPr>
          <w:p w14:paraId="6D3C8646">
            <w:pPr>
              <w:widowControl/>
              <w:jc w:val="center"/>
              <w:textAlignment w:val="center"/>
              <w:rPr>
                <w:rFonts w:hint="eastAsia" w:ascii="宋体" w:hAnsi="宋体" w:cs="等线"/>
                <w:color w:val="000000"/>
                <w:kern w:val="0"/>
                <w:sz w:val="24"/>
              </w:rPr>
            </w:pPr>
            <w:r>
              <w:rPr>
                <w:rFonts w:hint="eastAsia" w:ascii="宋体" w:hAnsi="宋体" w:eastAsia="宋体"/>
                <w:bCs/>
                <w:sz w:val="24"/>
              </w:rPr>
              <w:t>1套</w:t>
            </w:r>
          </w:p>
        </w:tc>
        <w:tc>
          <w:tcPr>
            <w:tcW w:w="665" w:type="pct"/>
            <w:tcBorders>
              <w:left w:val="single" w:color="auto" w:sz="4" w:space="0"/>
            </w:tcBorders>
            <w:vAlign w:val="center"/>
          </w:tcPr>
          <w:p w14:paraId="4E381570">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0282D46F">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29A5F22E">
            <w:pPr>
              <w:widowControl/>
              <w:jc w:val="center"/>
              <w:textAlignment w:val="center"/>
              <w:rPr>
                <w:rFonts w:hint="eastAsia" w:ascii="宋体" w:hAnsi="宋体" w:cs="宋体"/>
                <w:color w:val="000000"/>
                <w:sz w:val="24"/>
                <w:lang w:val="en-US" w:eastAsia="zh-CN"/>
              </w:rPr>
            </w:pPr>
          </w:p>
        </w:tc>
      </w:tr>
      <w:tr w14:paraId="3B11B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pct"/>
            <w:vAlign w:val="center"/>
          </w:tcPr>
          <w:p w14:paraId="73EF6D02">
            <w:pPr>
              <w:widowControl/>
              <w:jc w:val="center"/>
              <w:textAlignment w:val="center"/>
              <w:rPr>
                <w:rFonts w:hint="eastAsia" w:ascii="宋体" w:hAnsi="宋体" w:cs="宋体"/>
                <w:sz w:val="24"/>
              </w:rPr>
            </w:pPr>
            <w:r>
              <w:rPr>
                <w:rFonts w:hint="eastAsia" w:ascii="宋体" w:hAnsi="宋体" w:cs="宋体"/>
                <w:sz w:val="24"/>
              </w:rPr>
              <w:t>3.4</w:t>
            </w:r>
          </w:p>
        </w:tc>
        <w:tc>
          <w:tcPr>
            <w:tcW w:w="1424" w:type="pct"/>
            <w:tcBorders>
              <w:left w:val="single" w:color="auto" w:sz="4" w:space="0"/>
            </w:tcBorders>
            <w:vAlign w:val="center"/>
          </w:tcPr>
          <w:p w14:paraId="3BB1CE0B">
            <w:pPr>
              <w:widowControl/>
              <w:jc w:val="center"/>
              <w:textAlignment w:val="center"/>
              <w:rPr>
                <w:rFonts w:hint="eastAsia" w:ascii="宋体" w:hAnsi="宋体" w:cs="宋体"/>
                <w:bCs/>
                <w:sz w:val="24"/>
              </w:rPr>
            </w:pPr>
            <w:r>
              <w:rPr>
                <w:rFonts w:hint="eastAsia" w:ascii="宋体" w:hAnsi="宋体" w:cs="宋体"/>
                <w:bCs/>
                <w:sz w:val="24"/>
              </w:rPr>
              <w:t>石墨烯电热膜地板采暖</w:t>
            </w:r>
            <w:r>
              <w:rPr>
                <w:rFonts w:ascii="宋体" w:hAnsi="宋体" w:cs="宋体"/>
                <w:bCs/>
                <w:sz w:val="24"/>
              </w:rPr>
              <w:t>系统</w:t>
            </w:r>
          </w:p>
        </w:tc>
        <w:tc>
          <w:tcPr>
            <w:tcW w:w="1168" w:type="pct"/>
            <w:tcBorders>
              <w:left w:val="single" w:color="auto" w:sz="4" w:space="0"/>
            </w:tcBorders>
            <w:vAlign w:val="center"/>
          </w:tcPr>
          <w:p w14:paraId="103CA0F7">
            <w:pPr>
              <w:widowControl/>
              <w:jc w:val="center"/>
              <w:textAlignment w:val="center"/>
              <w:rPr>
                <w:rFonts w:hint="eastAsia" w:ascii="宋体" w:hAnsi="宋体" w:cs="等线"/>
                <w:color w:val="000000"/>
                <w:kern w:val="0"/>
                <w:sz w:val="24"/>
              </w:rPr>
            </w:pPr>
            <w:r>
              <w:rPr>
                <w:rFonts w:hint="eastAsia" w:ascii="宋体" w:hAnsi="宋体" w:eastAsia="宋体"/>
                <w:bCs/>
                <w:sz w:val="24"/>
              </w:rPr>
              <w:t>1套</w:t>
            </w:r>
          </w:p>
        </w:tc>
        <w:tc>
          <w:tcPr>
            <w:tcW w:w="665" w:type="pct"/>
            <w:tcBorders>
              <w:left w:val="single" w:color="auto" w:sz="4" w:space="0"/>
            </w:tcBorders>
            <w:vAlign w:val="center"/>
          </w:tcPr>
          <w:p w14:paraId="1606F50A">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4F32A12B">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1F0AF737">
            <w:pPr>
              <w:widowControl/>
              <w:jc w:val="center"/>
              <w:textAlignment w:val="center"/>
              <w:rPr>
                <w:rFonts w:hint="eastAsia" w:ascii="宋体" w:hAnsi="宋体" w:cs="宋体"/>
                <w:color w:val="000000"/>
                <w:sz w:val="24"/>
                <w:lang w:val="en-US" w:eastAsia="zh-CN"/>
              </w:rPr>
            </w:pPr>
          </w:p>
        </w:tc>
      </w:tr>
      <w:tr w14:paraId="0C295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pct"/>
            <w:vAlign w:val="center"/>
          </w:tcPr>
          <w:p w14:paraId="5BA2F5C6">
            <w:pPr>
              <w:widowControl/>
              <w:jc w:val="center"/>
              <w:textAlignment w:val="center"/>
              <w:rPr>
                <w:rFonts w:hint="eastAsia" w:ascii="宋体" w:hAnsi="宋体" w:cs="宋体"/>
                <w:sz w:val="24"/>
              </w:rPr>
            </w:pPr>
            <w:r>
              <w:rPr>
                <w:rFonts w:hint="eastAsia" w:ascii="宋体" w:hAnsi="宋体" w:cs="宋体"/>
                <w:sz w:val="24"/>
              </w:rPr>
              <w:t>3.5</w:t>
            </w:r>
          </w:p>
        </w:tc>
        <w:tc>
          <w:tcPr>
            <w:tcW w:w="1424" w:type="pct"/>
            <w:tcBorders>
              <w:left w:val="single" w:color="auto" w:sz="4" w:space="0"/>
            </w:tcBorders>
            <w:vAlign w:val="center"/>
          </w:tcPr>
          <w:p w14:paraId="673ED0E1">
            <w:pPr>
              <w:widowControl/>
              <w:jc w:val="center"/>
              <w:textAlignment w:val="center"/>
              <w:rPr>
                <w:rFonts w:hint="eastAsia" w:ascii="宋体" w:hAnsi="宋体" w:cs="宋体"/>
                <w:bCs/>
                <w:sz w:val="24"/>
              </w:rPr>
            </w:pPr>
            <w:r>
              <w:rPr>
                <w:rFonts w:ascii="宋体" w:hAnsi="宋体" w:cs="宋体"/>
                <w:bCs/>
                <w:sz w:val="24"/>
              </w:rPr>
              <w:t>全</w:t>
            </w:r>
            <w:r>
              <w:rPr>
                <w:rFonts w:hint="eastAsia" w:ascii="宋体" w:hAnsi="宋体" w:cs="宋体"/>
                <w:bCs/>
                <w:sz w:val="24"/>
              </w:rPr>
              <w:t>舱</w:t>
            </w:r>
            <w:r>
              <w:rPr>
                <w:rFonts w:ascii="宋体" w:hAnsi="宋体" w:cs="宋体"/>
                <w:bCs/>
                <w:sz w:val="24"/>
              </w:rPr>
              <w:t>智能控制系统</w:t>
            </w:r>
          </w:p>
        </w:tc>
        <w:tc>
          <w:tcPr>
            <w:tcW w:w="1168" w:type="pct"/>
            <w:tcBorders>
              <w:left w:val="single" w:color="auto" w:sz="4" w:space="0"/>
            </w:tcBorders>
            <w:vAlign w:val="center"/>
          </w:tcPr>
          <w:p w14:paraId="48C0B818">
            <w:pPr>
              <w:widowControl/>
              <w:jc w:val="center"/>
              <w:textAlignment w:val="center"/>
              <w:rPr>
                <w:rFonts w:hint="eastAsia" w:ascii="宋体" w:hAnsi="宋体" w:cs="等线"/>
                <w:color w:val="000000"/>
                <w:kern w:val="0"/>
                <w:sz w:val="24"/>
              </w:rPr>
            </w:pPr>
            <w:r>
              <w:rPr>
                <w:rFonts w:hint="eastAsia" w:ascii="宋体" w:hAnsi="宋体" w:eastAsia="宋体"/>
                <w:bCs/>
                <w:sz w:val="24"/>
              </w:rPr>
              <w:t>1套</w:t>
            </w:r>
          </w:p>
        </w:tc>
        <w:tc>
          <w:tcPr>
            <w:tcW w:w="665" w:type="pct"/>
            <w:tcBorders>
              <w:left w:val="single" w:color="auto" w:sz="4" w:space="0"/>
            </w:tcBorders>
            <w:vAlign w:val="center"/>
          </w:tcPr>
          <w:p w14:paraId="79AA538B">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09C27A29">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476DF2DC">
            <w:pPr>
              <w:widowControl/>
              <w:jc w:val="center"/>
              <w:textAlignment w:val="center"/>
              <w:rPr>
                <w:rFonts w:hint="eastAsia" w:ascii="宋体" w:hAnsi="宋体" w:cs="宋体"/>
                <w:color w:val="000000"/>
                <w:sz w:val="24"/>
                <w:lang w:val="en-US" w:eastAsia="zh-CN"/>
              </w:rPr>
            </w:pPr>
          </w:p>
        </w:tc>
      </w:tr>
      <w:tr w14:paraId="1206B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pct"/>
            <w:vAlign w:val="center"/>
          </w:tcPr>
          <w:p w14:paraId="78D5605B">
            <w:pPr>
              <w:widowControl/>
              <w:jc w:val="center"/>
              <w:textAlignment w:val="center"/>
              <w:rPr>
                <w:rFonts w:hint="eastAsia" w:ascii="宋体" w:hAnsi="宋体" w:cs="宋体"/>
                <w:sz w:val="24"/>
              </w:rPr>
            </w:pPr>
            <w:r>
              <w:rPr>
                <w:rFonts w:hint="eastAsia" w:ascii="宋体" w:hAnsi="宋体" w:cs="宋体"/>
                <w:sz w:val="24"/>
              </w:rPr>
              <w:t>3.6</w:t>
            </w:r>
          </w:p>
        </w:tc>
        <w:tc>
          <w:tcPr>
            <w:tcW w:w="1424" w:type="pct"/>
            <w:tcBorders>
              <w:left w:val="single" w:color="auto" w:sz="4" w:space="0"/>
            </w:tcBorders>
            <w:vAlign w:val="center"/>
          </w:tcPr>
          <w:p w14:paraId="7FBA1B8B">
            <w:pPr>
              <w:widowControl/>
              <w:jc w:val="center"/>
              <w:textAlignment w:val="center"/>
              <w:rPr>
                <w:rFonts w:hint="eastAsia" w:ascii="宋体" w:hAnsi="宋体" w:cs="宋体"/>
                <w:bCs/>
                <w:sz w:val="24"/>
              </w:rPr>
            </w:pPr>
            <w:r>
              <w:rPr>
                <w:rFonts w:ascii="宋体" w:hAnsi="宋体" w:cs="宋体"/>
                <w:bCs/>
                <w:sz w:val="24"/>
              </w:rPr>
              <w:t>内装材料</w:t>
            </w:r>
            <w:r>
              <w:rPr>
                <w:rFonts w:hint="eastAsia" w:ascii="宋体" w:hAnsi="宋体" w:cs="宋体"/>
                <w:bCs/>
                <w:sz w:val="24"/>
              </w:rPr>
              <w:t>及</w:t>
            </w:r>
            <w:r>
              <w:rPr>
                <w:rFonts w:ascii="宋体" w:hAnsi="宋体" w:cs="宋体"/>
                <w:bCs/>
                <w:sz w:val="24"/>
              </w:rPr>
              <w:t>辅材</w:t>
            </w:r>
          </w:p>
        </w:tc>
        <w:tc>
          <w:tcPr>
            <w:tcW w:w="1168" w:type="pct"/>
            <w:tcBorders>
              <w:left w:val="single" w:color="auto" w:sz="4" w:space="0"/>
            </w:tcBorders>
            <w:vAlign w:val="center"/>
          </w:tcPr>
          <w:p w14:paraId="38DA59A4">
            <w:pPr>
              <w:widowControl/>
              <w:jc w:val="center"/>
              <w:textAlignment w:val="center"/>
              <w:rPr>
                <w:rFonts w:hint="eastAsia" w:ascii="宋体" w:hAnsi="宋体" w:cs="等线"/>
                <w:color w:val="000000"/>
                <w:kern w:val="0"/>
                <w:sz w:val="24"/>
              </w:rPr>
            </w:pPr>
            <w:r>
              <w:rPr>
                <w:rFonts w:hint="eastAsia" w:ascii="宋体" w:hAnsi="宋体" w:eastAsia="宋体"/>
                <w:bCs/>
                <w:sz w:val="24"/>
              </w:rPr>
              <w:t>1套</w:t>
            </w:r>
          </w:p>
        </w:tc>
        <w:tc>
          <w:tcPr>
            <w:tcW w:w="665" w:type="pct"/>
            <w:tcBorders>
              <w:left w:val="single" w:color="auto" w:sz="4" w:space="0"/>
            </w:tcBorders>
            <w:vAlign w:val="center"/>
          </w:tcPr>
          <w:p w14:paraId="517BEE05">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54BB8CC1">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28C16928">
            <w:pPr>
              <w:widowControl/>
              <w:jc w:val="center"/>
              <w:textAlignment w:val="center"/>
              <w:rPr>
                <w:rFonts w:hint="eastAsia" w:ascii="宋体" w:hAnsi="宋体" w:cs="宋体"/>
                <w:color w:val="000000"/>
                <w:sz w:val="24"/>
                <w:lang w:val="en-US" w:eastAsia="zh-CN"/>
              </w:rPr>
            </w:pPr>
          </w:p>
        </w:tc>
      </w:tr>
      <w:tr w14:paraId="440FA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pct"/>
            <w:vAlign w:val="center"/>
          </w:tcPr>
          <w:p w14:paraId="520B5C1B">
            <w:pPr>
              <w:widowControl/>
              <w:jc w:val="center"/>
              <w:textAlignment w:val="center"/>
              <w:rPr>
                <w:rFonts w:hint="eastAsia" w:ascii="宋体" w:hAnsi="宋体" w:cs="宋体"/>
                <w:sz w:val="24"/>
              </w:rPr>
            </w:pPr>
            <w:r>
              <w:rPr>
                <w:rFonts w:hint="eastAsia" w:ascii="宋体" w:hAnsi="宋体" w:cs="宋体"/>
                <w:sz w:val="24"/>
              </w:rPr>
              <w:t>3.7</w:t>
            </w:r>
          </w:p>
        </w:tc>
        <w:tc>
          <w:tcPr>
            <w:tcW w:w="1424" w:type="pct"/>
            <w:tcBorders>
              <w:left w:val="single" w:color="auto" w:sz="4" w:space="0"/>
            </w:tcBorders>
            <w:vAlign w:val="center"/>
          </w:tcPr>
          <w:p w14:paraId="0B7C9E59">
            <w:pPr>
              <w:widowControl/>
              <w:jc w:val="center"/>
              <w:textAlignment w:val="center"/>
              <w:rPr>
                <w:rFonts w:hint="eastAsia" w:ascii="宋体" w:hAnsi="宋体" w:cs="宋体"/>
                <w:bCs/>
                <w:sz w:val="24"/>
              </w:rPr>
            </w:pPr>
            <w:r>
              <w:rPr>
                <w:rFonts w:hint="eastAsia" w:ascii="宋体" w:hAnsi="宋体" w:cs="宋体"/>
                <w:bCs/>
                <w:sz w:val="24"/>
              </w:rPr>
              <w:t>集成家具</w:t>
            </w:r>
          </w:p>
        </w:tc>
        <w:tc>
          <w:tcPr>
            <w:tcW w:w="1168" w:type="pct"/>
            <w:tcBorders>
              <w:left w:val="single" w:color="auto" w:sz="4" w:space="0"/>
            </w:tcBorders>
            <w:vAlign w:val="center"/>
          </w:tcPr>
          <w:p w14:paraId="5EB06301">
            <w:pPr>
              <w:widowControl/>
              <w:jc w:val="center"/>
              <w:textAlignment w:val="center"/>
              <w:rPr>
                <w:rFonts w:hint="eastAsia" w:ascii="宋体" w:hAnsi="宋体" w:cs="等线"/>
                <w:color w:val="000000"/>
                <w:kern w:val="0"/>
                <w:sz w:val="24"/>
              </w:rPr>
            </w:pPr>
            <w:r>
              <w:rPr>
                <w:rFonts w:hint="eastAsia" w:ascii="宋体" w:hAnsi="宋体" w:eastAsia="宋体"/>
                <w:bCs/>
                <w:sz w:val="24"/>
              </w:rPr>
              <w:t>1套</w:t>
            </w:r>
          </w:p>
        </w:tc>
        <w:tc>
          <w:tcPr>
            <w:tcW w:w="665" w:type="pct"/>
            <w:tcBorders>
              <w:left w:val="single" w:color="auto" w:sz="4" w:space="0"/>
            </w:tcBorders>
            <w:vAlign w:val="center"/>
          </w:tcPr>
          <w:p w14:paraId="325E90D6">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598507C9">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7047DA0C">
            <w:pPr>
              <w:widowControl/>
              <w:jc w:val="center"/>
              <w:textAlignment w:val="center"/>
              <w:rPr>
                <w:rFonts w:hint="eastAsia" w:ascii="宋体" w:hAnsi="宋体" w:cs="宋体"/>
                <w:color w:val="000000"/>
                <w:sz w:val="24"/>
                <w:lang w:val="en-US" w:eastAsia="zh-CN"/>
              </w:rPr>
            </w:pPr>
          </w:p>
        </w:tc>
      </w:tr>
      <w:tr w14:paraId="053B8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pct"/>
            <w:vAlign w:val="center"/>
          </w:tcPr>
          <w:p w14:paraId="0CA2B54C">
            <w:pPr>
              <w:widowControl/>
              <w:jc w:val="center"/>
              <w:textAlignment w:val="center"/>
              <w:rPr>
                <w:rFonts w:hint="eastAsia" w:ascii="宋体" w:hAnsi="宋体" w:cs="宋体"/>
                <w:sz w:val="24"/>
              </w:rPr>
            </w:pPr>
            <w:r>
              <w:rPr>
                <w:rFonts w:hint="eastAsia" w:ascii="宋体" w:hAnsi="宋体" w:cs="宋体"/>
                <w:sz w:val="24"/>
              </w:rPr>
              <w:t>4</w:t>
            </w:r>
          </w:p>
        </w:tc>
        <w:tc>
          <w:tcPr>
            <w:tcW w:w="4460" w:type="pct"/>
            <w:gridSpan w:val="5"/>
            <w:tcBorders>
              <w:left w:val="single" w:color="auto" w:sz="4" w:space="0"/>
            </w:tcBorders>
            <w:vAlign w:val="center"/>
          </w:tcPr>
          <w:p w14:paraId="139F72C2">
            <w:pPr>
              <w:widowControl/>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献血</w:t>
            </w:r>
            <w:r>
              <w:rPr>
                <w:rFonts w:hint="eastAsia" w:ascii="宋体" w:hAnsi="宋体" w:cs="宋体"/>
                <w:bCs/>
                <w:sz w:val="24"/>
              </w:rPr>
              <w:t>方舱设备</w:t>
            </w:r>
          </w:p>
        </w:tc>
      </w:tr>
      <w:tr w14:paraId="54CB4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pct"/>
            <w:vAlign w:val="center"/>
          </w:tcPr>
          <w:p w14:paraId="43A6AAE8">
            <w:pPr>
              <w:widowControl/>
              <w:jc w:val="center"/>
              <w:textAlignment w:val="center"/>
              <w:rPr>
                <w:rFonts w:hint="eastAsia" w:ascii="宋体" w:hAnsi="宋体" w:cs="宋体"/>
                <w:sz w:val="24"/>
              </w:rPr>
            </w:pPr>
            <w:r>
              <w:rPr>
                <w:rFonts w:hint="eastAsia" w:ascii="宋体" w:hAnsi="宋体" w:cs="宋体"/>
                <w:sz w:val="24"/>
              </w:rPr>
              <w:t>4.1</w:t>
            </w:r>
          </w:p>
        </w:tc>
        <w:tc>
          <w:tcPr>
            <w:tcW w:w="1424" w:type="pct"/>
            <w:tcBorders>
              <w:left w:val="single" w:color="auto" w:sz="4" w:space="0"/>
            </w:tcBorders>
            <w:vAlign w:val="center"/>
          </w:tcPr>
          <w:p w14:paraId="2221C8F7">
            <w:pPr>
              <w:widowControl/>
              <w:jc w:val="center"/>
              <w:textAlignment w:val="center"/>
              <w:rPr>
                <w:rFonts w:hint="eastAsia" w:ascii="宋体" w:hAnsi="宋体"/>
                <w:sz w:val="24"/>
              </w:rPr>
            </w:pPr>
            <w:r>
              <w:rPr>
                <w:rFonts w:hint="eastAsia" w:ascii="宋体" w:hAnsi="宋体" w:eastAsia="宋体" w:cs="宋体"/>
                <w:color w:val="auto"/>
                <w:kern w:val="2"/>
                <w:sz w:val="24"/>
                <w:szCs w:val="24"/>
                <w:lang w:val="en-US" w:eastAsia="zh-CN" w:bidi="ar-SA"/>
              </w:rPr>
              <w:t>空气消毒机</w:t>
            </w:r>
          </w:p>
        </w:tc>
        <w:tc>
          <w:tcPr>
            <w:tcW w:w="1168" w:type="pct"/>
            <w:tcBorders>
              <w:left w:val="single" w:color="auto" w:sz="4" w:space="0"/>
            </w:tcBorders>
            <w:vAlign w:val="center"/>
          </w:tcPr>
          <w:p w14:paraId="06432413">
            <w:pPr>
              <w:widowControl/>
              <w:jc w:val="center"/>
              <w:textAlignment w:val="center"/>
              <w:rPr>
                <w:rFonts w:hint="eastAsia" w:ascii="宋体" w:hAnsi="宋体" w:cs="等线"/>
                <w:color w:val="000000"/>
                <w:kern w:val="0"/>
                <w:sz w:val="24"/>
              </w:rPr>
            </w:pPr>
            <w:r>
              <w:t>1台</w:t>
            </w:r>
          </w:p>
        </w:tc>
        <w:tc>
          <w:tcPr>
            <w:tcW w:w="665" w:type="pct"/>
            <w:tcBorders>
              <w:left w:val="single" w:color="auto" w:sz="4" w:space="0"/>
            </w:tcBorders>
            <w:vAlign w:val="center"/>
          </w:tcPr>
          <w:p w14:paraId="2549478D">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7F97DDCC">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45DB7495">
            <w:pPr>
              <w:widowControl/>
              <w:jc w:val="center"/>
              <w:textAlignment w:val="center"/>
              <w:rPr>
                <w:rFonts w:hint="default" w:ascii="宋体" w:hAnsi="宋体" w:cs="宋体"/>
                <w:color w:val="000000"/>
                <w:sz w:val="24"/>
                <w:lang w:val="en-US" w:eastAsia="zh-CN"/>
              </w:rPr>
            </w:pPr>
            <w:r>
              <w:rPr>
                <w:rFonts w:hint="eastAsia" w:ascii="宋体" w:hAnsi="宋体" w:cs="宋体"/>
                <w:color w:val="000000"/>
                <w:sz w:val="24"/>
                <w:lang w:val="en-US" w:eastAsia="zh-CN"/>
              </w:rPr>
              <w:t>消毒产品</w:t>
            </w:r>
          </w:p>
        </w:tc>
      </w:tr>
      <w:tr w14:paraId="06978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pct"/>
            <w:vAlign w:val="center"/>
          </w:tcPr>
          <w:p w14:paraId="3C2DC41E">
            <w:pPr>
              <w:widowControl/>
              <w:jc w:val="center"/>
              <w:textAlignment w:val="center"/>
              <w:rPr>
                <w:rFonts w:hint="eastAsia" w:ascii="宋体" w:hAnsi="宋体" w:cs="宋体"/>
                <w:color w:val="000000"/>
                <w:kern w:val="0"/>
                <w:sz w:val="24"/>
              </w:rPr>
            </w:pPr>
            <w:r>
              <w:rPr>
                <w:rFonts w:hint="eastAsia" w:ascii="宋体" w:hAnsi="宋体" w:cs="宋体"/>
                <w:sz w:val="24"/>
              </w:rPr>
              <w:t>4.2</w:t>
            </w:r>
          </w:p>
        </w:tc>
        <w:tc>
          <w:tcPr>
            <w:tcW w:w="1424" w:type="pct"/>
            <w:tcBorders>
              <w:left w:val="single" w:color="auto" w:sz="4" w:space="0"/>
            </w:tcBorders>
            <w:vAlign w:val="center"/>
          </w:tcPr>
          <w:p w14:paraId="4977B808">
            <w:pPr>
              <w:widowControl/>
              <w:jc w:val="center"/>
              <w:textAlignment w:val="center"/>
              <w:rPr>
                <w:rFonts w:hint="eastAsia" w:ascii="宋体" w:hAnsi="宋体" w:cs="宋体"/>
                <w:color w:val="000000"/>
                <w:kern w:val="0"/>
                <w:sz w:val="24"/>
              </w:rPr>
            </w:pPr>
            <w:r>
              <w:rPr>
                <w:rFonts w:ascii="宋体" w:hAnsi="宋体" w:cs="宋体"/>
                <w:bCs/>
                <w:sz w:val="24"/>
              </w:rPr>
              <w:t>生活冰箱</w:t>
            </w:r>
          </w:p>
        </w:tc>
        <w:tc>
          <w:tcPr>
            <w:tcW w:w="1168" w:type="pct"/>
            <w:tcBorders>
              <w:left w:val="single" w:color="auto" w:sz="4" w:space="0"/>
            </w:tcBorders>
            <w:vAlign w:val="center"/>
          </w:tcPr>
          <w:p w14:paraId="67813381">
            <w:pPr>
              <w:widowControl/>
              <w:jc w:val="center"/>
              <w:textAlignment w:val="center"/>
              <w:rPr>
                <w:rFonts w:hint="eastAsia" w:ascii="宋体" w:hAnsi="宋体" w:cs="等线"/>
                <w:color w:val="000000"/>
                <w:kern w:val="0"/>
                <w:sz w:val="24"/>
              </w:rPr>
            </w:pPr>
            <w:r>
              <w:rPr>
                <w:rFonts w:ascii="宋体" w:hAnsi="宋体" w:cs="宋体"/>
                <w:bCs/>
                <w:sz w:val="24"/>
              </w:rPr>
              <w:t>1台</w:t>
            </w:r>
          </w:p>
        </w:tc>
        <w:tc>
          <w:tcPr>
            <w:tcW w:w="665" w:type="pct"/>
            <w:tcBorders>
              <w:left w:val="single" w:color="auto" w:sz="4" w:space="0"/>
            </w:tcBorders>
            <w:vAlign w:val="center"/>
          </w:tcPr>
          <w:p w14:paraId="1A5DFB68">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75CB5CDD">
            <w:pPr>
              <w:widowControl/>
              <w:jc w:val="center"/>
              <w:textAlignment w:val="center"/>
              <w:rPr>
                <w:rFonts w:hint="eastAsia" w:ascii="宋体" w:hAnsi="宋体" w:eastAsia="宋体" w:cs="宋体"/>
                <w:b/>
                <w:bCs/>
                <w:color w:val="000000"/>
                <w:sz w:val="24"/>
                <w:lang w:val="en-US" w:eastAsia="zh-CN"/>
              </w:rPr>
            </w:pPr>
            <w:r>
              <w:rPr>
                <w:rFonts w:hint="eastAsia" w:ascii="宋体" w:hAnsi="宋体" w:cs="宋体"/>
                <w:b/>
                <w:bCs/>
                <w:color w:val="000000"/>
                <w:sz w:val="24"/>
                <w:lang w:val="en-US" w:eastAsia="zh-CN"/>
              </w:rPr>
              <w:t>是</w:t>
            </w:r>
          </w:p>
        </w:tc>
        <w:tc>
          <w:tcPr>
            <w:tcW w:w="600" w:type="pct"/>
            <w:tcBorders>
              <w:left w:val="single" w:color="auto" w:sz="4" w:space="0"/>
            </w:tcBorders>
            <w:vAlign w:val="center"/>
          </w:tcPr>
          <w:p w14:paraId="49B26FC7">
            <w:pPr>
              <w:widowControl/>
              <w:jc w:val="center"/>
              <w:textAlignment w:val="center"/>
              <w:rPr>
                <w:rFonts w:hint="eastAsia" w:ascii="宋体" w:hAnsi="宋体" w:cs="宋体"/>
                <w:b/>
                <w:bCs/>
                <w:color w:val="000000"/>
                <w:sz w:val="24"/>
                <w:lang w:val="en-US" w:eastAsia="zh-CN"/>
              </w:rPr>
            </w:pPr>
          </w:p>
        </w:tc>
      </w:tr>
      <w:tr w14:paraId="24C3E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pct"/>
            <w:vAlign w:val="center"/>
          </w:tcPr>
          <w:p w14:paraId="3A45A047">
            <w:pPr>
              <w:widowControl/>
              <w:jc w:val="center"/>
              <w:textAlignment w:val="center"/>
              <w:rPr>
                <w:rFonts w:hint="eastAsia" w:ascii="宋体" w:hAnsi="宋体" w:cs="宋体"/>
                <w:color w:val="000000"/>
                <w:kern w:val="0"/>
                <w:sz w:val="24"/>
              </w:rPr>
            </w:pPr>
            <w:r>
              <w:rPr>
                <w:rFonts w:hint="eastAsia" w:ascii="宋体" w:hAnsi="宋体" w:cs="宋体"/>
                <w:sz w:val="24"/>
              </w:rPr>
              <w:t>4.3</w:t>
            </w:r>
          </w:p>
        </w:tc>
        <w:tc>
          <w:tcPr>
            <w:tcW w:w="1424" w:type="pct"/>
            <w:tcBorders>
              <w:left w:val="single" w:color="auto" w:sz="4" w:space="0"/>
            </w:tcBorders>
            <w:vAlign w:val="center"/>
          </w:tcPr>
          <w:p w14:paraId="6C6383F6">
            <w:pPr>
              <w:widowControl/>
              <w:jc w:val="center"/>
              <w:textAlignment w:val="center"/>
              <w:rPr>
                <w:rFonts w:hint="eastAsia" w:ascii="宋体" w:hAnsi="宋体" w:cs="宋体"/>
                <w:color w:val="000000"/>
                <w:kern w:val="0"/>
                <w:sz w:val="24"/>
              </w:rPr>
            </w:pPr>
            <w:r>
              <w:rPr>
                <w:rFonts w:hint="eastAsia" w:ascii="宋体" w:hAnsi="宋体" w:cs="宋体"/>
                <w:bCs/>
                <w:sz w:val="24"/>
              </w:rPr>
              <w:t>微波炉</w:t>
            </w:r>
          </w:p>
        </w:tc>
        <w:tc>
          <w:tcPr>
            <w:tcW w:w="1168" w:type="pct"/>
            <w:tcBorders>
              <w:left w:val="single" w:color="auto" w:sz="4" w:space="0"/>
            </w:tcBorders>
            <w:vAlign w:val="center"/>
          </w:tcPr>
          <w:p w14:paraId="05156C64">
            <w:pPr>
              <w:widowControl/>
              <w:jc w:val="center"/>
              <w:textAlignment w:val="center"/>
              <w:rPr>
                <w:rFonts w:hint="eastAsia" w:ascii="宋体" w:hAnsi="宋体" w:cs="等线"/>
                <w:color w:val="000000"/>
                <w:kern w:val="0"/>
                <w:sz w:val="24"/>
              </w:rPr>
            </w:pPr>
            <w:r>
              <w:rPr>
                <w:rFonts w:ascii="宋体" w:hAnsi="宋体" w:cs="宋体"/>
                <w:bCs/>
                <w:sz w:val="24"/>
              </w:rPr>
              <w:t>1台</w:t>
            </w:r>
          </w:p>
        </w:tc>
        <w:tc>
          <w:tcPr>
            <w:tcW w:w="665" w:type="pct"/>
            <w:tcBorders>
              <w:left w:val="single" w:color="auto" w:sz="4" w:space="0"/>
            </w:tcBorders>
            <w:vAlign w:val="center"/>
          </w:tcPr>
          <w:p w14:paraId="3B4878A3">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0C561D8F">
            <w:pPr>
              <w:widowControl/>
              <w:jc w:val="center"/>
              <w:textAlignment w:val="center"/>
              <w:rPr>
                <w:rFonts w:hint="eastAsia" w:ascii="宋体" w:hAnsi="宋体" w:cs="宋体"/>
                <w:b/>
                <w:bCs/>
                <w:color w:val="000000"/>
                <w:sz w:val="24"/>
              </w:rPr>
            </w:pPr>
            <w:r>
              <w:rPr>
                <w:rFonts w:hint="eastAsia" w:ascii="宋体" w:hAnsi="宋体" w:cs="宋体"/>
                <w:b/>
                <w:bCs/>
                <w:color w:val="000000"/>
                <w:sz w:val="24"/>
                <w:lang w:val="en-US" w:eastAsia="zh-CN"/>
              </w:rPr>
              <w:t>是</w:t>
            </w:r>
          </w:p>
        </w:tc>
        <w:tc>
          <w:tcPr>
            <w:tcW w:w="600" w:type="pct"/>
            <w:tcBorders>
              <w:left w:val="single" w:color="auto" w:sz="4" w:space="0"/>
            </w:tcBorders>
            <w:vAlign w:val="center"/>
          </w:tcPr>
          <w:p w14:paraId="511483AB">
            <w:pPr>
              <w:widowControl/>
              <w:jc w:val="center"/>
              <w:textAlignment w:val="center"/>
              <w:rPr>
                <w:rFonts w:hint="eastAsia" w:ascii="宋体" w:hAnsi="宋体" w:cs="宋体"/>
                <w:b/>
                <w:bCs/>
                <w:color w:val="000000"/>
                <w:sz w:val="24"/>
                <w:lang w:val="en-US" w:eastAsia="zh-CN"/>
              </w:rPr>
            </w:pPr>
          </w:p>
        </w:tc>
      </w:tr>
      <w:tr w14:paraId="47262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pct"/>
            <w:vAlign w:val="center"/>
          </w:tcPr>
          <w:p w14:paraId="2255FE2A">
            <w:pPr>
              <w:widowControl/>
              <w:jc w:val="center"/>
              <w:textAlignment w:val="center"/>
              <w:rPr>
                <w:rFonts w:hint="eastAsia" w:ascii="宋体" w:hAnsi="宋体" w:cs="宋体"/>
                <w:color w:val="000000"/>
                <w:kern w:val="0"/>
                <w:sz w:val="24"/>
              </w:rPr>
            </w:pPr>
            <w:r>
              <w:rPr>
                <w:rFonts w:hint="eastAsia" w:ascii="宋体" w:hAnsi="宋体" w:cs="宋体"/>
                <w:sz w:val="24"/>
              </w:rPr>
              <w:t>4.4</w:t>
            </w:r>
          </w:p>
        </w:tc>
        <w:tc>
          <w:tcPr>
            <w:tcW w:w="1424" w:type="pct"/>
            <w:tcBorders>
              <w:left w:val="single" w:color="auto" w:sz="4" w:space="0"/>
            </w:tcBorders>
            <w:vAlign w:val="center"/>
          </w:tcPr>
          <w:p w14:paraId="3672B2B7">
            <w:pPr>
              <w:widowControl/>
              <w:jc w:val="center"/>
              <w:textAlignment w:val="center"/>
              <w:rPr>
                <w:rFonts w:hint="eastAsia" w:ascii="宋体" w:hAnsi="宋体" w:cs="宋体"/>
                <w:color w:val="000000"/>
                <w:kern w:val="0"/>
                <w:sz w:val="24"/>
              </w:rPr>
            </w:pPr>
            <w:r>
              <w:rPr>
                <w:rFonts w:ascii="宋体" w:hAnsi="宋体" w:cs="宋体"/>
                <w:bCs/>
                <w:sz w:val="24"/>
              </w:rPr>
              <w:t>饮料柜</w:t>
            </w:r>
          </w:p>
        </w:tc>
        <w:tc>
          <w:tcPr>
            <w:tcW w:w="1168" w:type="pct"/>
            <w:tcBorders>
              <w:left w:val="single" w:color="auto" w:sz="4" w:space="0"/>
            </w:tcBorders>
            <w:vAlign w:val="center"/>
          </w:tcPr>
          <w:p w14:paraId="475E69A0">
            <w:pPr>
              <w:widowControl/>
              <w:jc w:val="center"/>
              <w:textAlignment w:val="center"/>
              <w:rPr>
                <w:rFonts w:hint="eastAsia" w:ascii="宋体" w:hAnsi="宋体" w:cs="等线"/>
                <w:color w:val="000000"/>
                <w:kern w:val="0"/>
                <w:sz w:val="24"/>
              </w:rPr>
            </w:pPr>
            <w:r>
              <w:rPr>
                <w:rFonts w:ascii="宋体" w:hAnsi="宋体" w:cs="宋体"/>
                <w:bCs/>
                <w:sz w:val="24"/>
              </w:rPr>
              <w:t>1台</w:t>
            </w:r>
          </w:p>
        </w:tc>
        <w:tc>
          <w:tcPr>
            <w:tcW w:w="665" w:type="pct"/>
            <w:tcBorders>
              <w:left w:val="single" w:color="auto" w:sz="4" w:space="0"/>
            </w:tcBorders>
            <w:vAlign w:val="center"/>
          </w:tcPr>
          <w:p w14:paraId="58ACCCCA">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45EB9F08">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0C596294">
            <w:pPr>
              <w:widowControl/>
              <w:jc w:val="center"/>
              <w:textAlignment w:val="center"/>
              <w:rPr>
                <w:rFonts w:hint="eastAsia" w:ascii="宋体" w:hAnsi="宋体" w:cs="宋体"/>
                <w:color w:val="000000"/>
                <w:sz w:val="24"/>
                <w:lang w:val="en-US" w:eastAsia="zh-CN"/>
              </w:rPr>
            </w:pPr>
          </w:p>
        </w:tc>
      </w:tr>
      <w:tr w14:paraId="171E2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pct"/>
            <w:vAlign w:val="center"/>
          </w:tcPr>
          <w:p w14:paraId="5953BD34">
            <w:pPr>
              <w:widowControl/>
              <w:jc w:val="center"/>
              <w:textAlignment w:val="center"/>
              <w:rPr>
                <w:rFonts w:hint="eastAsia" w:ascii="宋体" w:hAnsi="宋体" w:cs="宋体"/>
                <w:sz w:val="24"/>
              </w:rPr>
            </w:pPr>
            <w:r>
              <w:rPr>
                <w:rFonts w:hint="eastAsia" w:ascii="宋体" w:hAnsi="宋体" w:cs="宋体"/>
                <w:sz w:val="24"/>
              </w:rPr>
              <w:t>4.5</w:t>
            </w:r>
          </w:p>
        </w:tc>
        <w:tc>
          <w:tcPr>
            <w:tcW w:w="1424" w:type="pct"/>
            <w:tcBorders>
              <w:left w:val="single" w:color="auto" w:sz="4" w:space="0"/>
            </w:tcBorders>
            <w:vAlign w:val="center"/>
          </w:tcPr>
          <w:p w14:paraId="5F861C36">
            <w:pPr>
              <w:widowControl/>
              <w:jc w:val="center"/>
              <w:textAlignment w:val="center"/>
              <w:rPr>
                <w:rFonts w:hint="eastAsia" w:ascii="宋体" w:hAnsi="宋体"/>
                <w:sz w:val="24"/>
              </w:rPr>
            </w:pPr>
            <w:r>
              <w:rPr>
                <w:rFonts w:ascii="宋体" w:hAnsi="宋体" w:cs="宋体"/>
                <w:bCs/>
                <w:sz w:val="24"/>
              </w:rPr>
              <w:t>饮水机</w:t>
            </w:r>
          </w:p>
        </w:tc>
        <w:tc>
          <w:tcPr>
            <w:tcW w:w="1168" w:type="pct"/>
            <w:tcBorders>
              <w:left w:val="single" w:color="auto" w:sz="4" w:space="0"/>
            </w:tcBorders>
            <w:vAlign w:val="center"/>
          </w:tcPr>
          <w:p w14:paraId="3B47A17D">
            <w:pPr>
              <w:widowControl/>
              <w:jc w:val="center"/>
              <w:textAlignment w:val="center"/>
              <w:rPr>
                <w:rFonts w:hint="eastAsia" w:ascii="宋体" w:hAnsi="宋体" w:cs="等线"/>
                <w:color w:val="000000"/>
                <w:kern w:val="0"/>
                <w:sz w:val="24"/>
              </w:rPr>
            </w:pPr>
            <w:r>
              <w:rPr>
                <w:rFonts w:ascii="宋体" w:hAnsi="宋体" w:cs="宋体"/>
                <w:bCs/>
                <w:sz w:val="24"/>
              </w:rPr>
              <w:t>1台</w:t>
            </w:r>
          </w:p>
        </w:tc>
        <w:tc>
          <w:tcPr>
            <w:tcW w:w="665" w:type="pct"/>
            <w:tcBorders>
              <w:left w:val="single" w:color="auto" w:sz="4" w:space="0"/>
            </w:tcBorders>
            <w:vAlign w:val="center"/>
          </w:tcPr>
          <w:p w14:paraId="6A8D2A83">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111B1EDF">
            <w:pPr>
              <w:widowControl/>
              <w:jc w:val="center"/>
              <w:textAlignment w:val="center"/>
              <w:rPr>
                <w:rFonts w:hint="eastAsia" w:ascii="宋体" w:hAnsi="宋体" w:cs="宋体"/>
                <w:color w:val="000000"/>
                <w:sz w:val="24"/>
              </w:rPr>
            </w:pPr>
            <w:r>
              <w:rPr>
                <w:rFonts w:hint="eastAsia" w:ascii="宋体" w:hAnsi="宋体" w:cs="宋体"/>
                <w:b/>
                <w:bCs/>
                <w:color w:val="000000"/>
                <w:sz w:val="24"/>
                <w:lang w:val="en-US" w:eastAsia="zh-CN"/>
              </w:rPr>
              <w:t>是</w:t>
            </w:r>
          </w:p>
        </w:tc>
        <w:tc>
          <w:tcPr>
            <w:tcW w:w="600" w:type="pct"/>
            <w:tcBorders>
              <w:left w:val="single" w:color="auto" w:sz="4" w:space="0"/>
            </w:tcBorders>
            <w:vAlign w:val="center"/>
          </w:tcPr>
          <w:p w14:paraId="5558B045">
            <w:pPr>
              <w:widowControl/>
              <w:jc w:val="center"/>
              <w:textAlignment w:val="center"/>
              <w:rPr>
                <w:rFonts w:hint="eastAsia" w:ascii="宋体" w:hAnsi="宋体" w:cs="宋体"/>
                <w:b/>
                <w:bCs/>
                <w:color w:val="000000"/>
                <w:sz w:val="24"/>
                <w:lang w:val="en-US" w:eastAsia="zh-CN"/>
              </w:rPr>
            </w:pPr>
          </w:p>
        </w:tc>
      </w:tr>
      <w:tr w14:paraId="0F8BC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pct"/>
            <w:vAlign w:val="center"/>
          </w:tcPr>
          <w:p w14:paraId="06CD1E73">
            <w:pPr>
              <w:widowControl/>
              <w:jc w:val="center"/>
              <w:textAlignment w:val="center"/>
              <w:rPr>
                <w:rFonts w:hint="eastAsia" w:ascii="宋体" w:hAnsi="宋体" w:cs="宋体"/>
                <w:sz w:val="24"/>
              </w:rPr>
            </w:pPr>
            <w:r>
              <w:rPr>
                <w:rFonts w:hint="eastAsia" w:ascii="宋体" w:hAnsi="宋体" w:cs="宋体"/>
                <w:sz w:val="24"/>
              </w:rPr>
              <w:t>4.6</w:t>
            </w:r>
          </w:p>
        </w:tc>
        <w:tc>
          <w:tcPr>
            <w:tcW w:w="1424" w:type="pct"/>
            <w:tcBorders>
              <w:left w:val="single" w:color="auto" w:sz="4" w:space="0"/>
            </w:tcBorders>
            <w:vAlign w:val="center"/>
          </w:tcPr>
          <w:p w14:paraId="253229D5">
            <w:pPr>
              <w:widowControl/>
              <w:jc w:val="center"/>
              <w:textAlignment w:val="center"/>
              <w:rPr>
                <w:rFonts w:hint="eastAsia" w:ascii="宋体" w:hAnsi="宋体"/>
                <w:sz w:val="24"/>
              </w:rPr>
            </w:pPr>
            <w:r>
              <w:rPr>
                <w:rFonts w:hint="eastAsia" w:ascii="宋体" w:hAnsi="宋体" w:cs="宋体"/>
                <w:bCs/>
                <w:sz w:val="24"/>
              </w:rPr>
              <w:t>中央空调及新风系统</w:t>
            </w:r>
          </w:p>
        </w:tc>
        <w:tc>
          <w:tcPr>
            <w:tcW w:w="1168" w:type="pct"/>
            <w:tcBorders>
              <w:left w:val="single" w:color="auto" w:sz="4" w:space="0"/>
            </w:tcBorders>
            <w:vAlign w:val="center"/>
          </w:tcPr>
          <w:p w14:paraId="47786105">
            <w:pPr>
              <w:widowControl/>
              <w:jc w:val="center"/>
              <w:textAlignment w:val="center"/>
              <w:rPr>
                <w:rFonts w:hint="eastAsia" w:ascii="宋体" w:hAnsi="宋体" w:cs="等线"/>
                <w:color w:val="000000"/>
                <w:kern w:val="0"/>
                <w:sz w:val="24"/>
              </w:rPr>
            </w:pPr>
            <w:r>
              <w:rPr>
                <w:rFonts w:hint="eastAsia" w:ascii="宋体" w:hAnsi="宋体" w:cs="等线"/>
                <w:color w:val="000000"/>
                <w:kern w:val="0"/>
                <w:sz w:val="24"/>
              </w:rPr>
              <w:t>1套</w:t>
            </w:r>
          </w:p>
        </w:tc>
        <w:tc>
          <w:tcPr>
            <w:tcW w:w="665" w:type="pct"/>
            <w:tcBorders>
              <w:left w:val="single" w:color="auto" w:sz="4" w:space="0"/>
            </w:tcBorders>
            <w:vAlign w:val="center"/>
          </w:tcPr>
          <w:p w14:paraId="102009C8">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5F26B75C">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0489F5EA">
            <w:pPr>
              <w:widowControl/>
              <w:jc w:val="center"/>
              <w:textAlignment w:val="center"/>
              <w:rPr>
                <w:rFonts w:hint="eastAsia" w:ascii="宋体" w:hAnsi="宋体" w:cs="宋体"/>
                <w:color w:val="000000"/>
                <w:sz w:val="24"/>
                <w:lang w:val="en-US" w:eastAsia="zh-CN"/>
              </w:rPr>
            </w:pPr>
          </w:p>
        </w:tc>
      </w:tr>
      <w:tr w14:paraId="6DBCB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pct"/>
            <w:vAlign w:val="center"/>
          </w:tcPr>
          <w:p w14:paraId="2D65DDD4">
            <w:pPr>
              <w:widowControl/>
              <w:jc w:val="center"/>
              <w:textAlignment w:val="center"/>
              <w:rPr>
                <w:rFonts w:hint="eastAsia" w:ascii="宋体" w:hAnsi="宋体" w:eastAsia="宋体" w:cs="宋体"/>
                <w:color w:val="000000"/>
                <w:kern w:val="0"/>
                <w:sz w:val="24"/>
                <w:lang w:val="en-US" w:eastAsia="zh-CN"/>
              </w:rPr>
            </w:pPr>
            <w:r>
              <w:rPr>
                <w:rFonts w:hint="eastAsia" w:ascii="宋体" w:hAnsi="宋体" w:cs="宋体"/>
                <w:sz w:val="24"/>
              </w:rPr>
              <w:t>4.</w:t>
            </w:r>
            <w:r>
              <w:rPr>
                <w:rFonts w:hint="eastAsia" w:ascii="宋体" w:hAnsi="宋体" w:cs="宋体"/>
                <w:sz w:val="24"/>
                <w:lang w:val="en-US" w:eastAsia="zh-CN"/>
              </w:rPr>
              <w:t>7</w:t>
            </w:r>
          </w:p>
        </w:tc>
        <w:tc>
          <w:tcPr>
            <w:tcW w:w="4460" w:type="pct"/>
            <w:gridSpan w:val="5"/>
            <w:tcBorders>
              <w:left w:val="single" w:color="auto" w:sz="4" w:space="0"/>
            </w:tcBorders>
            <w:vAlign w:val="center"/>
          </w:tcPr>
          <w:p w14:paraId="68C66739">
            <w:pPr>
              <w:widowControl/>
              <w:jc w:val="center"/>
              <w:textAlignment w:val="center"/>
              <w:rPr>
                <w:rFonts w:ascii="宋体" w:hAnsi="宋体" w:cs="宋体"/>
                <w:bCs/>
                <w:sz w:val="24"/>
              </w:rPr>
            </w:pPr>
            <w:r>
              <w:rPr>
                <w:rFonts w:ascii="宋体" w:hAnsi="宋体" w:cs="宋体"/>
                <w:bCs/>
                <w:sz w:val="24"/>
              </w:rPr>
              <w:t>监控系统</w:t>
            </w:r>
          </w:p>
        </w:tc>
      </w:tr>
      <w:tr w14:paraId="1D046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pct"/>
            <w:vAlign w:val="center"/>
          </w:tcPr>
          <w:p w14:paraId="1921F2D4">
            <w:pPr>
              <w:widowControl/>
              <w:jc w:val="center"/>
              <w:textAlignment w:val="center"/>
              <w:rPr>
                <w:rFonts w:hint="eastAsia" w:ascii="宋体" w:hAnsi="宋体" w:cs="宋体"/>
                <w:sz w:val="24"/>
              </w:rPr>
            </w:pPr>
            <w:r>
              <w:rPr>
                <w:rFonts w:hint="eastAsia" w:ascii="宋体" w:hAnsi="宋体" w:cs="宋体"/>
                <w:sz w:val="24"/>
              </w:rPr>
              <w:t>4.</w:t>
            </w:r>
            <w:r>
              <w:rPr>
                <w:rFonts w:hint="eastAsia" w:ascii="宋体" w:hAnsi="宋体" w:cs="宋体"/>
                <w:sz w:val="24"/>
                <w:lang w:val="en-US" w:eastAsia="zh-CN"/>
              </w:rPr>
              <w:t>7</w:t>
            </w:r>
            <w:r>
              <w:rPr>
                <w:rFonts w:hint="eastAsia" w:ascii="宋体" w:hAnsi="宋体" w:cs="宋体"/>
                <w:sz w:val="24"/>
              </w:rPr>
              <w:t>.1</w:t>
            </w:r>
          </w:p>
        </w:tc>
        <w:tc>
          <w:tcPr>
            <w:tcW w:w="1424" w:type="pct"/>
            <w:tcBorders>
              <w:left w:val="single" w:color="auto" w:sz="4" w:space="0"/>
            </w:tcBorders>
            <w:vAlign w:val="center"/>
          </w:tcPr>
          <w:p w14:paraId="1758B50F">
            <w:pPr>
              <w:widowControl/>
              <w:jc w:val="center"/>
              <w:textAlignment w:val="center"/>
              <w:rPr>
                <w:rFonts w:hint="eastAsia" w:ascii="宋体" w:hAnsi="宋体" w:cs="宋体"/>
                <w:bCs/>
                <w:sz w:val="24"/>
              </w:rPr>
            </w:pPr>
            <w:r>
              <w:rPr>
                <w:rFonts w:hint="eastAsia" w:ascii="宋体" w:hAnsi="宋体" w:cs="宋体"/>
                <w:bCs/>
                <w:sz w:val="24"/>
              </w:rPr>
              <w:t>企业级模块化</w:t>
            </w:r>
            <w:r>
              <w:rPr>
                <w:rFonts w:ascii="宋体" w:hAnsi="宋体" w:cs="宋体"/>
                <w:bCs/>
                <w:sz w:val="24"/>
              </w:rPr>
              <w:t>路由器</w:t>
            </w:r>
          </w:p>
        </w:tc>
        <w:tc>
          <w:tcPr>
            <w:tcW w:w="1168" w:type="pct"/>
            <w:tcBorders>
              <w:left w:val="single" w:color="auto" w:sz="4" w:space="0"/>
            </w:tcBorders>
            <w:vAlign w:val="center"/>
          </w:tcPr>
          <w:p w14:paraId="1CF0074B">
            <w:pPr>
              <w:widowControl/>
              <w:jc w:val="center"/>
              <w:textAlignment w:val="center"/>
              <w:rPr>
                <w:rFonts w:hint="eastAsia" w:ascii="宋体" w:hAnsi="宋体" w:cs="等线"/>
                <w:color w:val="000000"/>
                <w:kern w:val="0"/>
                <w:sz w:val="24"/>
              </w:rPr>
            </w:pPr>
            <w:r>
              <w:rPr>
                <w:rFonts w:hint="eastAsia" w:ascii="宋体" w:hAnsi="宋体" w:cs="等线"/>
                <w:color w:val="000000"/>
                <w:kern w:val="0"/>
                <w:sz w:val="24"/>
              </w:rPr>
              <w:t>1台</w:t>
            </w:r>
          </w:p>
        </w:tc>
        <w:tc>
          <w:tcPr>
            <w:tcW w:w="665" w:type="pct"/>
            <w:tcBorders>
              <w:left w:val="single" w:color="auto" w:sz="4" w:space="0"/>
            </w:tcBorders>
            <w:vAlign w:val="center"/>
          </w:tcPr>
          <w:p w14:paraId="1A40A9FC">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08954FAB">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0CA2E542">
            <w:pPr>
              <w:widowControl/>
              <w:jc w:val="center"/>
              <w:textAlignment w:val="center"/>
              <w:rPr>
                <w:rFonts w:hint="eastAsia" w:ascii="宋体" w:hAnsi="宋体" w:cs="宋体"/>
                <w:color w:val="000000"/>
                <w:sz w:val="24"/>
                <w:lang w:val="en-US" w:eastAsia="zh-CN"/>
              </w:rPr>
            </w:pPr>
          </w:p>
        </w:tc>
      </w:tr>
      <w:tr w14:paraId="09B6F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pct"/>
            <w:vAlign w:val="center"/>
          </w:tcPr>
          <w:p w14:paraId="1CF2E31D">
            <w:pPr>
              <w:widowControl/>
              <w:jc w:val="center"/>
              <w:textAlignment w:val="center"/>
              <w:rPr>
                <w:rFonts w:hint="eastAsia" w:ascii="宋体" w:hAnsi="宋体" w:cs="宋体"/>
                <w:color w:val="000000"/>
                <w:kern w:val="0"/>
                <w:sz w:val="24"/>
              </w:rPr>
            </w:pPr>
            <w:r>
              <w:rPr>
                <w:rFonts w:hint="eastAsia" w:ascii="宋体" w:hAnsi="宋体" w:cs="宋体"/>
                <w:sz w:val="24"/>
              </w:rPr>
              <w:t>4.</w:t>
            </w:r>
            <w:r>
              <w:rPr>
                <w:rFonts w:hint="eastAsia" w:ascii="宋体" w:hAnsi="宋体" w:cs="宋体"/>
                <w:sz w:val="24"/>
                <w:lang w:val="en-US" w:eastAsia="zh-CN"/>
              </w:rPr>
              <w:t>7</w:t>
            </w:r>
            <w:r>
              <w:rPr>
                <w:rFonts w:hint="eastAsia" w:ascii="宋体" w:hAnsi="宋体" w:cs="宋体"/>
                <w:sz w:val="24"/>
              </w:rPr>
              <w:t>.2</w:t>
            </w:r>
          </w:p>
        </w:tc>
        <w:tc>
          <w:tcPr>
            <w:tcW w:w="1424" w:type="pct"/>
            <w:tcBorders>
              <w:left w:val="single" w:color="auto" w:sz="4" w:space="0"/>
            </w:tcBorders>
            <w:vAlign w:val="center"/>
          </w:tcPr>
          <w:p w14:paraId="34AEEDD1">
            <w:pPr>
              <w:widowControl/>
              <w:jc w:val="center"/>
              <w:textAlignment w:val="center"/>
              <w:rPr>
                <w:rFonts w:hint="eastAsia" w:ascii="宋体" w:hAnsi="宋体" w:cs="宋体"/>
                <w:bCs/>
                <w:sz w:val="24"/>
              </w:rPr>
            </w:pPr>
            <w:r>
              <w:rPr>
                <w:rFonts w:ascii="宋体" w:hAnsi="宋体" w:cs="宋体"/>
                <w:bCs/>
                <w:sz w:val="24"/>
              </w:rPr>
              <w:t>硬盘录像机</w:t>
            </w:r>
          </w:p>
        </w:tc>
        <w:tc>
          <w:tcPr>
            <w:tcW w:w="1168" w:type="pct"/>
            <w:tcBorders>
              <w:left w:val="single" w:color="auto" w:sz="4" w:space="0"/>
            </w:tcBorders>
            <w:vAlign w:val="center"/>
          </w:tcPr>
          <w:p w14:paraId="2C2A69B0">
            <w:pPr>
              <w:widowControl/>
              <w:jc w:val="center"/>
              <w:textAlignment w:val="center"/>
              <w:rPr>
                <w:rFonts w:hint="eastAsia" w:ascii="宋体" w:hAnsi="宋体" w:cs="等线"/>
                <w:color w:val="000000"/>
                <w:kern w:val="0"/>
                <w:sz w:val="24"/>
              </w:rPr>
            </w:pPr>
            <w:r>
              <w:rPr>
                <w:rFonts w:hint="eastAsia" w:ascii="宋体" w:hAnsi="宋体" w:cs="等线"/>
                <w:color w:val="000000"/>
                <w:kern w:val="0"/>
                <w:sz w:val="24"/>
              </w:rPr>
              <w:t>1台</w:t>
            </w:r>
          </w:p>
        </w:tc>
        <w:tc>
          <w:tcPr>
            <w:tcW w:w="665" w:type="pct"/>
            <w:tcBorders>
              <w:left w:val="single" w:color="auto" w:sz="4" w:space="0"/>
            </w:tcBorders>
            <w:vAlign w:val="center"/>
          </w:tcPr>
          <w:p w14:paraId="4E17CA42">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41038677">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3CC7DF82">
            <w:pPr>
              <w:widowControl/>
              <w:jc w:val="center"/>
              <w:textAlignment w:val="center"/>
              <w:rPr>
                <w:rFonts w:hint="eastAsia" w:ascii="宋体" w:hAnsi="宋体" w:cs="宋体"/>
                <w:color w:val="000000"/>
                <w:sz w:val="24"/>
                <w:lang w:val="en-US" w:eastAsia="zh-CN"/>
              </w:rPr>
            </w:pPr>
          </w:p>
        </w:tc>
      </w:tr>
      <w:tr w14:paraId="376A1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pct"/>
            <w:vAlign w:val="center"/>
          </w:tcPr>
          <w:p w14:paraId="2454B2DF">
            <w:pPr>
              <w:widowControl/>
              <w:jc w:val="center"/>
              <w:textAlignment w:val="center"/>
              <w:rPr>
                <w:rFonts w:hint="eastAsia" w:ascii="宋体" w:hAnsi="宋体" w:cs="宋体"/>
                <w:color w:val="000000"/>
                <w:kern w:val="0"/>
                <w:sz w:val="24"/>
              </w:rPr>
            </w:pPr>
            <w:r>
              <w:rPr>
                <w:rFonts w:hint="eastAsia" w:ascii="宋体" w:hAnsi="宋体" w:cs="宋体"/>
                <w:sz w:val="24"/>
              </w:rPr>
              <w:t>4.</w:t>
            </w:r>
            <w:r>
              <w:rPr>
                <w:rFonts w:hint="eastAsia" w:ascii="宋体" w:hAnsi="宋体" w:cs="宋体"/>
                <w:sz w:val="24"/>
                <w:lang w:val="en-US" w:eastAsia="zh-CN"/>
              </w:rPr>
              <w:t>7</w:t>
            </w:r>
            <w:r>
              <w:rPr>
                <w:rFonts w:hint="eastAsia" w:ascii="宋体" w:hAnsi="宋体" w:cs="宋体"/>
                <w:sz w:val="24"/>
              </w:rPr>
              <w:t>.3</w:t>
            </w:r>
          </w:p>
        </w:tc>
        <w:tc>
          <w:tcPr>
            <w:tcW w:w="1424" w:type="pct"/>
            <w:tcBorders>
              <w:left w:val="single" w:color="auto" w:sz="4" w:space="0"/>
            </w:tcBorders>
            <w:vAlign w:val="center"/>
          </w:tcPr>
          <w:p w14:paraId="33C58DE4">
            <w:pPr>
              <w:widowControl/>
              <w:jc w:val="center"/>
              <w:textAlignment w:val="center"/>
              <w:rPr>
                <w:rFonts w:hint="eastAsia" w:ascii="宋体" w:hAnsi="宋体" w:cs="宋体"/>
                <w:bCs/>
                <w:sz w:val="24"/>
              </w:rPr>
            </w:pPr>
            <w:r>
              <w:rPr>
                <w:rFonts w:ascii="宋体" w:hAnsi="宋体" w:cs="宋体"/>
                <w:bCs/>
                <w:sz w:val="24"/>
              </w:rPr>
              <w:t>半球摄像机</w:t>
            </w:r>
          </w:p>
        </w:tc>
        <w:tc>
          <w:tcPr>
            <w:tcW w:w="1168" w:type="pct"/>
            <w:tcBorders>
              <w:left w:val="single" w:color="auto" w:sz="4" w:space="0"/>
            </w:tcBorders>
            <w:vAlign w:val="center"/>
          </w:tcPr>
          <w:p w14:paraId="3460905D">
            <w:pPr>
              <w:widowControl/>
              <w:jc w:val="center"/>
              <w:textAlignment w:val="center"/>
              <w:rPr>
                <w:rFonts w:hint="eastAsia" w:ascii="宋体" w:hAnsi="宋体" w:cs="等线"/>
                <w:color w:val="000000"/>
                <w:kern w:val="0"/>
                <w:sz w:val="24"/>
              </w:rPr>
            </w:pPr>
            <w:r>
              <w:rPr>
                <w:rFonts w:hint="eastAsia" w:ascii="宋体" w:hAnsi="宋体" w:cs="宋体"/>
                <w:bCs/>
                <w:sz w:val="24"/>
              </w:rPr>
              <w:t>≥8</w:t>
            </w:r>
            <w:r>
              <w:rPr>
                <w:rFonts w:ascii="宋体" w:hAnsi="宋体" w:cs="宋体"/>
                <w:bCs/>
                <w:sz w:val="24"/>
              </w:rPr>
              <w:t>个</w:t>
            </w:r>
          </w:p>
        </w:tc>
        <w:tc>
          <w:tcPr>
            <w:tcW w:w="665" w:type="pct"/>
            <w:tcBorders>
              <w:left w:val="single" w:color="auto" w:sz="4" w:space="0"/>
            </w:tcBorders>
            <w:vAlign w:val="center"/>
          </w:tcPr>
          <w:p w14:paraId="26819B30">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0B554AA7">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4EEB02DE">
            <w:pPr>
              <w:widowControl/>
              <w:jc w:val="center"/>
              <w:textAlignment w:val="center"/>
              <w:rPr>
                <w:rFonts w:hint="eastAsia" w:ascii="宋体" w:hAnsi="宋体" w:cs="宋体"/>
                <w:color w:val="000000"/>
                <w:sz w:val="24"/>
                <w:lang w:val="en-US" w:eastAsia="zh-CN"/>
              </w:rPr>
            </w:pPr>
          </w:p>
        </w:tc>
      </w:tr>
      <w:tr w14:paraId="57521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pct"/>
            <w:vAlign w:val="center"/>
          </w:tcPr>
          <w:p w14:paraId="69FA554A">
            <w:pPr>
              <w:widowControl/>
              <w:jc w:val="center"/>
              <w:textAlignment w:val="center"/>
              <w:rPr>
                <w:rFonts w:hint="eastAsia" w:ascii="宋体" w:hAnsi="宋体" w:cs="宋体"/>
                <w:sz w:val="24"/>
              </w:rPr>
            </w:pPr>
            <w:r>
              <w:rPr>
                <w:rFonts w:hint="eastAsia" w:ascii="宋体" w:hAnsi="宋体" w:cs="宋体"/>
                <w:sz w:val="24"/>
              </w:rPr>
              <w:t>4.</w:t>
            </w:r>
            <w:r>
              <w:rPr>
                <w:rFonts w:hint="eastAsia" w:ascii="宋体" w:hAnsi="宋体" w:cs="宋体"/>
                <w:sz w:val="24"/>
                <w:lang w:val="en-US" w:eastAsia="zh-CN"/>
              </w:rPr>
              <w:t>7</w:t>
            </w:r>
            <w:r>
              <w:rPr>
                <w:rFonts w:hint="eastAsia" w:ascii="宋体" w:hAnsi="宋体" w:cs="宋体"/>
                <w:sz w:val="24"/>
              </w:rPr>
              <w:t>.4</w:t>
            </w:r>
          </w:p>
        </w:tc>
        <w:tc>
          <w:tcPr>
            <w:tcW w:w="1424" w:type="pct"/>
            <w:tcBorders>
              <w:left w:val="single" w:color="auto" w:sz="4" w:space="0"/>
            </w:tcBorders>
            <w:vAlign w:val="center"/>
          </w:tcPr>
          <w:p w14:paraId="7D842026">
            <w:pPr>
              <w:widowControl/>
              <w:jc w:val="center"/>
              <w:textAlignment w:val="center"/>
              <w:rPr>
                <w:rFonts w:hint="eastAsia" w:ascii="宋体" w:hAnsi="宋体" w:cs="宋体"/>
                <w:bCs/>
                <w:sz w:val="24"/>
              </w:rPr>
            </w:pPr>
            <w:r>
              <w:rPr>
                <w:rFonts w:ascii="宋体" w:hAnsi="宋体" w:cs="宋体"/>
                <w:bCs/>
                <w:sz w:val="24"/>
              </w:rPr>
              <w:t>机械硬盘</w:t>
            </w:r>
          </w:p>
        </w:tc>
        <w:tc>
          <w:tcPr>
            <w:tcW w:w="1168" w:type="pct"/>
            <w:tcBorders>
              <w:left w:val="single" w:color="auto" w:sz="4" w:space="0"/>
            </w:tcBorders>
            <w:vAlign w:val="center"/>
          </w:tcPr>
          <w:p w14:paraId="4B824D56">
            <w:pPr>
              <w:widowControl/>
              <w:jc w:val="center"/>
              <w:textAlignment w:val="center"/>
              <w:rPr>
                <w:rFonts w:hint="eastAsia" w:ascii="宋体" w:hAnsi="宋体" w:cs="等线"/>
                <w:color w:val="000000"/>
                <w:kern w:val="0"/>
                <w:sz w:val="24"/>
              </w:rPr>
            </w:pPr>
            <w:r>
              <w:rPr>
                <w:rFonts w:hint="eastAsia" w:ascii="宋体" w:hAnsi="宋体" w:cs="宋体"/>
                <w:bCs/>
                <w:sz w:val="24"/>
              </w:rPr>
              <w:t>2块</w:t>
            </w:r>
          </w:p>
        </w:tc>
        <w:tc>
          <w:tcPr>
            <w:tcW w:w="665" w:type="pct"/>
            <w:tcBorders>
              <w:left w:val="single" w:color="auto" w:sz="4" w:space="0"/>
            </w:tcBorders>
            <w:vAlign w:val="center"/>
          </w:tcPr>
          <w:p w14:paraId="3BDF89C3">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1148F953">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17A8263E">
            <w:pPr>
              <w:widowControl/>
              <w:jc w:val="center"/>
              <w:textAlignment w:val="center"/>
              <w:rPr>
                <w:rFonts w:hint="eastAsia" w:ascii="宋体" w:hAnsi="宋体" w:cs="宋体"/>
                <w:color w:val="000000"/>
                <w:sz w:val="24"/>
                <w:lang w:val="en-US" w:eastAsia="zh-CN"/>
              </w:rPr>
            </w:pPr>
          </w:p>
        </w:tc>
      </w:tr>
      <w:tr w14:paraId="6D4D7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pct"/>
            <w:vAlign w:val="center"/>
          </w:tcPr>
          <w:p w14:paraId="56012B71">
            <w:pPr>
              <w:widowControl/>
              <w:jc w:val="center"/>
              <w:textAlignment w:val="center"/>
              <w:rPr>
                <w:rFonts w:hint="eastAsia" w:ascii="宋体" w:hAnsi="宋体" w:cs="宋体"/>
                <w:sz w:val="24"/>
              </w:rPr>
            </w:pPr>
            <w:r>
              <w:rPr>
                <w:rFonts w:hint="eastAsia" w:ascii="宋体" w:hAnsi="宋体" w:cs="宋体"/>
                <w:sz w:val="24"/>
              </w:rPr>
              <w:t>4.</w:t>
            </w:r>
            <w:r>
              <w:rPr>
                <w:rFonts w:hint="eastAsia" w:ascii="宋体" w:hAnsi="宋体" w:cs="宋体"/>
                <w:sz w:val="24"/>
                <w:lang w:val="en-US" w:eastAsia="zh-CN"/>
              </w:rPr>
              <w:t>7</w:t>
            </w:r>
            <w:r>
              <w:rPr>
                <w:rFonts w:hint="eastAsia" w:ascii="宋体" w:hAnsi="宋体" w:cs="宋体"/>
                <w:sz w:val="24"/>
              </w:rPr>
              <w:t>.5</w:t>
            </w:r>
          </w:p>
        </w:tc>
        <w:tc>
          <w:tcPr>
            <w:tcW w:w="1424" w:type="pct"/>
            <w:tcBorders>
              <w:left w:val="single" w:color="auto" w:sz="4" w:space="0"/>
            </w:tcBorders>
            <w:vAlign w:val="center"/>
          </w:tcPr>
          <w:p w14:paraId="55910604">
            <w:pPr>
              <w:widowControl/>
              <w:jc w:val="center"/>
              <w:textAlignment w:val="center"/>
              <w:rPr>
                <w:rFonts w:hint="eastAsia" w:ascii="宋体" w:hAnsi="宋体" w:cs="宋体"/>
                <w:bCs/>
                <w:sz w:val="24"/>
              </w:rPr>
            </w:pPr>
            <w:r>
              <w:rPr>
                <w:rFonts w:ascii="宋体" w:hAnsi="宋体" w:cs="宋体"/>
                <w:bCs/>
                <w:sz w:val="24"/>
              </w:rPr>
              <w:t>POE交换机</w:t>
            </w:r>
          </w:p>
        </w:tc>
        <w:tc>
          <w:tcPr>
            <w:tcW w:w="1168" w:type="pct"/>
            <w:tcBorders>
              <w:left w:val="single" w:color="auto" w:sz="4" w:space="0"/>
            </w:tcBorders>
            <w:vAlign w:val="center"/>
          </w:tcPr>
          <w:p w14:paraId="71E8AC00">
            <w:pPr>
              <w:widowControl/>
              <w:jc w:val="center"/>
              <w:textAlignment w:val="center"/>
              <w:rPr>
                <w:rFonts w:hint="eastAsia" w:ascii="宋体" w:hAnsi="宋体" w:cs="等线"/>
                <w:color w:val="000000"/>
                <w:kern w:val="0"/>
                <w:sz w:val="24"/>
              </w:rPr>
            </w:pPr>
            <w:r>
              <w:rPr>
                <w:rFonts w:hint="eastAsia" w:ascii="宋体" w:hAnsi="宋体" w:cs="宋体"/>
                <w:bCs/>
                <w:sz w:val="24"/>
              </w:rPr>
              <w:t>1台</w:t>
            </w:r>
          </w:p>
        </w:tc>
        <w:tc>
          <w:tcPr>
            <w:tcW w:w="665" w:type="pct"/>
            <w:tcBorders>
              <w:left w:val="single" w:color="auto" w:sz="4" w:space="0"/>
            </w:tcBorders>
            <w:vAlign w:val="center"/>
          </w:tcPr>
          <w:p w14:paraId="294A1958">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73E2A5AC">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64ED308E">
            <w:pPr>
              <w:widowControl/>
              <w:jc w:val="center"/>
              <w:textAlignment w:val="center"/>
              <w:rPr>
                <w:rFonts w:hint="eastAsia" w:ascii="宋体" w:hAnsi="宋体" w:cs="宋体"/>
                <w:color w:val="000000"/>
                <w:sz w:val="24"/>
                <w:lang w:val="en-US" w:eastAsia="zh-CN"/>
              </w:rPr>
            </w:pPr>
          </w:p>
        </w:tc>
      </w:tr>
      <w:tr w14:paraId="10B9E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pct"/>
            <w:vAlign w:val="center"/>
          </w:tcPr>
          <w:p w14:paraId="129D30EA">
            <w:pPr>
              <w:widowControl/>
              <w:jc w:val="center"/>
              <w:textAlignment w:val="center"/>
              <w:rPr>
                <w:rFonts w:hint="eastAsia" w:ascii="宋体" w:hAnsi="宋体" w:cs="宋体"/>
                <w:color w:val="000000"/>
                <w:kern w:val="0"/>
                <w:sz w:val="24"/>
              </w:rPr>
            </w:pPr>
            <w:r>
              <w:rPr>
                <w:rFonts w:hint="eastAsia" w:ascii="宋体" w:hAnsi="宋体" w:cs="宋体"/>
                <w:color w:val="000000"/>
                <w:kern w:val="0"/>
                <w:sz w:val="24"/>
              </w:rPr>
              <w:t>4.</w:t>
            </w:r>
            <w:r>
              <w:rPr>
                <w:rFonts w:hint="eastAsia" w:ascii="宋体" w:hAnsi="宋体" w:cs="宋体"/>
                <w:color w:val="000000"/>
                <w:kern w:val="0"/>
                <w:sz w:val="24"/>
                <w:lang w:val="en-US" w:eastAsia="zh-CN"/>
              </w:rPr>
              <w:t>7</w:t>
            </w:r>
            <w:r>
              <w:rPr>
                <w:rFonts w:hint="eastAsia" w:ascii="宋体" w:hAnsi="宋体" w:cs="宋体"/>
                <w:color w:val="000000"/>
                <w:kern w:val="0"/>
                <w:sz w:val="24"/>
              </w:rPr>
              <w:t>.6</w:t>
            </w:r>
          </w:p>
        </w:tc>
        <w:tc>
          <w:tcPr>
            <w:tcW w:w="1424" w:type="pct"/>
            <w:tcBorders>
              <w:left w:val="single" w:color="auto" w:sz="4" w:space="0"/>
            </w:tcBorders>
            <w:vAlign w:val="center"/>
          </w:tcPr>
          <w:p w14:paraId="4EB43AB9">
            <w:pPr>
              <w:widowControl/>
              <w:jc w:val="center"/>
              <w:textAlignment w:val="center"/>
              <w:rPr>
                <w:rFonts w:hint="eastAsia" w:ascii="宋体" w:hAnsi="宋体" w:cs="宋体"/>
                <w:color w:val="000000"/>
                <w:kern w:val="0"/>
                <w:sz w:val="24"/>
              </w:rPr>
            </w:pPr>
            <w:r>
              <w:rPr>
                <w:rFonts w:hint="eastAsia" w:ascii="宋体" w:hAnsi="宋体" w:cs="宋体"/>
                <w:bCs/>
                <w:sz w:val="24"/>
              </w:rPr>
              <w:t>网卡</w:t>
            </w:r>
          </w:p>
        </w:tc>
        <w:tc>
          <w:tcPr>
            <w:tcW w:w="1168" w:type="pct"/>
            <w:tcBorders>
              <w:left w:val="single" w:color="auto" w:sz="4" w:space="0"/>
            </w:tcBorders>
            <w:vAlign w:val="center"/>
          </w:tcPr>
          <w:p w14:paraId="0572C0ED">
            <w:pPr>
              <w:widowControl/>
              <w:jc w:val="center"/>
              <w:textAlignment w:val="center"/>
              <w:rPr>
                <w:rFonts w:hint="eastAsia" w:ascii="宋体" w:hAnsi="宋体" w:cs="等线"/>
                <w:color w:val="000000"/>
                <w:kern w:val="0"/>
                <w:sz w:val="24"/>
              </w:rPr>
            </w:pPr>
            <w:r>
              <w:rPr>
                <w:rFonts w:hint="eastAsia" w:ascii="宋体" w:hAnsi="宋体" w:cs="宋体"/>
                <w:bCs/>
                <w:sz w:val="24"/>
              </w:rPr>
              <w:t>1个</w:t>
            </w:r>
          </w:p>
        </w:tc>
        <w:tc>
          <w:tcPr>
            <w:tcW w:w="665" w:type="pct"/>
            <w:tcBorders>
              <w:left w:val="single" w:color="auto" w:sz="4" w:space="0"/>
            </w:tcBorders>
            <w:vAlign w:val="center"/>
          </w:tcPr>
          <w:p w14:paraId="6BB5843B">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4F291880">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416983E8">
            <w:pPr>
              <w:widowControl/>
              <w:jc w:val="center"/>
              <w:textAlignment w:val="center"/>
              <w:rPr>
                <w:rFonts w:hint="eastAsia" w:ascii="宋体" w:hAnsi="宋体" w:cs="宋体"/>
                <w:color w:val="000000"/>
                <w:sz w:val="24"/>
                <w:lang w:val="en-US" w:eastAsia="zh-CN"/>
              </w:rPr>
            </w:pPr>
          </w:p>
        </w:tc>
      </w:tr>
      <w:tr w14:paraId="0403D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pct"/>
            <w:vAlign w:val="center"/>
          </w:tcPr>
          <w:p w14:paraId="3E008D41">
            <w:pPr>
              <w:widowControl/>
              <w:jc w:val="center"/>
              <w:textAlignment w:val="center"/>
              <w:rPr>
                <w:rFonts w:hint="eastAsia" w:ascii="宋体" w:hAnsi="宋体" w:eastAsia="宋体" w:cs="宋体"/>
                <w:color w:val="000000"/>
                <w:kern w:val="0"/>
                <w:sz w:val="24"/>
                <w:lang w:eastAsia="zh-CN"/>
              </w:rPr>
            </w:pPr>
            <w:r>
              <w:rPr>
                <w:rFonts w:hint="eastAsia" w:ascii="宋体" w:hAnsi="宋体" w:cs="宋体"/>
                <w:color w:val="000000"/>
                <w:kern w:val="0"/>
                <w:sz w:val="24"/>
              </w:rPr>
              <w:t>4.</w:t>
            </w:r>
            <w:r>
              <w:rPr>
                <w:rFonts w:hint="eastAsia" w:ascii="宋体" w:hAnsi="宋体" w:cs="宋体"/>
                <w:color w:val="000000"/>
                <w:kern w:val="0"/>
                <w:sz w:val="24"/>
                <w:lang w:val="en-US" w:eastAsia="zh-CN"/>
              </w:rPr>
              <w:t>8</w:t>
            </w:r>
          </w:p>
        </w:tc>
        <w:tc>
          <w:tcPr>
            <w:tcW w:w="4460" w:type="pct"/>
            <w:gridSpan w:val="5"/>
            <w:tcBorders>
              <w:left w:val="single" w:color="auto" w:sz="4" w:space="0"/>
            </w:tcBorders>
            <w:vAlign w:val="center"/>
          </w:tcPr>
          <w:p w14:paraId="57037858">
            <w:pPr>
              <w:widowControl/>
              <w:jc w:val="center"/>
              <w:textAlignment w:val="center"/>
              <w:rPr>
                <w:rFonts w:hint="eastAsia" w:ascii="宋体" w:hAnsi="宋体" w:cs="宋体"/>
                <w:bCs/>
                <w:sz w:val="24"/>
              </w:rPr>
            </w:pPr>
            <w:r>
              <w:rPr>
                <w:rFonts w:hint="eastAsia" w:ascii="宋体" w:hAnsi="宋体" w:cs="宋体"/>
                <w:bCs/>
                <w:sz w:val="24"/>
              </w:rPr>
              <w:t>宣传拼接屏</w:t>
            </w:r>
          </w:p>
        </w:tc>
      </w:tr>
      <w:tr w14:paraId="64FB4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pct"/>
            <w:vAlign w:val="center"/>
          </w:tcPr>
          <w:p w14:paraId="1374D940">
            <w:pPr>
              <w:widowControl/>
              <w:jc w:val="center"/>
              <w:textAlignment w:val="center"/>
              <w:rPr>
                <w:rFonts w:hint="eastAsia" w:ascii="宋体" w:hAnsi="宋体" w:cs="宋体"/>
                <w:sz w:val="24"/>
              </w:rPr>
            </w:pPr>
            <w:r>
              <w:rPr>
                <w:rFonts w:hint="eastAsia" w:ascii="宋体" w:hAnsi="宋体" w:cs="宋体"/>
                <w:color w:val="000000"/>
                <w:kern w:val="0"/>
                <w:sz w:val="24"/>
              </w:rPr>
              <w:t>4.</w:t>
            </w:r>
            <w:r>
              <w:rPr>
                <w:rFonts w:hint="eastAsia" w:ascii="宋体" w:hAnsi="宋体" w:cs="宋体"/>
                <w:color w:val="000000"/>
                <w:kern w:val="0"/>
                <w:sz w:val="24"/>
                <w:lang w:val="en-US" w:eastAsia="zh-CN"/>
              </w:rPr>
              <w:t>8</w:t>
            </w:r>
            <w:r>
              <w:rPr>
                <w:rFonts w:hint="eastAsia" w:ascii="宋体" w:hAnsi="宋体" w:cs="宋体"/>
                <w:sz w:val="24"/>
              </w:rPr>
              <w:t>.1</w:t>
            </w:r>
          </w:p>
        </w:tc>
        <w:tc>
          <w:tcPr>
            <w:tcW w:w="1424" w:type="pct"/>
            <w:tcBorders>
              <w:left w:val="single" w:color="auto" w:sz="4" w:space="0"/>
            </w:tcBorders>
            <w:vAlign w:val="center"/>
          </w:tcPr>
          <w:p w14:paraId="30A5C9F6">
            <w:pPr>
              <w:spacing w:line="360" w:lineRule="auto"/>
              <w:ind w:firstLine="480" w:firstLineChars="200"/>
              <w:contextualSpacing/>
              <w:jc w:val="center"/>
              <w:rPr>
                <w:rFonts w:hint="eastAsia" w:ascii="宋体" w:hAnsi="宋体" w:cs="宋体"/>
                <w:bCs/>
                <w:sz w:val="24"/>
                <w:szCs w:val="22"/>
              </w:rPr>
            </w:pPr>
            <w:r>
              <w:rPr>
                <w:rFonts w:hint="eastAsia" w:ascii="宋体" w:hAnsi="宋体" w:cs="宋体"/>
                <w:bCs/>
                <w:sz w:val="24"/>
                <w:szCs w:val="22"/>
              </w:rPr>
              <w:t>室内宣传拼接屏</w:t>
            </w:r>
          </w:p>
        </w:tc>
        <w:tc>
          <w:tcPr>
            <w:tcW w:w="1168" w:type="pct"/>
            <w:tcBorders>
              <w:left w:val="single" w:color="auto" w:sz="4" w:space="0"/>
            </w:tcBorders>
            <w:vAlign w:val="center"/>
          </w:tcPr>
          <w:p w14:paraId="6819ACBA">
            <w:pPr>
              <w:widowControl/>
              <w:jc w:val="center"/>
              <w:textAlignment w:val="center"/>
              <w:rPr>
                <w:rFonts w:hint="eastAsia" w:ascii="宋体" w:hAnsi="宋体" w:cs="等线"/>
                <w:color w:val="000000"/>
                <w:kern w:val="0"/>
                <w:sz w:val="24"/>
                <w:highlight w:val="yellow"/>
              </w:rPr>
            </w:pPr>
            <w:r>
              <w:rPr>
                <w:rFonts w:hint="eastAsia" w:ascii="宋体" w:hAnsi="宋体" w:cs="宋体"/>
                <w:bCs/>
                <w:sz w:val="24"/>
              </w:rPr>
              <w:t>1套</w:t>
            </w:r>
          </w:p>
        </w:tc>
        <w:tc>
          <w:tcPr>
            <w:tcW w:w="665" w:type="pct"/>
            <w:tcBorders>
              <w:left w:val="single" w:color="auto" w:sz="4" w:space="0"/>
            </w:tcBorders>
            <w:vAlign w:val="center"/>
          </w:tcPr>
          <w:p w14:paraId="01EB3FC7">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48E22AD8">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0FF24082">
            <w:pPr>
              <w:widowControl/>
              <w:jc w:val="center"/>
              <w:textAlignment w:val="center"/>
              <w:rPr>
                <w:rFonts w:hint="eastAsia" w:ascii="宋体" w:hAnsi="宋体" w:cs="宋体"/>
                <w:color w:val="000000"/>
                <w:sz w:val="24"/>
                <w:lang w:val="en-US" w:eastAsia="zh-CN"/>
              </w:rPr>
            </w:pPr>
          </w:p>
        </w:tc>
      </w:tr>
      <w:tr w14:paraId="4F8F1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pct"/>
            <w:vAlign w:val="center"/>
          </w:tcPr>
          <w:p w14:paraId="1C343414">
            <w:pPr>
              <w:widowControl/>
              <w:jc w:val="center"/>
              <w:textAlignment w:val="center"/>
              <w:rPr>
                <w:rFonts w:hint="eastAsia" w:ascii="宋体" w:hAnsi="宋体" w:cs="宋体"/>
                <w:sz w:val="24"/>
              </w:rPr>
            </w:pPr>
            <w:r>
              <w:rPr>
                <w:rFonts w:hint="eastAsia" w:ascii="宋体" w:hAnsi="宋体" w:cs="宋体"/>
                <w:color w:val="000000"/>
                <w:kern w:val="0"/>
                <w:sz w:val="24"/>
              </w:rPr>
              <w:t>4.</w:t>
            </w:r>
            <w:r>
              <w:rPr>
                <w:rFonts w:hint="eastAsia" w:ascii="宋体" w:hAnsi="宋体" w:cs="宋体"/>
                <w:color w:val="000000"/>
                <w:kern w:val="0"/>
                <w:sz w:val="24"/>
                <w:lang w:val="en-US" w:eastAsia="zh-CN"/>
              </w:rPr>
              <w:t>8</w:t>
            </w:r>
            <w:r>
              <w:rPr>
                <w:rFonts w:hint="eastAsia" w:ascii="宋体" w:hAnsi="宋体" w:cs="宋体"/>
                <w:sz w:val="24"/>
              </w:rPr>
              <w:t>.2</w:t>
            </w:r>
          </w:p>
        </w:tc>
        <w:tc>
          <w:tcPr>
            <w:tcW w:w="1424" w:type="pct"/>
            <w:tcBorders>
              <w:left w:val="single" w:color="auto" w:sz="4" w:space="0"/>
            </w:tcBorders>
            <w:vAlign w:val="center"/>
          </w:tcPr>
          <w:p w14:paraId="17293D44">
            <w:pPr>
              <w:spacing w:line="360" w:lineRule="auto"/>
              <w:ind w:firstLine="480" w:firstLineChars="200"/>
              <w:contextualSpacing/>
              <w:jc w:val="center"/>
              <w:rPr>
                <w:rFonts w:hint="eastAsia" w:ascii="宋体" w:hAnsi="宋体" w:cs="宋体"/>
                <w:bCs/>
                <w:sz w:val="24"/>
                <w:szCs w:val="22"/>
              </w:rPr>
            </w:pPr>
            <w:r>
              <w:rPr>
                <w:rFonts w:hint="eastAsia" w:ascii="宋体" w:hAnsi="宋体" w:cs="宋体"/>
                <w:bCs/>
                <w:sz w:val="24"/>
                <w:szCs w:val="22"/>
              </w:rPr>
              <w:t>室外宣传拼接屏</w:t>
            </w:r>
          </w:p>
        </w:tc>
        <w:tc>
          <w:tcPr>
            <w:tcW w:w="1168" w:type="pct"/>
            <w:tcBorders>
              <w:left w:val="single" w:color="auto" w:sz="4" w:space="0"/>
            </w:tcBorders>
            <w:vAlign w:val="center"/>
          </w:tcPr>
          <w:p w14:paraId="420FFF5D">
            <w:pPr>
              <w:widowControl/>
              <w:jc w:val="center"/>
              <w:textAlignment w:val="center"/>
              <w:rPr>
                <w:rFonts w:hint="eastAsia" w:ascii="宋体" w:hAnsi="宋体" w:cs="等线"/>
                <w:color w:val="000000"/>
                <w:kern w:val="0"/>
                <w:sz w:val="24"/>
              </w:rPr>
            </w:pPr>
            <w:r>
              <w:rPr>
                <w:rFonts w:hint="eastAsia" w:ascii="宋体" w:hAnsi="宋体" w:cs="宋体"/>
                <w:bCs/>
                <w:sz w:val="24"/>
              </w:rPr>
              <w:t>1套</w:t>
            </w:r>
          </w:p>
        </w:tc>
        <w:tc>
          <w:tcPr>
            <w:tcW w:w="665" w:type="pct"/>
            <w:tcBorders>
              <w:left w:val="single" w:color="auto" w:sz="4" w:space="0"/>
            </w:tcBorders>
            <w:vAlign w:val="center"/>
          </w:tcPr>
          <w:p w14:paraId="55642CBB">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23B8FCE7">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6866E5C4">
            <w:pPr>
              <w:widowControl/>
              <w:jc w:val="center"/>
              <w:textAlignment w:val="center"/>
              <w:rPr>
                <w:rFonts w:hint="eastAsia" w:ascii="宋体" w:hAnsi="宋体" w:cs="宋体"/>
                <w:color w:val="000000"/>
                <w:sz w:val="24"/>
                <w:lang w:val="en-US" w:eastAsia="zh-CN"/>
              </w:rPr>
            </w:pPr>
          </w:p>
        </w:tc>
      </w:tr>
      <w:tr w14:paraId="6563E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pct"/>
            <w:vAlign w:val="center"/>
          </w:tcPr>
          <w:p w14:paraId="5FD9862A">
            <w:pPr>
              <w:widowControl/>
              <w:jc w:val="center"/>
              <w:textAlignment w:val="center"/>
              <w:rPr>
                <w:rFonts w:hint="eastAsia" w:ascii="宋体" w:hAnsi="宋体" w:eastAsia="宋体" w:cs="宋体"/>
                <w:color w:val="000000"/>
                <w:kern w:val="0"/>
                <w:sz w:val="24"/>
                <w:lang w:val="en-US" w:eastAsia="zh-CN"/>
              </w:rPr>
            </w:pPr>
            <w:r>
              <w:rPr>
                <w:rFonts w:hint="eastAsia" w:ascii="宋体" w:hAnsi="宋体" w:cs="宋体"/>
                <w:color w:val="000000"/>
                <w:kern w:val="0"/>
                <w:sz w:val="24"/>
                <w:lang w:val="en-US" w:eastAsia="zh-CN"/>
              </w:rPr>
              <w:t>5</w:t>
            </w:r>
          </w:p>
        </w:tc>
        <w:tc>
          <w:tcPr>
            <w:tcW w:w="4460" w:type="pct"/>
            <w:gridSpan w:val="5"/>
            <w:tcBorders>
              <w:left w:val="single" w:color="auto" w:sz="4" w:space="0"/>
            </w:tcBorders>
            <w:vAlign w:val="center"/>
          </w:tcPr>
          <w:p w14:paraId="3A501EEA">
            <w:pPr>
              <w:widowControl/>
              <w:jc w:val="center"/>
              <w:textAlignment w:val="center"/>
              <w:rPr>
                <w:rFonts w:hint="eastAsia" w:ascii="宋体" w:hAnsi="宋体" w:eastAsia="宋体" w:cs="宋体"/>
                <w:sz w:val="24"/>
                <w:szCs w:val="32"/>
                <w:lang w:eastAsia="zh-CN"/>
              </w:rPr>
            </w:pPr>
            <w:r>
              <w:rPr>
                <w:rFonts w:hint="eastAsia" w:ascii="宋体" w:hAnsi="宋体" w:eastAsia="宋体" w:cs="宋体"/>
                <w:sz w:val="24"/>
                <w:szCs w:val="32"/>
                <w:lang w:eastAsia="zh-CN"/>
              </w:rPr>
              <w:t>血液采集设备</w:t>
            </w:r>
          </w:p>
        </w:tc>
      </w:tr>
      <w:tr w14:paraId="58253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pct"/>
            <w:vAlign w:val="center"/>
          </w:tcPr>
          <w:p w14:paraId="302F53F3">
            <w:pPr>
              <w:widowControl/>
              <w:jc w:val="center"/>
              <w:textAlignment w:val="center"/>
              <w:rPr>
                <w:rFonts w:ascii="宋体" w:hAnsi="宋体" w:eastAsia="宋体" w:cs="宋体"/>
                <w:color w:val="000000"/>
                <w:kern w:val="0"/>
                <w:sz w:val="24"/>
                <w:lang w:val="en-US" w:eastAsia="zh-CN"/>
              </w:rPr>
            </w:pPr>
            <w:r>
              <w:rPr>
                <w:rFonts w:hint="eastAsia" w:ascii="宋体" w:hAnsi="宋体" w:cs="宋体"/>
                <w:color w:val="000000"/>
                <w:kern w:val="0"/>
                <w:sz w:val="24"/>
                <w:lang w:val="en-US" w:eastAsia="zh-CN"/>
              </w:rPr>
              <w:t>5.1</w:t>
            </w:r>
          </w:p>
        </w:tc>
        <w:tc>
          <w:tcPr>
            <w:tcW w:w="1424" w:type="pct"/>
            <w:tcBorders>
              <w:left w:val="single" w:color="auto" w:sz="4" w:space="0"/>
            </w:tcBorders>
            <w:vAlign w:val="center"/>
          </w:tcPr>
          <w:p w14:paraId="29E6832D">
            <w:pPr>
              <w:spacing w:line="360" w:lineRule="auto"/>
              <w:ind w:firstLine="480" w:firstLineChars="200"/>
              <w:contextualSpacing/>
              <w:jc w:val="center"/>
              <w:rPr>
                <w:rFonts w:hint="eastAsia" w:ascii="宋体" w:hAnsi="宋体" w:cs="宋体"/>
                <w:bCs/>
                <w:sz w:val="24"/>
                <w:szCs w:val="22"/>
              </w:rPr>
            </w:pPr>
            <w:r>
              <w:rPr>
                <w:rFonts w:hint="eastAsia" w:ascii="宋体" w:hAnsi="宋体" w:eastAsia="宋体" w:cs="宋体"/>
                <w:sz w:val="24"/>
                <w:szCs w:val="32"/>
                <w:lang w:val="en-US" w:eastAsia="zh-CN"/>
              </w:rPr>
              <w:t>身份证自动识别器</w:t>
            </w:r>
          </w:p>
        </w:tc>
        <w:tc>
          <w:tcPr>
            <w:tcW w:w="1168" w:type="pct"/>
            <w:tcBorders>
              <w:left w:val="single" w:color="auto" w:sz="4" w:space="0"/>
            </w:tcBorders>
            <w:vAlign w:val="center"/>
          </w:tcPr>
          <w:p w14:paraId="04280894">
            <w:pPr>
              <w:widowControl/>
              <w:jc w:val="center"/>
              <w:textAlignment w:val="center"/>
              <w:rPr>
                <w:rFonts w:hint="eastAsia" w:ascii="宋体" w:hAnsi="宋体" w:eastAsia="宋体" w:cs="宋体"/>
                <w:bCs/>
                <w:sz w:val="24"/>
                <w:lang w:val="en-US" w:eastAsia="zh-CN"/>
              </w:rPr>
            </w:pPr>
            <w:r>
              <w:rPr>
                <w:rFonts w:ascii="宋体" w:hAnsi="宋体" w:cs="宋体"/>
                <w:bCs/>
                <w:sz w:val="24"/>
              </w:rPr>
              <w:t>1</w:t>
            </w:r>
            <w:r>
              <w:rPr>
                <w:rFonts w:hint="eastAsia" w:ascii="宋体" w:hAnsi="宋体" w:cs="宋体"/>
                <w:bCs/>
                <w:sz w:val="24"/>
                <w:lang w:val="en-US" w:eastAsia="zh-CN"/>
              </w:rPr>
              <w:t>套</w:t>
            </w:r>
          </w:p>
        </w:tc>
        <w:tc>
          <w:tcPr>
            <w:tcW w:w="665" w:type="pct"/>
            <w:tcBorders>
              <w:left w:val="single" w:color="auto" w:sz="4" w:space="0"/>
            </w:tcBorders>
            <w:vAlign w:val="center"/>
          </w:tcPr>
          <w:p w14:paraId="02836A55">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125E5554">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410F96A5">
            <w:pPr>
              <w:widowControl/>
              <w:jc w:val="center"/>
              <w:textAlignment w:val="center"/>
              <w:rPr>
                <w:rFonts w:hint="eastAsia" w:ascii="宋体" w:hAnsi="宋体" w:cs="宋体"/>
                <w:color w:val="000000"/>
                <w:sz w:val="24"/>
                <w:lang w:val="en-US" w:eastAsia="zh-CN"/>
              </w:rPr>
            </w:pPr>
          </w:p>
        </w:tc>
      </w:tr>
      <w:tr w14:paraId="2BB62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pct"/>
            <w:vAlign w:val="center"/>
          </w:tcPr>
          <w:p w14:paraId="1307140B">
            <w:pPr>
              <w:widowControl/>
              <w:jc w:val="center"/>
              <w:textAlignment w:val="center"/>
              <w:rPr>
                <w:rFonts w:ascii="宋体" w:hAnsi="宋体" w:eastAsia="宋体" w:cs="宋体"/>
                <w:color w:val="000000"/>
                <w:kern w:val="0"/>
                <w:sz w:val="24"/>
                <w:lang w:val="en-US" w:eastAsia="zh-CN"/>
              </w:rPr>
            </w:pPr>
            <w:r>
              <w:rPr>
                <w:rFonts w:hint="eastAsia" w:ascii="宋体" w:hAnsi="宋体" w:cs="宋体"/>
                <w:color w:val="000000"/>
                <w:kern w:val="0"/>
                <w:sz w:val="24"/>
                <w:lang w:val="en-US" w:eastAsia="zh-CN"/>
              </w:rPr>
              <w:t>5.2</w:t>
            </w:r>
          </w:p>
        </w:tc>
        <w:tc>
          <w:tcPr>
            <w:tcW w:w="1424" w:type="pct"/>
            <w:tcBorders>
              <w:left w:val="single" w:color="auto" w:sz="4" w:space="0"/>
            </w:tcBorders>
            <w:vAlign w:val="center"/>
          </w:tcPr>
          <w:p w14:paraId="5E336DA5">
            <w:pPr>
              <w:spacing w:line="360" w:lineRule="auto"/>
              <w:ind w:firstLine="480" w:firstLineChars="200"/>
              <w:contextualSpacing/>
              <w:jc w:val="center"/>
              <w:rPr>
                <w:rFonts w:hint="eastAsia" w:ascii="宋体" w:hAnsi="宋体" w:cs="宋体"/>
                <w:bCs/>
                <w:sz w:val="24"/>
                <w:szCs w:val="22"/>
              </w:rPr>
            </w:pPr>
            <w:r>
              <w:rPr>
                <w:rFonts w:hint="eastAsia" w:ascii="宋体" w:hAnsi="宋体" w:eastAsia="宋体" w:cs="宋体"/>
                <w:sz w:val="24"/>
                <w:szCs w:val="32"/>
                <w:lang w:val="en-US" w:eastAsia="zh-CN"/>
              </w:rPr>
              <w:t>扫码枪</w:t>
            </w:r>
          </w:p>
        </w:tc>
        <w:tc>
          <w:tcPr>
            <w:tcW w:w="1168" w:type="pct"/>
            <w:tcBorders>
              <w:left w:val="single" w:color="auto" w:sz="4" w:space="0"/>
            </w:tcBorders>
            <w:vAlign w:val="center"/>
          </w:tcPr>
          <w:p w14:paraId="594F12DE">
            <w:pPr>
              <w:widowControl/>
              <w:jc w:val="center"/>
              <w:textAlignment w:val="center"/>
              <w:rPr>
                <w:rFonts w:hint="eastAsia" w:ascii="宋体" w:hAnsi="宋体" w:eastAsia="宋体" w:cs="宋体"/>
                <w:bCs/>
                <w:sz w:val="24"/>
                <w:lang w:val="en-US" w:eastAsia="zh-CN"/>
              </w:rPr>
            </w:pPr>
            <w:r>
              <w:rPr>
                <w:rFonts w:ascii="宋体" w:hAnsi="宋体" w:cs="宋体"/>
                <w:bCs/>
                <w:sz w:val="24"/>
              </w:rPr>
              <w:t>2</w:t>
            </w:r>
            <w:r>
              <w:rPr>
                <w:rFonts w:hint="eastAsia" w:ascii="宋体" w:hAnsi="宋体" w:cs="宋体"/>
                <w:bCs/>
                <w:sz w:val="24"/>
                <w:lang w:val="en-US" w:eastAsia="zh-CN"/>
              </w:rPr>
              <w:t>把</w:t>
            </w:r>
          </w:p>
        </w:tc>
        <w:tc>
          <w:tcPr>
            <w:tcW w:w="665" w:type="pct"/>
            <w:tcBorders>
              <w:left w:val="single" w:color="auto" w:sz="4" w:space="0"/>
            </w:tcBorders>
            <w:vAlign w:val="center"/>
          </w:tcPr>
          <w:p w14:paraId="3CC4F398">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4CFA2342">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233C8C0B">
            <w:pPr>
              <w:widowControl/>
              <w:jc w:val="center"/>
              <w:textAlignment w:val="center"/>
              <w:rPr>
                <w:rFonts w:hint="eastAsia" w:ascii="宋体" w:hAnsi="宋体" w:cs="宋体"/>
                <w:color w:val="000000"/>
                <w:sz w:val="24"/>
                <w:lang w:val="en-US" w:eastAsia="zh-CN"/>
              </w:rPr>
            </w:pPr>
          </w:p>
        </w:tc>
      </w:tr>
      <w:tr w14:paraId="07672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pct"/>
            <w:vAlign w:val="center"/>
          </w:tcPr>
          <w:p w14:paraId="3923CE94">
            <w:pPr>
              <w:widowControl/>
              <w:jc w:val="center"/>
              <w:textAlignment w:val="center"/>
              <w:rPr>
                <w:rFonts w:ascii="宋体" w:hAnsi="宋体" w:eastAsia="宋体" w:cs="宋体"/>
                <w:color w:val="000000"/>
                <w:kern w:val="0"/>
                <w:sz w:val="24"/>
                <w:lang w:val="en-US" w:eastAsia="zh-CN"/>
              </w:rPr>
            </w:pPr>
            <w:r>
              <w:rPr>
                <w:rFonts w:hint="eastAsia" w:ascii="宋体" w:hAnsi="宋体" w:cs="宋体"/>
                <w:color w:val="000000"/>
                <w:kern w:val="0"/>
                <w:sz w:val="24"/>
                <w:lang w:val="en-US" w:eastAsia="zh-CN"/>
              </w:rPr>
              <w:t>5.3</w:t>
            </w:r>
          </w:p>
        </w:tc>
        <w:tc>
          <w:tcPr>
            <w:tcW w:w="1424" w:type="pct"/>
            <w:tcBorders>
              <w:left w:val="single" w:color="auto" w:sz="4" w:space="0"/>
            </w:tcBorders>
            <w:vAlign w:val="center"/>
          </w:tcPr>
          <w:p w14:paraId="362AB217">
            <w:pPr>
              <w:spacing w:line="360" w:lineRule="auto"/>
              <w:ind w:firstLine="480" w:firstLineChars="200"/>
              <w:contextualSpacing/>
              <w:jc w:val="center"/>
              <w:rPr>
                <w:rFonts w:hint="eastAsia" w:ascii="宋体" w:hAnsi="宋体" w:cs="宋体"/>
                <w:bCs/>
                <w:sz w:val="24"/>
                <w:szCs w:val="22"/>
              </w:rPr>
            </w:pPr>
            <w:r>
              <w:rPr>
                <w:rFonts w:hint="eastAsia" w:ascii="宋体" w:hAnsi="宋体" w:eastAsia="宋体" w:cs="宋体"/>
                <w:sz w:val="24"/>
                <w:szCs w:val="32"/>
                <w:lang w:val="en-US" w:eastAsia="zh-CN"/>
              </w:rPr>
              <w:t>PDA手持终端</w:t>
            </w:r>
          </w:p>
        </w:tc>
        <w:tc>
          <w:tcPr>
            <w:tcW w:w="1168" w:type="pct"/>
            <w:tcBorders>
              <w:left w:val="single" w:color="auto" w:sz="4" w:space="0"/>
            </w:tcBorders>
            <w:vAlign w:val="center"/>
          </w:tcPr>
          <w:p w14:paraId="62E7584C">
            <w:pPr>
              <w:widowControl/>
              <w:jc w:val="center"/>
              <w:textAlignment w:val="center"/>
              <w:rPr>
                <w:rFonts w:hint="eastAsia" w:ascii="宋体" w:hAnsi="宋体" w:eastAsia="宋体" w:cs="宋体"/>
                <w:bCs/>
                <w:sz w:val="24"/>
                <w:lang w:val="en-US" w:eastAsia="zh-CN"/>
              </w:rPr>
            </w:pPr>
            <w:r>
              <w:rPr>
                <w:rFonts w:ascii="宋体" w:hAnsi="宋体" w:cs="宋体"/>
                <w:bCs/>
                <w:sz w:val="24"/>
              </w:rPr>
              <w:t>6</w:t>
            </w:r>
            <w:r>
              <w:rPr>
                <w:rFonts w:hint="eastAsia" w:ascii="宋体" w:hAnsi="宋体" w:cs="宋体"/>
                <w:bCs/>
                <w:sz w:val="24"/>
                <w:lang w:val="en-US" w:eastAsia="zh-CN"/>
              </w:rPr>
              <w:t>台</w:t>
            </w:r>
          </w:p>
        </w:tc>
        <w:tc>
          <w:tcPr>
            <w:tcW w:w="665" w:type="pct"/>
            <w:tcBorders>
              <w:left w:val="single" w:color="auto" w:sz="4" w:space="0"/>
            </w:tcBorders>
            <w:vAlign w:val="center"/>
          </w:tcPr>
          <w:p w14:paraId="11E4B882">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100D3F28">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431BAA94">
            <w:pPr>
              <w:widowControl/>
              <w:jc w:val="center"/>
              <w:textAlignment w:val="center"/>
              <w:rPr>
                <w:rFonts w:hint="eastAsia" w:ascii="宋体" w:hAnsi="宋体" w:cs="宋体"/>
                <w:color w:val="000000"/>
                <w:sz w:val="24"/>
                <w:lang w:val="en-US" w:eastAsia="zh-CN"/>
              </w:rPr>
            </w:pPr>
          </w:p>
        </w:tc>
      </w:tr>
      <w:tr w14:paraId="10A03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pct"/>
            <w:vAlign w:val="center"/>
          </w:tcPr>
          <w:p w14:paraId="0F1BD4C1">
            <w:pPr>
              <w:widowControl/>
              <w:jc w:val="center"/>
              <w:textAlignment w:val="center"/>
              <w:rPr>
                <w:rFonts w:ascii="宋体" w:hAnsi="宋体" w:eastAsia="宋体" w:cs="宋体"/>
                <w:color w:val="000000"/>
                <w:kern w:val="0"/>
                <w:sz w:val="24"/>
                <w:lang w:val="en-US" w:eastAsia="zh-CN"/>
              </w:rPr>
            </w:pPr>
            <w:r>
              <w:rPr>
                <w:rFonts w:hint="eastAsia" w:ascii="宋体" w:hAnsi="宋体" w:cs="宋体"/>
                <w:color w:val="000000"/>
                <w:kern w:val="0"/>
                <w:sz w:val="24"/>
                <w:lang w:val="en-US" w:eastAsia="zh-CN"/>
              </w:rPr>
              <w:t>5.4</w:t>
            </w:r>
          </w:p>
        </w:tc>
        <w:tc>
          <w:tcPr>
            <w:tcW w:w="1424" w:type="pct"/>
            <w:tcBorders>
              <w:left w:val="single" w:color="auto" w:sz="4" w:space="0"/>
            </w:tcBorders>
            <w:vAlign w:val="center"/>
          </w:tcPr>
          <w:p w14:paraId="66E464A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打印机(存折证书针式打印机)</w:t>
            </w:r>
          </w:p>
        </w:tc>
        <w:tc>
          <w:tcPr>
            <w:tcW w:w="1168" w:type="pct"/>
            <w:tcBorders>
              <w:left w:val="single" w:color="auto" w:sz="4" w:space="0"/>
            </w:tcBorders>
            <w:vAlign w:val="center"/>
          </w:tcPr>
          <w:p w14:paraId="05233EBE">
            <w:pPr>
              <w:widowControl/>
              <w:jc w:val="center"/>
              <w:textAlignment w:val="center"/>
              <w:rPr>
                <w:rFonts w:hint="eastAsia" w:ascii="宋体" w:hAnsi="宋体" w:eastAsia="宋体" w:cs="宋体"/>
                <w:bCs/>
                <w:sz w:val="24"/>
                <w:lang w:val="en-US" w:eastAsia="zh-CN"/>
              </w:rPr>
            </w:pPr>
            <w:r>
              <w:rPr>
                <w:rFonts w:ascii="宋体" w:hAnsi="宋体" w:cs="宋体"/>
                <w:bCs/>
                <w:sz w:val="24"/>
              </w:rPr>
              <w:t>1</w:t>
            </w:r>
            <w:r>
              <w:rPr>
                <w:rFonts w:hint="eastAsia" w:ascii="宋体" w:hAnsi="宋体" w:cs="宋体"/>
                <w:bCs/>
                <w:sz w:val="24"/>
                <w:lang w:val="en-US" w:eastAsia="zh-CN"/>
              </w:rPr>
              <w:t>台</w:t>
            </w:r>
          </w:p>
        </w:tc>
        <w:tc>
          <w:tcPr>
            <w:tcW w:w="665" w:type="pct"/>
            <w:tcBorders>
              <w:left w:val="single" w:color="auto" w:sz="4" w:space="0"/>
            </w:tcBorders>
            <w:vAlign w:val="center"/>
          </w:tcPr>
          <w:p w14:paraId="4C49C329">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2CA38E85">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301FC923">
            <w:pPr>
              <w:widowControl/>
              <w:jc w:val="center"/>
              <w:textAlignment w:val="center"/>
              <w:rPr>
                <w:rFonts w:hint="eastAsia" w:ascii="宋体" w:hAnsi="宋体" w:cs="宋体"/>
                <w:color w:val="000000"/>
                <w:sz w:val="24"/>
                <w:lang w:val="en-US" w:eastAsia="zh-CN"/>
              </w:rPr>
            </w:pPr>
          </w:p>
        </w:tc>
      </w:tr>
      <w:tr w14:paraId="7185B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pct"/>
            <w:vAlign w:val="center"/>
          </w:tcPr>
          <w:p w14:paraId="222E2903">
            <w:pPr>
              <w:widowControl/>
              <w:jc w:val="center"/>
              <w:textAlignment w:val="center"/>
              <w:rPr>
                <w:rFonts w:hint="default" w:ascii="宋体" w:hAnsi="宋体" w:cs="宋体"/>
                <w:color w:val="000000"/>
                <w:kern w:val="0"/>
                <w:sz w:val="24"/>
                <w:lang w:val="en-US" w:eastAsia="zh-CN"/>
              </w:rPr>
            </w:pPr>
            <w:r>
              <w:rPr>
                <w:rFonts w:hint="eastAsia" w:ascii="宋体" w:hAnsi="宋体" w:cs="宋体"/>
                <w:color w:val="000000"/>
                <w:kern w:val="0"/>
                <w:sz w:val="24"/>
                <w:lang w:val="en-US" w:eastAsia="zh-CN"/>
              </w:rPr>
              <w:t>5.5</w:t>
            </w:r>
          </w:p>
        </w:tc>
        <w:tc>
          <w:tcPr>
            <w:tcW w:w="1424" w:type="pct"/>
            <w:tcBorders>
              <w:left w:val="single" w:color="auto" w:sz="4" w:space="0"/>
            </w:tcBorders>
            <w:vAlign w:val="center"/>
          </w:tcPr>
          <w:p w14:paraId="6B0E4F5A">
            <w:pPr>
              <w:spacing w:line="360" w:lineRule="auto"/>
              <w:ind w:firstLine="480" w:firstLineChars="200"/>
              <w:contextualSpacing/>
              <w:jc w:val="center"/>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全血采血椅</w:t>
            </w:r>
          </w:p>
        </w:tc>
        <w:tc>
          <w:tcPr>
            <w:tcW w:w="1168" w:type="pct"/>
            <w:tcBorders>
              <w:left w:val="single" w:color="auto" w:sz="4" w:space="0"/>
            </w:tcBorders>
            <w:vAlign w:val="center"/>
          </w:tcPr>
          <w:p w14:paraId="74FAC4CF">
            <w:pPr>
              <w:widowControl/>
              <w:jc w:val="center"/>
              <w:textAlignment w:val="center"/>
              <w:rPr>
                <w:rFonts w:hint="default" w:ascii="宋体" w:hAnsi="宋体" w:eastAsia="宋体" w:cs="宋体"/>
                <w:bCs/>
                <w:sz w:val="24"/>
                <w:lang w:val="en-US" w:eastAsia="zh-CN"/>
              </w:rPr>
            </w:pPr>
            <w:r>
              <w:rPr>
                <w:rFonts w:hint="eastAsia" w:ascii="宋体" w:hAnsi="宋体" w:cs="宋体"/>
                <w:bCs/>
                <w:sz w:val="24"/>
                <w:lang w:val="en-US" w:eastAsia="zh-CN"/>
              </w:rPr>
              <w:t>4个</w:t>
            </w:r>
          </w:p>
        </w:tc>
        <w:tc>
          <w:tcPr>
            <w:tcW w:w="665" w:type="pct"/>
            <w:tcBorders>
              <w:left w:val="single" w:color="auto" w:sz="4" w:space="0"/>
            </w:tcBorders>
            <w:vAlign w:val="center"/>
          </w:tcPr>
          <w:p w14:paraId="3BB3FE4A">
            <w:pPr>
              <w:widowControl/>
              <w:jc w:val="center"/>
              <w:textAlignment w:val="center"/>
              <w:rPr>
                <w:rFonts w:hint="eastAsia" w:ascii="宋体" w:hAnsi="宋体" w:cs="宋体"/>
                <w:color w:val="000000"/>
                <w:sz w:val="24"/>
                <w:lang w:val="en-US" w:eastAsia="zh-CN"/>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7BD6EE1A">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48C44ABF">
            <w:pPr>
              <w:widowControl/>
              <w:jc w:val="center"/>
              <w:textAlignment w:val="center"/>
              <w:rPr>
                <w:rFonts w:hint="eastAsia" w:ascii="宋体" w:hAnsi="宋体" w:cs="宋体"/>
                <w:color w:val="000000"/>
                <w:sz w:val="24"/>
                <w:lang w:val="en-US" w:eastAsia="zh-CN"/>
              </w:rPr>
            </w:pPr>
          </w:p>
        </w:tc>
      </w:tr>
      <w:tr w14:paraId="17C62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pct"/>
            <w:vAlign w:val="center"/>
          </w:tcPr>
          <w:p w14:paraId="797AC3C0">
            <w:pPr>
              <w:widowControl/>
              <w:jc w:val="center"/>
              <w:textAlignment w:val="center"/>
              <w:rPr>
                <w:rFonts w:ascii="宋体" w:hAnsi="宋体" w:eastAsia="宋体" w:cs="宋体"/>
                <w:color w:val="000000"/>
                <w:kern w:val="0"/>
                <w:sz w:val="24"/>
                <w:lang w:val="en-US" w:eastAsia="zh-CN"/>
              </w:rPr>
            </w:pPr>
            <w:r>
              <w:rPr>
                <w:rFonts w:hint="eastAsia" w:ascii="宋体" w:hAnsi="宋体" w:cs="宋体"/>
                <w:color w:val="000000"/>
                <w:kern w:val="0"/>
                <w:sz w:val="24"/>
                <w:lang w:val="en-US" w:eastAsia="zh-CN"/>
              </w:rPr>
              <w:t>5.6</w:t>
            </w:r>
          </w:p>
        </w:tc>
        <w:tc>
          <w:tcPr>
            <w:tcW w:w="1424" w:type="pct"/>
            <w:tcBorders>
              <w:left w:val="single" w:color="auto" w:sz="4" w:space="0"/>
            </w:tcBorders>
            <w:vAlign w:val="center"/>
          </w:tcPr>
          <w:p w14:paraId="7EE0B6F1">
            <w:pPr>
              <w:spacing w:line="360" w:lineRule="auto"/>
              <w:ind w:firstLine="480" w:firstLineChars="200"/>
              <w:contextualSpacing/>
              <w:jc w:val="center"/>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全自动生化仪</w:t>
            </w:r>
          </w:p>
        </w:tc>
        <w:tc>
          <w:tcPr>
            <w:tcW w:w="1168" w:type="pct"/>
            <w:tcBorders>
              <w:left w:val="single" w:color="auto" w:sz="4" w:space="0"/>
            </w:tcBorders>
            <w:vAlign w:val="center"/>
          </w:tcPr>
          <w:p w14:paraId="78973A10">
            <w:pPr>
              <w:widowControl/>
              <w:jc w:val="center"/>
              <w:textAlignment w:val="center"/>
              <w:rPr>
                <w:rFonts w:hint="eastAsia" w:ascii="宋体" w:hAnsi="宋体" w:eastAsia="宋体" w:cs="宋体"/>
                <w:bCs/>
                <w:sz w:val="24"/>
                <w:lang w:val="en-US" w:eastAsia="zh-CN"/>
              </w:rPr>
            </w:pPr>
            <w:r>
              <w:rPr>
                <w:rFonts w:ascii="宋体" w:hAnsi="宋体" w:cs="宋体"/>
                <w:bCs/>
                <w:sz w:val="24"/>
              </w:rPr>
              <w:t>1</w:t>
            </w:r>
            <w:r>
              <w:rPr>
                <w:rFonts w:hint="eastAsia" w:ascii="宋体" w:hAnsi="宋体" w:cs="宋体"/>
                <w:bCs/>
                <w:sz w:val="24"/>
                <w:lang w:val="en-US" w:eastAsia="zh-CN"/>
              </w:rPr>
              <w:t>台</w:t>
            </w:r>
          </w:p>
        </w:tc>
        <w:tc>
          <w:tcPr>
            <w:tcW w:w="665" w:type="pct"/>
            <w:tcBorders>
              <w:left w:val="single" w:color="auto" w:sz="4" w:space="0"/>
            </w:tcBorders>
            <w:vAlign w:val="center"/>
          </w:tcPr>
          <w:p w14:paraId="61CE2E87">
            <w:pPr>
              <w:widowControl/>
              <w:jc w:val="center"/>
              <w:textAlignment w:val="center"/>
              <w:rPr>
                <w:rFonts w:hint="eastAsia" w:ascii="宋体" w:hAnsi="宋体" w:eastAsia="宋体" w:cs="宋体"/>
                <w:color w:val="000000"/>
                <w:sz w:val="24"/>
                <w:lang w:val="en-US" w:eastAsia="zh-CN"/>
              </w:rPr>
            </w:pPr>
            <w:r>
              <w:rPr>
                <w:rFonts w:hint="eastAsia" w:ascii="宋体" w:hAnsi="宋体" w:cs="宋体"/>
                <w:b/>
                <w:bCs/>
                <w:color w:val="000000"/>
                <w:sz w:val="24"/>
                <w:lang w:val="en-US" w:eastAsia="zh-CN"/>
              </w:rPr>
              <w:t>是</w:t>
            </w:r>
          </w:p>
        </w:tc>
        <w:tc>
          <w:tcPr>
            <w:tcW w:w="600" w:type="pct"/>
            <w:tcBorders>
              <w:left w:val="single" w:color="auto" w:sz="4" w:space="0"/>
            </w:tcBorders>
            <w:vAlign w:val="center"/>
          </w:tcPr>
          <w:p w14:paraId="75A505B1">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3A842DFF">
            <w:pPr>
              <w:widowControl/>
              <w:jc w:val="center"/>
              <w:textAlignment w:val="center"/>
              <w:rPr>
                <w:rFonts w:hint="eastAsia" w:ascii="宋体" w:hAnsi="宋体" w:cs="宋体"/>
                <w:color w:val="000000"/>
                <w:sz w:val="24"/>
                <w:lang w:val="en-US" w:eastAsia="zh-CN"/>
              </w:rPr>
            </w:pPr>
          </w:p>
        </w:tc>
      </w:tr>
      <w:tr w14:paraId="55EDD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pct"/>
            <w:vAlign w:val="center"/>
          </w:tcPr>
          <w:p w14:paraId="5800133C">
            <w:pPr>
              <w:widowControl/>
              <w:jc w:val="center"/>
              <w:textAlignment w:val="center"/>
              <w:rPr>
                <w:rFonts w:ascii="宋体" w:hAnsi="宋体" w:eastAsia="宋体" w:cs="宋体"/>
                <w:color w:val="000000"/>
                <w:kern w:val="0"/>
                <w:sz w:val="24"/>
                <w:lang w:val="en-US" w:eastAsia="zh-CN"/>
              </w:rPr>
            </w:pPr>
            <w:r>
              <w:rPr>
                <w:rFonts w:hint="eastAsia" w:ascii="宋体" w:hAnsi="宋体" w:cs="宋体"/>
                <w:color w:val="000000"/>
                <w:kern w:val="0"/>
                <w:sz w:val="24"/>
                <w:lang w:val="en-US" w:eastAsia="zh-CN"/>
              </w:rPr>
              <w:t>5.7</w:t>
            </w:r>
          </w:p>
        </w:tc>
        <w:tc>
          <w:tcPr>
            <w:tcW w:w="1424" w:type="pct"/>
            <w:tcBorders>
              <w:left w:val="single" w:color="auto" w:sz="4" w:space="0"/>
            </w:tcBorders>
            <w:vAlign w:val="center"/>
          </w:tcPr>
          <w:p w14:paraId="1426643B">
            <w:pPr>
              <w:spacing w:line="360" w:lineRule="auto"/>
              <w:ind w:firstLine="480" w:firstLineChars="200"/>
              <w:contextualSpacing/>
              <w:jc w:val="center"/>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自动采血系统</w:t>
            </w:r>
          </w:p>
        </w:tc>
        <w:tc>
          <w:tcPr>
            <w:tcW w:w="1168" w:type="pct"/>
            <w:tcBorders>
              <w:left w:val="single" w:color="auto" w:sz="4" w:space="0"/>
            </w:tcBorders>
            <w:vAlign w:val="center"/>
          </w:tcPr>
          <w:p w14:paraId="0AFFAD90">
            <w:pPr>
              <w:widowControl/>
              <w:jc w:val="center"/>
              <w:textAlignment w:val="center"/>
              <w:rPr>
                <w:rFonts w:hint="eastAsia" w:ascii="宋体" w:hAnsi="宋体" w:eastAsia="宋体" w:cs="宋体"/>
                <w:bCs/>
                <w:sz w:val="24"/>
                <w:lang w:val="en-US" w:eastAsia="zh-CN"/>
              </w:rPr>
            </w:pPr>
            <w:r>
              <w:rPr>
                <w:rFonts w:ascii="宋体" w:hAnsi="宋体" w:cs="宋体"/>
                <w:bCs/>
                <w:sz w:val="24"/>
              </w:rPr>
              <w:t>1</w:t>
            </w:r>
            <w:r>
              <w:rPr>
                <w:rFonts w:hint="eastAsia" w:ascii="宋体" w:hAnsi="宋体" w:cs="宋体"/>
                <w:bCs/>
                <w:sz w:val="24"/>
                <w:lang w:val="en-US" w:eastAsia="zh-CN"/>
              </w:rPr>
              <w:t>套</w:t>
            </w:r>
          </w:p>
        </w:tc>
        <w:tc>
          <w:tcPr>
            <w:tcW w:w="665" w:type="pct"/>
            <w:tcBorders>
              <w:left w:val="single" w:color="auto" w:sz="4" w:space="0"/>
            </w:tcBorders>
            <w:vAlign w:val="center"/>
          </w:tcPr>
          <w:p w14:paraId="12A90E41">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1EC13381">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1E1A82EE">
            <w:pPr>
              <w:widowControl/>
              <w:jc w:val="center"/>
              <w:textAlignment w:val="center"/>
              <w:rPr>
                <w:rFonts w:hint="eastAsia" w:ascii="宋体" w:hAnsi="宋体" w:cs="宋体"/>
                <w:color w:val="000000"/>
                <w:sz w:val="24"/>
                <w:lang w:val="en-US" w:eastAsia="zh-CN"/>
              </w:rPr>
            </w:pPr>
          </w:p>
        </w:tc>
      </w:tr>
      <w:tr w14:paraId="58D62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pct"/>
            <w:vAlign w:val="center"/>
          </w:tcPr>
          <w:p w14:paraId="2F0A3761">
            <w:pPr>
              <w:widowControl/>
              <w:jc w:val="center"/>
              <w:textAlignment w:val="center"/>
              <w:rPr>
                <w:rFonts w:ascii="宋体" w:hAnsi="宋体" w:eastAsia="宋体" w:cs="宋体"/>
                <w:color w:val="000000"/>
                <w:kern w:val="0"/>
                <w:sz w:val="24"/>
                <w:lang w:val="en-US" w:eastAsia="zh-CN"/>
              </w:rPr>
            </w:pPr>
            <w:r>
              <w:rPr>
                <w:rFonts w:hint="eastAsia" w:ascii="宋体" w:hAnsi="宋体" w:cs="宋体"/>
                <w:color w:val="000000"/>
                <w:kern w:val="0"/>
                <w:sz w:val="24"/>
                <w:lang w:val="en-US" w:eastAsia="zh-CN"/>
              </w:rPr>
              <w:t>5.8</w:t>
            </w:r>
          </w:p>
        </w:tc>
        <w:tc>
          <w:tcPr>
            <w:tcW w:w="1424" w:type="pct"/>
            <w:tcBorders>
              <w:left w:val="single" w:color="auto" w:sz="4" w:space="0"/>
            </w:tcBorders>
            <w:vAlign w:val="center"/>
          </w:tcPr>
          <w:p w14:paraId="44AB765A">
            <w:pPr>
              <w:spacing w:line="360" w:lineRule="auto"/>
              <w:ind w:firstLine="480" w:firstLineChars="200"/>
              <w:contextualSpacing/>
              <w:jc w:val="center"/>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献血征询体检一体机</w:t>
            </w:r>
          </w:p>
        </w:tc>
        <w:tc>
          <w:tcPr>
            <w:tcW w:w="1168" w:type="pct"/>
            <w:tcBorders>
              <w:left w:val="single" w:color="auto" w:sz="4" w:space="0"/>
            </w:tcBorders>
            <w:vAlign w:val="center"/>
          </w:tcPr>
          <w:p w14:paraId="58E978D4">
            <w:pPr>
              <w:widowControl/>
              <w:jc w:val="center"/>
              <w:textAlignment w:val="center"/>
              <w:rPr>
                <w:rFonts w:hint="eastAsia" w:ascii="宋体" w:hAnsi="宋体" w:eastAsia="宋体" w:cs="宋体"/>
                <w:bCs/>
                <w:sz w:val="24"/>
                <w:lang w:val="en-US" w:eastAsia="zh-CN"/>
              </w:rPr>
            </w:pPr>
            <w:r>
              <w:rPr>
                <w:rFonts w:ascii="宋体" w:hAnsi="宋体" w:cs="宋体"/>
                <w:bCs/>
                <w:sz w:val="24"/>
              </w:rPr>
              <w:t>1</w:t>
            </w:r>
            <w:r>
              <w:rPr>
                <w:rFonts w:hint="eastAsia" w:ascii="宋体" w:hAnsi="宋体" w:cs="宋体"/>
                <w:bCs/>
                <w:sz w:val="24"/>
                <w:lang w:val="en-US" w:eastAsia="zh-CN"/>
              </w:rPr>
              <w:t>台</w:t>
            </w:r>
          </w:p>
        </w:tc>
        <w:tc>
          <w:tcPr>
            <w:tcW w:w="665" w:type="pct"/>
            <w:tcBorders>
              <w:left w:val="single" w:color="auto" w:sz="4" w:space="0"/>
            </w:tcBorders>
            <w:vAlign w:val="center"/>
          </w:tcPr>
          <w:p w14:paraId="3BF00B43">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68F0C933">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27C56C15">
            <w:pPr>
              <w:widowControl/>
              <w:jc w:val="center"/>
              <w:textAlignment w:val="center"/>
              <w:rPr>
                <w:rFonts w:hint="eastAsia" w:ascii="宋体" w:hAnsi="宋体" w:cs="宋体"/>
                <w:color w:val="000000"/>
                <w:sz w:val="24"/>
                <w:lang w:val="en-US" w:eastAsia="zh-CN"/>
              </w:rPr>
            </w:pPr>
          </w:p>
        </w:tc>
      </w:tr>
      <w:tr w14:paraId="61F14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pct"/>
            <w:vAlign w:val="center"/>
          </w:tcPr>
          <w:p w14:paraId="26745B1A">
            <w:pPr>
              <w:widowControl/>
              <w:jc w:val="center"/>
              <w:textAlignment w:val="center"/>
              <w:rPr>
                <w:rFonts w:ascii="宋体" w:hAnsi="宋体" w:eastAsia="宋体" w:cs="宋体"/>
                <w:color w:val="000000"/>
                <w:kern w:val="0"/>
                <w:sz w:val="24"/>
                <w:lang w:val="en-US" w:eastAsia="zh-CN"/>
              </w:rPr>
            </w:pPr>
            <w:r>
              <w:rPr>
                <w:rFonts w:hint="eastAsia" w:ascii="宋体" w:hAnsi="宋体" w:cs="宋体"/>
                <w:color w:val="000000"/>
                <w:kern w:val="0"/>
                <w:sz w:val="24"/>
                <w:lang w:val="en-US" w:eastAsia="zh-CN"/>
              </w:rPr>
              <w:t>5.9</w:t>
            </w:r>
          </w:p>
        </w:tc>
        <w:tc>
          <w:tcPr>
            <w:tcW w:w="1424" w:type="pct"/>
            <w:tcBorders>
              <w:left w:val="single" w:color="auto" w:sz="4" w:space="0"/>
            </w:tcBorders>
            <w:vAlign w:val="center"/>
          </w:tcPr>
          <w:p w14:paraId="76186E33">
            <w:pPr>
              <w:spacing w:line="360" w:lineRule="auto"/>
              <w:ind w:firstLine="480" w:firstLineChars="200"/>
              <w:contextualSpacing/>
              <w:jc w:val="center"/>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医用血液冷藏箱</w:t>
            </w:r>
          </w:p>
        </w:tc>
        <w:tc>
          <w:tcPr>
            <w:tcW w:w="1168" w:type="pct"/>
            <w:tcBorders>
              <w:left w:val="single" w:color="auto" w:sz="4" w:space="0"/>
            </w:tcBorders>
            <w:vAlign w:val="center"/>
          </w:tcPr>
          <w:p w14:paraId="27458781">
            <w:pPr>
              <w:widowControl/>
              <w:jc w:val="center"/>
              <w:textAlignment w:val="center"/>
              <w:rPr>
                <w:rFonts w:hint="eastAsia" w:ascii="宋体" w:hAnsi="宋体" w:eastAsia="宋体" w:cs="宋体"/>
                <w:bCs/>
                <w:sz w:val="24"/>
                <w:lang w:val="en-US" w:eastAsia="zh-CN"/>
              </w:rPr>
            </w:pPr>
            <w:r>
              <w:rPr>
                <w:rFonts w:ascii="宋体" w:hAnsi="宋体" w:cs="宋体"/>
                <w:bCs/>
                <w:sz w:val="24"/>
              </w:rPr>
              <w:t>1</w:t>
            </w:r>
            <w:r>
              <w:rPr>
                <w:rFonts w:hint="eastAsia" w:ascii="宋体" w:hAnsi="宋体" w:cs="宋体"/>
                <w:bCs/>
                <w:sz w:val="24"/>
                <w:lang w:val="en-US" w:eastAsia="zh-CN"/>
              </w:rPr>
              <w:t>台</w:t>
            </w:r>
          </w:p>
        </w:tc>
        <w:tc>
          <w:tcPr>
            <w:tcW w:w="665" w:type="pct"/>
            <w:tcBorders>
              <w:left w:val="single" w:color="auto" w:sz="4" w:space="0"/>
            </w:tcBorders>
            <w:vAlign w:val="center"/>
          </w:tcPr>
          <w:p w14:paraId="654C2519">
            <w:pPr>
              <w:widowControl/>
              <w:jc w:val="center"/>
              <w:textAlignment w:val="center"/>
              <w:rPr>
                <w:rFonts w:hint="eastAsia" w:ascii="宋体" w:hAnsi="宋体" w:cs="宋体"/>
                <w:b/>
                <w:bCs/>
                <w:color w:val="000000"/>
                <w:sz w:val="24"/>
              </w:rPr>
            </w:pPr>
            <w:r>
              <w:rPr>
                <w:rFonts w:hint="eastAsia" w:ascii="宋体" w:hAnsi="宋体" w:cs="宋体"/>
                <w:b/>
                <w:bCs/>
                <w:color w:val="000000"/>
                <w:sz w:val="24"/>
                <w:lang w:val="en-US" w:eastAsia="zh-CN"/>
              </w:rPr>
              <w:t>是</w:t>
            </w:r>
          </w:p>
        </w:tc>
        <w:tc>
          <w:tcPr>
            <w:tcW w:w="600" w:type="pct"/>
            <w:tcBorders>
              <w:left w:val="single" w:color="auto" w:sz="4" w:space="0"/>
            </w:tcBorders>
            <w:vAlign w:val="center"/>
          </w:tcPr>
          <w:p w14:paraId="371652F4">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5F9D9D90">
            <w:pPr>
              <w:widowControl/>
              <w:jc w:val="center"/>
              <w:textAlignment w:val="center"/>
              <w:rPr>
                <w:rFonts w:hint="eastAsia" w:ascii="宋体" w:hAnsi="宋体" w:cs="宋体"/>
                <w:color w:val="000000"/>
                <w:sz w:val="24"/>
                <w:lang w:val="en-US" w:eastAsia="zh-CN"/>
              </w:rPr>
            </w:pPr>
          </w:p>
        </w:tc>
      </w:tr>
      <w:tr w14:paraId="42478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pct"/>
            <w:vAlign w:val="center"/>
          </w:tcPr>
          <w:p w14:paraId="67244B89">
            <w:pPr>
              <w:widowControl/>
              <w:jc w:val="center"/>
              <w:textAlignment w:val="center"/>
              <w:rPr>
                <w:rFonts w:hint="default" w:ascii="宋体" w:hAnsi="宋体" w:eastAsia="宋体" w:cs="宋体"/>
                <w:color w:val="000000"/>
                <w:kern w:val="0"/>
                <w:sz w:val="24"/>
                <w:lang w:val="en-US" w:eastAsia="zh-CN"/>
              </w:rPr>
            </w:pPr>
            <w:r>
              <w:rPr>
                <w:rFonts w:hint="eastAsia" w:ascii="宋体" w:hAnsi="宋体" w:cs="宋体"/>
                <w:color w:val="000000"/>
                <w:kern w:val="0"/>
                <w:sz w:val="24"/>
                <w:lang w:val="en-US" w:eastAsia="zh-CN"/>
              </w:rPr>
              <w:t>5.10</w:t>
            </w:r>
          </w:p>
        </w:tc>
        <w:tc>
          <w:tcPr>
            <w:tcW w:w="1424" w:type="pct"/>
            <w:tcBorders>
              <w:left w:val="single" w:color="auto" w:sz="4" w:space="0"/>
            </w:tcBorders>
            <w:vAlign w:val="center"/>
          </w:tcPr>
          <w:p w14:paraId="10E20EAD">
            <w:pPr>
              <w:spacing w:line="360" w:lineRule="auto"/>
              <w:ind w:firstLine="480" w:firstLineChars="200"/>
              <w:contextualSpacing/>
              <w:jc w:val="center"/>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离心机</w:t>
            </w:r>
          </w:p>
        </w:tc>
        <w:tc>
          <w:tcPr>
            <w:tcW w:w="1168" w:type="pct"/>
            <w:tcBorders>
              <w:left w:val="single" w:color="auto" w:sz="4" w:space="0"/>
            </w:tcBorders>
            <w:vAlign w:val="center"/>
          </w:tcPr>
          <w:p w14:paraId="5AFF8A26">
            <w:pPr>
              <w:widowControl/>
              <w:jc w:val="center"/>
              <w:textAlignment w:val="center"/>
              <w:rPr>
                <w:rFonts w:hint="eastAsia" w:ascii="宋体" w:hAnsi="宋体" w:eastAsia="宋体" w:cs="宋体"/>
                <w:bCs/>
                <w:sz w:val="24"/>
                <w:lang w:val="en-US" w:eastAsia="zh-CN"/>
              </w:rPr>
            </w:pPr>
            <w:r>
              <w:rPr>
                <w:rFonts w:ascii="宋体" w:hAnsi="宋体" w:cs="宋体"/>
                <w:bCs/>
                <w:sz w:val="24"/>
              </w:rPr>
              <w:t>1</w:t>
            </w:r>
            <w:r>
              <w:rPr>
                <w:rFonts w:hint="eastAsia" w:ascii="宋体" w:hAnsi="宋体" w:cs="宋体"/>
                <w:bCs/>
                <w:sz w:val="24"/>
                <w:lang w:val="en-US" w:eastAsia="zh-CN"/>
              </w:rPr>
              <w:t>台</w:t>
            </w:r>
          </w:p>
        </w:tc>
        <w:tc>
          <w:tcPr>
            <w:tcW w:w="665" w:type="pct"/>
            <w:tcBorders>
              <w:left w:val="single" w:color="auto" w:sz="4" w:space="0"/>
            </w:tcBorders>
            <w:vAlign w:val="center"/>
          </w:tcPr>
          <w:p w14:paraId="7DBF9594">
            <w:pPr>
              <w:widowControl/>
              <w:jc w:val="center"/>
              <w:textAlignment w:val="center"/>
              <w:rPr>
                <w:rFonts w:hint="eastAsia" w:ascii="宋体" w:hAnsi="宋体" w:cs="宋体"/>
                <w:b/>
                <w:bCs/>
                <w:color w:val="000000"/>
                <w:sz w:val="24"/>
              </w:rPr>
            </w:pPr>
            <w:r>
              <w:rPr>
                <w:rFonts w:hint="eastAsia" w:ascii="宋体" w:hAnsi="宋体" w:cs="宋体"/>
                <w:b/>
                <w:bCs/>
                <w:color w:val="000000"/>
                <w:sz w:val="24"/>
                <w:lang w:val="en-US" w:eastAsia="zh-CN"/>
              </w:rPr>
              <w:t>是</w:t>
            </w:r>
          </w:p>
        </w:tc>
        <w:tc>
          <w:tcPr>
            <w:tcW w:w="600" w:type="pct"/>
            <w:tcBorders>
              <w:left w:val="single" w:color="auto" w:sz="4" w:space="0"/>
            </w:tcBorders>
            <w:vAlign w:val="center"/>
          </w:tcPr>
          <w:p w14:paraId="296061E8">
            <w:pPr>
              <w:widowControl/>
              <w:jc w:val="center"/>
              <w:textAlignment w:val="center"/>
              <w:rPr>
                <w:rFonts w:hint="eastAsia" w:ascii="宋体" w:hAnsi="宋体" w:cs="宋体"/>
                <w:color w:val="000000"/>
                <w:sz w:val="24"/>
              </w:rPr>
            </w:pPr>
            <w:r>
              <w:rPr>
                <w:rFonts w:hint="eastAsia" w:ascii="宋体" w:hAnsi="宋体" w:cs="宋体"/>
                <w:color w:val="000000"/>
                <w:sz w:val="24"/>
                <w:lang w:val="en-US" w:eastAsia="zh-CN"/>
              </w:rPr>
              <w:t>否</w:t>
            </w:r>
          </w:p>
        </w:tc>
        <w:tc>
          <w:tcPr>
            <w:tcW w:w="600" w:type="pct"/>
            <w:tcBorders>
              <w:left w:val="single" w:color="auto" w:sz="4" w:space="0"/>
            </w:tcBorders>
            <w:vAlign w:val="center"/>
          </w:tcPr>
          <w:p w14:paraId="0FB62A64">
            <w:pPr>
              <w:widowControl/>
              <w:jc w:val="center"/>
              <w:textAlignment w:val="center"/>
              <w:rPr>
                <w:rFonts w:hint="eastAsia" w:ascii="宋体" w:hAnsi="宋体" w:cs="宋体"/>
                <w:color w:val="000000"/>
                <w:sz w:val="24"/>
                <w:lang w:val="en-US" w:eastAsia="zh-CN"/>
              </w:rPr>
            </w:pPr>
          </w:p>
        </w:tc>
      </w:tr>
    </w:tbl>
    <w:p w14:paraId="5547625F">
      <w:pPr>
        <w:spacing w:line="360" w:lineRule="auto"/>
        <w:ind w:firstLine="482" w:firstLineChars="200"/>
        <w:contextualSpacing/>
        <w:jc w:val="left"/>
        <w:rPr>
          <w:rFonts w:hint="eastAsia" w:ascii="宋体" w:hAnsi="宋体" w:cs="宋体"/>
          <w:b/>
          <w:sz w:val="24"/>
          <w:szCs w:val="22"/>
          <w:u w:val="none"/>
        </w:rPr>
      </w:pPr>
      <w:r>
        <w:rPr>
          <w:rFonts w:hint="eastAsia" w:ascii="宋体" w:hAnsi="宋体" w:cs="宋体"/>
          <w:b/>
          <w:sz w:val="24"/>
          <w:szCs w:val="22"/>
          <w:u w:val="none"/>
        </w:rPr>
        <w:t>注：本配置清单为基本配置要求，不得减少配置，投标人可根据设计方案自行增加配置，以满足采购人实际使用需求。</w:t>
      </w:r>
    </w:p>
    <w:p w14:paraId="43F15DD1">
      <w:pPr>
        <w:spacing w:line="360" w:lineRule="auto"/>
        <w:ind w:firstLine="480" w:firstLineChars="200"/>
        <w:contextualSpacing/>
        <w:jc w:val="left"/>
        <w:rPr>
          <w:rFonts w:hint="eastAsia" w:ascii="宋体" w:hAnsi="宋体" w:eastAsia="宋体"/>
          <w:bCs/>
          <w:sz w:val="24"/>
          <w:szCs w:val="22"/>
        </w:rPr>
      </w:pPr>
      <w:r>
        <w:rPr>
          <w:rFonts w:hint="eastAsia" w:ascii="宋体" w:hAnsi="宋体" w:eastAsia="宋体"/>
          <w:bCs/>
          <w:sz w:val="24"/>
          <w:szCs w:val="22"/>
        </w:rPr>
        <w:t>（三）售后服务</w:t>
      </w:r>
    </w:p>
    <w:p w14:paraId="593E59D0">
      <w:pPr>
        <w:spacing w:line="360" w:lineRule="auto"/>
        <w:ind w:firstLine="480" w:firstLineChars="200"/>
        <w:rPr>
          <w:rFonts w:hint="eastAsia" w:ascii="宋体" w:hAnsi="宋体" w:eastAsia="宋体"/>
          <w:bCs/>
          <w:sz w:val="24"/>
        </w:rPr>
      </w:pPr>
      <w:r>
        <w:rPr>
          <w:rFonts w:hint="eastAsia" w:ascii="宋体" w:hAnsi="宋体" w:eastAsia="宋体"/>
          <w:bCs/>
          <w:sz w:val="24"/>
        </w:rPr>
        <w:t>献血方舱</w:t>
      </w:r>
      <w:r>
        <w:rPr>
          <w:rFonts w:ascii="宋体" w:hAnsi="宋体" w:eastAsia="宋体"/>
          <w:bCs/>
          <w:sz w:val="24"/>
        </w:rPr>
        <w:t>主体及方舱设备</w:t>
      </w:r>
      <w:r>
        <w:rPr>
          <w:rFonts w:hint="eastAsia" w:ascii="宋体" w:hAnsi="宋体" w:eastAsia="宋体"/>
          <w:bCs/>
          <w:sz w:val="24"/>
        </w:rPr>
        <w:t>质保期</w:t>
      </w:r>
      <w:r>
        <w:rPr>
          <w:rFonts w:hint="eastAsia" w:ascii="宋体" w:hAnsi="宋体"/>
          <w:bCs/>
          <w:sz w:val="24"/>
          <w:lang w:val="en-US" w:eastAsia="zh-CN"/>
        </w:rPr>
        <w:t>≥</w:t>
      </w:r>
      <w:r>
        <w:rPr>
          <w:rFonts w:hint="eastAsia" w:ascii="宋体" w:hAnsi="宋体" w:eastAsia="宋体"/>
          <w:bCs/>
          <w:sz w:val="24"/>
        </w:rPr>
        <w:t>36个月，</w:t>
      </w:r>
      <w:r>
        <w:rPr>
          <w:rFonts w:ascii="宋体" w:hAnsi="宋体" w:eastAsia="宋体"/>
          <w:bCs/>
          <w:sz w:val="24"/>
        </w:rPr>
        <w:t>医用设备质保期</w:t>
      </w:r>
      <w:r>
        <w:rPr>
          <w:rFonts w:hint="eastAsia" w:ascii="宋体" w:hAnsi="宋体"/>
          <w:bCs/>
          <w:sz w:val="24"/>
          <w:lang w:val="en-US" w:eastAsia="zh-CN"/>
        </w:rPr>
        <w:t>≥</w:t>
      </w:r>
      <w:r>
        <w:rPr>
          <w:rFonts w:ascii="宋体" w:hAnsi="宋体" w:eastAsia="宋体"/>
          <w:bCs/>
          <w:sz w:val="24"/>
        </w:rPr>
        <w:t>72个月</w:t>
      </w:r>
      <w:r>
        <w:rPr>
          <w:rFonts w:hint="eastAsia" w:ascii="宋体" w:hAnsi="宋体"/>
          <w:bCs/>
          <w:sz w:val="24"/>
          <w:lang w:eastAsia="zh-CN"/>
        </w:rPr>
        <w:t>，</w:t>
      </w:r>
      <w:r>
        <w:rPr>
          <w:rFonts w:hint="eastAsia" w:ascii="宋体" w:hAnsi="宋体" w:eastAsia="宋体"/>
          <w:bCs/>
          <w:sz w:val="24"/>
        </w:rPr>
        <w:t>自验收合格之日起计算。投标人应保证其提供的合同设备是全新的、未使用过的，并在各方面符合合同规定的质量、规格和性能要求。投标人应保证其提供的合同设备经过正确安装、维护保养，在产品寿命期内一切性能达到国家法律、法规、部门规章、政策性文件、本合同的要求。在合同规定的质量保证期内，投标人应对由于设计、制造工艺或材料的缺陷而造成的任何产品缺陷或故障负责。</w:t>
      </w:r>
    </w:p>
    <w:p w14:paraId="2DBEFE99">
      <w:pPr>
        <w:spacing w:line="360" w:lineRule="auto"/>
        <w:ind w:firstLine="480" w:firstLineChars="200"/>
        <w:rPr>
          <w:rFonts w:hint="eastAsia" w:ascii="宋体" w:hAnsi="宋体" w:eastAsia="宋体"/>
          <w:bCs/>
          <w:sz w:val="24"/>
        </w:rPr>
      </w:pPr>
      <w:r>
        <w:rPr>
          <w:rFonts w:hint="eastAsia" w:ascii="宋体" w:hAnsi="宋体" w:eastAsia="宋体"/>
          <w:bCs/>
          <w:sz w:val="24"/>
        </w:rPr>
        <w:t>投标人应保证在合同约定的质量保证期内提供合同内及国家法律、法规、部门规章、政策性文件规定的保修、维修服务。若未按以上要求提供相关服务而造成的损失，不论直接或间接的损失及其他相关索赔均由投标人承担。</w:t>
      </w:r>
    </w:p>
    <w:p w14:paraId="63E2DB7C">
      <w:pPr>
        <w:spacing w:line="360" w:lineRule="auto"/>
        <w:ind w:firstLine="480" w:firstLineChars="200"/>
        <w:rPr>
          <w:rFonts w:hint="eastAsia" w:ascii="宋体" w:hAnsi="宋体" w:eastAsia="宋体"/>
          <w:bCs/>
          <w:sz w:val="24"/>
        </w:rPr>
      </w:pPr>
      <w:r>
        <w:rPr>
          <w:rFonts w:hint="eastAsia" w:ascii="宋体" w:hAnsi="宋体" w:eastAsia="宋体"/>
          <w:bCs/>
          <w:sz w:val="24"/>
        </w:rPr>
        <w:t>在质量保证期内，采购人将尽快以书面形式通知投标人所发现的缺陷。投标人收到通知后应在合同规定的时间内以合理的速度免费维修或更换有缺陷的合同设备或部件。如果投标人收到通知后在合同规定的时间内（48小时）没有以合理的速度弥补缺陷，采购人可采取必要的补救措施，但其风险和费用将由投标人负责，采购人根据合同规定对投标人行使的权利不受影响。</w:t>
      </w:r>
    </w:p>
    <w:p w14:paraId="59D9384D">
      <w:pPr>
        <w:spacing w:line="360" w:lineRule="auto"/>
        <w:ind w:firstLine="480" w:firstLineChars="200"/>
        <w:rPr>
          <w:rFonts w:hint="eastAsia" w:ascii="宋体" w:hAnsi="宋体" w:cs="宋体"/>
          <w:sz w:val="24"/>
        </w:rPr>
      </w:pPr>
      <w:r>
        <w:rPr>
          <w:rFonts w:hint="eastAsia" w:ascii="宋体" w:hAnsi="宋体" w:cs="宋体"/>
          <w:color w:val="333333"/>
          <w:kern w:val="0"/>
          <w:sz w:val="24"/>
        </w:rPr>
        <w:t>投标人接到采购人报修通知后，应在12小时内响应，不能远程处理的需48小时内到达现场完成维修工作。</w:t>
      </w:r>
    </w:p>
    <w:p w14:paraId="115477B0">
      <w:pPr>
        <w:pStyle w:val="7"/>
        <w:spacing w:line="360" w:lineRule="auto"/>
        <w:contextualSpacing/>
        <w:jc w:val="left"/>
        <w:rPr>
          <w:rFonts w:hint="eastAsia" w:ascii="宋体" w:hAnsi="宋体"/>
          <w:bCs/>
          <w:sz w:val="24"/>
        </w:rPr>
      </w:pPr>
      <w:r>
        <w:rPr>
          <w:rFonts w:hint="eastAsia" w:ascii="宋体" w:hAnsi="宋体"/>
          <w:bCs/>
          <w:sz w:val="24"/>
        </w:rPr>
        <w:t>（四）验收标准：详见第六章  拟签订的合同文本</w:t>
      </w:r>
    </w:p>
    <w:p w14:paraId="2999D95E">
      <w:pPr>
        <w:spacing w:line="360" w:lineRule="auto"/>
        <w:ind w:firstLine="480" w:firstLineChars="200"/>
        <w:contextualSpacing/>
        <w:jc w:val="left"/>
        <w:rPr>
          <w:rFonts w:hint="eastAsia" w:ascii="宋体" w:hAnsi="宋体"/>
          <w:bCs/>
          <w:sz w:val="24"/>
          <w:szCs w:val="22"/>
        </w:rPr>
      </w:pPr>
      <w:r>
        <w:rPr>
          <w:rFonts w:hint="eastAsia" w:ascii="宋体" w:hAnsi="宋体"/>
          <w:bCs/>
          <w:sz w:val="24"/>
          <w:szCs w:val="22"/>
        </w:rPr>
        <w:t>（五）采购标的的其他技术、服务等要求：</w:t>
      </w:r>
    </w:p>
    <w:p w14:paraId="11972131">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1.对于技术规格中标注“★”号（如有）的技术参数代表实质性指标，不满足该指标项将直接导致投标被拒绝。</w:t>
      </w:r>
    </w:p>
    <w:p w14:paraId="24C9C295">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2.标注“▲”的指标为重要的技术指标，不满足将导致其在第四章评标标准中对采购需求的响应情况被扣除相应分值。</w:t>
      </w:r>
    </w:p>
    <w:p w14:paraId="414DA225">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3.对于采购需求三、技术要求（</w:t>
      </w:r>
      <w:r>
        <w:rPr>
          <w:rFonts w:hint="eastAsia" w:ascii="宋体" w:hAnsi="宋体" w:eastAsia="宋体" w:cs="宋体"/>
          <w:sz w:val="24"/>
          <w:lang w:val="en-US" w:eastAsia="zh-CN"/>
        </w:rPr>
        <w:t>三</w:t>
      </w:r>
      <w:r>
        <w:rPr>
          <w:rFonts w:hint="eastAsia" w:ascii="宋体" w:hAnsi="宋体" w:eastAsia="宋体" w:cs="宋体"/>
          <w:sz w:val="24"/>
        </w:rPr>
        <w:t>）</w:t>
      </w:r>
      <w:r>
        <w:rPr>
          <w:rFonts w:hint="eastAsia" w:ascii="宋体" w:hAnsi="宋体" w:eastAsia="宋体" w:cs="宋体"/>
          <w:sz w:val="24"/>
          <w:lang w:val="en-US" w:eastAsia="zh-CN"/>
        </w:rPr>
        <w:t>技术规格</w:t>
      </w:r>
      <w:r>
        <w:rPr>
          <w:rFonts w:hint="eastAsia" w:ascii="宋体" w:hAnsi="宋体" w:eastAsia="宋体" w:cs="宋体"/>
          <w:sz w:val="24"/>
        </w:rPr>
        <w:t>要求中标注“▲</w:t>
      </w:r>
      <w:r>
        <w:rPr>
          <w:rFonts w:hint="eastAsia" w:ascii="宋体" w:hAnsi="宋体" w:eastAsia="宋体" w:cs="宋体"/>
          <w:sz w:val="24"/>
          <w:lang w:eastAsia="zh-CN"/>
        </w:rPr>
        <w:t>、</w:t>
      </w:r>
      <w:r>
        <w:rPr>
          <w:rFonts w:hint="eastAsia" w:ascii="宋体" w:hAnsi="宋体" w:eastAsia="宋体" w:cs="宋体"/>
          <w:sz w:val="24"/>
        </w:rPr>
        <w:t>★”号的技术指标，投标人须在投标文件中按照招标文件技术规格的要求提供技术应答的证明材料，其中证明材料除招标文件中有明确规定的证明材料（如有）外，其余“▲</w:t>
      </w:r>
      <w:r>
        <w:rPr>
          <w:rFonts w:hint="eastAsia" w:ascii="宋体" w:hAnsi="宋体" w:eastAsia="宋体" w:cs="宋体"/>
          <w:sz w:val="24"/>
          <w:lang w:eastAsia="zh-CN"/>
        </w:rPr>
        <w:t>、</w:t>
      </w:r>
      <w:r>
        <w:rPr>
          <w:rFonts w:hint="eastAsia" w:ascii="宋体" w:hAnsi="宋体" w:eastAsia="宋体" w:cs="宋体"/>
          <w:sz w:val="24"/>
        </w:rPr>
        <w:t>★”号的技术指标可提供产品说明书或产品彩页或技术白皮书或检验/检测报告等。如投标人技术响应与证明材料不一致，将以证明材料为准。对于投标人提供的投标文件技术应答未按本条款要求提供证明材料的，评标委员会可不予认可，并可认为该技术应答不符合招标文件要求，由此产生的风险由投标人承担。</w:t>
      </w:r>
    </w:p>
    <w:p w14:paraId="40DF083A">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4.对于采购需求“三、技术要求”中“（</w:t>
      </w:r>
      <w:r>
        <w:rPr>
          <w:rFonts w:hint="eastAsia" w:ascii="宋体" w:hAnsi="宋体" w:eastAsia="宋体" w:cs="宋体"/>
          <w:sz w:val="24"/>
          <w:lang w:val="en-US" w:eastAsia="zh-CN"/>
        </w:rPr>
        <w:t>三</w:t>
      </w:r>
      <w:r>
        <w:rPr>
          <w:rFonts w:hint="eastAsia" w:ascii="宋体" w:hAnsi="宋体" w:eastAsia="宋体" w:cs="宋体"/>
          <w:sz w:val="24"/>
        </w:rPr>
        <w:t>）</w:t>
      </w:r>
      <w:r>
        <w:rPr>
          <w:rFonts w:hint="eastAsia" w:ascii="宋体" w:hAnsi="宋体" w:eastAsia="宋体" w:cs="宋体"/>
          <w:sz w:val="24"/>
          <w:lang w:val="en-US" w:eastAsia="zh-CN"/>
        </w:rPr>
        <w:t>技术规格</w:t>
      </w:r>
      <w:r>
        <w:rPr>
          <w:rFonts w:hint="eastAsia" w:ascii="宋体" w:hAnsi="宋体" w:eastAsia="宋体" w:cs="宋体"/>
          <w:sz w:val="24"/>
        </w:rPr>
        <w:t>要求”所列的技术指标，如应提供且可以提供设备的真实技术指标参数但投标人不提供，只照抄招标文件参数要求，经评标委员会认定，投标人对该项指标的响应为“负偏离”。</w:t>
      </w:r>
    </w:p>
    <w:p w14:paraId="58652CE3">
      <w:bookmarkStart w:id="5" w:name="_GoBack"/>
      <w:bookmarkEnd w:id="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decorative"/>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Lucida Sans">
    <w:altName w:val="Lucida Sans Unicode"/>
    <w:panose1 w:val="020B0602030504020204"/>
    <w:charset w:val="00"/>
    <w:family w:val="auto"/>
    <w:pitch w:val="default"/>
    <w:sig w:usb0="00000000" w:usb1="00000000" w:usb2="00000000" w:usb3="00000000" w:csb0="20000001" w:csb1="00000000"/>
  </w:font>
  <w:font w:name="仿宋_GB2312">
    <w:altName w:val="仿宋"/>
    <w:panose1 w:val="02010609030101010101"/>
    <w:charset w:val="86"/>
    <w:family w:val="moder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E53C4C"/>
    <w:rsid w:val="3EE53C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2"/>
    <w:basedOn w:val="1"/>
    <w:qFormat/>
    <w:uiPriority w:val="0"/>
    <w:pPr>
      <w:spacing w:after="120" w:line="480" w:lineRule="auto"/>
    </w:pPr>
  </w:style>
  <w:style w:type="paragraph" w:styleId="3">
    <w:name w:val="Normal Indent"/>
    <w:basedOn w:val="1"/>
    <w:qFormat/>
    <w:uiPriority w:val="0"/>
    <w:pPr>
      <w:autoSpaceDE w:val="0"/>
      <w:autoSpaceDN w:val="0"/>
      <w:adjustRightInd w:val="0"/>
      <w:ind w:firstLine="420"/>
      <w:jc w:val="left"/>
    </w:pPr>
    <w:rPr>
      <w:rFonts w:ascii="宋体"/>
      <w:sz w:val="24"/>
    </w:rPr>
  </w:style>
  <w:style w:type="paragraph" w:styleId="4">
    <w:name w:val="toc 2"/>
    <w:basedOn w:val="1"/>
    <w:next w:val="1"/>
    <w:qFormat/>
    <w:uiPriority w:val="0"/>
    <w:pPr>
      <w:tabs>
        <w:tab w:val="right" w:leader="dot" w:pos="8937"/>
      </w:tabs>
      <w:spacing w:line="312" w:lineRule="auto"/>
      <w:ind w:left="200" w:leftChars="200"/>
    </w:pPr>
  </w:style>
  <w:style w:type="paragraph" w:customStyle="1" w:styleId="7">
    <w:name w:val="列出段落1"/>
    <w:basedOn w:val="1"/>
    <w:autoRedefine/>
    <w:qFormat/>
    <w:uiPriority w:val="0"/>
    <w:pPr>
      <w:ind w:firstLine="20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2026-10-27T06:29:00Z</dcterms:created>
  <dc:creator>WPS_1680583961</dc:creator>
  <cp:lastModifiedBy>WPS_1680583961</cp:lastModifiedBy>
  <dcterms:modified xsi:type="dcterms:W3CDTF">2026-10-27T06:29:46Z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DFA5FF6259B24A64886FA4AB41B80C07_11</vt:lpwstr>
  </property>
  <property fmtid="{D5CDD505-2E9C-101B-9397-08002B2CF9AE}" pid="4" name="KSOTemplateDocerSaveRecord">
    <vt:lpwstr>eyJoZGlkIjoiNDllMWFkMzAzNGU0MDMyOWMxYjQ2NzZiYjFiMWE1YWMiLCJ1c2VySWQiOiIxNDg1ODU0MDI1In0=</vt:lpwstr>
  </property>
</Properties>
</file>