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3AD53">
      <w:pPr>
        <w:snapToGrid w:val="0"/>
        <w:spacing w:line="360" w:lineRule="auto"/>
        <w:jc w:val="center"/>
        <w:outlineLvl w:val="0"/>
        <w:rPr>
          <w:rFonts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2E379305">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BAB7645">
      <w:pPr>
        <w:snapToGrid w:val="0"/>
        <w:spacing w:line="360" w:lineRule="auto"/>
        <w:contextualSpacing/>
        <w:rPr>
          <w:rFonts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13CDE7BB">
      <w:pPr>
        <w:snapToGrid w:val="0"/>
        <w:spacing w:line="360" w:lineRule="auto"/>
        <w:contextualSpacing/>
        <w:rPr>
          <w:rFonts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534FE43B">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37037D50">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718F96CF">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776CBE38">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22E4C165">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60ED721A">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06A96D34">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1940F4F7">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5DF4B64E">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17ED19FB">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718BAD20">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3DAE3ED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6B48E4CD">
      <w:pPr>
        <w:widowControl/>
        <w:snapToGrid w:val="0"/>
        <w:spacing w:line="360" w:lineRule="auto"/>
        <w:jc w:val="left"/>
        <w:rPr>
          <w:rFonts w:ascii="仿宋" w:hAnsi="仿宋" w:eastAsia="仿宋" w:cs="仿宋"/>
          <w:b/>
          <w:color w:val="auto"/>
          <w:sz w:val="24"/>
          <w:highlight w:val="none"/>
        </w:rPr>
      </w:pPr>
      <w:r>
        <w:rPr>
          <w:rFonts w:ascii="仿宋" w:hAnsi="仿宋" w:eastAsia="仿宋" w:cs="仿宋"/>
          <w:b/>
          <w:color w:val="auto"/>
          <w:sz w:val="28"/>
          <w:szCs w:val="28"/>
          <w:highlight w:val="none"/>
        </w:rPr>
        <w:br w:type="page"/>
      </w:r>
      <w:r>
        <w:rPr>
          <w:rFonts w:hint="eastAsia" w:ascii="仿宋" w:hAnsi="仿宋" w:eastAsia="仿宋" w:cs="仿宋"/>
          <w:b/>
          <w:color w:val="auto"/>
          <w:sz w:val="24"/>
          <w:highlight w:val="none"/>
        </w:rPr>
        <w:t>一、采购标的</w:t>
      </w:r>
    </w:p>
    <w:p w14:paraId="301D14D2">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46"/>
        <w:tblW w:w="48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1160"/>
        <w:gridCol w:w="3396"/>
        <w:gridCol w:w="1433"/>
        <w:gridCol w:w="1317"/>
      </w:tblGrid>
      <w:tr w14:paraId="782E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77" w:type="pct"/>
            <w:vAlign w:val="center"/>
          </w:tcPr>
          <w:p w14:paraId="7012745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包号</w:t>
            </w:r>
          </w:p>
        </w:tc>
        <w:tc>
          <w:tcPr>
            <w:tcW w:w="702" w:type="pct"/>
            <w:vAlign w:val="center"/>
          </w:tcPr>
          <w:p w14:paraId="33CD736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品目号</w:t>
            </w:r>
          </w:p>
        </w:tc>
        <w:tc>
          <w:tcPr>
            <w:tcW w:w="2055" w:type="pct"/>
            <w:tcBorders>
              <w:bottom w:val="single" w:color="auto" w:sz="4" w:space="0"/>
            </w:tcBorders>
            <w:vAlign w:val="center"/>
          </w:tcPr>
          <w:p w14:paraId="26DE7C1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标的名称</w:t>
            </w:r>
          </w:p>
        </w:tc>
        <w:tc>
          <w:tcPr>
            <w:tcW w:w="867" w:type="pct"/>
            <w:vAlign w:val="center"/>
          </w:tcPr>
          <w:p w14:paraId="7ABB95D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数量</w:t>
            </w:r>
          </w:p>
          <w:p w14:paraId="4AB9111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（台/套）</w:t>
            </w:r>
          </w:p>
        </w:tc>
        <w:tc>
          <w:tcPr>
            <w:tcW w:w="797" w:type="pct"/>
            <w:vAlign w:val="center"/>
          </w:tcPr>
          <w:p w14:paraId="19731A4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是否接受进口产品</w:t>
            </w:r>
          </w:p>
        </w:tc>
      </w:tr>
      <w:tr w14:paraId="5D2B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Align w:val="center"/>
          </w:tcPr>
          <w:p w14:paraId="4C6BACD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1159" w:type="dxa"/>
            <w:vAlign w:val="center"/>
          </w:tcPr>
          <w:p w14:paraId="124AA06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3392" w:type="dxa"/>
            <w:tcBorders>
              <w:bottom w:val="single" w:color="auto" w:sz="4" w:space="0"/>
            </w:tcBorders>
            <w:vAlign w:val="center"/>
          </w:tcPr>
          <w:p w14:paraId="4372954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切片扫描系统</w:t>
            </w:r>
          </w:p>
        </w:tc>
        <w:tc>
          <w:tcPr>
            <w:tcW w:w="1432" w:type="dxa"/>
            <w:vAlign w:val="center"/>
          </w:tcPr>
          <w:p w14:paraId="50823AE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33A6E9D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3C64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Align w:val="center"/>
          </w:tcPr>
          <w:p w14:paraId="5169298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w:t>
            </w:r>
          </w:p>
        </w:tc>
        <w:tc>
          <w:tcPr>
            <w:tcW w:w="1159" w:type="dxa"/>
            <w:vAlign w:val="center"/>
          </w:tcPr>
          <w:p w14:paraId="1EA329E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3392" w:type="dxa"/>
            <w:tcBorders>
              <w:bottom w:val="single" w:color="auto" w:sz="4" w:space="0"/>
            </w:tcBorders>
            <w:vAlign w:val="center"/>
          </w:tcPr>
          <w:p w14:paraId="465FE07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超声用电磁定位穿刺引导设备</w:t>
            </w:r>
          </w:p>
        </w:tc>
        <w:tc>
          <w:tcPr>
            <w:tcW w:w="1432" w:type="dxa"/>
            <w:vAlign w:val="center"/>
          </w:tcPr>
          <w:p w14:paraId="690ECB4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05509E4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535C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Align w:val="center"/>
          </w:tcPr>
          <w:p w14:paraId="5DA1220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w:t>
            </w:r>
          </w:p>
        </w:tc>
        <w:tc>
          <w:tcPr>
            <w:tcW w:w="1159" w:type="dxa"/>
            <w:vAlign w:val="center"/>
          </w:tcPr>
          <w:p w14:paraId="00F8F8D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3-1</w:t>
            </w:r>
          </w:p>
        </w:tc>
        <w:tc>
          <w:tcPr>
            <w:tcW w:w="3392" w:type="dxa"/>
            <w:tcBorders>
              <w:bottom w:val="single" w:color="auto" w:sz="4" w:space="0"/>
            </w:tcBorders>
            <w:vAlign w:val="center"/>
          </w:tcPr>
          <w:p w14:paraId="017456A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脉冲激光治疗机</w:t>
            </w:r>
          </w:p>
        </w:tc>
        <w:tc>
          <w:tcPr>
            <w:tcW w:w="1432" w:type="dxa"/>
            <w:vAlign w:val="center"/>
          </w:tcPr>
          <w:p w14:paraId="09D4AD1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12033F9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7C53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restart"/>
            <w:vAlign w:val="center"/>
          </w:tcPr>
          <w:p w14:paraId="3BD64D0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w:t>
            </w:r>
          </w:p>
        </w:tc>
        <w:tc>
          <w:tcPr>
            <w:tcW w:w="1159" w:type="dxa"/>
            <w:vAlign w:val="center"/>
          </w:tcPr>
          <w:p w14:paraId="441CB75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4-1</w:t>
            </w:r>
          </w:p>
        </w:tc>
        <w:tc>
          <w:tcPr>
            <w:tcW w:w="3392" w:type="dxa"/>
            <w:tcBorders>
              <w:bottom w:val="single" w:color="auto" w:sz="4" w:space="0"/>
            </w:tcBorders>
            <w:vAlign w:val="center"/>
          </w:tcPr>
          <w:p w14:paraId="37504F6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动态心电血压系统</w:t>
            </w:r>
          </w:p>
        </w:tc>
        <w:tc>
          <w:tcPr>
            <w:tcW w:w="1432" w:type="dxa"/>
            <w:vAlign w:val="center"/>
          </w:tcPr>
          <w:p w14:paraId="6DD1868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5224DA4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33DD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continue"/>
            <w:vAlign w:val="center"/>
          </w:tcPr>
          <w:p w14:paraId="63177E6A">
            <w:pPr>
              <w:widowControl/>
              <w:spacing w:before="120"/>
              <w:contextualSpacing/>
              <w:jc w:val="center"/>
              <w:rPr>
                <w:rFonts w:ascii="仿宋" w:hAnsi="仿宋" w:eastAsia="仿宋" w:cs="宋体"/>
                <w:color w:val="auto"/>
                <w:kern w:val="0"/>
                <w:sz w:val="24"/>
                <w:highlight w:val="none"/>
              </w:rPr>
            </w:pPr>
          </w:p>
        </w:tc>
        <w:tc>
          <w:tcPr>
            <w:tcW w:w="1159" w:type="dxa"/>
            <w:vAlign w:val="center"/>
          </w:tcPr>
          <w:p w14:paraId="0FC442D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4-2</w:t>
            </w:r>
          </w:p>
        </w:tc>
        <w:tc>
          <w:tcPr>
            <w:tcW w:w="3392" w:type="dxa"/>
            <w:tcBorders>
              <w:bottom w:val="single" w:color="auto" w:sz="4" w:space="0"/>
            </w:tcBorders>
            <w:vAlign w:val="center"/>
          </w:tcPr>
          <w:p w14:paraId="530E1EA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胸阻抗断层成像仪</w:t>
            </w:r>
          </w:p>
        </w:tc>
        <w:tc>
          <w:tcPr>
            <w:tcW w:w="1432" w:type="dxa"/>
            <w:vAlign w:val="center"/>
          </w:tcPr>
          <w:p w14:paraId="20C9E85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04A62D7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0668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continue"/>
            <w:vAlign w:val="center"/>
          </w:tcPr>
          <w:p w14:paraId="7E97CBBF">
            <w:pPr>
              <w:widowControl/>
              <w:spacing w:before="120"/>
              <w:contextualSpacing/>
              <w:jc w:val="center"/>
              <w:rPr>
                <w:rFonts w:ascii="仿宋" w:hAnsi="仿宋" w:eastAsia="仿宋" w:cs="宋体"/>
                <w:color w:val="auto"/>
                <w:kern w:val="0"/>
                <w:sz w:val="24"/>
                <w:highlight w:val="none"/>
              </w:rPr>
            </w:pPr>
          </w:p>
        </w:tc>
        <w:tc>
          <w:tcPr>
            <w:tcW w:w="1159" w:type="dxa"/>
            <w:vAlign w:val="center"/>
          </w:tcPr>
          <w:p w14:paraId="148F8FF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4-3</w:t>
            </w:r>
          </w:p>
        </w:tc>
        <w:tc>
          <w:tcPr>
            <w:tcW w:w="3392" w:type="dxa"/>
            <w:tcBorders>
              <w:bottom w:val="single" w:color="auto" w:sz="4" w:space="0"/>
            </w:tcBorders>
            <w:vAlign w:val="center"/>
          </w:tcPr>
          <w:p w14:paraId="7793F11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色素浓度图分析仪</w:t>
            </w:r>
          </w:p>
        </w:tc>
        <w:tc>
          <w:tcPr>
            <w:tcW w:w="1432" w:type="dxa"/>
            <w:vAlign w:val="center"/>
          </w:tcPr>
          <w:p w14:paraId="17045ED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06BFEB5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790F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restart"/>
            <w:vAlign w:val="center"/>
          </w:tcPr>
          <w:p w14:paraId="6280E1F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w:t>
            </w:r>
          </w:p>
        </w:tc>
        <w:tc>
          <w:tcPr>
            <w:tcW w:w="1159" w:type="dxa"/>
            <w:vAlign w:val="center"/>
          </w:tcPr>
          <w:p w14:paraId="7FB6D28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5-1</w:t>
            </w:r>
          </w:p>
        </w:tc>
        <w:tc>
          <w:tcPr>
            <w:tcW w:w="3392" w:type="dxa"/>
            <w:tcBorders>
              <w:bottom w:val="single" w:color="auto" w:sz="4" w:space="0"/>
            </w:tcBorders>
            <w:vAlign w:val="center"/>
          </w:tcPr>
          <w:p w14:paraId="01B37A5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手术无影灯1</w:t>
            </w:r>
          </w:p>
        </w:tc>
        <w:tc>
          <w:tcPr>
            <w:tcW w:w="1432" w:type="dxa"/>
            <w:vAlign w:val="center"/>
          </w:tcPr>
          <w:p w14:paraId="3C2ECB6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4</w:t>
            </w:r>
          </w:p>
        </w:tc>
        <w:tc>
          <w:tcPr>
            <w:tcW w:w="797" w:type="pct"/>
            <w:vAlign w:val="center"/>
          </w:tcPr>
          <w:p w14:paraId="03972D9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1377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continue"/>
            <w:vAlign w:val="center"/>
          </w:tcPr>
          <w:p w14:paraId="725A3B92">
            <w:pPr>
              <w:widowControl/>
              <w:spacing w:before="120"/>
              <w:contextualSpacing/>
              <w:jc w:val="center"/>
              <w:rPr>
                <w:rFonts w:ascii="仿宋" w:hAnsi="仿宋" w:eastAsia="仿宋" w:cs="宋体"/>
                <w:color w:val="auto"/>
                <w:kern w:val="0"/>
                <w:sz w:val="24"/>
                <w:highlight w:val="none"/>
              </w:rPr>
            </w:pPr>
          </w:p>
        </w:tc>
        <w:tc>
          <w:tcPr>
            <w:tcW w:w="1159" w:type="dxa"/>
            <w:vAlign w:val="center"/>
          </w:tcPr>
          <w:p w14:paraId="60A09C2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5-2</w:t>
            </w:r>
          </w:p>
        </w:tc>
        <w:tc>
          <w:tcPr>
            <w:tcW w:w="3392" w:type="dxa"/>
            <w:tcBorders>
              <w:bottom w:val="single" w:color="auto" w:sz="4" w:space="0"/>
            </w:tcBorders>
            <w:vAlign w:val="center"/>
          </w:tcPr>
          <w:p w14:paraId="77B922B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手术无影灯2</w:t>
            </w:r>
          </w:p>
        </w:tc>
        <w:tc>
          <w:tcPr>
            <w:tcW w:w="1432" w:type="dxa"/>
            <w:vAlign w:val="center"/>
          </w:tcPr>
          <w:p w14:paraId="00544F3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10</w:t>
            </w:r>
          </w:p>
        </w:tc>
        <w:tc>
          <w:tcPr>
            <w:tcW w:w="797" w:type="pct"/>
            <w:vAlign w:val="center"/>
          </w:tcPr>
          <w:p w14:paraId="3B6640B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624F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continue"/>
            <w:vAlign w:val="center"/>
          </w:tcPr>
          <w:p w14:paraId="648E496A">
            <w:pPr>
              <w:widowControl/>
              <w:spacing w:before="120"/>
              <w:contextualSpacing/>
              <w:jc w:val="center"/>
              <w:rPr>
                <w:rFonts w:ascii="仿宋" w:hAnsi="仿宋" w:eastAsia="仿宋" w:cs="宋体"/>
                <w:color w:val="auto"/>
                <w:kern w:val="0"/>
                <w:sz w:val="24"/>
                <w:highlight w:val="none"/>
              </w:rPr>
            </w:pPr>
          </w:p>
        </w:tc>
        <w:tc>
          <w:tcPr>
            <w:tcW w:w="1159" w:type="dxa"/>
            <w:vAlign w:val="center"/>
          </w:tcPr>
          <w:p w14:paraId="1C44F1A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5-3</w:t>
            </w:r>
          </w:p>
        </w:tc>
        <w:tc>
          <w:tcPr>
            <w:tcW w:w="3392" w:type="dxa"/>
            <w:tcBorders>
              <w:bottom w:val="single" w:color="auto" w:sz="4" w:space="0"/>
            </w:tcBorders>
            <w:vAlign w:val="center"/>
          </w:tcPr>
          <w:p w14:paraId="0E2581E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手术吊塔</w:t>
            </w:r>
          </w:p>
        </w:tc>
        <w:tc>
          <w:tcPr>
            <w:tcW w:w="1432" w:type="dxa"/>
            <w:vAlign w:val="center"/>
          </w:tcPr>
          <w:p w14:paraId="05F189D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14</w:t>
            </w:r>
          </w:p>
        </w:tc>
        <w:tc>
          <w:tcPr>
            <w:tcW w:w="797" w:type="pct"/>
            <w:vAlign w:val="center"/>
          </w:tcPr>
          <w:p w14:paraId="2DCAC56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11E2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Merge w:val="continue"/>
            <w:vAlign w:val="center"/>
          </w:tcPr>
          <w:p w14:paraId="2720E2CD">
            <w:pPr>
              <w:widowControl/>
              <w:spacing w:before="120"/>
              <w:contextualSpacing/>
              <w:jc w:val="center"/>
              <w:rPr>
                <w:rFonts w:ascii="仿宋" w:hAnsi="仿宋" w:eastAsia="仿宋" w:cs="宋体"/>
                <w:color w:val="auto"/>
                <w:kern w:val="0"/>
                <w:sz w:val="24"/>
                <w:highlight w:val="none"/>
              </w:rPr>
            </w:pPr>
          </w:p>
        </w:tc>
        <w:tc>
          <w:tcPr>
            <w:tcW w:w="1159" w:type="dxa"/>
            <w:vAlign w:val="center"/>
          </w:tcPr>
          <w:p w14:paraId="422721A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5-4</w:t>
            </w:r>
          </w:p>
        </w:tc>
        <w:tc>
          <w:tcPr>
            <w:tcW w:w="3392" w:type="dxa"/>
            <w:tcBorders>
              <w:bottom w:val="single" w:color="auto" w:sz="4" w:space="0"/>
            </w:tcBorders>
            <w:vAlign w:val="center"/>
          </w:tcPr>
          <w:p w14:paraId="12494F8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麻醉吊塔</w:t>
            </w:r>
          </w:p>
        </w:tc>
        <w:tc>
          <w:tcPr>
            <w:tcW w:w="1432" w:type="dxa"/>
            <w:vAlign w:val="center"/>
          </w:tcPr>
          <w:p w14:paraId="73001ED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14</w:t>
            </w:r>
          </w:p>
        </w:tc>
        <w:tc>
          <w:tcPr>
            <w:tcW w:w="797" w:type="pct"/>
            <w:vAlign w:val="center"/>
          </w:tcPr>
          <w:p w14:paraId="6D7A015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21FC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Align w:val="center"/>
          </w:tcPr>
          <w:p w14:paraId="3B485AD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w:t>
            </w:r>
          </w:p>
        </w:tc>
        <w:tc>
          <w:tcPr>
            <w:tcW w:w="1159" w:type="dxa"/>
            <w:vAlign w:val="center"/>
          </w:tcPr>
          <w:p w14:paraId="2BB8CF6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6-1</w:t>
            </w:r>
          </w:p>
        </w:tc>
        <w:tc>
          <w:tcPr>
            <w:tcW w:w="3392" w:type="dxa"/>
            <w:tcBorders>
              <w:bottom w:val="single" w:color="auto" w:sz="4" w:space="0"/>
            </w:tcBorders>
            <w:vAlign w:val="center"/>
          </w:tcPr>
          <w:p w14:paraId="0B1665C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关节镜系统</w:t>
            </w:r>
          </w:p>
        </w:tc>
        <w:tc>
          <w:tcPr>
            <w:tcW w:w="1432" w:type="dxa"/>
            <w:vAlign w:val="center"/>
          </w:tcPr>
          <w:p w14:paraId="56E44FC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0DE4935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673C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3" w:type="dxa"/>
            <w:vAlign w:val="center"/>
          </w:tcPr>
          <w:p w14:paraId="056829E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7</w:t>
            </w:r>
          </w:p>
        </w:tc>
        <w:tc>
          <w:tcPr>
            <w:tcW w:w="1159" w:type="dxa"/>
            <w:vAlign w:val="center"/>
          </w:tcPr>
          <w:p w14:paraId="2AF1011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7-1</w:t>
            </w:r>
          </w:p>
        </w:tc>
        <w:tc>
          <w:tcPr>
            <w:tcW w:w="3392" w:type="dxa"/>
            <w:tcBorders>
              <w:bottom w:val="single" w:color="auto" w:sz="4" w:space="0"/>
            </w:tcBorders>
            <w:vAlign w:val="center"/>
          </w:tcPr>
          <w:p w14:paraId="341DE4A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单侧双通道脊柱内镜系统</w:t>
            </w:r>
          </w:p>
        </w:tc>
        <w:tc>
          <w:tcPr>
            <w:tcW w:w="1432" w:type="dxa"/>
            <w:vAlign w:val="center"/>
          </w:tcPr>
          <w:p w14:paraId="7F9DFBE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797" w:type="pct"/>
            <w:vAlign w:val="center"/>
          </w:tcPr>
          <w:p w14:paraId="38AB9C6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bl>
    <w:p w14:paraId="2E96B7D3">
      <w:pPr>
        <w:pStyle w:val="4"/>
        <w:rPr>
          <w:color w:val="auto"/>
          <w:highlight w:val="none"/>
        </w:rPr>
      </w:pPr>
    </w:p>
    <w:p w14:paraId="7344D41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41A1E029">
      <w:pPr>
        <w:spacing w:line="360" w:lineRule="auto"/>
        <w:ind w:firstLine="480" w:firstLineChars="200"/>
        <w:rPr>
          <w:rFonts w:ascii="仿宋" w:hAnsi="仿宋" w:eastAsia="仿宋"/>
          <w:color w:val="auto"/>
          <w:sz w:val="24"/>
          <w:highlight w:val="none"/>
        </w:rPr>
      </w:pPr>
      <w:bookmarkStart w:id="3" w:name="OLE_LINK178"/>
      <w:bookmarkStart w:id="4" w:name="OLE_LINK179"/>
      <w:r>
        <w:rPr>
          <w:rFonts w:hint="eastAsia" w:ascii="仿宋" w:hAnsi="仿宋" w:eastAsia="仿宋"/>
          <w:color w:val="auto"/>
          <w:sz w:val="24"/>
          <w:highlight w:val="none"/>
        </w:rPr>
        <w:t>本次招标采购项目为2026年医用设备财政资金购置项目（国产），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779E8815">
      <w:pPr>
        <w:tabs>
          <w:tab w:val="left" w:pos="5456"/>
        </w:tabs>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0BDFBAF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08E3D9B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自合同签订后60天内</w:t>
      </w:r>
      <w:r>
        <w:rPr>
          <w:rFonts w:hint="eastAsia" w:ascii="仿宋" w:hAnsi="仿宋" w:eastAsia="仿宋" w:cs="仿宋"/>
          <w:bCs/>
          <w:color w:val="auto"/>
          <w:sz w:val="24"/>
          <w:highlight w:val="none"/>
        </w:rPr>
        <w:t>。</w:t>
      </w:r>
    </w:p>
    <w:p w14:paraId="3E79197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2、交付地点：首都医科大学附属北京世纪坛医院。</w:t>
      </w:r>
    </w:p>
    <w:p w14:paraId="74D7C90D">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E728A9D">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详见第六章拟签订的合同文本。</w:t>
      </w:r>
    </w:p>
    <w:p w14:paraId="739CE498">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6BC328D">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374B1167">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2D701A6B">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质量保证期（保修期）及服务要求：</w:t>
      </w:r>
      <w:r>
        <w:rPr>
          <w:rFonts w:hint="eastAsia" w:ascii="仿宋" w:hAnsi="仿宋" w:eastAsia="仿宋"/>
          <w:color w:val="auto"/>
          <w:sz w:val="24"/>
          <w:highlight w:val="none"/>
        </w:rPr>
        <w:t>除非在每包技术规格中另有规定外，本项目所供设备的质量保证期（保修期）：</w:t>
      </w:r>
    </w:p>
    <w:p w14:paraId="46420430">
      <w:pPr>
        <w:spacing w:before="50"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1）第4包品目4-1</w:t>
      </w:r>
      <w:r>
        <w:rPr>
          <w:rFonts w:ascii="仿宋" w:hAnsi="仿宋" w:eastAsia="仿宋"/>
          <w:color w:val="auto"/>
          <w:sz w:val="24"/>
          <w:highlight w:val="none"/>
        </w:rPr>
        <w:t>质量保证期（保修期）</w:t>
      </w:r>
      <w:r>
        <w:rPr>
          <w:rFonts w:hint="eastAsia" w:ascii="仿宋" w:hAnsi="仿宋" w:eastAsia="仿宋"/>
          <w:color w:val="auto"/>
          <w:sz w:val="24"/>
          <w:highlight w:val="none"/>
        </w:rPr>
        <w:t>为调试验收合格后96个月。</w:t>
      </w:r>
    </w:p>
    <w:p w14:paraId="00D9DEA3">
      <w:pPr>
        <w:widowControl/>
        <w:numPr>
          <w:ilvl w:val="255"/>
          <w:numId w:val="0"/>
        </w:numPr>
        <w:spacing w:before="50"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2）第5包品目5-1至品目5-4</w:t>
      </w:r>
      <w:r>
        <w:rPr>
          <w:rFonts w:ascii="仿宋" w:hAnsi="仿宋" w:eastAsia="仿宋"/>
          <w:color w:val="auto"/>
          <w:sz w:val="24"/>
          <w:highlight w:val="none"/>
        </w:rPr>
        <w:t>质量保证期（保修期）</w:t>
      </w:r>
      <w:r>
        <w:rPr>
          <w:rFonts w:hint="eastAsia" w:ascii="仿宋" w:hAnsi="仿宋" w:eastAsia="仿宋"/>
          <w:color w:val="auto"/>
          <w:sz w:val="24"/>
          <w:highlight w:val="none"/>
        </w:rPr>
        <w:t>为调试验收合格后72个月。</w:t>
      </w:r>
    </w:p>
    <w:p w14:paraId="77D51139">
      <w:pPr>
        <w:widowControl/>
        <w:numPr>
          <w:ilvl w:val="255"/>
          <w:numId w:val="0"/>
        </w:numPr>
        <w:spacing w:before="50"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3）其余包组</w:t>
      </w:r>
      <w:r>
        <w:rPr>
          <w:rFonts w:ascii="仿宋" w:hAnsi="仿宋" w:eastAsia="仿宋"/>
          <w:color w:val="auto"/>
          <w:sz w:val="24"/>
          <w:highlight w:val="none"/>
        </w:rPr>
        <w:t>质量保证期（保修期）</w:t>
      </w:r>
      <w:r>
        <w:rPr>
          <w:rFonts w:hint="eastAsia" w:ascii="仿宋" w:hAnsi="仿宋" w:eastAsia="仿宋"/>
          <w:color w:val="auto"/>
          <w:sz w:val="24"/>
          <w:highlight w:val="none"/>
        </w:rPr>
        <w:t>为调试验收合格后</w:t>
      </w:r>
      <w:r>
        <w:rPr>
          <w:rFonts w:ascii="仿宋" w:hAnsi="仿宋" w:eastAsia="仿宋"/>
          <w:color w:val="auto"/>
          <w:sz w:val="24"/>
          <w:highlight w:val="none"/>
        </w:rPr>
        <w:t>60</w:t>
      </w:r>
      <w:r>
        <w:rPr>
          <w:rFonts w:hint="eastAsia" w:ascii="仿宋" w:hAnsi="仿宋" w:eastAsia="仿宋"/>
          <w:color w:val="auto"/>
          <w:sz w:val="24"/>
          <w:highlight w:val="none"/>
        </w:rPr>
        <w:t>个月。</w:t>
      </w:r>
    </w:p>
    <w:p w14:paraId="0ADDB83F">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投标人和制造商需要同时提供包含上述质量保证期（保修期）及服务要求的承诺函并加盖单位公章。</w:t>
      </w:r>
    </w:p>
    <w:p w14:paraId="27C0598A">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保修费用应含维保工时费、零配件费用和软件维护、升级费用，服务内容和细则与免费维保期相同。</w:t>
      </w:r>
    </w:p>
    <w:p w14:paraId="016604D8">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550A1D07">
      <w:pPr>
        <w:pStyle w:val="24"/>
        <w:numPr>
          <w:ilvl w:val="0"/>
          <w:numId w:val="1"/>
        </w:numPr>
        <w:spacing w:line="360" w:lineRule="auto"/>
        <w:contextualSpacing/>
        <w:rPr>
          <w:rFonts w:hint="default" w:ascii="仿宋" w:hAnsi="仿宋" w:eastAsia="仿宋" w:cs="宋体"/>
          <w:color w:val="auto"/>
          <w:sz w:val="24"/>
          <w:highlight w:val="none"/>
        </w:rPr>
      </w:pPr>
      <w:r>
        <w:rPr>
          <w:rFonts w:ascii="仿宋" w:hAnsi="仿宋" w:eastAsia="仿宋"/>
          <w:color w:val="auto"/>
          <w:sz w:val="24"/>
          <w:szCs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20EB2E9E">
      <w:pPr>
        <w:pStyle w:val="24"/>
        <w:numPr>
          <w:ilvl w:val="0"/>
          <w:numId w:val="1"/>
        </w:numPr>
        <w:spacing w:line="360" w:lineRule="auto"/>
        <w:contextualSpacing/>
        <w:rPr>
          <w:rFonts w:hint="default" w:ascii="仿宋" w:hAnsi="仿宋" w:eastAsia="仿宋" w:cs="宋体"/>
          <w:color w:val="auto"/>
          <w:sz w:val="24"/>
          <w:highlight w:val="none"/>
        </w:rPr>
      </w:pPr>
      <w:r>
        <w:rPr>
          <w:rFonts w:ascii="仿宋" w:hAnsi="仿宋" w:eastAsia="仿宋"/>
          <w:color w:val="auto"/>
          <w:sz w:val="24"/>
          <w:szCs w:val="24"/>
          <w:highlight w:val="none"/>
        </w:rPr>
        <w:t>投标人应负责投标货物质量保证期内的免费维修和配件供应，投标人售后服务维修机构应备有所购货物及时维修所需的关键零部件。</w:t>
      </w:r>
    </w:p>
    <w:p w14:paraId="15A85787">
      <w:pPr>
        <w:snapToGrid w:val="0"/>
        <w:spacing w:line="360" w:lineRule="auto"/>
        <w:ind w:firstLine="480" w:firstLineChars="200"/>
        <w:rPr>
          <w:rFonts w:ascii="仿宋" w:hAnsi="仿宋" w:eastAsia="仿宋" w:cs="仿宋"/>
          <w:bCs/>
          <w:color w:val="auto"/>
          <w:sz w:val="24"/>
          <w:highlight w:val="none"/>
        </w:rPr>
      </w:pPr>
    </w:p>
    <w:p w14:paraId="7A45B1CA">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45C9366">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1000DBF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02F04C5B">
      <w:pPr>
        <w:spacing w:line="360" w:lineRule="auto"/>
        <w:ind w:firstLine="480" w:firstLineChars="200"/>
        <w:rPr>
          <w:rFonts w:ascii="仿宋" w:hAnsi="仿宋" w:eastAsia="仿宋"/>
          <w:color w:val="auto"/>
          <w:sz w:val="24"/>
          <w:highlight w:val="none"/>
        </w:rPr>
      </w:pPr>
      <w:bookmarkStart w:id="5" w:name="OLE_LINK180"/>
      <w:r>
        <w:rPr>
          <w:rFonts w:hint="eastAsia" w:ascii="仿宋" w:hAnsi="仿宋" w:eastAsia="仿宋"/>
          <w:color w:val="auto"/>
          <w:sz w:val="24"/>
          <w:highlight w:val="none"/>
        </w:rPr>
        <w:t>本次招标采购项目为2026年医用设备财政资金购置项目（国产），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p>
    <w:p w14:paraId="4B7CD563">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6148FB7C">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★2.1 投标产品属于医疗器械的，应按原国家食品药品监督管理总局颁发的《医疗器械注册管理办法》，办理医疗器械注册证或者办理备案，投标人须提供医疗器械注册证复印件或备案凭证。</w:t>
      </w:r>
    </w:p>
    <w:p w14:paraId="6B421D78">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774B69C5">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2.3投标产品属于辐射或射线类的设备或材料的，需提供投标人和制造商的辐射安全许可证复印件（不适用的情况除外）。投标产品属于压力容器的，投标人需要根据国家特种设备制造相关管理规定，提供投标产品制造商的特种设备制造许可证（压力容器）。</w:t>
      </w:r>
    </w:p>
    <w:p w14:paraId="6323D412">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92B731E">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2.5投标产品的包装应符合《财政部等三部门联合印发商品包装和快递包装政府采购需求标准（试行）》（财办库〔2020〕123号）的规定。</w:t>
      </w:r>
    </w:p>
    <w:p w14:paraId="1D401F99">
      <w:pPr>
        <w:pStyle w:val="4"/>
        <w:rPr>
          <w:rFonts w:ascii="仿宋" w:hAnsi="仿宋" w:eastAsia="仿宋"/>
          <w:color w:val="auto"/>
          <w:highlight w:val="none"/>
        </w:rPr>
      </w:pPr>
    </w:p>
    <w:p w14:paraId="7B578A3B">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5181FF2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425F7957">
      <w:pPr>
        <w:widowControl/>
        <w:jc w:val="left"/>
        <w:rPr>
          <w:rFonts w:ascii="仿宋" w:hAnsi="仿宋" w:eastAsia="仿宋"/>
          <w:b/>
          <w:color w:val="auto"/>
          <w:sz w:val="24"/>
          <w:highlight w:val="none"/>
        </w:rPr>
      </w:pPr>
      <w:bookmarkStart w:id="6" w:name="OLE_LINK53"/>
      <w:r>
        <w:rPr>
          <w:rFonts w:ascii="仿宋" w:hAnsi="仿宋" w:eastAsia="仿宋"/>
          <w:b/>
          <w:color w:val="auto"/>
          <w:sz w:val="24"/>
          <w:highlight w:val="none"/>
        </w:rPr>
        <w:br w:type="page"/>
      </w:r>
    </w:p>
    <w:bookmarkEnd w:id="6"/>
    <w:p w14:paraId="591311ED">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第1包 品目1-1 切片扫描系统</w:t>
      </w:r>
    </w:p>
    <w:p w14:paraId="32D6BCED">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数量：1台/套</w:t>
      </w:r>
    </w:p>
    <w:p w14:paraId="13063F7F">
      <w:pPr>
        <w:spacing w:line="360" w:lineRule="auto"/>
        <w:rPr>
          <w:rFonts w:ascii="仿宋" w:hAnsi="仿宋" w:eastAsia="仿宋" w:cs="仿宋"/>
          <w:b/>
          <w:color w:val="auto"/>
          <w:sz w:val="24"/>
          <w:highlight w:val="none"/>
        </w:rPr>
      </w:pPr>
      <w:r>
        <w:rPr>
          <w:rFonts w:hint="eastAsia" w:ascii="仿宋" w:hAnsi="仿宋" w:eastAsia="仿宋" w:cs="仿宋"/>
          <w:color w:val="auto"/>
          <w:sz w:val="24"/>
          <w:highlight w:val="none"/>
        </w:rPr>
        <w:t>一、技术参数：</w:t>
      </w:r>
    </w:p>
    <w:p w14:paraId="7632000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（一）、主机：</w:t>
      </w:r>
    </w:p>
    <w:p w14:paraId="63D15B0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1、装载容量：单批次最大处理切片量≥240片。</w:t>
      </w:r>
    </w:p>
    <w:p w14:paraId="51EA32A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▲2、独立双片仓，无需停止扫描即可连续放置玻片，可实现流水线式连续扫描。（提供照片作为证明材料）</w:t>
      </w:r>
    </w:p>
    <w:p w14:paraId="2F220EB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▲3、装载方式：载板式，玻片与运动机构无接触。</w:t>
      </w:r>
    </w:p>
    <w:p w14:paraId="7E59BC6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4、支持120片循环扫描，7×24小时不间断扫描。</w:t>
      </w:r>
    </w:p>
    <w:p w14:paraId="496B6F2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5、扫描模式：明场采用面阵扫描技术。</w:t>
      </w:r>
    </w:p>
    <w:p w14:paraId="5C20BE0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6、扫描相机：像素 ≥2500万，像元尺寸 ≤2.5μm×2.5μm，帧率 ≥150 帧/s。</w:t>
      </w:r>
    </w:p>
    <w:p w14:paraId="602CE6C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7、照明光源：LED科勒光源。</w:t>
      </w:r>
    </w:p>
    <w:p w14:paraId="7C9D355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8、扫描倍率： 20×扫描。</w:t>
      </w:r>
    </w:p>
    <w:p w14:paraId="49C25B1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9、扫描分辨率：≤0.16μm/pixel@20×扫描。</w:t>
      </w:r>
    </w:p>
    <w:p w14:paraId="126F62F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10、扫描时间：≤15s@20×扫描、扫描范围15×15mm。</w:t>
      </w:r>
    </w:p>
    <w:p w14:paraId="47453DE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▲11、可自动识别切片类型、识别扫描、切片细胞、组织区域轮廓。</w:t>
      </w:r>
    </w:p>
    <w:p w14:paraId="65D3B5B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（二）、采集、分析工作站：</w:t>
      </w:r>
    </w:p>
    <w:p w14:paraId="6804265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 CPU：≥</w:t>
      </w:r>
      <w:r>
        <w:rPr>
          <w:rFonts w:ascii="仿宋" w:hAnsi="仿宋" w:eastAsia="仿宋" w:cs="仿宋"/>
          <w:color w:val="auto"/>
          <w:sz w:val="24"/>
          <w:highlight w:val="none"/>
        </w:rPr>
        <w:t>24</w:t>
      </w:r>
      <w:r>
        <w:rPr>
          <w:rFonts w:hint="eastAsia" w:ascii="仿宋" w:hAnsi="仿宋" w:eastAsia="仿宋" w:cs="仿宋"/>
          <w:color w:val="auto"/>
          <w:sz w:val="24"/>
          <w:highlight w:val="none"/>
        </w:rPr>
        <w:t>核，主频≥3</w:t>
      </w:r>
      <w:r>
        <w:rPr>
          <w:rFonts w:ascii="仿宋" w:hAnsi="仿宋" w:eastAsia="仿宋" w:cs="仿宋"/>
          <w:color w:val="auto"/>
          <w:sz w:val="24"/>
          <w:highlight w:val="none"/>
        </w:rPr>
        <w:t>.0</w:t>
      </w:r>
      <w:r>
        <w:rPr>
          <w:rFonts w:hint="eastAsia" w:ascii="仿宋" w:hAnsi="仿宋" w:eastAsia="仿宋" w:cs="仿宋"/>
          <w:color w:val="auto"/>
          <w:sz w:val="24"/>
          <w:highlight w:val="none"/>
        </w:rPr>
        <w:t>GHz；内存：≥64G；固态硬盘≥512G，机械硬盘≥32TB；独立显卡，显存≥8G，彩色液晶显示屏≥2</w:t>
      </w:r>
      <w:r>
        <w:rPr>
          <w:rFonts w:ascii="仿宋" w:hAnsi="仿宋" w:eastAsia="仿宋" w:cs="仿宋"/>
          <w:color w:val="auto"/>
          <w:sz w:val="24"/>
          <w:highlight w:val="none"/>
        </w:rPr>
        <w:t>7</w:t>
      </w:r>
      <w:r>
        <w:rPr>
          <w:rFonts w:hint="eastAsia" w:ascii="仿宋" w:hAnsi="仿宋" w:eastAsia="仿宋" w:cs="仿宋"/>
          <w:color w:val="auto"/>
          <w:sz w:val="24"/>
          <w:highlight w:val="none"/>
        </w:rPr>
        <w:t>英寸。</w:t>
      </w:r>
    </w:p>
    <w:p w14:paraId="6E48334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2、扫描软件：</w:t>
      </w:r>
    </w:p>
    <w:p w14:paraId="14FE955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2.1、可自动识别各类条码类型，包括一维码、二维码等；可识别英文、数字、中文等。</w:t>
      </w:r>
    </w:p>
    <w:p w14:paraId="2D58C63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2.2、遇到突发情况或人为导致的软件关闭，可检测保存当前扫描进度、参数及预览情况等，重启软件后可继续扫描任务。</w:t>
      </w:r>
    </w:p>
    <w:p w14:paraId="6917C57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2.3、一张玻璃切片对应一个数字切片图像文件，可生成.dyj .svs .tiff csp.dicom 格式文件。</w:t>
      </w:r>
    </w:p>
    <w:p w14:paraId="1A63B5F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2.4、具备图像质量智能评分功能，可设置重扫任务。</w:t>
      </w:r>
    </w:p>
    <w:p w14:paraId="6473D63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3、阅片软件：</w:t>
      </w:r>
    </w:p>
    <w:p w14:paraId="6C1CAAD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3.1、阅片软件支持打开本地文件，支持扫描文件格式至少包括.dyj、.csp 、.tiff、.dicom 、.svs。</w:t>
      </w:r>
    </w:p>
    <w:p w14:paraId="56E3B4D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3.2、支持分屏浏览，一个屏幕可同时显示≥16张切片图像。</w:t>
      </w:r>
    </w:p>
    <w:p w14:paraId="78B8184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3.3、可通过软件改善因对焦、抖动等因素导致的模糊情况。</w:t>
      </w:r>
    </w:p>
    <w:p w14:paraId="55D23FD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3.4、可显示或隐藏导航图、标签图、网格标尺、比例尺；具备测量功能。</w:t>
      </w:r>
    </w:p>
    <w:p w14:paraId="60E2820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3.5、浏览记录：支持记录阅片轨迹，可分色显示不同倍率，导航图可见痕迹。</w:t>
      </w:r>
    </w:p>
    <w:p w14:paraId="4BF3075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3.6、可自动播放图像，可设置阅片方向、播放间隔时间等。</w:t>
      </w:r>
    </w:p>
    <w:p w14:paraId="07E215C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3.7、颜色调节：可切换颜色模式、可对图像进行颜色调节，包括伽马、对比度、亮度、三通道色彩（红、绿、蓝）调节，并支持设置应用范围。</w:t>
      </w:r>
    </w:p>
    <w:p w14:paraId="49744E52">
      <w:pPr>
        <w:spacing w:line="360" w:lineRule="auto"/>
        <w:rPr>
          <w:rFonts w:ascii="仿宋" w:hAnsi="仿宋" w:eastAsia="仿宋" w:cs="仿宋"/>
          <w:b/>
          <w:bCs/>
          <w:color w:val="auto"/>
          <w:sz w:val="24"/>
          <w:highlight w:val="none"/>
        </w:rPr>
      </w:pPr>
      <w:r>
        <w:rPr>
          <w:rFonts w:hint="eastAsia" w:ascii="仿宋" w:hAnsi="仿宋" w:eastAsia="仿宋" w:cs="仿宋"/>
          <w:color w:val="auto"/>
          <w:sz w:val="24"/>
          <w:highlight w:val="none"/>
        </w:rPr>
        <w:t>4、切片管理平台：</w:t>
      </w:r>
    </w:p>
    <w:p w14:paraId="6A9C07C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4.1、具备切片和附件上传、编辑、删除和追加上传功能，支持的病理图像格式：dyj、ibl、svs、mdsx、mrxs、zyp、sdpc、tiff、ndpi、kfb、tmap、jpg、png；</w:t>
      </w:r>
    </w:p>
    <w:p w14:paraId="2B8037D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4.2、支持设置多个文件夹路径，可监控目标文件夹并自动上传切片、并自动调用预设AI模块分析。</w:t>
      </w:r>
    </w:p>
    <w:p w14:paraId="5F8BDEA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4.3、支持同一病理号切片自动合并；（需提供平台界面截图）。</w:t>
      </w:r>
    </w:p>
    <w:p w14:paraId="0C97C11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4.4、数据查询：支持多条件组合筛选，包括样本号、性别、年龄、取样部位、样本类型、状态、AI模块、AI建议、复核结果、报告等字段筛选。</w:t>
      </w:r>
    </w:p>
    <w:p w14:paraId="17B7EC9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4.5、入库切片进入任务中心后，支持手动分配、按数量一键分配、按时间一键分配给诊断医生，实现多医生诊断任务的安排。</w:t>
      </w:r>
    </w:p>
    <w:p w14:paraId="48729D0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▲4.6、可一键优先分析排队中的病例，满足冰冻、免疫组化定量等紧急需求。（提供软件截图证明）</w:t>
      </w:r>
    </w:p>
    <w:p w14:paraId="4FB01A6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4.7、可自动整合病例报告，一键推送至PIS。</w:t>
      </w:r>
    </w:p>
    <w:p w14:paraId="0931BCE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4.8、病例报告复核：可选择汇总的切片级结果，并提供病例报告编辑功能。（需提供平台界面截图）</w:t>
      </w:r>
    </w:p>
    <w:p w14:paraId="25D9BB2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（三）、云工作站：</w:t>
      </w:r>
    </w:p>
    <w:p w14:paraId="1A6B8A9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 CPU：≥24核，主频≥3</w:t>
      </w:r>
      <w:r>
        <w:rPr>
          <w:rFonts w:ascii="仿宋" w:hAnsi="仿宋" w:eastAsia="仿宋" w:cs="仿宋"/>
          <w:color w:val="auto"/>
          <w:sz w:val="24"/>
          <w:highlight w:val="none"/>
        </w:rPr>
        <w:t>.2</w:t>
      </w:r>
      <w:r>
        <w:rPr>
          <w:rFonts w:hint="eastAsia" w:ascii="仿宋" w:hAnsi="仿宋" w:eastAsia="仿宋" w:cs="仿宋"/>
          <w:color w:val="auto"/>
          <w:sz w:val="24"/>
          <w:highlight w:val="none"/>
        </w:rPr>
        <w:t>GHz；内存：≥128G；固态硬盘≥1T，数据盘硬盘≥16T；独立显卡，显存≥24G。</w:t>
      </w:r>
    </w:p>
    <w:p w14:paraId="75599D38">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2、胃HE辅助诊断模块：</w:t>
      </w:r>
    </w:p>
    <w:p w14:paraId="6E11C4B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2.1、恶性病变可区分低分化腺癌、中分化腺癌、高分化腺癌、黏液腺癌、印戒细胞癌；可疑病变可区分低级别上皮内瘤变、高级别上皮内瘤变；非恶性病变可区分慢性炎、萎缩、肠化、活动性、息肉。</w:t>
      </w:r>
    </w:p>
    <w:p w14:paraId="12142D6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2.2、当提示有肠化、慢性炎时，图像中会通过不同颜色提示对应炎症和肠化区域。</w:t>
      </w:r>
    </w:p>
    <w:p w14:paraId="681B4194">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3、肠HE辅助诊断模块：恶性病变可区分低分化腺癌、中分化腺癌、高分化腺癌、黏液腺癌、印戒细胞癌、高中低级别肿瘤出芽；可疑病变可区分腺瘤；非恶性病变可区分慢性炎、息肉。</w:t>
      </w:r>
    </w:p>
    <w:p w14:paraId="5834AB5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4、前列腺HE辅助诊断模块：</w:t>
      </w:r>
    </w:p>
    <w:p w14:paraId="1483E8AA">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4.1、可提示恶性病变、可疑病变、非恶性病变。</w:t>
      </w:r>
    </w:p>
    <w:p w14:paraId="666A41E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4.2、具备Gleason评分和分级分组提示功能，可整合生成Gleason报告内容，支持前列腺结构化病理报告。</w:t>
      </w:r>
    </w:p>
    <w:p w14:paraId="3A48DDB4">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5、肺HE辅助诊断模块：</w:t>
      </w:r>
    </w:p>
    <w:p w14:paraId="3CB29DD3">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5.1、可提示恶性病变、可疑病变、非恶性病变。</w:t>
      </w:r>
    </w:p>
    <w:p w14:paraId="0E702B1B">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5.2、恶性病变可区分腺癌、鳞癌、小细胞癌、肉瘤样癌、腺鳞癌；可疑病变可区分鳞状上皮癌前病变、腺癌癌前病变。</w:t>
      </w:r>
    </w:p>
    <w:p w14:paraId="49984B9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5.3、可提供肺切片病例级报告诊断内容。</w:t>
      </w:r>
    </w:p>
    <w:p w14:paraId="203D1AE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6、淋巴结HE辅助诊断模块：</w:t>
      </w:r>
    </w:p>
    <w:p w14:paraId="298C39B4">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6.1、可识别淋巴结和可见癌转移淋巴结，并自动统计数量，生成切片级诊断结果。</w:t>
      </w:r>
    </w:p>
    <w:p w14:paraId="77241794">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6.2、个通过热力图标识恶性病变区域，支持一键隐藏/显示。</w:t>
      </w:r>
    </w:p>
    <w:p w14:paraId="62534AE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7、泛癌种HE辅助诊断模块：</w:t>
      </w:r>
    </w:p>
    <w:p w14:paraId="6C24166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7.1、支持消化系统、呼吸系统等系统常见器官病变的辅助诊断。</w:t>
      </w:r>
    </w:p>
    <w:p w14:paraId="1314B31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7.2、使用AI热力图标注病变区域，可自动计算瘤区面积百分比；提示切片级诊断结果包括：非恶性病变、可疑病变、恶性病变。</w:t>
      </w:r>
    </w:p>
    <w:p w14:paraId="57F6F4A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8、鼻息肉辅助诊断模块：</w:t>
      </w:r>
    </w:p>
    <w:p w14:paraId="2CA1991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▲8.1、可识别嗜酸性粒细胞、淋巴细胞、浆细胞、中性粒细胞，并自动统计数量和指数。</w:t>
      </w:r>
    </w:p>
    <w:p w14:paraId="4605C454">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8.2、可识别上皮区域、腺体区域、血管区域，并自动统计各类面积和指数。</w:t>
      </w:r>
    </w:p>
    <w:p w14:paraId="6B9215D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9、PD-L1(TPS)辅助诊断模块：可提示阳性肿瘤细胞、阴性肿瘤细胞、阳性非肿瘤细胞、阴性非肿瘤细胞，不同分类对应不同颜色，全场图中也用不同颜色打点对应已检出细胞。（需提供软件截图证明）</w:t>
      </w:r>
    </w:p>
    <w:p w14:paraId="7AB629B6">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10、PD-L1(CPS)辅助诊断模块：</w:t>
      </w:r>
    </w:p>
    <w:p w14:paraId="3CA22390">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▲10.1、可提示阳性肿瘤细胞、阳性淋巴细胞、阳性巨噬细胞、阴性肿瘤细胞、阴性淋巴细胞、阴性巨噬细胞，不同分类对应不同颜色，全场图中用不同颜色打点对应已检出细胞。（需提供软件截图证明）</w:t>
      </w:r>
    </w:p>
    <w:p w14:paraId="6D658BA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10.2、可自动统计各类细胞总数，并提示全片综合CPS指数。</w:t>
      </w:r>
    </w:p>
    <w:p w14:paraId="4DEC95C3">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11、HER-2辅助诊断模块：</w:t>
      </w:r>
    </w:p>
    <w:p w14:paraId="08D2AC8A">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11.1、可识别膜完整性、染色强度并可提示微弱的不完整膜阳性肿瘤细胞、弱中等的完整膜阳性肿瘤细胞、中强度的不完整膜阳性肿瘤细胞、强度的完整膜阳性肿瘤细胞、完整膜阳性肿瘤细胞、阳性肿瘤细胞、阴性肿瘤细胞、肿瘤细胞、其他（含组织细胞、淋巴细胞、纤维细胞、其他非肿瘤细胞），不同分类对应不同颜色，全场图中也用不同颜色打点提示已检出细胞。</w:t>
      </w:r>
    </w:p>
    <w:p w14:paraId="579070D7">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11.2、自动统计各类细胞总数，并提示全片HER2分级，包括0、0+、1+、2+、3+分级。（提供软件截图证明）</w:t>
      </w:r>
    </w:p>
    <w:p w14:paraId="203DDA4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12、免疫组化核染辅助诊断模块：</w:t>
      </w:r>
    </w:p>
    <w:p w14:paraId="33EBAC3F">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12.1、可识别阳性肿瘤细胞、阴性肿瘤细胞、非肿瘤细胞，不同分类对应不同颜色，全场图中用不同颜色打点提示已检出细胞。（提供平台界面截图）</w:t>
      </w:r>
    </w:p>
    <w:p w14:paraId="7B56EF7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12.2、可识别不同染色强度并可提示强染色阳性肿瘤细胞、中等染色阳性肿瘤细胞、弱染色阳性肿瘤细胞、阴性肿瘤细胞、非肿瘤细胞，不同分类对应不同颜色，全场图中也用不同颜色打点提示已检出细胞。</w:t>
      </w:r>
    </w:p>
    <w:p w14:paraId="5FC127B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13、智能规培模块：</w:t>
      </w:r>
    </w:p>
    <w:p w14:paraId="4FD8A86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13.1、由学生端、教师端与管理端组成，不同角色权限不同；支持多层级组织架构管理，支持院校、医院、规培基地等多级教学管理。</w:t>
      </w:r>
    </w:p>
    <w:p w14:paraId="29DBC32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13.2、具备数据加密传输与存储功能符；具备用户操作日志，记可录用户操作时间、操作模块与操作对象。</w:t>
      </w:r>
    </w:p>
    <w:p w14:paraId="46E5536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13.3、用户管理：可在线录入教师用户、学生用户资料。支持通过PIS系统一键推送教学病例，自动获取病例资料和切片数据。</w:t>
      </w:r>
    </w:p>
    <w:p w14:paraId="285AF54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13.4、数据统计：支持多维度数据查询与统计，可按条件筛选，并导出Excel文件。支持饼状图、柱状图等多种可视化形式展示统计数据。</w:t>
      </w:r>
    </w:p>
    <w:p w14:paraId="481636F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13.5、读片会配置：可在切片库中选择切片新建读片会，并配置会议时间与会议方式等会议信息。支持以二维码或链接的方式分享读片会，接收分享方无需登录即可浏览读片会；支持手机端访问读片会，浏览病例信息并查阅数字切片。</w:t>
      </w:r>
    </w:p>
    <w:p w14:paraId="071AF99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13.6、病例切片分类：可自定义配置分类中的一级病理库和二级病理库。支持对接PIS系统，一键同步病理库。</w:t>
      </w:r>
    </w:p>
    <w:p w14:paraId="5179E88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13.7、病例切片库支持图像格式：dyj、kfb、tmap、ndpi、svs、czi、vsi、bif、sdpc。支持病例信息文本编辑，可插入表格和图片（tif、png、jpg、svg、gif、bmp、webp、heic、xbm）；支持多维度数据查询与统计，可按病理号、性别及病例分类等条件筛选。</w:t>
      </w:r>
    </w:p>
    <w:p w14:paraId="0AEFF4C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13.8、病理百科：可配置百科分类，分类支持无限层级结构。支持百科内容富文本编辑，可设置百科公开或私密模式。</w:t>
      </w:r>
    </w:p>
    <w:p w14:paraId="50A20896">
      <w:pPr>
        <w:spacing w:line="360" w:lineRule="auto"/>
        <w:rPr>
          <w:rFonts w:ascii="仿宋" w:hAnsi="仿宋" w:eastAsia="仿宋" w:cs="仿宋"/>
          <w:color w:val="auto"/>
          <w:sz w:val="24"/>
          <w:highlight w:val="none"/>
        </w:rPr>
      </w:pPr>
      <w:bookmarkStart w:id="7" w:name="_Toc22289"/>
      <w:r>
        <w:rPr>
          <w:rFonts w:hint="eastAsia" w:ascii="仿宋" w:hAnsi="仿宋" w:eastAsia="仿宋" w:cs="仿宋"/>
          <w:color w:val="auto"/>
          <w:sz w:val="24"/>
          <w:highlight w:val="none"/>
        </w:rPr>
        <w:t>13.9、病理书籍</w:t>
      </w:r>
      <w:bookmarkEnd w:id="7"/>
      <w:r>
        <w:rPr>
          <w:rFonts w:hint="eastAsia" w:ascii="仿宋" w:hAnsi="仿宋" w:eastAsia="仿宋" w:cs="仿宋"/>
          <w:color w:val="auto"/>
          <w:sz w:val="24"/>
          <w:highlight w:val="none"/>
        </w:rPr>
        <w:t>：可上传电子书，配置书籍名称、作者、封面、水印、角标等，电子书支持txt、epub、doc、pdf、mobi等式；可设置书籍打印与下载权限。</w:t>
      </w:r>
    </w:p>
    <w:p w14:paraId="3A3362D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13.10、病理资源模块：可配置资源分类，分类支持无限层级结构。支持新增资源，编辑资源名称、资源作者及资源链接等信息。支持展示资源卡片，点击直接跳转第三方链接。</w:t>
      </w:r>
    </w:p>
    <w:p w14:paraId="76EE1C1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13.11、精品课程：支持为课程新增章节，章节下可配置视频、文章、文档、考试四类小节；视频小节支持mp4、mov等式；文章小节支持文本编辑，插入表格和图片；文档小节支持ppt、pdf等格式；考试小节支持引用题库考试模块中配置的考试；可配置课件角标与水印自动添加，并设置打印与下载权限。</w:t>
      </w:r>
    </w:p>
    <w:p w14:paraId="4571CD4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13.12、题库考试：支持配置单选题、多选题、填空题、主观题、共用题干单选题和案例分析多选题等题型的题目；支持题干、选项及答案解析添加配图，也可从病例切片库中选择已上传的切片；支持配置题目难易度，难易度将以标签形式展示在试卷中；支持按照题目对每题单独设定分值，也支持按题型批量设定分值。 </w:t>
      </w:r>
    </w:p>
    <w:p w14:paraId="0D30666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13.13、支持随机抽题模式组建试卷，在题库中按照设定的题型数量自动生成试卷。</w:t>
      </w:r>
    </w:p>
    <w:p w14:paraId="000AFFB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13.14、支持防作弊系统，对考生行为监测并警告。</w:t>
      </w:r>
    </w:p>
    <w:p w14:paraId="1735BFB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13.15、支持学生用户申请重考；支持教师用户安排考试成绩异常的学生用户进行重考，并记录其考试次数。</w:t>
      </w:r>
    </w:p>
    <w:p w14:paraId="5FE7A02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▲13.16、通过国家信息安全等级保护三级认证并提供证书复印件。</w:t>
      </w:r>
    </w:p>
    <w:p w14:paraId="7785396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二、质保期：≥5年。</w:t>
      </w:r>
    </w:p>
    <w:p w14:paraId="3E3F8FF8">
      <w:pPr>
        <w:pStyle w:val="4"/>
        <w:ind w:firstLine="0"/>
        <w:jc w:val="both"/>
        <w:rPr>
          <w:rFonts w:ascii="仿宋" w:hAnsi="仿宋" w:eastAsia="仿宋" w:cs="宋体"/>
          <w:b/>
          <w:color w:val="auto"/>
          <w:kern w:val="0"/>
          <w:highlight w:val="none"/>
        </w:rPr>
      </w:pPr>
    </w:p>
    <w:p w14:paraId="11752B63">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1F8EA9C1">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第2包 品目2-1 超声用电磁定位穿刺引导设备</w:t>
      </w:r>
    </w:p>
    <w:p w14:paraId="60918722">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数量：1台/套</w:t>
      </w:r>
    </w:p>
    <w:p w14:paraId="1A45D2E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一、主要用途：可接收并显示超声影像，实时显示穿刺路径和穿刺靶点，用于实质脏器、血管、神经穿刺介入手术中对穿刺器械进行导航。</w:t>
      </w:r>
    </w:p>
    <w:p w14:paraId="708863E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5437875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w:t>
      </w:r>
    </w:p>
    <w:p w14:paraId="0237204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▲1.1、接收病人术中超声影像，通过电磁定位原理，跟踪手术器械并将手术器械的空间位置在病人影像术中超声影像上以虚拟探针的形式实时更新显示。</w:t>
      </w:r>
    </w:p>
    <w:p w14:paraId="5CA2573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1.2、可兼容超声设备视频接口：HDMI、VGA、DVI、S-Video、DP。</w:t>
      </w:r>
    </w:p>
    <w:p w14:paraId="2DA5C1D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1.3、导航引导的空间范围：在发射器前方≥ 30×30×30cm 的空间范围内可实现导航。</w:t>
      </w:r>
    </w:p>
    <w:p w14:paraId="2EAF7CD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▲1.4、导航精度：≤1.5mm。</w:t>
      </w:r>
    </w:p>
    <w:p w14:paraId="34D514B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▲1.5、可在接收的超声图像中实时显示穿刺路径、穿刺针针尖位置和预期穿刺靶点、穿刺针到预期穿刺靶点的相对位置。</w:t>
      </w:r>
    </w:p>
    <w:p w14:paraId="0E495BE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1.6、当穿刺针顶端到达超声图像所在平面时可提示。</w:t>
      </w:r>
    </w:p>
    <w:p w14:paraId="0303B54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▲1.7、配准通过原点与坐标三线确认，与配套耗材通过鲁尔接头快速连接，同平面参数可设置声窗宽度和平行度。</w:t>
      </w:r>
    </w:p>
    <w:p w14:paraId="41E139A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1.8、导航准备时间≤3min。</w:t>
      </w:r>
    </w:p>
    <w:p w14:paraId="68AD2ED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1.9、具备导航校正、截图存储功能。</w:t>
      </w:r>
    </w:p>
    <w:p w14:paraId="1CB07C8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1.10、彩色液晶显示器≥23英寸，分辨率：≥1920×1080。</w:t>
      </w:r>
    </w:p>
    <w:p w14:paraId="4FF51D9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1.11、电源：AC 220V±10%，50Hz±2%；DC：锂离子电池，支持主机工作时间≥2h。</w:t>
      </w:r>
    </w:p>
    <w:p w14:paraId="532143C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2、发射器：可通过自由臂支架自由调节位置和角度。</w:t>
      </w:r>
    </w:p>
    <w:p w14:paraId="215DE10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3、操作台：</w:t>
      </w:r>
    </w:p>
    <w:p w14:paraId="1386AC7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3.1、可电动调节操作台高度，可调节行程≥20cm。</w:t>
      </w:r>
    </w:p>
    <w:p w14:paraId="43CC127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3.2、操作台面承重≥15kg。</w:t>
      </w:r>
    </w:p>
    <w:p w14:paraId="06DD98F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三、主要配置：</w:t>
      </w:r>
    </w:p>
    <w:p w14:paraId="1462B0E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1、主机：1台。</w:t>
      </w:r>
    </w:p>
    <w:p w14:paraId="342F110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2、发射器（含支臂）：1个。</w:t>
      </w:r>
    </w:p>
    <w:p w14:paraId="2DE3652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3、穿刺针传感器：2套。</w:t>
      </w:r>
    </w:p>
    <w:p w14:paraId="67CD338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4、探头传感器：1套。</w:t>
      </w:r>
    </w:p>
    <w:p w14:paraId="56109CE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四、质保期：≥5年。</w:t>
      </w:r>
    </w:p>
    <w:p w14:paraId="326F4A88">
      <w:pPr>
        <w:spacing w:line="360" w:lineRule="auto"/>
        <w:rPr>
          <w:rFonts w:ascii="仿宋" w:hAnsi="仿宋" w:eastAsia="仿宋" w:cs="仿宋"/>
          <w:b/>
          <w:color w:val="auto"/>
          <w:kern w:val="0"/>
          <w:sz w:val="24"/>
          <w:highlight w:val="none"/>
        </w:rPr>
      </w:pPr>
    </w:p>
    <w:p w14:paraId="0A5FF8DB">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7C292F5B">
      <w:pPr>
        <w:tabs>
          <w:tab w:val="left" w:pos="1680"/>
        </w:tabs>
        <w:spacing w:line="360" w:lineRule="auto"/>
        <w:rPr>
          <w:rFonts w:ascii="仿宋" w:hAnsi="仿宋" w:eastAsia="仿宋" w:cs="仿宋"/>
          <w:b/>
          <w:color w:val="auto"/>
          <w:kern w:val="0"/>
          <w:sz w:val="24"/>
          <w:highlight w:val="none"/>
        </w:rPr>
      </w:pPr>
      <w:r>
        <w:rPr>
          <w:rFonts w:hint="eastAsia" w:ascii="仿宋" w:hAnsi="仿宋" w:eastAsia="仿宋" w:cs="仿宋"/>
          <w:b/>
          <w:color w:val="auto"/>
          <w:sz w:val="24"/>
          <w:highlight w:val="none"/>
        </w:rPr>
        <w:t>第3包 品目3-1 脉冲激光治疗机</w:t>
      </w:r>
    </w:p>
    <w:p w14:paraId="3752A816">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数量：1台/套</w:t>
      </w:r>
    </w:p>
    <w:p w14:paraId="415652B6">
      <w:pPr>
        <w:spacing w:line="360" w:lineRule="auto"/>
        <w:jc w:val="left"/>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一、</w:t>
      </w:r>
      <w:r>
        <w:rPr>
          <w:rFonts w:hint="eastAsia" w:ascii="仿宋" w:hAnsi="仿宋" w:eastAsia="仿宋" w:cs="仿宋"/>
          <w:color w:val="auto"/>
          <w:sz w:val="24"/>
          <w:highlight w:val="none"/>
          <w:lang w:val="zh-TW"/>
        </w:rPr>
        <w:t>技术参数：</w:t>
      </w:r>
    </w:p>
    <w:p w14:paraId="402B6487">
      <w:pPr>
        <w:spacing w:line="360" w:lineRule="auto"/>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rPr>
        <w:t>1、</w:t>
      </w:r>
      <w:r>
        <w:rPr>
          <w:rFonts w:hint="eastAsia" w:ascii="仿宋" w:hAnsi="仿宋" w:eastAsia="仿宋" w:cs="仿宋"/>
          <w:color w:val="auto"/>
          <w:sz w:val="24"/>
          <w:highlight w:val="none"/>
          <w:lang w:val="zh-TW" w:eastAsia="zh-TW"/>
        </w:rPr>
        <w:t>激光器类型：ND:YAG激光器或绿宝石激光器</w:t>
      </w:r>
      <w:r>
        <w:rPr>
          <w:rFonts w:hint="eastAsia" w:ascii="仿宋" w:hAnsi="仿宋" w:eastAsia="仿宋" w:cs="仿宋"/>
          <w:color w:val="auto"/>
          <w:sz w:val="24"/>
          <w:highlight w:val="none"/>
          <w:lang w:val="zh-TW"/>
        </w:rPr>
        <w:t>。</w:t>
      </w:r>
    </w:p>
    <w:p w14:paraId="4B8AD7DF">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w:t>
      </w:r>
      <w:r>
        <w:rPr>
          <w:rFonts w:hint="eastAsia" w:ascii="仿宋" w:hAnsi="仿宋" w:eastAsia="仿宋" w:cs="仿宋"/>
          <w:color w:val="auto"/>
          <w:sz w:val="24"/>
          <w:highlight w:val="none"/>
          <w:lang w:val="zh-TW"/>
        </w:rPr>
        <w:t>2、</w:t>
      </w:r>
      <w:r>
        <w:rPr>
          <w:rFonts w:hint="eastAsia" w:ascii="仿宋" w:hAnsi="仿宋" w:eastAsia="仿宋" w:cs="仿宋"/>
          <w:color w:val="auto"/>
          <w:sz w:val="24"/>
          <w:highlight w:val="none"/>
          <w:lang w:val="zh-TW" w:eastAsia="zh-TW"/>
        </w:rPr>
        <w:t>激光波长</w:t>
      </w:r>
      <w:r>
        <w:rPr>
          <w:rFonts w:hint="eastAsia" w:ascii="仿宋" w:hAnsi="仿宋" w:eastAsia="仿宋" w:cs="仿宋"/>
          <w:color w:val="auto"/>
          <w:sz w:val="24"/>
          <w:highlight w:val="none"/>
          <w:lang w:val="zh-TW"/>
        </w:rPr>
        <w:t>1</w:t>
      </w:r>
      <w:r>
        <w:rPr>
          <w:rFonts w:hint="eastAsia" w:ascii="仿宋" w:hAnsi="仿宋" w:eastAsia="仿宋" w:cs="仿宋"/>
          <w:color w:val="auto"/>
          <w:sz w:val="24"/>
          <w:highlight w:val="none"/>
          <w:lang w:val="zh-TW" w:eastAsia="zh-TW"/>
        </w:rPr>
        <w:t>：755nm±</w:t>
      </w:r>
      <w:r>
        <w:rPr>
          <w:rFonts w:hint="eastAsia" w:ascii="仿宋" w:hAnsi="仿宋" w:eastAsia="仿宋" w:cs="仿宋"/>
          <w:color w:val="auto"/>
          <w:sz w:val="24"/>
          <w:highlight w:val="none"/>
          <w:lang w:val="zh-TW"/>
        </w:rPr>
        <w:t>5nm；</w:t>
      </w:r>
      <w:r>
        <w:rPr>
          <w:rFonts w:hint="eastAsia" w:ascii="仿宋" w:hAnsi="仿宋" w:eastAsia="仿宋" w:cs="仿宋"/>
          <w:color w:val="auto"/>
          <w:sz w:val="24"/>
          <w:highlight w:val="none"/>
          <w:lang w:val="zh-TW" w:eastAsia="zh-TW"/>
        </w:rPr>
        <w:t>激光波长</w:t>
      </w:r>
      <w:r>
        <w:rPr>
          <w:rFonts w:hint="eastAsia" w:ascii="仿宋" w:hAnsi="仿宋" w:eastAsia="仿宋" w:cs="仿宋"/>
          <w:color w:val="auto"/>
          <w:sz w:val="24"/>
          <w:highlight w:val="none"/>
          <w:lang w:val="zh-TW"/>
        </w:rPr>
        <w:t>2</w:t>
      </w:r>
      <w:r>
        <w:rPr>
          <w:rFonts w:hint="eastAsia" w:ascii="仿宋" w:hAnsi="仿宋" w:eastAsia="仿宋" w:cs="仿宋"/>
          <w:color w:val="auto"/>
          <w:sz w:val="24"/>
          <w:highlight w:val="none"/>
          <w:lang w:val="zh-TW" w:eastAsia="zh-TW"/>
        </w:rPr>
        <w:t>：1064nm±</w:t>
      </w:r>
      <w:r>
        <w:rPr>
          <w:rFonts w:hint="eastAsia" w:ascii="仿宋" w:hAnsi="仿宋" w:eastAsia="仿宋" w:cs="仿宋"/>
          <w:color w:val="auto"/>
          <w:sz w:val="24"/>
          <w:highlight w:val="none"/>
          <w:lang w:val="zh-TW"/>
        </w:rPr>
        <w:t>10nm。</w:t>
      </w:r>
    </w:p>
    <w:p w14:paraId="49C42366">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rPr>
        <w:t>3、</w:t>
      </w:r>
      <w:r>
        <w:rPr>
          <w:rFonts w:hint="eastAsia" w:ascii="仿宋" w:hAnsi="仿宋" w:eastAsia="仿宋" w:cs="仿宋"/>
          <w:color w:val="auto"/>
          <w:sz w:val="24"/>
          <w:highlight w:val="none"/>
          <w:lang w:val="zh-TW" w:eastAsia="zh-TW"/>
        </w:rPr>
        <w:t>光束传导：光纤及手具传导</w:t>
      </w:r>
      <w:r>
        <w:rPr>
          <w:rFonts w:hint="eastAsia" w:ascii="仿宋" w:hAnsi="仿宋" w:eastAsia="仿宋" w:cs="仿宋"/>
          <w:color w:val="auto"/>
          <w:sz w:val="24"/>
          <w:highlight w:val="none"/>
          <w:lang w:val="zh-TW"/>
        </w:rPr>
        <w:t>。</w:t>
      </w:r>
    </w:p>
    <w:p w14:paraId="605074A7">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rPr>
        <w:t>4、</w:t>
      </w:r>
      <w:r>
        <w:rPr>
          <w:rFonts w:hint="eastAsia" w:ascii="仿宋" w:hAnsi="仿宋" w:eastAsia="仿宋" w:cs="仿宋"/>
          <w:color w:val="auto"/>
          <w:sz w:val="24"/>
          <w:highlight w:val="none"/>
          <w:lang w:val="zh-TW" w:eastAsia="zh-TW"/>
        </w:rPr>
        <w:t>出光控制方式：脚踏开关控制</w:t>
      </w:r>
      <w:r>
        <w:rPr>
          <w:rFonts w:hint="eastAsia" w:ascii="仿宋" w:hAnsi="仿宋" w:eastAsia="仿宋" w:cs="仿宋"/>
          <w:color w:val="auto"/>
          <w:sz w:val="24"/>
          <w:highlight w:val="none"/>
          <w:lang w:val="zh-TW"/>
        </w:rPr>
        <w:t>。</w:t>
      </w:r>
    </w:p>
    <w:p w14:paraId="4495A1E2">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rPr>
        <w:t>5、</w:t>
      </w:r>
      <w:r>
        <w:rPr>
          <w:rFonts w:hint="eastAsia" w:ascii="仿宋" w:hAnsi="仿宋" w:eastAsia="仿宋" w:cs="仿宋"/>
          <w:color w:val="auto"/>
          <w:sz w:val="24"/>
          <w:highlight w:val="none"/>
          <w:lang w:val="zh-TW" w:eastAsia="zh-TW"/>
        </w:rPr>
        <w:t>脉冲重复频率：1～10H</w:t>
      </w:r>
      <w:r>
        <w:rPr>
          <w:rFonts w:hint="eastAsia" w:ascii="仿宋" w:hAnsi="仿宋" w:eastAsia="仿宋" w:cs="仿宋"/>
          <w:color w:val="auto"/>
          <w:sz w:val="24"/>
          <w:highlight w:val="none"/>
          <w:lang w:val="zh-TW"/>
        </w:rPr>
        <w:t>z。</w:t>
      </w:r>
    </w:p>
    <w:p w14:paraId="336462FD">
      <w:pPr>
        <w:spacing w:line="360" w:lineRule="auto"/>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▲6、单脉冲终端最大能量：≥60J@波长1，≥30J</w:t>
      </w:r>
      <w:r>
        <w:rPr>
          <w:rFonts w:hint="eastAsia" w:ascii="仿宋" w:hAnsi="仿宋" w:eastAsia="仿宋" w:cs="仿宋"/>
          <w:color w:val="auto"/>
          <w:sz w:val="24"/>
          <w:highlight w:val="none"/>
          <w:lang w:val="zh-TW"/>
        </w:rPr>
        <w:t>@</w:t>
      </w:r>
      <w:r>
        <w:rPr>
          <w:rFonts w:hint="eastAsia" w:ascii="仿宋" w:hAnsi="仿宋" w:eastAsia="仿宋" w:cs="仿宋"/>
          <w:color w:val="auto"/>
          <w:sz w:val="24"/>
          <w:highlight w:val="none"/>
          <w:lang w:val="zh-TW" w:eastAsia="zh-TW"/>
        </w:rPr>
        <w:t>波长</w:t>
      </w:r>
      <w:r>
        <w:rPr>
          <w:rFonts w:hint="eastAsia" w:ascii="仿宋" w:hAnsi="仿宋" w:eastAsia="仿宋" w:cs="仿宋"/>
          <w:color w:val="auto"/>
          <w:sz w:val="24"/>
          <w:highlight w:val="none"/>
          <w:lang w:val="zh-TW"/>
        </w:rPr>
        <w:t>2</w:t>
      </w:r>
      <w:r>
        <w:rPr>
          <w:rFonts w:hint="eastAsia" w:ascii="仿宋" w:hAnsi="仿宋" w:eastAsia="仿宋" w:cs="仿宋"/>
          <w:color w:val="auto"/>
          <w:sz w:val="24"/>
          <w:highlight w:val="none"/>
          <w:lang w:val="zh-TW" w:eastAsia="zh-TW"/>
        </w:rPr>
        <w:t>。</w:t>
      </w:r>
    </w:p>
    <w:p w14:paraId="2954F422">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7、最大能量密度：波长1064nm±5nm，≥150J/cm²；波长755nm±5nm，≥50J/cm²</w:t>
      </w:r>
      <w:r>
        <w:rPr>
          <w:rFonts w:hint="eastAsia" w:ascii="仿宋" w:hAnsi="仿宋" w:eastAsia="仿宋" w:cs="仿宋"/>
          <w:color w:val="auto"/>
          <w:sz w:val="24"/>
          <w:highlight w:val="none"/>
          <w:lang w:val="zh-TW"/>
        </w:rPr>
        <w:t>。</w:t>
      </w:r>
    </w:p>
    <w:p w14:paraId="5FF01BE9">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8、光斑直径</w:t>
      </w:r>
      <w:r>
        <w:rPr>
          <w:rFonts w:hint="eastAsia" w:ascii="仿宋" w:hAnsi="仿宋" w:eastAsia="仿宋" w:cs="仿宋"/>
          <w:color w:val="auto"/>
          <w:sz w:val="24"/>
          <w:highlight w:val="none"/>
          <w:lang w:val="zh-TW"/>
        </w:rPr>
        <w:t>调节范围</w:t>
      </w:r>
      <w:r>
        <w:rPr>
          <w:rFonts w:hint="eastAsia" w:ascii="仿宋" w:hAnsi="仿宋" w:eastAsia="仿宋" w:cs="仿宋"/>
          <w:color w:val="auto"/>
          <w:sz w:val="24"/>
          <w:highlight w:val="none"/>
          <w:lang w:val="zh-TW" w:eastAsia="zh-TW"/>
        </w:rPr>
        <w:t>：5mm～15mm</w:t>
      </w:r>
      <w:r>
        <w:rPr>
          <w:rFonts w:hint="eastAsia" w:ascii="仿宋" w:hAnsi="仿宋" w:eastAsia="仿宋" w:cs="仿宋"/>
          <w:color w:val="auto"/>
          <w:sz w:val="24"/>
          <w:highlight w:val="none"/>
          <w:lang w:val="zh-TW"/>
        </w:rPr>
        <w:t>。</w:t>
      </w:r>
    </w:p>
    <w:p w14:paraId="756B1ADB">
      <w:pPr>
        <w:spacing w:line="360" w:lineRule="auto"/>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▲9、脉宽</w:t>
      </w:r>
      <w:r>
        <w:rPr>
          <w:rFonts w:hint="eastAsia" w:ascii="仿宋" w:hAnsi="仿宋" w:eastAsia="仿宋" w:cs="仿宋"/>
          <w:color w:val="auto"/>
          <w:sz w:val="24"/>
          <w:highlight w:val="none"/>
          <w:lang w:val="zh-TW"/>
        </w:rPr>
        <w:t>调节范围</w:t>
      </w:r>
      <w:r>
        <w:rPr>
          <w:rFonts w:hint="eastAsia" w:ascii="仿宋" w:hAnsi="仿宋" w:eastAsia="仿宋" w:cs="仿宋"/>
          <w:color w:val="auto"/>
          <w:sz w:val="24"/>
          <w:highlight w:val="none"/>
          <w:lang w:val="zh-TW" w:eastAsia="zh-TW"/>
        </w:rPr>
        <w:t>： 1～150ms@波长1</w:t>
      </w:r>
      <w:r>
        <w:rPr>
          <w:rFonts w:hint="eastAsia" w:ascii="仿宋" w:hAnsi="仿宋" w:eastAsia="仿宋" w:cs="仿宋"/>
          <w:color w:val="auto"/>
          <w:sz w:val="24"/>
          <w:highlight w:val="none"/>
          <w:lang w:val="zh-TW"/>
        </w:rPr>
        <w:t>；</w:t>
      </w:r>
      <w:r>
        <w:rPr>
          <w:rFonts w:hint="eastAsia" w:ascii="仿宋" w:hAnsi="仿宋" w:eastAsia="仿宋" w:cs="仿宋"/>
          <w:color w:val="auto"/>
          <w:sz w:val="24"/>
          <w:highlight w:val="none"/>
          <w:lang w:val="zh-TW" w:eastAsia="zh-TW"/>
        </w:rPr>
        <w:t>1-200ms@波长</w:t>
      </w:r>
      <w:r>
        <w:rPr>
          <w:rFonts w:hint="eastAsia" w:ascii="仿宋" w:hAnsi="仿宋" w:eastAsia="仿宋" w:cs="仿宋"/>
          <w:color w:val="auto"/>
          <w:sz w:val="24"/>
          <w:highlight w:val="none"/>
          <w:lang w:val="zh-TW"/>
        </w:rPr>
        <w:t>2。</w:t>
      </w:r>
    </w:p>
    <w:p w14:paraId="792C3C2B">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10、瞄准光波长：650nm±10%。</w:t>
      </w:r>
    </w:p>
    <w:p w14:paraId="3156ACD9">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11、控制系统：</w:t>
      </w:r>
    </w:p>
    <w:p w14:paraId="1719A4CC">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11.1、微处理器控制系统，具有温度限制、定时、定时间隔设置功能。</w:t>
      </w:r>
    </w:p>
    <w:p w14:paraId="57A738F4">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11.2、具备开机自检和手具检测功能。</w:t>
      </w:r>
    </w:p>
    <w:p w14:paraId="08C22D9B">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1</w:t>
      </w:r>
      <w:r>
        <w:rPr>
          <w:rFonts w:hint="eastAsia" w:ascii="仿宋" w:hAnsi="仿宋" w:eastAsia="仿宋" w:cs="仿宋"/>
          <w:color w:val="auto"/>
          <w:sz w:val="24"/>
          <w:highlight w:val="none"/>
          <w:lang w:val="zh-TW"/>
        </w:rPr>
        <w:t>2</w:t>
      </w:r>
      <w:r>
        <w:rPr>
          <w:rFonts w:hint="eastAsia" w:ascii="仿宋" w:hAnsi="仿宋" w:eastAsia="仿宋" w:cs="仿宋"/>
          <w:color w:val="auto"/>
          <w:sz w:val="24"/>
          <w:highlight w:val="none"/>
          <w:lang w:val="zh-TW" w:eastAsia="zh-TW"/>
        </w:rPr>
        <w:t>、具备内循环封闭水冷系统和过滤洁净装置、离子浓度过滤装置。</w:t>
      </w:r>
    </w:p>
    <w:p w14:paraId="0DBBDDB0">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13、使用期限：≥10年</w:t>
      </w:r>
      <w:r>
        <w:rPr>
          <w:rFonts w:hint="eastAsia" w:ascii="仿宋" w:hAnsi="仿宋" w:eastAsia="仿宋" w:cs="仿宋"/>
          <w:color w:val="auto"/>
          <w:sz w:val="24"/>
          <w:highlight w:val="none"/>
          <w:lang w:val="zh-TW"/>
        </w:rPr>
        <w:t>。</w:t>
      </w:r>
      <w:r>
        <w:rPr>
          <w:rFonts w:hint="eastAsia" w:ascii="仿宋" w:hAnsi="仿宋" w:eastAsia="仿宋" w:cs="仿宋"/>
          <w:color w:val="auto"/>
          <w:sz w:val="24"/>
          <w:highlight w:val="none"/>
          <w:lang w:val="zh-TW" w:eastAsia="zh-TW"/>
        </w:rPr>
        <w:t>（提供产品铭牌照片和使用说明书证明）</w:t>
      </w:r>
    </w:p>
    <w:p w14:paraId="4916CC11">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 xml:space="preserve">二、主要配置：                                                           </w:t>
      </w:r>
    </w:p>
    <w:p w14:paraId="0F6B471D">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 xml:space="preserve">1、主机：1台。                                                          </w:t>
      </w:r>
    </w:p>
    <w:p w14:paraId="05D43143">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rPr>
        <w:t>2、</w:t>
      </w:r>
      <w:r>
        <w:rPr>
          <w:rFonts w:hint="eastAsia" w:ascii="仿宋" w:hAnsi="仿宋" w:eastAsia="仿宋" w:cs="仿宋"/>
          <w:color w:val="auto"/>
          <w:sz w:val="24"/>
          <w:highlight w:val="none"/>
          <w:lang w:val="zh-TW" w:eastAsia="zh-TW"/>
        </w:rPr>
        <w:t>脚踏开关</w:t>
      </w:r>
      <w:r>
        <w:rPr>
          <w:rFonts w:hint="eastAsia" w:ascii="仿宋" w:hAnsi="仿宋" w:eastAsia="仿宋" w:cs="仿宋"/>
          <w:color w:val="auto"/>
          <w:sz w:val="24"/>
          <w:highlight w:val="none"/>
          <w:lang w:val="zh-TW"/>
        </w:rPr>
        <w:t>：</w:t>
      </w:r>
      <w:r>
        <w:rPr>
          <w:rFonts w:hint="eastAsia" w:ascii="仿宋" w:hAnsi="仿宋" w:eastAsia="仿宋" w:cs="仿宋"/>
          <w:color w:val="auto"/>
          <w:sz w:val="24"/>
          <w:highlight w:val="none"/>
          <w:lang w:val="zh-TW" w:eastAsia="zh-TW"/>
        </w:rPr>
        <w:t>1</w:t>
      </w:r>
      <w:r>
        <w:rPr>
          <w:rFonts w:hint="eastAsia" w:ascii="仿宋" w:hAnsi="仿宋" w:eastAsia="仿宋" w:cs="仿宋"/>
          <w:color w:val="auto"/>
          <w:sz w:val="24"/>
          <w:highlight w:val="none"/>
          <w:lang w:val="zh-TW"/>
        </w:rPr>
        <w:t>个。</w:t>
      </w:r>
    </w:p>
    <w:p w14:paraId="3A66E7A6">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rPr>
        <w:t>3、</w:t>
      </w:r>
      <w:r>
        <w:rPr>
          <w:rFonts w:hint="eastAsia" w:ascii="仿宋" w:hAnsi="仿宋" w:eastAsia="仿宋" w:cs="仿宋"/>
          <w:color w:val="auto"/>
          <w:sz w:val="24"/>
          <w:highlight w:val="none"/>
          <w:lang w:val="zh-TW" w:eastAsia="zh-TW"/>
        </w:rPr>
        <w:t>遥控安全联锁</w:t>
      </w:r>
      <w:r>
        <w:rPr>
          <w:rFonts w:hint="eastAsia" w:ascii="仿宋" w:hAnsi="仿宋" w:eastAsia="仿宋" w:cs="仿宋"/>
          <w:color w:val="auto"/>
          <w:sz w:val="24"/>
          <w:highlight w:val="none"/>
          <w:lang w:val="zh-TW"/>
        </w:rPr>
        <w:t>：</w:t>
      </w:r>
      <w:r>
        <w:rPr>
          <w:rFonts w:hint="eastAsia" w:ascii="仿宋" w:hAnsi="仿宋" w:eastAsia="仿宋" w:cs="仿宋"/>
          <w:color w:val="auto"/>
          <w:sz w:val="24"/>
          <w:highlight w:val="none"/>
          <w:lang w:val="zh-TW" w:eastAsia="zh-TW"/>
        </w:rPr>
        <w:t>1个</w:t>
      </w:r>
      <w:r>
        <w:rPr>
          <w:rFonts w:hint="eastAsia" w:ascii="仿宋" w:hAnsi="仿宋" w:eastAsia="仿宋" w:cs="仿宋"/>
          <w:color w:val="auto"/>
          <w:sz w:val="24"/>
          <w:highlight w:val="none"/>
          <w:lang w:val="zh-TW"/>
        </w:rPr>
        <w:t>。</w:t>
      </w:r>
    </w:p>
    <w:p w14:paraId="685D0746">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rPr>
        <w:t>4、</w:t>
      </w:r>
      <w:r>
        <w:rPr>
          <w:rFonts w:hint="eastAsia" w:ascii="仿宋" w:hAnsi="仿宋" w:eastAsia="仿宋" w:cs="仿宋"/>
          <w:color w:val="auto"/>
          <w:sz w:val="24"/>
          <w:highlight w:val="none"/>
          <w:lang w:val="zh-TW" w:eastAsia="zh-TW"/>
        </w:rPr>
        <w:t xml:space="preserve">治疗手具 </w:t>
      </w:r>
      <w:r>
        <w:rPr>
          <w:rFonts w:hint="eastAsia" w:ascii="仿宋" w:hAnsi="仿宋" w:eastAsia="仿宋" w:cs="仿宋"/>
          <w:color w:val="auto"/>
          <w:sz w:val="24"/>
          <w:highlight w:val="none"/>
          <w:lang w:val="zh-TW"/>
        </w:rPr>
        <w:t>：1个。</w:t>
      </w:r>
    </w:p>
    <w:p w14:paraId="51446827">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rPr>
        <w:t>5、</w:t>
      </w:r>
      <w:r>
        <w:rPr>
          <w:rFonts w:hint="eastAsia" w:ascii="仿宋" w:hAnsi="仿宋" w:eastAsia="仿宋" w:cs="仿宋"/>
          <w:color w:val="auto"/>
          <w:sz w:val="24"/>
          <w:highlight w:val="none"/>
          <w:lang w:val="zh-TW" w:eastAsia="zh-TW"/>
        </w:rPr>
        <w:t>激光防护镜（</w:t>
      </w:r>
      <w:r>
        <w:rPr>
          <w:rFonts w:hint="eastAsia" w:ascii="仿宋" w:hAnsi="仿宋" w:eastAsia="仿宋" w:cs="仿宋"/>
          <w:color w:val="auto"/>
          <w:sz w:val="24"/>
          <w:highlight w:val="none"/>
          <w:lang w:val="zh-TW"/>
        </w:rPr>
        <w:t>波长1</w:t>
      </w:r>
      <w:r>
        <w:rPr>
          <w:rFonts w:hint="eastAsia" w:ascii="仿宋" w:hAnsi="仿宋" w:eastAsia="仿宋" w:cs="仿宋"/>
          <w:color w:val="auto"/>
          <w:sz w:val="24"/>
          <w:highlight w:val="none"/>
          <w:lang w:val="zh-TW" w:eastAsia="zh-TW"/>
        </w:rPr>
        <w:t>专用）</w:t>
      </w:r>
      <w:r>
        <w:rPr>
          <w:rFonts w:hint="eastAsia" w:ascii="仿宋" w:hAnsi="仿宋" w:eastAsia="仿宋" w:cs="仿宋"/>
          <w:color w:val="auto"/>
          <w:sz w:val="24"/>
          <w:highlight w:val="none"/>
          <w:lang w:val="zh-TW"/>
        </w:rPr>
        <w:t>：</w:t>
      </w:r>
      <w:r>
        <w:rPr>
          <w:rFonts w:hint="eastAsia" w:ascii="仿宋" w:hAnsi="仿宋" w:eastAsia="仿宋" w:cs="仿宋"/>
          <w:color w:val="auto"/>
          <w:sz w:val="24"/>
          <w:highlight w:val="none"/>
          <w:lang w:val="zh-TW" w:eastAsia="zh-TW"/>
        </w:rPr>
        <w:t>1个</w:t>
      </w:r>
      <w:r>
        <w:rPr>
          <w:rFonts w:hint="eastAsia" w:ascii="仿宋" w:hAnsi="仿宋" w:eastAsia="仿宋" w:cs="仿宋"/>
          <w:color w:val="auto"/>
          <w:sz w:val="24"/>
          <w:highlight w:val="none"/>
          <w:lang w:val="zh-TW"/>
        </w:rPr>
        <w:t>。</w:t>
      </w:r>
    </w:p>
    <w:p w14:paraId="4BF0F71A">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 xml:space="preserve">6、激光防护镜（波长2专用）：1个。                             </w:t>
      </w:r>
    </w:p>
    <w:p w14:paraId="14BD819E">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 xml:space="preserve">7、防护眼罩：1个。                                               </w:t>
      </w:r>
    </w:p>
    <w:p w14:paraId="48385F6E">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 xml:space="preserve">8、光纤支架：1个。                                              </w:t>
      </w:r>
    </w:p>
    <w:p w14:paraId="0AE3DC18">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9、注水杯、注水管、注放水接头：1套。</w:t>
      </w:r>
    </w:p>
    <w:p w14:paraId="284CEEDD">
      <w:pPr>
        <w:spacing w:line="360" w:lineRule="auto"/>
        <w:ind w:left="480" w:hanging="480" w:hangingChars="200"/>
        <w:rPr>
          <w:rFonts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rPr>
        <w:t>三、质保期：≥5年。</w:t>
      </w:r>
    </w:p>
    <w:p w14:paraId="6DA71E88">
      <w:pPr>
        <w:spacing w:line="360" w:lineRule="auto"/>
        <w:rPr>
          <w:rFonts w:ascii="仿宋" w:hAnsi="仿宋" w:eastAsia="仿宋" w:cs="仿宋"/>
          <w:color w:val="auto"/>
          <w:sz w:val="24"/>
          <w:highlight w:val="none"/>
        </w:rPr>
      </w:pPr>
    </w:p>
    <w:p w14:paraId="23F75430">
      <w:pPr>
        <w:spacing w:line="360" w:lineRule="auto"/>
        <w:rPr>
          <w:rFonts w:ascii="仿宋" w:hAnsi="仿宋" w:eastAsia="仿宋" w:cs="仿宋"/>
          <w:b/>
          <w:color w:val="auto"/>
          <w:kern w:val="0"/>
          <w:sz w:val="24"/>
          <w:highlight w:val="none"/>
        </w:rPr>
      </w:pPr>
    </w:p>
    <w:p w14:paraId="08E75620">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5DE432B3">
      <w:pPr>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第4包 品目4-1 动态心电血压系统</w:t>
      </w:r>
    </w:p>
    <w:p w14:paraId="104613D1">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数量：1台/套</w:t>
      </w:r>
    </w:p>
    <w:p w14:paraId="3623C9C9">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一、技术参数：</w:t>
      </w:r>
    </w:p>
    <w:p w14:paraId="5D015D24">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1、采集盒：</w:t>
      </w:r>
    </w:p>
    <w:p w14:paraId="609CA2C6">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1.1、心电测量：</w:t>
      </w:r>
    </w:p>
    <w:p w14:paraId="1370A24B">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▲1.1.1、心电输入阻抗：≥50MΩ（提供产品注册检验报告证明）。</w:t>
      </w:r>
    </w:p>
    <w:p w14:paraId="48F5FE5B">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1.1.2、心电共模抑制比：≥100dB。</w:t>
      </w:r>
    </w:p>
    <w:p w14:paraId="0EF5572C">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▲1.1.3、心电频率响应范围：0.05～300Hz（提供产品注册检验报告证明）。</w:t>
      </w:r>
    </w:p>
    <w:p w14:paraId="4B34C8AB">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1.1.4、心电采样率：≥25000Hz（提供产品注册检验报告证明）。</w:t>
      </w:r>
    </w:p>
    <w:p w14:paraId="40A85C80">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1.1.5、心电A/D转换精度：≥24位。</w:t>
      </w:r>
    </w:p>
    <w:p w14:paraId="54195416">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1.2、血压和脉搏测量：</w:t>
      </w:r>
    </w:p>
    <w:p w14:paraId="7858BDED">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1.2.1、测量方法：示波法，支持脉搏波形记录。</w:t>
      </w:r>
    </w:p>
    <w:p w14:paraId="022DEE07">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▲1.2.2、压力测量范围：10 mmHg～290 mmHg（提供产品注册检验报告证明），精度：不超过±3 mmHg。</w:t>
      </w:r>
    </w:p>
    <w:p w14:paraId="614B9C12">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1.2.3、脉率测量范围：40bpm～240bpm。</w:t>
      </w:r>
    </w:p>
    <w:p w14:paraId="42002F53">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1.2.4、心电起搏信号检测范围：±1.0～±200 mV, 0.1～2.0ms。</w:t>
      </w:r>
    </w:p>
    <w:p w14:paraId="6731F37F">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1.3、液晶显示屏：≥3.5英寸，可显示时间、电池电量、心电波形、血压测量数据，可同时显示≥3通道心电波形（需提供产品说明书或产品界面截图证明）。</w:t>
      </w:r>
    </w:p>
    <w:p w14:paraId="0BA7B4D3">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1.4、数据输出方式：USB或type C数据传输接口，SD卡读取数据。</w:t>
      </w:r>
    </w:p>
    <w:p w14:paraId="212EC229">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1.5、具备体位记录功能，可判断患者血压测量时的体位情况。</w:t>
      </w:r>
    </w:p>
    <w:p w14:paraId="4F02146C">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1.6、内置数据存储器：≥600组血压数据。</w:t>
      </w:r>
    </w:p>
    <w:p w14:paraId="1F06C7DF">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1.7、心电导联线具有卡扣设计。</w:t>
      </w:r>
    </w:p>
    <w:p w14:paraId="290E8B9B">
      <w:pPr>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1.8、重量：≤200g。</w:t>
      </w:r>
    </w:p>
    <w:p w14:paraId="6C3221E6">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▲1.9、防水等级：IP22。</w:t>
      </w:r>
    </w:p>
    <w:p w14:paraId="6505F835">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1.10、电池：碱性电池。</w:t>
      </w:r>
    </w:p>
    <w:p w14:paraId="4A664A25">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2、工作站：</w:t>
      </w:r>
    </w:p>
    <w:p w14:paraId="18B53DDB">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2.1、CPU：≥i</w:t>
      </w:r>
      <w:r>
        <w:rPr>
          <w:rFonts w:ascii="仿宋" w:hAnsi="仿宋" w:eastAsia="仿宋" w:cs="仿宋"/>
          <w:color w:val="auto"/>
          <w:kern w:val="0"/>
          <w:sz w:val="24"/>
          <w:highlight w:val="none"/>
        </w:rPr>
        <w:t>7</w:t>
      </w:r>
      <w:r>
        <w:rPr>
          <w:rFonts w:hint="eastAsia" w:ascii="仿宋" w:hAnsi="仿宋" w:eastAsia="仿宋" w:cs="仿宋"/>
          <w:color w:val="auto"/>
          <w:kern w:val="0"/>
          <w:sz w:val="24"/>
          <w:highlight w:val="none"/>
        </w:rPr>
        <w:t>，内存≥1</w:t>
      </w:r>
      <w:r>
        <w:rPr>
          <w:rFonts w:ascii="仿宋" w:hAnsi="仿宋" w:eastAsia="仿宋" w:cs="仿宋"/>
          <w:color w:val="auto"/>
          <w:kern w:val="0"/>
          <w:sz w:val="24"/>
          <w:highlight w:val="none"/>
        </w:rPr>
        <w:t>6</w:t>
      </w:r>
      <w:r>
        <w:rPr>
          <w:rFonts w:hint="eastAsia" w:ascii="仿宋" w:hAnsi="仿宋" w:eastAsia="仿宋" w:cs="仿宋"/>
          <w:color w:val="auto"/>
          <w:kern w:val="0"/>
          <w:sz w:val="24"/>
          <w:highlight w:val="none"/>
        </w:rPr>
        <w:t>G；硬盘≥5</w:t>
      </w:r>
      <w:r>
        <w:rPr>
          <w:rFonts w:ascii="仿宋" w:hAnsi="仿宋" w:eastAsia="仿宋" w:cs="仿宋"/>
          <w:color w:val="auto"/>
          <w:kern w:val="0"/>
          <w:sz w:val="24"/>
          <w:highlight w:val="none"/>
        </w:rPr>
        <w:t>12</w:t>
      </w:r>
      <w:r>
        <w:rPr>
          <w:rFonts w:hint="eastAsia" w:ascii="仿宋" w:hAnsi="仿宋" w:eastAsia="仿宋" w:cs="仿宋"/>
          <w:color w:val="auto"/>
          <w:kern w:val="0"/>
          <w:sz w:val="24"/>
          <w:highlight w:val="none"/>
        </w:rPr>
        <w:t>G；彩色液晶显示器≥2</w:t>
      </w:r>
      <w:r>
        <w:rPr>
          <w:rFonts w:ascii="仿宋" w:hAnsi="仿宋" w:eastAsia="仿宋" w:cs="仿宋"/>
          <w:color w:val="auto"/>
          <w:kern w:val="0"/>
          <w:sz w:val="24"/>
          <w:highlight w:val="none"/>
        </w:rPr>
        <w:t>7</w:t>
      </w:r>
      <w:r>
        <w:rPr>
          <w:rFonts w:hint="eastAsia" w:ascii="仿宋" w:hAnsi="仿宋" w:eastAsia="仿宋" w:cs="仿宋"/>
          <w:color w:val="auto"/>
          <w:kern w:val="0"/>
          <w:sz w:val="24"/>
          <w:highlight w:val="none"/>
        </w:rPr>
        <w:t>英寸。</w:t>
      </w:r>
    </w:p>
    <w:p w14:paraId="4C0050F1">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2.2、心电、血压同步显示，总结数据可一键切换，心电血压数据结论可分开描述，提供诊断术语库。</w:t>
      </w:r>
    </w:p>
    <w:p w14:paraId="41B4575C">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2.3、支持血压+心电联动统计，24h血压昼夜节律图可同步查看心电事件统计、心电事件片段图等信息。</w:t>
      </w:r>
    </w:p>
    <w:p w14:paraId="5BFDB9D1">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2.4、支持血压数据界面回看心电波形，可查看每一条血压数据测量对应时刻的心电波形图。</w:t>
      </w:r>
    </w:p>
    <w:p w14:paraId="388BDC0F">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2.5、可同屏显示主模板、子模板、心拍、心电图窗口，支持模板的单拍/多拍显示，无需切换页面即可完成模板编辑。</w:t>
      </w:r>
    </w:p>
    <w:p w14:paraId="0DC0844F">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2.6、散点图分析：可以提供Lorenz散点图、差值散点图、24小时散点图、小时散点图、时序散点图等多种散点图工具，支持散点图反向定位心搏操作，可诊断异常心搏；支持任意时间段散点图显示，可编辑和确认短暂房颤、短阵过速心律失常现象。</w:t>
      </w:r>
    </w:p>
    <w:p w14:paraId="7E9D7B02">
      <w:pPr>
        <w:spacing w:line="360" w:lineRule="auto"/>
        <w:rPr>
          <w:rFonts w:ascii="仿宋" w:hAnsi="仿宋" w:eastAsia="仿宋" w:cs="仿宋"/>
          <w:color w:val="auto"/>
          <w:sz w:val="24"/>
          <w:highlight w:val="none"/>
        </w:rPr>
      </w:pPr>
      <w:r>
        <w:rPr>
          <w:rFonts w:hint="eastAsia" w:ascii="仿宋" w:hAnsi="仿宋" w:eastAsia="仿宋" w:cs="仿宋"/>
          <w:color w:val="auto"/>
          <w:kern w:val="0"/>
          <w:sz w:val="24"/>
          <w:highlight w:val="none"/>
        </w:rPr>
        <w:t>2.7、散点+叠加图分析：可同屏显示所选模板的散点图+叠加图，同时结合RR间期和波形形态实现心拍的快速分类。</w:t>
      </w:r>
    </w:p>
    <w:p w14:paraId="3098859E">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2.8、</w:t>
      </w:r>
      <w:r>
        <w:rPr>
          <w:rFonts w:hint="eastAsia" w:ascii="仿宋" w:hAnsi="仿宋" w:eastAsia="仿宋" w:cs="仿宋"/>
          <w:color w:val="auto"/>
          <w:sz w:val="24"/>
          <w:highlight w:val="none"/>
        </w:rPr>
        <w:t>心率变异自动分析：从R-R间期散点图、时域趋势图、频域趋势图、时域趋势表、频域趋势表、长时程心率变异、心率变异三维图、心律减速力等多个方面进行分析。</w:t>
      </w:r>
    </w:p>
    <w:p w14:paraId="6066B987">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2.9、血压分析：具有数据表、统计表、直方图、饼图、昼夜节律图等分析工具。</w:t>
      </w:r>
    </w:p>
    <w:p w14:paraId="0E77A492">
      <w:pPr>
        <w:spacing w:line="360" w:lineRule="auto"/>
        <w:rPr>
          <w:rFonts w:ascii="仿宋" w:hAnsi="仿宋" w:eastAsia="仿宋" w:cs="仿宋"/>
          <w:color w:val="auto"/>
          <w:sz w:val="24"/>
          <w:highlight w:val="none"/>
        </w:rPr>
      </w:pPr>
      <w:r>
        <w:rPr>
          <w:rFonts w:hint="eastAsia" w:ascii="仿宋" w:hAnsi="仿宋" w:eastAsia="仿宋" w:cs="仿宋"/>
          <w:color w:val="auto"/>
          <w:kern w:val="0"/>
          <w:sz w:val="24"/>
          <w:highlight w:val="none"/>
        </w:rPr>
        <w:t>2.10、支持</w:t>
      </w:r>
      <w:r>
        <w:rPr>
          <w:rFonts w:hint="eastAsia" w:ascii="仿宋" w:hAnsi="仿宋" w:eastAsia="仿宋" w:cs="仿宋"/>
          <w:color w:val="auto"/>
          <w:sz w:val="24"/>
          <w:highlight w:val="none"/>
        </w:rPr>
        <w:t>平均压、</w:t>
      </w:r>
      <w:r>
        <w:rPr>
          <w:rFonts w:hint="eastAsia" w:ascii="仿宋" w:hAnsi="仿宋" w:eastAsia="仿宋" w:cs="仿宋"/>
          <w:color w:val="auto"/>
          <w:kern w:val="0"/>
          <w:sz w:val="24"/>
          <w:highlight w:val="none"/>
        </w:rPr>
        <w:t>脉压分析、动态动脉硬化指数分析、晨峰血压分析、白大衣分析等。</w:t>
      </w:r>
    </w:p>
    <w:p w14:paraId="0DFCC3FB">
      <w:pPr>
        <w:spacing w:line="360" w:lineRule="auto"/>
        <w:rPr>
          <w:rFonts w:ascii="仿宋" w:hAnsi="仿宋" w:eastAsia="仿宋" w:cs="仿宋"/>
          <w:color w:val="auto"/>
          <w:sz w:val="24"/>
          <w:highlight w:val="none"/>
        </w:rPr>
      </w:pPr>
      <w:r>
        <w:rPr>
          <w:rFonts w:hint="eastAsia" w:ascii="仿宋" w:hAnsi="仿宋" w:eastAsia="仿宋" w:cs="仿宋"/>
          <w:color w:val="auto"/>
          <w:kern w:val="0"/>
          <w:sz w:val="24"/>
          <w:highlight w:val="none"/>
        </w:rPr>
        <w:t>▲2.11、具备</w:t>
      </w:r>
      <w:r>
        <w:rPr>
          <w:rFonts w:hint="eastAsia" w:ascii="仿宋" w:hAnsi="仿宋" w:eastAsia="仿宋" w:cs="仿宋"/>
          <w:color w:val="auto"/>
          <w:sz w:val="24"/>
          <w:highlight w:val="none"/>
        </w:rPr>
        <w:t>血压波形记录功能。</w:t>
      </w:r>
      <w:r>
        <w:rPr>
          <w:rFonts w:hint="eastAsia" w:ascii="仿宋" w:hAnsi="仿宋" w:eastAsia="仿宋" w:cs="仿宋"/>
          <w:color w:val="auto"/>
          <w:kern w:val="0"/>
          <w:sz w:val="24"/>
          <w:highlight w:val="none"/>
        </w:rPr>
        <w:t>（提供产品界面或说明书证明）</w:t>
      </w:r>
    </w:p>
    <w:p w14:paraId="2C9427F6">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2.12、相关图分析：可查看收缩压和舒张压相关性，查看全部和部分相关图，数据范围可支持总体、白天、夜间。</w:t>
      </w:r>
    </w:p>
    <w:p w14:paraId="11CFA28C">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2.13、可一键同步打印血压、心电报告。</w:t>
      </w:r>
    </w:p>
    <w:p w14:paraId="3123AFAB">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3、设备使用年限≥10年（提供产品铭牌照片或说明书证明）。</w:t>
      </w:r>
    </w:p>
    <w:p w14:paraId="5E11C0AA">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二、主要配置：</w:t>
      </w:r>
    </w:p>
    <w:p w14:paraId="38CD203F">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1、动态心电血压监测仪分析软件：1套。</w:t>
      </w:r>
    </w:p>
    <w:p w14:paraId="52ED975C">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2、动态心电血压采集盒：26个。</w:t>
      </w:r>
    </w:p>
    <w:p w14:paraId="6C04F5FE">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3、心电导联线：52条。</w:t>
      </w:r>
    </w:p>
    <w:p w14:paraId="6120B1E3">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4、血压袖带：52个。</w:t>
      </w:r>
    </w:p>
    <w:p w14:paraId="4308D90C">
      <w:pPr>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5、工作站：1套（含分析软件）。</w:t>
      </w:r>
    </w:p>
    <w:p w14:paraId="775CD30A">
      <w:pPr>
        <w:tabs>
          <w:tab w:val="left" w:pos="360"/>
          <w:tab w:val="left" w:pos="900"/>
        </w:tabs>
        <w:spacing w:line="360" w:lineRule="auto"/>
        <w:rPr>
          <w:rFonts w:ascii="仿宋" w:hAnsi="仿宋" w:eastAsia="仿宋" w:cs="仿宋"/>
          <w:color w:val="auto"/>
          <w:sz w:val="24"/>
          <w:highlight w:val="none"/>
        </w:rPr>
      </w:pPr>
      <w:r>
        <w:rPr>
          <w:rFonts w:hint="eastAsia" w:ascii="仿宋" w:hAnsi="仿宋" w:eastAsia="仿宋" w:cs="仿宋"/>
          <w:color w:val="auto"/>
          <w:kern w:val="0"/>
          <w:sz w:val="24"/>
          <w:highlight w:val="none"/>
        </w:rPr>
        <w:t>三</w:t>
      </w:r>
      <w:r>
        <w:rPr>
          <w:rFonts w:hint="eastAsia" w:ascii="仿宋" w:hAnsi="仿宋" w:eastAsia="仿宋" w:cs="仿宋"/>
          <w:color w:val="auto"/>
          <w:sz w:val="24"/>
          <w:highlight w:val="none"/>
        </w:rPr>
        <w:t>、质保期：≥8年。</w:t>
      </w:r>
    </w:p>
    <w:p w14:paraId="0F11D4F7">
      <w:pPr>
        <w:spacing w:line="360" w:lineRule="auto"/>
        <w:rPr>
          <w:rFonts w:ascii="仿宋" w:hAnsi="仿宋" w:eastAsia="仿宋" w:cs="仿宋"/>
          <w:b/>
          <w:color w:val="auto"/>
          <w:kern w:val="0"/>
          <w:sz w:val="24"/>
          <w:highlight w:val="none"/>
        </w:rPr>
      </w:pPr>
    </w:p>
    <w:p w14:paraId="64135E32">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06A9A0BD">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 xml:space="preserve">第4包 品目4-2胸阻抗断层成像仪 </w:t>
      </w:r>
    </w:p>
    <w:p w14:paraId="163DEC63">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数量：1台/套</w:t>
      </w:r>
    </w:p>
    <w:p w14:paraId="0C7BEF7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一、主要用途：用于评估和研究肺内气体分布情况和动态规律。</w:t>
      </w:r>
    </w:p>
    <w:p w14:paraId="7CAE01B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0D93532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▲1、采用电阻抗断层成像技术。</w:t>
      </w:r>
    </w:p>
    <w:p w14:paraId="672E8E9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2、主机：</w:t>
      </w:r>
    </w:p>
    <w:p w14:paraId="1194B5B8">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2.1、彩色液晶触摸显示屏≥15英寸，图像显示分辨率≥1920×1080</w:t>
      </w:r>
      <w:r>
        <w:rPr>
          <w:rFonts w:hint="eastAsia" w:ascii="仿宋" w:hAnsi="仿宋" w:eastAsia="仿宋" w:cs="仿宋"/>
          <w:color w:val="auto"/>
          <w:sz w:val="24"/>
          <w:highlight w:val="none"/>
          <w:lang w:eastAsia="zh-CN"/>
        </w:rPr>
        <w:t>。</w:t>
      </w:r>
    </w:p>
    <w:p w14:paraId="0608B03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2.2、</w:t>
      </w:r>
      <w:r>
        <w:rPr>
          <w:rFonts w:hint="eastAsia" w:ascii="仿宋" w:hAnsi="仿宋" w:eastAsia="仿宋" w:cs="仿宋"/>
          <w:color w:val="auto"/>
          <w:sz w:val="24"/>
          <w:highlight w:val="none"/>
        </w:rPr>
        <w:t>一体化主机。</w:t>
      </w:r>
    </w:p>
    <w:p w14:paraId="529449C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、激励电流方式：采用对向激励，激励电流≤750uA，频率≥50kHz。</w:t>
      </w:r>
    </w:p>
    <w:p w14:paraId="6E63E877">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、具备无创和有创肺血流灌注、区域同步性监测功能。</w:t>
      </w:r>
    </w:p>
    <w:p w14:paraId="611FBC2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、可显示任意时间点电极平面内气体含量变化的区域性信息。</w:t>
      </w:r>
    </w:p>
    <w:p w14:paraId="554AACA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、可选择低通滤波、高通滤波、中值滤波和无滤波。</w:t>
      </w:r>
    </w:p>
    <w:p w14:paraId="21734D1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、可实时显示电极与皮肤接触功能并可提示。</w:t>
      </w:r>
    </w:p>
    <w:p w14:paraId="731315A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、可分别显示通气区域百分比（V）和血流区域百分比（Q）以及通气和血流同时存在区域的百分比。</w:t>
      </w:r>
    </w:p>
    <w:p w14:paraId="156FED1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、可选择任意两个时刻进行吸气末与呼末电阻抗比较分析，通过差分图像显示监测区域内吸气末与呼气末肺容量的短期变化信息。</w:t>
      </w:r>
    </w:p>
    <w:p w14:paraId="5E9CC69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、具备通气比较、肺过度膨胀与肺塌陷区域、肺灌注分析与区域延时通气比较及呼吸钟摆等在线分析功能。</w:t>
      </w:r>
    </w:p>
    <w:p w14:paraId="3EEE1CD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、所有数据都可在设备上进行在线数据分析，同时也可导出数据在离线软件上分析。</w:t>
      </w:r>
    </w:p>
    <w:p w14:paraId="300AA20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、具备屏幕截图功能可将截屏数据导出到设备中。</w:t>
      </w:r>
    </w:p>
    <w:p w14:paraId="4F6DE1C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、具备数据记录、回顾功能，可记录EIT数据，可回顾之前所记录EIT数据文件，并可记录趋势图像。</w:t>
      </w:r>
    </w:p>
    <w:p w14:paraId="22D1A95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、具备图像旋转功能，旋转角度选择≥5个。</w:t>
      </w:r>
    </w:p>
    <w:p w14:paraId="6F9CF44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、ROI可十字分割及水平分割。</w:t>
      </w:r>
    </w:p>
    <w:p w14:paraId="5D61C37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、具备事件编辑和删减功能，可编辑体位及角度等事件。</w:t>
      </w:r>
    </w:p>
    <w:p w14:paraId="46264F5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、具备自检功能。</w:t>
      </w:r>
    </w:p>
    <w:p w14:paraId="11E39D3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、具备无线连接功能，传输距离≥10m，可无线连接打印机。</w:t>
      </w:r>
    </w:p>
    <w:p w14:paraId="487366D5">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、具备USB、RS232接口。</w:t>
      </w:r>
    </w:p>
    <w:p w14:paraId="5D4664E2">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20</w:t>
      </w:r>
      <w:r>
        <w:rPr>
          <w:rFonts w:hint="eastAsia" w:ascii="仿宋" w:hAnsi="仿宋" w:eastAsia="仿宋" w:cs="仿宋"/>
          <w:color w:val="auto"/>
          <w:sz w:val="24"/>
          <w:highlight w:val="none"/>
        </w:rPr>
        <w:t>、具备多数据比较功能，可在同屏幕下显示针对同一患者治疗前后的两段数据进行比较，可显示不均一指数（GI）、通气中心（COV）及时间常数等。</w:t>
      </w:r>
    </w:p>
    <w:p w14:paraId="10398E0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▲3、数据采集盒：主机与数据采集盒无线连接，无需参比电极。</w:t>
      </w:r>
    </w:p>
    <w:p w14:paraId="5609BDD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4、电极带：</w:t>
      </w:r>
    </w:p>
    <w:p w14:paraId="481B551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4.1、等距电极≥15个。</w:t>
      </w:r>
    </w:p>
    <w:p w14:paraId="4AD5EC9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4.2、有多个闭合孔位点，可提供多种型号。</w:t>
      </w:r>
    </w:p>
    <w:p w14:paraId="6F3745A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5、使用寿命≥10年（提供设备铭牌照片或使用说明书证明）。</w:t>
      </w:r>
    </w:p>
    <w:p w14:paraId="55D6AC4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三、主要配置：</w:t>
      </w:r>
    </w:p>
    <w:p w14:paraId="73144D6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1、胸阻抗断层成像仪主机：1台。</w:t>
      </w:r>
    </w:p>
    <w:p w14:paraId="233D187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2、数据采集盒：1个。</w:t>
      </w:r>
    </w:p>
    <w:p w14:paraId="15FA637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3、电极带：5条。</w:t>
      </w:r>
    </w:p>
    <w:p w14:paraId="01CB5AA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四、质保期：≥5年。</w:t>
      </w:r>
    </w:p>
    <w:p w14:paraId="6AF91270">
      <w:pPr>
        <w:rPr>
          <w:rFonts w:ascii="仿宋" w:hAnsi="仿宋" w:eastAsia="仿宋" w:cs="仿宋"/>
          <w:color w:val="auto"/>
          <w:sz w:val="24"/>
          <w:highlight w:val="none"/>
        </w:rPr>
      </w:pPr>
      <w:r>
        <w:rPr>
          <w:rFonts w:hint="eastAsia" w:ascii="仿宋" w:hAnsi="仿宋" w:eastAsia="仿宋" w:cs="仿宋"/>
          <w:color w:val="auto"/>
          <w:sz w:val="24"/>
          <w:highlight w:val="none"/>
        </w:rPr>
        <w:br w:type="page"/>
      </w:r>
    </w:p>
    <w:p w14:paraId="73E2FEA2">
      <w:pPr>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第4包 品目4-3 色素浓度图分析仪</w:t>
      </w:r>
    </w:p>
    <w:p w14:paraId="12B5F6BF">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数量：1台/套</w:t>
      </w:r>
    </w:p>
    <w:p w14:paraId="586C568C">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3CCF1D57">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1、可用于肝脏储备功能检测。</w:t>
      </w:r>
    </w:p>
    <w:p w14:paraId="049D9ADA">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2、可检测的临床技术指标：至少含有效肝脏血流量或其他反映肝脏储备功能指标。</w:t>
      </w:r>
    </w:p>
    <w:p w14:paraId="46158F56">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3、检测过程自动校正，无需肢体校正。</w:t>
      </w:r>
    </w:p>
    <w:p w14:paraId="470DEFEB">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4、检测波长：660nm±10nm、805nm±10nm、940nm±10nm。</w:t>
      </w:r>
    </w:p>
    <w:p w14:paraId="553EF09F">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5、色素浓度测量范围：0~25mg/L；测量精度误差：不超过±0.6mg/L。</w:t>
      </w:r>
    </w:p>
    <w:p w14:paraId="4D19DA2B">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6、从启动检测到生成最终结果的总时间：≤8min。</w:t>
      </w:r>
    </w:p>
    <w:p w14:paraId="3ED56BDC">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7、具备测量后数据回溯分析功能，可重新计算检测结果。</w:t>
      </w:r>
    </w:p>
    <w:p w14:paraId="0F2238A2">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8、具备检测信息导入、导出功能。</w:t>
      </w:r>
    </w:p>
    <w:p w14:paraId="2DE50572">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9、具备开机自检功能，可对主机及传感器进行检测。</w:t>
      </w:r>
    </w:p>
    <w:p w14:paraId="604FFA25">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10、电源：AC220V±10%，50Hz±2%。</w:t>
      </w:r>
    </w:p>
    <w:p w14:paraId="5D525144">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二、主要配置：</w:t>
      </w:r>
    </w:p>
    <w:p w14:paraId="36C22E63">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1、分析仪主机：1台。</w:t>
      </w:r>
    </w:p>
    <w:p w14:paraId="0C5EBC65">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2、检测探头：3个。</w:t>
      </w:r>
    </w:p>
    <w:p w14:paraId="5E8BC8D2">
      <w:pPr>
        <w:shd w:val="clear" w:color="auto" w:fill="FCFCFC"/>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三、质保期：≥5年。</w:t>
      </w:r>
    </w:p>
    <w:p w14:paraId="4B19D9F0">
      <w:pPr>
        <w:spacing w:line="360" w:lineRule="auto"/>
        <w:rPr>
          <w:rFonts w:ascii="仿宋" w:hAnsi="仿宋" w:eastAsia="仿宋" w:cs="仿宋"/>
          <w:color w:val="auto"/>
          <w:sz w:val="24"/>
          <w:highlight w:val="none"/>
        </w:rPr>
      </w:pPr>
    </w:p>
    <w:p w14:paraId="50B47710">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235B09DA">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第5包 品目5-1 手术无影灯1</w:t>
      </w:r>
    </w:p>
    <w:p w14:paraId="2A7A7754">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数量：4台/套</w:t>
      </w:r>
    </w:p>
    <w:p w14:paraId="570FFBD1">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0553FADA">
      <w:pPr>
        <w:spacing w:line="360" w:lineRule="auto"/>
        <w:rPr>
          <w:rFonts w:ascii="仿宋" w:hAnsi="仿宋" w:eastAsia="仿宋" w:cs="仿宋"/>
          <w:color w:val="auto"/>
          <w:sz w:val="24"/>
          <w:highlight w:val="none"/>
        </w:rPr>
      </w:pPr>
      <w:bookmarkStart w:id="8" w:name="OLE_LINK17"/>
      <w:r>
        <w:rPr>
          <w:rFonts w:hint="eastAsia" w:ascii="仿宋" w:hAnsi="仿宋" w:eastAsia="仿宋" w:cs="仿宋"/>
          <w:color w:val="auto"/>
          <w:sz w:val="24"/>
          <w:highlight w:val="none"/>
        </w:rPr>
        <w:t>▲1、双母灯灯盘，参数完全一致。</w:t>
      </w:r>
    </w:p>
    <w:p w14:paraId="6E4048C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2、灯盘：</w:t>
      </w:r>
    </w:p>
    <w:p w14:paraId="17F06E7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2.1、表面为光滑圆弧型、无缝隙，无裸露铆钉，灯盘外周配有防撞橡胶装置。</w:t>
      </w:r>
    </w:p>
    <w:p w14:paraId="40C644C6">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w:t>
      </w:r>
      <w:bookmarkStart w:id="9" w:name="OLE_LINK5"/>
      <w:bookmarkStart w:id="10" w:name="OLE_LINK4"/>
      <w:bookmarkStart w:id="11" w:name="OLE_LINK19"/>
      <w:r>
        <w:rPr>
          <w:rFonts w:hint="eastAsia" w:ascii="仿宋" w:hAnsi="仿宋" w:eastAsia="仿宋" w:cs="仿宋"/>
          <w:color w:val="auto"/>
          <w:sz w:val="24"/>
          <w:highlight w:val="none"/>
        </w:rPr>
        <w:t>灯盘尺寸：直径≤ 650mm，高度≤100mm。</w:t>
      </w:r>
    </w:p>
    <w:bookmarkEnd w:id="9"/>
    <w:bookmarkEnd w:id="10"/>
    <w:p w14:paraId="501C7276">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2.3、灯盘重量：≤20kg。</w:t>
      </w:r>
    </w:p>
    <w:bookmarkEnd w:id="11"/>
    <w:p w14:paraId="4FDD45F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2.4、光源：</w:t>
      </w:r>
    </w:p>
    <w:p w14:paraId="084A6C34">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2.4.1、LED光源(含冷白和暖白两色，内部混合)，透镜反射原理。</w:t>
      </w:r>
    </w:p>
    <w:p w14:paraId="0976D80D">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2.4.2、灯泡使用寿命: ≥50000h。</w:t>
      </w:r>
    </w:p>
    <w:p w14:paraId="15F830E0">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2.4.3、手术灯功率：≤70W。</w:t>
      </w:r>
    </w:p>
    <w:p w14:paraId="713D54F0">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▲2.4.4、光斑直径调节范围：20cm～28cm@距灯头1m时。</w:t>
      </w:r>
    </w:p>
    <w:p w14:paraId="7F5EDD0D">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2.4.5、最大照明亮度：≥160000 Lux；亮度调节范围：15%～100%；调节档位≥8档。</w:t>
      </w:r>
    </w:p>
    <w:p w14:paraId="68F79453">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▲2.4.6、色温调节范围：3800K～5600K；调节档位≥3档。</w:t>
      </w:r>
    </w:p>
    <w:p w14:paraId="5FA98D48">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2.4.7、色彩还原指数Ra: ≥95, R9: ≥94。</w:t>
      </w:r>
    </w:p>
    <w:p w14:paraId="44636206">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2.4.8、照明深度（L1+L2）20%：≥1300mm。</w:t>
      </w:r>
    </w:p>
    <w:p w14:paraId="6EB443D0">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2.4.9、光柱聚焦深度(L1+L2)60%：≥700mm。</w:t>
      </w:r>
    </w:p>
    <w:p w14:paraId="52B3548E">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2.4.10、双板+单管无影率≥55%，单管无影率≥99%。</w:t>
      </w:r>
    </w:p>
    <w:p w14:paraId="0831B8F5">
      <w:pPr>
        <w:pStyle w:val="94"/>
        <w:tabs>
          <w:tab w:val="left" w:pos="360"/>
        </w:tabs>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▲2.4.11、D50/D10：≥0.6。</w:t>
      </w:r>
    </w:p>
    <w:p w14:paraId="297EE25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2.4.12、总辐射：≤600 W/m²；辐射照度：≤3.6 mW/m²lx。</w:t>
      </w:r>
    </w:p>
    <w:p w14:paraId="6CF623CC">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2.5、具有一体成型环形把手,供非洁净区人员移动手术灯位置。</w:t>
      </w:r>
    </w:p>
    <w:p w14:paraId="51A028DF">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2.6、控制面板：可调节照明亮度、开关灯源、色温、光斑。  </w:t>
      </w:r>
    </w:p>
    <w:p w14:paraId="230035C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2.7、灯内可配高清摄像装置。</w:t>
      </w:r>
    </w:p>
    <w:p w14:paraId="097C56B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3、吊臂：</w:t>
      </w:r>
    </w:p>
    <w:p w14:paraId="1EFCA6AE">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3.1、圆型吊管设计，灯头的弹簧臂绕旋转臂旋转≥360°，灯头绕万向架旋转≥330°。</w:t>
      </w:r>
    </w:p>
    <w:p w14:paraId="2E0EF4CE">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3.2、灯臂活动关节：≥ 6个。</w:t>
      </w:r>
    </w:p>
    <w:bookmarkEnd w:id="8"/>
    <w:p w14:paraId="5A05318B">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4、中置手柄：</w:t>
      </w:r>
    </w:p>
    <w:p w14:paraId="4B84CEF8">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4.1、可调节无影灯亮度和光斑大小。</w:t>
      </w:r>
    </w:p>
    <w:p w14:paraId="1C502A67">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4.2、安装可拆卸手柄时的作用力≤1N；非有意拆卸的作用力≥100N。</w:t>
      </w:r>
    </w:p>
    <w:p w14:paraId="428D85A2">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5、中置摄像系统：</w:t>
      </w:r>
    </w:p>
    <w:p w14:paraId="33D0C165">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5.1、摄像头不伸出灯罩表面。</w:t>
      </w:r>
    </w:p>
    <w:p w14:paraId="43E704E9">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▲5.2、高清摄像头不安装在灯头正中,可术中360°无死角拍摄，灯头内无线摄像传输。</w:t>
      </w:r>
    </w:p>
    <w:p w14:paraId="44D84B24">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5.3、图像传感器：</w:t>
      </w:r>
      <w:r>
        <w:rPr>
          <w:rFonts w:hint="eastAsia" w:ascii="仿宋" w:hAnsi="仿宋" w:eastAsia="仿宋" w:cs="仿宋"/>
          <w:color w:val="auto"/>
          <w:kern w:val="0"/>
          <w:sz w:val="24"/>
          <w:highlight w:val="none"/>
        </w:rPr>
        <w:t>CMOS，尺寸≥ 1/2.8英寸。</w:t>
      </w:r>
    </w:p>
    <w:p w14:paraId="604E297C">
      <w:pPr>
        <w:tabs>
          <w:tab w:val="left" w:pos="1893"/>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▲5.4、成像矩阵：1</w:t>
      </w:r>
      <w:r>
        <w:rPr>
          <w:rFonts w:hint="eastAsia" w:ascii="仿宋" w:hAnsi="仿宋" w:eastAsia="仿宋" w:cs="仿宋"/>
          <w:color w:val="auto"/>
          <w:kern w:val="0"/>
          <w:sz w:val="24"/>
          <w:highlight w:val="none"/>
        </w:rPr>
        <w:t>920×1080；</w:t>
      </w:r>
      <w:bookmarkStart w:id="12" w:name="OLE_LINK7"/>
      <w:r>
        <w:rPr>
          <w:rFonts w:hint="eastAsia" w:ascii="仿宋" w:hAnsi="仿宋" w:eastAsia="仿宋" w:cs="仿宋"/>
          <w:color w:val="auto"/>
          <w:sz w:val="24"/>
          <w:highlight w:val="none"/>
        </w:rPr>
        <w:t>光学变焦</w:t>
      </w:r>
      <w:bookmarkEnd w:id="12"/>
      <w:r>
        <w:rPr>
          <w:rFonts w:hint="eastAsia" w:ascii="仿宋" w:hAnsi="仿宋" w:eastAsia="仿宋" w:cs="仿宋"/>
          <w:color w:val="auto"/>
          <w:sz w:val="24"/>
          <w:highlight w:val="none"/>
        </w:rPr>
        <w:t>≥10倍。</w:t>
      </w:r>
    </w:p>
    <w:p w14:paraId="78EF6CE6">
      <w:pPr>
        <w:tabs>
          <w:tab w:val="left" w:pos="1893"/>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5.5、数字变焦</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≥12倍。</w:t>
      </w:r>
    </w:p>
    <w:p w14:paraId="31D8B94D">
      <w:pPr>
        <w:tabs>
          <w:tab w:val="left" w:pos="1893"/>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5.6、信噪比：≥50dB。</w:t>
      </w:r>
    </w:p>
    <w:p w14:paraId="51647BCE">
      <w:pPr>
        <w:tabs>
          <w:tab w:val="left" w:pos="1893"/>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5.7、具备自动白平衡。</w:t>
      </w:r>
    </w:p>
    <w:p w14:paraId="05BDF28D">
      <w:pPr>
        <w:tabs>
          <w:tab w:val="left" w:pos="1893"/>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5.8、增益：自动、手动；调节范围：-3dB～28dB,调节步长≤2dB。</w:t>
      </w:r>
    </w:p>
    <w:p w14:paraId="149DA28F">
      <w:pPr>
        <w:tabs>
          <w:tab w:val="left" w:pos="1893"/>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5.9、视频输出端口：</w:t>
      </w:r>
      <w:r>
        <w:rPr>
          <w:rFonts w:hint="eastAsia" w:ascii="仿宋" w:hAnsi="仿宋" w:eastAsia="仿宋" w:cs="仿宋"/>
          <w:color w:val="auto"/>
          <w:kern w:val="0"/>
          <w:sz w:val="24"/>
          <w:highlight w:val="none"/>
        </w:rPr>
        <w:t>HD-SDI≥2个，DVI-D ≥1个</w:t>
      </w:r>
      <w:r>
        <w:rPr>
          <w:rFonts w:hint="eastAsia" w:ascii="仿宋" w:hAnsi="仿宋" w:eastAsia="仿宋" w:cs="仿宋"/>
          <w:color w:val="auto"/>
          <w:sz w:val="24"/>
          <w:highlight w:val="none"/>
        </w:rPr>
        <w:t>。</w:t>
      </w:r>
    </w:p>
    <w:p w14:paraId="7C6575AA">
      <w:pPr>
        <w:tabs>
          <w:tab w:val="left" w:pos="1893"/>
        </w:tabs>
        <w:spacing w:line="360" w:lineRule="auto"/>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5.10、重量：≤250g。</w:t>
      </w:r>
    </w:p>
    <w:p w14:paraId="2058228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二、主要配置（单台/套）：</w:t>
      </w:r>
    </w:p>
    <w:p w14:paraId="788432A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1、底座预埋件：1个。</w:t>
      </w:r>
    </w:p>
    <w:p w14:paraId="08F7C61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2、吊臂：1套。</w:t>
      </w:r>
    </w:p>
    <w:p w14:paraId="58041B1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3、无影灯灯盘：2个。</w:t>
      </w:r>
    </w:p>
    <w:p w14:paraId="2FCC423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4、消毒手柄：2个。</w:t>
      </w:r>
    </w:p>
    <w:p w14:paraId="0F3D375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5、中置摄像系统：1套。</w:t>
      </w:r>
    </w:p>
    <w:p w14:paraId="18E94623">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三、质保期：≥6年。</w:t>
      </w:r>
    </w:p>
    <w:p w14:paraId="28AC0916">
      <w:pPr>
        <w:spacing w:line="360" w:lineRule="auto"/>
        <w:rPr>
          <w:rFonts w:ascii="仿宋" w:hAnsi="仿宋" w:eastAsia="仿宋" w:cs="仿宋"/>
          <w:b/>
          <w:color w:val="auto"/>
          <w:kern w:val="0"/>
          <w:sz w:val="24"/>
          <w:highlight w:val="none"/>
        </w:rPr>
      </w:pPr>
    </w:p>
    <w:p w14:paraId="59248F4B">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172E80EF">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第5包 品目5-2手术无影灯2</w:t>
      </w:r>
    </w:p>
    <w:p w14:paraId="6504463C">
      <w:pPr>
        <w:snapToGrid w:val="0"/>
        <w:spacing w:line="360" w:lineRule="auto"/>
        <w:rPr>
          <w:rFonts w:ascii="仿宋" w:hAnsi="仿宋" w:eastAsia="仿宋" w:cs="宋体"/>
          <w:b/>
          <w:color w:val="auto"/>
          <w:kern w:val="0"/>
          <w:sz w:val="24"/>
          <w:highlight w:val="none"/>
        </w:rPr>
      </w:pPr>
      <w:r>
        <w:rPr>
          <w:rFonts w:hint="eastAsia" w:ascii="仿宋" w:hAnsi="仿宋" w:eastAsia="仿宋" w:cs="宋体"/>
          <w:b/>
          <w:color w:val="auto"/>
          <w:kern w:val="0"/>
          <w:sz w:val="24"/>
          <w:highlight w:val="none"/>
        </w:rPr>
        <w:t>数量：10台/套</w:t>
      </w:r>
    </w:p>
    <w:p w14:paraId="129A5D8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763546A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▲1、字母灯灯盘或双母灯灯盘。</w:t>
      </w:r>
    </w:p>
    <w:p w14:paraId="342FA87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2、灯盘：</w:t>
      </w:r>
    </w:p>
    <w:p w14:paraId="7035EFF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2.1、表面为光滑圆弧型、无缝隙，无裸露铆钉，灯盘外周配有防撞橡胶装置。</w:t>
      </w:r>
    </w:p>
    <w:p w14:paraId="1836EA91">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2.2、灯盘尺寸：直径≤ 650mm，高度≤80mm。</w:t>
      </w:r>
    </w:p>
    <w:p w14:paraId="192E984E">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2.3、灯盘重量：≤15kg。</w:t>
      </w:r>
    </w:p>
    <w:p w14:paraId="576FDFA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2.4、光源：</w:t>
      </w:r>
    </w:p>
    <w:p w14:paraId="55B55039">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2.4.1、白色LED光源，透镜反射原理。</w:t>
      </w:r>
    </w:p>
    <w:p w14:paraId="69D2CEE6">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2.4.2、灯泡使用寿命: ≥50000h。</w:t>
      </w:r>
    </w:p>
    <w:p w14:paraId="0D701BE8">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2.4.3、手术灯功率：≤70W。</w:t>
      </w:r>
    </w:p>
    <w:p w14:paraId="48F64126">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▲2.4.4、光斑直径≥20cm@距灯头1米时。</w:t>
      </w:r>
    </w:p>
    <w:p w14:paraId="3F07682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▲2.4.5、照明亮度: 子灯≥120000 Lux，母灯≥160000 Lux。</w:t>
      </w:r>
    </w:p>
    <w:p w14:paraId="6C0C36C1">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2.4.6</w:t>
      </w:r>
      <w:r>
        <w:rPr>
          <w:rFonts w:hint="eastAsia" w:ascii="仿宋" w:hAnsi="仿宋" w:eastAsia="仿宋" w:cs="仿宋"/>
          <w:color w:val="auto"/>
          <w:sz w:val="24"/>
          <w:highlight w:val="none"/>
        </w:rPr>
        <w:t>、固定色温：</w:t>
      </w:r>
      <w:r>
        <w:rPr>
          <w:rFonts w:ascii="仿宋" w:hAnsi="仿宋" w:eastAsia="仿宋" w:cs="仿宋"/>
          <w:color w:val="auto"/>
          <w:sz w:val="24"/>
          <w:highlight w:val="none"/>
        </w:rPr>
        <w:t>4400K</w:t>
      </w:r>
      <w:r>
        <w:rPr>
          <w:rFonts w:hint="eastAsia" w:ascii="仿宋" w:hAnsi="仿宋" w:eastAsia="仿宋" w:cs="仿宋"/>
          <w:color w:val="auto"/>
          <w:sz w:val="24"/>
          <w:highlight w:val="none"/>
        </w:rPr>
        <w:t>±</w:t>
      </w:r>
      <w:r>
        <w:rPr>
          <w:rFonts w:ascii="仿宋" w:hAnsi="仿宋" w:eastAsia="仿宋" w:cs="仿宋"/>
          <w:color w:val="auto"/>
          <w:sz w:val="24"/>
          <w:highlight w:val="none"/>
        </w:rPr>
        <w:t>200K</w:t>
      </w:r>
      <w:r>
        <w:rPr>
          <w:rFonts w:hint="eastAsia" w:ascii="仿宋" w:hAnsi="仿宋" w:eastAsia="仿宋" w:cs="仿宋"/>
          <w:color w:val="auto"/>
          <w:sz w:val="24"/>
          <w:highlight w:val="none"/>
        </w:rPr>
        <w:t>或</w:t>
      </w:r>
      <w:r>
        <w:rPr>
          <w:rFonts w:ascii="仿宋" w:hAnsi="仿宋" w:eastAsia="仿宋" w:cs="仿宋"/>
          <w:color w:val="auto"/>
          <w:sz w:val="24"/>
          <w:highlight w:val="none"/>
        </w:rPr>
        <w:t>5000K</w:t>
      </w:r>
      <w:r>
        <w:rPr>
          <w:rFonts w:hint="eastAsia" w:ascii="仿宋" w:hAnsi="仿宋" w:eastAsia="仿宋" w:cs="仿宋"/>
          <w:color w:val="auto"/>
          <w:sz w:val="24"/>
          <w:highlight w:val="none"/>
        </w:rPr>
        <w:t>±</w:t>
      </w:r>
      <w:r>
        <w:rPr>
          <w:rFonts w:ascii="仿宋" w:hAnsi="仿宋" w:eastAsia="仿宋" w:cs="仿宋"/>
          <w:color w:val="auto"/>
          <w:sz w:val="24"/>
          <w:highlight w:val="none"/>
        </w:rPr>
        <w:t>200K</w:t>
      </w:r>
      <w:r>
        <w:rPr>
          <w:rFonts w:hint="eastAsia" w:ascii="仿宋" w:hAnsi="仿宋" w:eastAsia="仿宋" w:cs="仿宋"/>
          <w:color w:val="auto"/>
          <w:sz w:val="24"/>
          <w:highlight w:val="none"/>
        </w:rPr>
        <w:t>。</w:t>
      </w:r>
    </w:p>
    <w:p w14:paraId="0AD4F8E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2.4.7、色彩还原指数Ra: ≥95, R9: ≥95。</w:t>
      </w:r>
    </w:p>
    <w:p w14:paraId="14346BA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2.4.8、照明深度（L1+L2）20%：≥1300mm。</w:t>
      </w:r>
    </w:p>
    <w:p w14:paraId="797B91A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2.4.9、光柱聚焦深度(L1+L2)60%：≥750mm。</w:t>
      </w:r>
    </w:p>
    <w:p w14:paraId="25F70E5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2.4.10、双板+单管无影率≥50%，单管无影率≥100%。</w:t>
      </w:r>
    </w:p>
    <w:p w14:paraId="6284623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▲2.4.11、D50/D10：≥0.55。</w:t>
      </w:r>
    </w:p>
    <w:p w14:paraId="6347F11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2.4.12、总辐射：子灯≤500 W/m²；母灯≤600 W/m²。</w:t>
      </w:r>
    </w:p>
    <w:p w14:paraId="353CB46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2.4.13、辐射照度：≤3.5 mW/m²lx。</w:t>
      </w:r>
    </w:p>
    <w:p w14:paraId="296556BC">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2.5、具有一体成型环形把手,供非洁净区人员移动手术灯位置。</w:t>
      </w:r>
    </w:p>
    <w:p w14:paraId="6891056C">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2.6、控制面板：可调节照明亮度、开关灯源、色温、光斑。  </w:t>
      </w:r>
    </w:p>
    <w:p w14:paraId="5B3238A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3、吊臂：</w:t>
      </w:r>
    </w:p>
    <w:p w14:paraId="21B8671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3.1、圆型吊管设计。</w:t>
      </w:r>
    </w:p>
    <w:p w14:paraId="6F11F2E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3.2、灯臂活动关节：≥5组。</w:t>
      </w:r>
    </w:p>
    <w:p w14:paraId="5E502D2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3.3、单灯臂长：</w:t>
      </w:r>
      <w:r>
        <w:rPr>
          <w:rFonts w:ascii="仿宋" w:hAnsi="仿宋" w:eastAsia="仿宋" w:cs="仿宋"/>
          <w:color w:val="auto"/>
          <w:sz w:val="24"/>
          <w:highlight w:val="none"/>
        </w:rPr>
        <w:t>750-1500</w:t>
      </w:r>
      <w:r>
        <w:rPr>
          <w:rFonts w:hint="eastAsia" w:ascii="仿宋" w:hAnsi="仿宋" w:eastAsia="仿宋" w:cs="仿宋"/>
          <w:color w:val="auto"/>
          <w:sz w:val="24"/>
          <w:highlight w:val="none"/>
        </w:rPr>
        <w:t>mm之间。</w:t>
      </w:r>
    </w:p>
    <w:p w14:paraId="1C93D50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3.4、弹簧臂调节角度：向下≥70°；向上≥45°。</w:t>
      </w:r>
    </w:p>
    <w:p w14:paraId="39F8DDA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3.5、弹簧臂上下活动行程：≥1250mm。</w:t>
      </w:r>
    </w:p>
    <w:p w14:paraId="66C2D71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3.6、灯头的垂直位移最大作用力≤20N。</w:t>
      </w:r>
    </w:p>
    <w:p w14:paraId="2A74E1FC">
      <w:pPr>
        <w:tabs>
          <w:tab w:val="left" w:pos="360"/>
        </w:tabs>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4、中置手柄：可消毒, 可徒手拆卸；灭菌手柄最大安装力和拆卸力≤10N。</w:t>
      </w:r>
    </w:p>
    <w:p w14:paraId="0E739A5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5、摄像支臂：</w:t>
      </w:r>
    </w:p>
    <w:p w14:paraId="5DB3E04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5.1、旁置摄像支臂，承重≥20kg。</w:t>
      </w:r>
    </w:p>
    <w:p w14:paraId="0CC41AE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5.2、摄像支臂横向旋转范围：-60°～+10°，纵向旋转范围：≥360°。</w:t>
      </w:r>
    </w:p>
    <w:p w14:paraId="25E63AD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二、主要配置（全部配置）：</w:t>
      </w:r>
    </w:p>
    <w:p w14:paraId="77A33DF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1、底座预埋件：10个。</w:t>
      </w:r>
    </w:p>
    <w:p w14:paraId="4BCC33F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2、吊臂：10套。</w:t>
      </w:r>
    </w:p>
    <w:p w14:paraId="453C6E5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3、无影灯灯盘：20个。</w:t>
      </w:r>
    </w:p>
    <w:p w14:paraId="0D2D52E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4、消毒手柄：20个。</w:t>
      </w:r>
    </w:p>
    <w:p w14:paraId="65CD913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5、摄像支臂：2套。</w:t>
      </w:r>
    </w:p>
    <w:p w14:paraId="1B020DD0">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三、质保期：≥6年。</w:t>
      </w:r>
    </w:p>
    <w:p w14:paraId="3B0EC4C6">
      <w:pPr>
        <w:spacing w:line="360" w:lineRule="auto"/>
        <w:rPr>
          <w:rFonts w:ascii="仿宋" w:hAnsi="仿宋" w:eastAsia="仿宋" w:cs="仿宋"/>
          <w:color w:val="auto"/>
          <w:sz w:val="24"/>
          <w:highlight w:val="none"/>
        </w:rPr>
      </w:pPr>
    </w:p>
    <w:p w14:paraId="0C7E2419">
      <w:pPr>
        <w:snapToGrid w:val="0"/>
        <w:spacing w:line="360" w:lineRule="auto"/>
        <w:rPr>
          <w:rFonts w:ascii="仿宋" w:hAnsi="仿宋" w:eastAsia="仿宋" w:cs="宋体"/>
          <w:b/>
          <w:color w:val="auto"/>
          <w:kern w:val="0"/>
          <w:sz w:val="24"/>
          <w:highlight w:val="none"/>
        </w:rPr>
      </w:pPr>
    </w:p>
    <w:p w14:paraId="6BC37002">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0A467F3C">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第5包 品目5-3手术吊塔</w:t>
      </w:r>
    </w:p>
    <w:p w14:paraId="09372C4B">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数量：14台/套</w:t>
      </w:r>
    </w:p>
    <w:p w14:paraId="52F144A7">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221E192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、提供第三方出具的吊塔预埋件安装方式及安全性的计算报告。</w:t>
      </w:r>
    </w:p>
    <w:p w14:paraId="584E98E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、机械双臂，具备机械摩擦刹车功能，活动半径（臂长）≥1500mm。</w:t>
      </w:r>
    </w:p>
    <w:p w14:paraId="4C36576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、净载重量：≥120kg（提供检测报告证明）。</w:t>
      </w:r>
    </w:p>
    <w:p w14:paraId="245D48C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、吊塔主体采用吊架式，吊架长度≥1200mm。</w:t>
      </w:r>
    </w:p>
    <w:p w14:paraId="582A213C">
      <w:pPr>
        <w:spacing w:line="360" w:lineRule="auto"/>
        <w:rPr>
          <w:rFonts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rPr>
        <w:t>吊塔主体材料：采用6000系列铝合金,全封闭式设计，吊塔整体表面无锐角，无螺丝钉外露。</w:t>
      </w:r>
    </w:p>
    <w:p w14:paraId="67B5D0A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、表面具备抗菌喷粉涂层，抗菌率≥99.9%。</w:t>
      </w:r>
    </w:p>
    <w:p w14:paraId="664A88D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、吊塔内部气体软管为医用气体管路，符合医用供气ISO5359安全标准。</w:t>
      </w:r>
    </w:p>
    <w:p w14:paraId="469C627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、所有电源线路及气源管路在塔体内不能外露，吊柱内部气电分离设计，底部有导流孔，可排除意外情况下产生的气体泄漏。</w:t>
      </w:r>
    </w:p>
    <w:p w14:paraId="3430ADA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、气电箱：</w:t>
      </w:r>
    </w:p>
    <w:p w14:paraId="6CAAFF1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.1、气电箱体长度：≥500mm。</w:t>
      </w:r>
    </w:p>
    <w:p w14:paraId="7CB8370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.2、气体终端：</w:t>
      </w:r>
    </w:p>
    <w:p w14:paraId="378D5F8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.2.1、气体终端带有正向止回阀。</w:t>
      </w:r>
    </w:p>
    <w:p w14:paraId="6050736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.2.2、各类气体插座符合ISO标识标准，均为不同颜色和不同形状。</w:t>
      </w:r>
    </w:p>
    <w:p w14:paraId="715B6E4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.2.3、接口插拔寿命≥5万次。</w:t>
      </w:r>
    </w:p>
    <w:p w14:paraId="487F378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.2.4、所有负压气体管道和气口1：1配置，不得采用双通或三通来连接负压气管。</w:t>
      </w:r>
    </w:p>
    <w:p w14:paraId="7E22755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.2.5、气体终端具备通、断、拔三状态（提供产品结构图证明）。</w:t>
      </w:r>
    </w:p>
    <w:p w14:paraId="749B27A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.2.6、德标气体终端， 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端口≥1个、Air端口≥1个、Vac端口≥1个、CO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终端≥1个。</w:t>
      </w:r>
    </w:p>
    <w:p w14:paraId="66B4DCF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.3、吊塔内部配置≥16mm</w:t>
      </w:r>
      <w:r>
        <w:rPr>
          <w:rFonts w:hint="eastAsia" w:ascii="仿宋" w:hAnsi="仿宋" w:eastAsia="仿宋" w:cs="仿宋"/>
          <w:color w:val="auto"/>
          <w:sz w:val="24"/>
          <w:highlight w:val="none"/>
          <w:vertAlign w:val="superscript"/>
        </w:rPr>
        <w:t>2</w:t>
      </w:r>
      <w:r>
        <w:rPr>
          <w:rFonts w:hint="eastAsia" w:ascii="仿宋" w:hAnsi="仿宋" w:eastAsia="仿宋" w:cs="仿宋"/>
          <w:color w:val="auto"/>
          <w:sz w:val="24"/>
          <w:highlight w:val="none"/>
        </w:rPr>
        <w:t>低烟无卤材质接地线，保护接地端子与任何已保护接地部件之间的阻抗：≤0.1Ω （提供具备CMA和CNAS资质的第三方检测报告）；等电位端子：≥1个。</w:t>
      </w:r>
    </w:p>
    <w:p w14:paraId="23C2433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.4、电源插座：采用新国标斜五孔设计（双孔和三孔位置左右错开）和低烟无卤3芯线，10A端口≥8个。</w:t>
      </w:r>
    </w:p>
    <w:p w14:paraId="760BEC2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.5、RJ45通讯终端：≥2个。</w:t>
      </w:r>
    </w:p>
    <w:p w14:paraId="2D5596A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.6、视频口：≥1个。</w:t>
      </w:r>
    </w:p>
    <w:p w14:paraId="60CF695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.7、设备平台：</w:t>
      </w:r>
    </w:p>
    <w:p w14:paraId="3BFF655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.7.1、镁铝合金材质，一体成型设计，无铆钉，前端带弧形防撞系统，数量≥3个。</w:t>
      </w:r>
    </w:p>
    <w:p w14:paraId="372EEDE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.7.2、宽度：≥600mm，深度：≥450mm，平台与平台间距≥450mm最大承重≥50kg。</w:t>
      </w:r>
    </w:p>
    <w:p w14:paraId="3F9939B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.8、抽屉：≥1套，正面采用金属材质，底部具备带阻尼自吸式导轨。</w:t>
      </w:r>
    </w:p>
    <w:p w14:paraId="158AD5F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.9、网篮：≥1套。</w:t>
      </w:r>
    </w:p>
    <w:p w14:paraId="14C1580C">
      <w:pPr>
        <w:spacing w:line="360" w:lineRule="auto"/>
        <w:rPr>
          <w:rFonts w:ascii="仿宋" w:hAnsi="仿宋" w:eastAsia="仿宋" w:cs="仿宋"/>
          <w:bCs/>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、制造商通过ISO9001、ISO13485质量管理体系认证并提供证书复印件。</w:t>
      </w:r>
    </w:p>
    <w:p w14:paraId="2913F8B7">
      <w:pPr>
        <w:spacing w:line="360" w:lineRule="auto"/>
        <w:rPr>
          <w:rFonts w:ascii="仿宋" w:hAnsi="仿宋" w:eastAsia="仿宋" w:cs="仿宋"/>
          <w:color w:val="auto"/>
          <w:sz w:val="24"/>
          <w:highlight w:val="none"/>
        </w:rPr>
      </w:pPr>
      <w:r>
        <w:rPr>
          <w:rFonts w:hint="eastAsia" w:ascii="仿宋" w:hAnsi="仿宋" w:eastAsia="仿宋" w:cs="仿宋"/>
          <w:bCs/>
          <w:color w:val="auto"/>
          <w:sz w:val="24"/>
          <w:highlight w:val="none"/>
        </w:rPr>
        <w:t>二、质保期：≥</w:t>
      </w:r>
      <w:r>
        <w:rPr>
          <w:rFonts w:hint="eastAsia" w:ascii="仿宋" w:hAnsi="仿宋" w:eastAsia="仿宋" w:cs="仿宋"/>
          <w:color w:val="auto"/>
          <w:sz w:val="24"/>
          <w:highlight w:val="none"/>
        </w:rPr>
        <w:t>6年。</w:t>
      </w:r>
    </w:p>
    <w:p w14:paraId="27D22F86">
      <w:pPr>
        <w:spacing w:line="360" w:lineRule="auto"/>
        <w:rPr>
          <w:rFonts w:ascii="仿宋" w:hAnsi="仿宋" w:eastAsia="仿宋" w:cs="仿宋"/>
          <w:color w:val="auto"/>
          <w:sz w:val="24"/>
          <w:highlight w:val="none"/>
        </w:rPr>
      </w:pPr>
    </w:p>
    <w:p w14:paraId="6A6C195B">
      <w:pPr>
        <w:spacing w:line="360" w:lineRule="auto"/>
        <w:rPr>
          <w:rFonts w:ascii="仿宋" w:hAnsi="仿宋" w:eastAsia="仿宋" w:cs="仿宋"/>
          <w:b/>
          <w:color w:val="auto"/>
          <w:kern w:val="0"/>
          <w:sz w:val="24"/>
          <w:highlight w:val="none"/>
        </w:rPr>
      </w:pPr>
    </w:p>
    <w:p w14:paraId="7CE525FE">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092E545B">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第5包 品目5-4 麻醉吊塔</w:t>
      </w:r>
    </w:p>
    <w:p w14:paraId="209126B6">
      <w:pPr>
        <w:spacing w:line="360" w:lineRule="auto"/>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数量：14台/套</w:t>
      </w:r>
    </w:p>
    <w:p w14:paraId="05A6EC6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7F85CA4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、提供第三方出具的吊塔预埋件安装方式及安全性的计算报告。</w:t>
      </w:r>
    </w:p>
    <w:p w14:paraId="5849D79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、机械双臂，具备机械摩擦刹车功能，活动半径（臂长）≥1500mm。</w:t>
      </w:r>
    </w:p>
    <w:p w14:paraId="1BD0987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、净载重量：≥120kg（提供检测报告证明）。</w:t>
      </w:r>
    </w:p>
    <w:p w14:paraId="4A4751A7">
      <w:pPr>
        <w:spacing w:line="360" w:lineRule="auto"/>
        <w:rPr>
          <w:rFonts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rPr>
        <w:t>吊塔主体材料：采用6000系列铝合金,全封闭式设计，吊塔整体表面无锐角，无螺丝钉外露。</w:t>
      </w:r>
    </w:p>
    <w:p w14:paraId="19ADAD5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、表面具备抗菌喷粉涂层，抗菌率≥99.9%。</w:t>
      </w:r>
    </w:p>
    <w:p w14:paraId="27D043A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、吊塔内部气体软管为医用气体管路，符合医用供气ISO5359安全标准。</w:t>
      </w:r>
    </w:p>
    <w:p w14:paraId="2486214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、所有电源线路及气源管路在塔体内不能外露，吊柱内部气电分离设计，底部有导流孔，可排除意外情况下产生的气体泄漏。</w:t>
      </w:r>
    </w:p>
    <w:p w14:paraId="7D82A2C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、气电箱：</w:t>
      </w:r>
    </w:p>
    <w:p w14:paraId="0F427FA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.1、吊柱式箱体，具备边轨。</w:t>
      </w:r>
    </w:p>
    <w:p w14:paraId="296216E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.2、气电箱体长度：≥1000mm。</w:t>
      </w:r>
    </w:p>
    <w:p w14:paraId="1AB259F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.3、气体终端：</w:t>
      </w:r>
    </w:p>
    <w:p w14:paraId="1BFF19B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.3.1、气体终端带有正向止回阀。</w:t>
      </w:r>
    </w:p>
    <w:p w14:paraId="5D79172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.3.2、各类气体插座符合ISO标识标准，均为不同颜色和不同形状。</w:t>
      </w:r>
    </w:p>
    <w:p w14:paraId="18BCDCD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.3.3、接口插拔寿命≥5万次。</w:t>
      </w:r>
    </w:p>
    <w:p w14:paraId="06D40E1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.3.4、所有负压气体管道和气口1：1配置，不得采用双通或三通来连接负压气管。</w:t>
      </w:r>
    </w:p>
    <w:p w14:paraId="74F4A5B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.3.5、气体终端具备通、断、拔三状态，其中麻醉废气排放气口AGSS采用文丘里原理，正压持续排放，非负压抽吸式DISS（提供产品结构图证明）。</w:t>
      </w:r>
    </w:p>
    <w:p w14:paraId="77CE853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.3.6、德标气体终端，O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端口≥2个、Air端口≥1个、Vac端口≥2个、AGSS≥2个。</w:t>
      </w:r>
    </w:p>
    <w:p w14:paraId="1762AAB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.4、吊塔内部配置≥16mm</w:t>
      </w:r>
      <w:r>
        <w:rPr>
          <w:rFonts w:hint="eastAsia" w:ascii="仿宋" w:hAnsi="仿宋" w:eastAsia="仿宋" w:cs="仿宋"/>
          <w:color w:val="auto"/>
          <w:sz w:val="24"/>
          <w:highlight w:val="none"/>
          <w:vertAlign w:val="superscript"/>
        </w:rPr>
        <w:t>2</w:t>
      </w:r>
      <w:r>
        <w:rPr>
          <w:rFonts w:hint="eastAsia" w:ascii="仿宋" w:hAnsi="仿宋" w:eastAsia="仿宋" w:cs="仿宋"/>
          <w:color w:val="auto"/>
          <w:sz w:val="24"/>
          <w:highlight w:val="none"/>
        </w:rPr>
        <w:t>低烟无卤材质接地线，保护接地端子与任何已保护接地部件之间的阻抗：≤0.1Ω（提供具备CMA和CNAS资质的第三方检测报告）；等电位端子：≥1个。</w:t>
      </w:r>
    </w:p>
    <w:p w14:paraId="60BC826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.5、电源插座：采用新国标斜五孔设计（双孔和三孔位置左右错开）和低烟无卤3芯线，10A端口≥8个，16A端口≥1个。</w:t>
      </w:r>
    </w:p>
    <w:p w14:paraId="56F2AFF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.6、RJ45通讯终端：≥2个。</w:t>
      </w:r>
    </w:p>
    <w:p w14:paraId="5A50F6D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.7、设备平台：</w:t>
      </w:r>
    </w:p>
    <w:p w14:paraId="331533C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.7.1、镁铝合金材质，一体成型设计，无铆钉，前端带弧形防撞系统，数量≥2个。</w:t>
      </w:r>
    </w:p>
    <w:p w14:paraId="59B5FBA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.7.2、宽度：≥400mm，深度：≥450mm，平台与平台间距≥450mm。最大承重≥50kg。</w:t>
      </w:r>
    </w:p>
    <w:p w14:paraId="74333F1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.7.3、抽屉：≥1套，正面采用金属材质，底部具备带阻尼自吸式导轨。</w:t>
      </w:r>
    </w:p>
    <w:p w14:paraId="4A5F7B6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.7.4、网篮：≥1套。</w:t>
      </w:r>
    </w:p>
    <w:p w14:paraId="7678D8E9">
      <w:pPr>
        <w:spacing w:line="360" w:lineRule="auto"/>
        <w:rPr>
          <w:rFonts w:ascii="仿宋" w:hAnsi="仿宋" w:eastAsia="仿宋" w:cs="仿宋"/>
          <w:bCs/>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、配备双关节输液延展臂和输液杆1套。</w:t>
      </w:r>
    </w:p>
    <w:p w14:paraId="53DD2E17">
      <w:pPr>
        <w:spacing w:line="360" w:lineRule="auto"/>
        <w:rPr>
          <w:rFonts w:ascii="仿宋" w:hAnsi="仿宋" w:eastAsia="仿宋" w:cs="仿宋"/>
          <w:bCs/>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、制造商通过ISO9001、ISO13485质量管理体系认证并提供证书复印件。</w:t>
      </w:r>
    </w:p>
    <w:p w14:paraId="29414401">
      <w:pPr>
        <w:spacing w:line="360" w:lineRule="auto"/>
        <w:rPr>
          <w:rFonts w:ascii="仿宋" w:hAnsi="仿宋" w:eastAsia="仿宋" w:cs="仿宋"/>
          <w:color w:val="auto"/>
          <w:sz w:val="24"/>
          <w:highlight w:val="none"/>
        </w:rPr>
      </w:pPr>
      <w:r>
        <w:rPr>
          <w:rFonts w:hint="eastAsia" w:ascii="仿宋" w:hAnsi="仿宋" w:eastAsia="仿宋" w:cs="仿宋"/>
          <w:bCs/>
          <w:color w:val="auto"/>
          <w:sz w:val="24"/>
          <w:highlight w:val="none"/>
        </w:rPr>
        <w:t>二、质保期：≥</w:t>
      </w:r>
      <w:r>
        <w:rPr>
          <w:rFonts w:hint="eastAsia" w:ascii="仿宋" w:hAnsi="仿宋" w:eastAsia="仿宋" w:cs="仿宋"/>
          <w:color w:val="auto"/>
          <w:sz w:val="24"/>
          <w:highlight w:val="none"/>
        </w:rPr>
        <w:t>6年。</w:t>
      </w:r>
    </w:p>
    <w:p w14:paraId="364D4FE6">
      <w:pPr>
        <w:spacing w:line="360" w:lineRule="auto"/>
        <w:rPr>
          <w:rFonts w:ascii="仿宋" w:hAnsi="仿宋" w:eastAsia="仿宋" w:cs="仿宋"/>
          <w:color w:val="auto"/>
          <w:sz w:val="24"/>
          <w:highlight w:val="none"/>
        </w:rPr>
      </w:pPr>
    </w:p>
    <w:p w14:paraId="611208E0">
      <w:pPr>
        <w:spacing w:line="360" w:lineRule="auto"/>
        <w:rPr>
          <w:rFonts w:ascii="仿宋" w:hAnsi="仿宋" w:eastAsia="仿宋" w:cs="仿宋"/>
          <w:b/>
          <w:color w:val="auto"/>
          <w:kern w:val="0"/>
          <w:sz w:val="24"/>
          <w:highlight w:val="none"/>
        </w:rPr>
      </w:pPr>
    </w:p>
    <w:p w14:paraId="51129FAD">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227F7BD4">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第6包 品目6-1 关节镜系统</w:t>
      </w:r>
    </w:p>
    <w:p w14:paraId="37053BCE">
      <w:pPr>
        <w:snapToGrid w:val="0"/>
        <w:spacing w:line="360" w:lineRule="auto"/>
        <w:rPr>
          <w:rFonts w:ascii="仿宋" w:hAnsi="仿宋" w:eastAsia="仿宋" w:cs="宋体"/>
          <w:b/>
          <w:color w:val="auto"/>
          <w:kern w:val="0"/>
          <w:sz w:val="24"/>
          <w:highlight w:val="none"/>
        </w:rPr>
      </w:pPr>
      <w:r>
        <w:rPr>
          <w:rFonts w:hint="eastAsia" w:ascii="仿宋" w:hAnsi="仿宋" w:eastAsia="仿宋" w:cs="宋体"/>
          <w:b/>
          <w:color w:val="auto"/>
          <w:kern w:val="0"/>
          <w:sz w:val="24"/>
          <w:highlight w:val="none"/>
        </w:rPr>
        <w:t>数量：1台/套</w:t>
      </w:r>
    </w:p>
    <w:p w14:paraId="08D26BE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7267912A">
      <w:pPr>
        <w:pStyle w:val="18"/>
        <w:tabs>
          <w:tab w:val="left" w:pos="567"/>
        </w:tabs>
        <w:spacing w:before="0" w:line="360" w:lineRule="auto"/>
        <w:outlineLvl w:val="1"/>
        <w:rPr>
          <w:rFonts w:ascii="仿宋" w:hAnsi="仿宋" w:eastAsia="仿宋" w:cs="仿宋"/>
          <w:color w:val="auto"/>
          <w:highlight w:val="none"/>
        </w:rPr>
      </w:pPr>
      <w:r>
        <w:rPr>
          <w:rFonts w:hint="eastAsia" w:ascii="仿宋" w:hAnsi="仿宋" w:eastAsia="仿宋" w:cs="仿宋"/>
          <w:bCs/>
          <w:color w:val="auto"/>
          <w:highlight w:val="none"/>
        </w:rPr>
        <w:t>1、摄像主机：</w:t>
      </w:r>
    </w:p>
    <w:p w14:paraId="374727A1">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1.1、彩色液晶触摸显示屏≥7 英寸。</w:t>
      </w:r>
    </w:p>
    <w:p w14:paraId="3B765F2F">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▲1.2、可处理和输出最高分辨率≥ 3840×2160的视频图像，逐行扫描频率≥60Hz</w:t>
      </w:r>
    </w:p>
    <w:p w14:paraId="5E58BF30">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1.3、手术模式可自定义。</w:t>
      </w:r>
    </w:p>
    <w:p w14:paraId="1A56FA6E">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1.4、成像模式：白光、黑白荧光、彩色荧光。</w:t>
      </w:r>
    </w:p>
    <w:p w14:paraId="0A7B401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1.5、具备四分屏模式。四分屏主屏画面可由摄像头按键控制进行画面切换。</w:t>
      </w:r>
    </w:p>
    <w:p w14:paraId="3BB3BD1F">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1.6、具备颜色调节功能。</w:t>
      </w:r>
    </w:p>
    <w:p w14:paraId="55716404">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1.7、具备高亮抑制功能，多级可调，可自动识别过曝区域并进行亮度抑制。</w:t>
      </w:r>
    </w:p>
    <w:p w14:paraId="00F88472">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1.8、具备深腔提亮及暗区调节功能，多级可调，可自动补偿暗区光效。</w:t>
      </w:r>
    </w:p>
    <w:p w14:paraId="1FA5FCBF">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1.9、主机具备防红溢出功能，调节档数≥3 档。</w:t>
      </w:r>
    </w:p>
    <w:p w14:paraId="751DA6BC">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1.10、具备荧光增强调节功能、亮度增强调节功能、色彩增强调节功能。</w:t>
      </w:r>
    </w:p>
    <w:p w14:paraId="1627AE3E">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1.11、内置刻录功能，录像分辨率至少包含 3840×2140，1920×1080；视频刻录格式至少包含 AVI、MP4、TS、MOV；可循环刻录和分段刻录。</w:t>
      </w:r>
    </w:p>
    <w:p w14:paraId="23513A93">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1.12、具备USB 接口、12G-SDI 、HDMI、DVI接口，所有信号输出接口可同时输出。</w:t>
      </w:r>
    </w:p>
    <w:p w14:paraId="63A6B8E4">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1.13、 主机电击防护等级：CF 级别 I 类防护。</w:t>
      </w:r>
    </w:p>
    <w:p w14:paraId="50C4EE64">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1.14、主机使用年限≥10 年。</w:t>
      </w:r>
    </w:p>
    <w:p w14:paraId="3BD34FCF">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▲1.15、主机具备光学除雾功能，在关节镜手术中使用时持续防雾。</w:t>
      </w:r>
    </w:p>
    <w:p w14:paraId="5A5234F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2、摄像头：</w:t>
      </w:r>
    </w:p>
    <w:p w14:paraId="513DE016">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2.1、摄像头传感器晶片数量(CMOS)≥3个，芯片尺寸≥1/2.8英寸。</w:t>
      </w:r>
    </w:p>
    <w:p w14:paraId="46FF0C5D">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▲2.2、采集矩阵：≥ 3840×2160，支持逐行扫描。</w:t>
      </w:r>
    </w:p>
    <w:p w14:paraId="316019D4">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2.3、可自定义按键数量：≥3个，每个按键可自定义功能至少包括白平衡、拍照、录像、切换图像模式。</w:t>
      </w:r>
    </w:p>
    <w:p w14:paraId="700C308D">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2.4、摄像头可选配光学卡口≥3 种，至少包含22mm焦距定焦卡口、20mm焦距定焦卡口，14～32mm变焦卡口焦距，17～35mm变焦卡口。</w:t>
      </w:r>
    </w:p>
    <w:p w14:paraId="73CF5A31">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2.5、防护等级： CF 级别 I 类防护，可直接用于心脏。</w:t>
      </w:r>
    </w:p>
    <w:p w14:paraId="108EB68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2.6、防水等级：IPX7。</w:t>
      </w:r>
    </w:p>
    <w:p w14:paraId="0AF68004">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2.7、灭菌方式：可高温高压、</w:t>
      </w:r>
      <w:r>
        <w:rPr>
          <w:rFonts w:hint="eastAsia" w:ascii="仿宋" w:hAnsi="仿宋" w:eastAsia="仿宋" w:cs="仿宋"/>
          <w:color w:val="auto"/>
          <w:highlight w:val="none"/>
          <w:shd w:val="clear" w:color="auto" w:fill="FFFFFF"/>
        </w:rPr>
        <w:t>过氧化氢低温等离子灭菌</w:t>
      </w:r>
      <w:r>
        <w:rPr>
          <w:rFonts w:hint="eastAsia" w:ascii="仿宋" w:hAnsi="仿宋" w:eastAsia="仿宋" w:cs="仿宋"/>
          <w:color w:val="auto"/>
          <w:highlight w:val="none"/>
        </w:rPr>
        <w:t>。</w:t>
      </w:r>
    </w:p>
    <w:p w14:paraId="5C5CFC2A">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2.8、摄像头预期使用寿命：≥10 年。</w:t>
      </w:r>
    </w:p>
    <w:p w14:paraId="26F26A6E">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2.9、摄像头净重：≤250g。</w:t>
      </w:r>
    </w:p>
    <w:p w14:paraId="06DEA945">
      <w:pPr>
        <w:spacing w:line="360" w:lineRule="auto"/>
        <w:outlineLvl w:val="2"/>
        <w:rPr>
          <w:rFonts w:ascii="仿宋" w:hAnsi="仿宋" w:eastAsia="仿宋" w:cs="仿宋"/>
          <w:color w:val="auto"/>
          <w:sz w:val="24"/>
          <w:highlight w:val="none"/>
        </w:rPr>
      </w:pPr>
      <w:r>
        <w:rPr>
          <w:rFonts w:hint="eastAsia" w:ascii="仿宋" w:hAnsi="仿宋" w:eastAsia="仿宋" w:cs="仿宋"/>
          <w:color w:val="auto"/>
          <w:sz w:val="24"/>
          <w:highlight w:val="none"/>
        </w:rPr>
        <w:t xml:space="preserve">3、内窥镜冷光源： </w:t>
      </w:r>
    </w:p>
    <w:p w14:paraId="0EEEF471">
      <w:pPr>
        <w:spacing w:line="360" w:lineRule="auto"/>
        <w:outlineLvl w:val="2"/>
        <w:rPr>
          <w:rFonts w:ascii="仿宋" w:hAnsi="仿宋" w:eastAsia="仿宋" w:cs="仿宋"/>
          <w:color w:val="auto"/>
          <w:sz w:val="24"/>
          <w:highlight w:val="none"/>
        </w:rPr>
      </w:pPr>
      <w:r>
        <w:rPr>
          <w:rFonts w:hint="eastAsia" w:ascii="仿宋" w:hAnsi="仿宋" w:eastAsia="仿宋" w:cs="仿宋"/>
          <w:color w:val="auto"/>
          <w:sz w:val="24"/>
          <w:highlight w:val="none"/>
        </w:rPr>
        <w:t>3.1、具备白光和近红外光照明模式。</w:t>
      </w:r>
    </w:p>
    <w:p w14:paraId="43BDAE26">
      <w:pPr>
        <w:spacing w:line="360" w:lineRule="auto"/>
        <w:outlineLvl w:val="2"/>
        <w:rPr>
          <w:rFonts w:ascii="仿宋" w:hAnsi="仿宋" w:eastAsia="仿宋" w:cs="仿宋"/>
          <w:color w:val="auto"/>
          <w:sz w:val="24"/>
          <w:highlight w:val="none"/>
        </w:rPr>
      </w:pPr>
      <w:r>
        <w:rPr>
          <w:rFonts w:hint="eastAsia" w:ascii="仿宋" w:hAnsi="仿宋" w:eastAsia="仿宋" w:cs="仿宋"/>
          <w:color w:val="auto"/>
          <w:sz w:val="24"/>
          <w:highlight w:val="none"/>
        </w:rPr>
        <w:t>3.2、白光照明：</w:t>
      </w:r>
    </w:p>
    <w:p w14:paraId="725169B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3.2.1、LED，工作寿命≥50000h</w:t>
      </w:r>
    </w:p>
    <w:p w14:paraId="5003CA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3.2.</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、色温调节范围： 3000</w:t>
      </w:r>
      <w:r>
        <w:rPr>
          <w:rFonts w:hint="eastAsia" w:ascii="仿宋" w:hAnsi="仿宋" w:eastAsia="仿宋" w:cs="仿宋"/>
          <w:b/>
          <w:bCs/>
          <w:color w:val="auto"/>
          <w:sz w:val="24"/>
          <w:highlight w:val="none"/>
        </w:rPr>
        <w:t>～</w:t>
      </w:r>
      <w:r>
        <w:rPr>
          <w:rFonts w:hint="eastAsia" w:ascii="仿宋" w:hAnsi="仿宋" w:eastAsia="仿宋" w:cs="仿宋"/>
          <w:color w:val="auto"/>
          <w:sz w:val="24"/>
          <w:highlight w:val="none"/>
        </w:rPr>
        <w:t>7000K。</w:t>
      </w:r>
    </w:p>
    <w:p w14:paraId="7F600F8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、光通量≥1000lm。</w:t>
      </w:r>
    </w:p>
    <w:p w14:paraId="1E9B451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4</w:t>
      </w:r>
      <w:r>
        <w:rPr>
          <w:rFonts w:hint="eastAsia" w:ascii="仿宋" w:hAnsi="仿宋" w:eastAsia="仿宋" w:cs="仿宋"/>
          <w:color w:val="auto"/>
          <w:sz w:val="24"/>
          <w:highlight w:val="none"/>
        </w:rPr>
        <w:t>、光源亮度调节范围： 10～100%。</w:t>
      </w:r>
    </w:p>
    <w:p w14:paraId="407394E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、显色指数≥90。</w:t>
      </w:r>
    </w:p>
    <w:p w14:paraId="1107CF2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3.3、光源主机面板可显示、调节亮度值, 调节范围：10</w:t>
      </w:r>
      <w:r>
        <w:rPr>
          <w:rFonts w:hint="eastAsia" w:ascii="仿宋" w:hAnsi="仿宋" w:eastAsia="仿宋" w:cs="仿宋"/>
          <w:b/>
          <w:bCs/>
          <w:color w:val="auto"/>
          <w:sz w:val="24"/>
          <w:highlight w:val="none"/>
        </w:rPr>
        <w:t>～</w:t>
      </w:r>
      <w:r>
        <w:rPr>
          <w:rFonts w:hint="eastAsia" w:ascii="仿宋" w:hAnsi="仿宋" w:eastAsia="仿宋" w:cs="仿宋"/>
          <w:color w:val="auto"/>
          <w:sz w:val="24"/>
          <w:highlight w:val="none"/>
        </w:rPr>
        <w:t>100%。</w:t>
      </w:r>
    </w:p>
    <w:p w14:paraId="4D8B0FD3">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3.4、冷光源正常运行时最大噪音≤55dB（A）。</w:t>
      </w:r>
    </w:p>
    <w:p w14:paraId="4D1943F9">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3.5、可查看导光束状态、光源温度、光源功率等。</w:t>
      </w:r>
    </w:p>
    <w:p w14:paraId="1698FC09">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、可兼容3.5mm、4.8mm、5mm、6.5mm 四种不同尺寸光纤，光纤插入后可自动锁死。</w:t>
      </w:r>
    </w:p>
    <w:p w14:paraId="606EE568">
      <w:pPr>
        <w:pStyle w:val="18"/>
        <w:tabs>
          <w:tab w:val="left" w:pos="567"/>
        </w:tabs>
        <w:spacing w:before="0" w:line="360" w:lineRule="auto"/>
        <w:outlineLvl w:val="2"/>
        <w:rPr>
          <w:rFonts w:ascii="仿宋" w:hAnsi="仿宋" w:eastAsia="仿宋" w:cs="仿宋"/>
          <w:color w:val="auto"/>
          <w:highlight w:val="none"/>
        </w:rPr>
      </w:pPr>
      <w:r>
        <w:rPr>
          <w:rFonts w:hint="eastAsia" w:ascii="仿宋" w:hAnsi="仿宋" w:eastAsia="仿宋" w:cs="仿宋"/>
          <w:color w:val="auto"/>
          <w:highlight w:val="none"/>
        </w:rPr>
        <w:t>4、导光束：直径</w:t>
      </w:r>
      <w:bookmarkStart w:id="13" w:name="OLE_LINK1"/>
      <w:bookmarkStart w:id="14" w:name="OLE_LINK3"/>
      <w:r>
        <w:rPr>
          <w:rFonts w:hint="eastAsia" w:ascii="仿宋" w:hAnsi="仿宋" w:eastAsia="仿宋" w:cs="仿宋"/>
          <w:color w:val="auto"/>
          <w:highlight w:val="none"/>
        </w:rPr>
        <w:t>≥</w:t>
      </w:r>
      <w:bookmarkEnd w:id="13"/>
      <w:bookmarkEnd w:id="14"/>
      <w:r>
        <w:rPr>
          <w:rFonts w:hint="eastAsia" w:ascii="仿宋" w:hAnsi="仿宋" w:eastAsia="仿宋" w:cs="仿宋"/>
          <w:color w:val="auto"/>
          <w:highlight w:val="none"/>
        </w:rPr>
        <w:t>4.8mm、长度≥300cm，可同时传输可见光及</w:t>
      </w:r>
      <w:bookmarkStart w:id="15" w:name="OLE_LINK10"/>
      <w:bookmarkStart w:id="16" w:name="OLE_LINK9"/>
      <w:r>
        <w:rPr>
          <w:rFonts w:hint="eastAsia" w:ascii="仿宋" w:hAnsi="仿宋" w:eastAsia="仿宋" w:cs="仿宋"/>
          <w:color w:val="auto"/>
          <w:highlight w:val="none"/>
        </w:rPr>
        <w:t>近红外光</w:t>
      </w:r>
      <w:bookmarkEnd w:id="15"/>
      <w:bookmarkEnd w:id="16"/>
      <w:r>
        <w:rPr>
          <w:rFonts w:hint="eastAsia" w:ascii="仿宋" w:hAnsi="仿宋" w:eastAsia="仿宋" w:cs="仿宋"/>
          <w:color w:val="auto"/>
          <w:highlight w:val="none"/>
        </w:rPr>
        <w:t>。</w:t>
      </w:r>
    </w:p>
    <w:p w14:paraId="7D9D3606">
      <w:pPr>
        <w:pStyle w:val="18"/>
        <w:tabs>
          <w:tab w:val="left" w:pos="567"/>
        </w:tabs>
        <w:spacing w:before="0" w:line="360" w:lineRule="auto"/>
        <w:outlineLvl w:val="2"/>
        <w:rPr>
          <w:rFonts w:ascii="仿宋" w:hAnsi="仿宋" w:eastAsia="仿宋" w:cs="仿宋"/>
          <w:color w:val="auto"/>
          <w:highlight w:val="none"/>
        </w:rPr>
      </w:pPr>
      <w:r>
        <w:rPr>
          <w:rFonts w:hint="eastAsia" w:ascii="仿宋" w:hAnsi="仿宋" w:eastAsia="仿宋" w:cs="仿宋"/>
          <w:bCs/>
          <w:color w:val="auto"/>
          <w:highlight w:val="none"/>
        </w:rPr>
        <w:t>5、监视器：</w:t>
      </w:r>
    </w:p>
    <w:p w14:paraId="242DDD27">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5.1、彩色液晶显示器≥32 英寸，分辨率： ≥3840×2160。</w:t>
      </w:r>
    </w:p>
    <w:p w14:paraId="77F4A6D0">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5.2、峰值亮度：≥1000cd/m</w:t>
      </w:r>
      <w:r>
        <w:rPr>
          <w:rFonts w:hint="eastAsia" w:ascii="仿宋" w:hAnsi="仿宋" w:eastAsia="仿宋" w:cs="仿宋"/>
          <w:color w:val="auto"/>
          <w:highlight w:val="none"/>
          <w:vertAlign w:val="superscript"/>
        </w:rPr>
        <w:t>2</w:t>
      </w:r>
      <w:r>
        <w:rPr>
          <w:rFonts w:hint="eastAsia" w:ascii="仿宋" w:hAnsi="仿宋" w:eastAsia="仿宋" w:cs="仿宋"/>
          <w:color w:val="auto"/>
          <w:highlight w:val="none"/>
        </w:rPr>
        <w:t>；最大对比度≥1300:1；色域：≥10 bit。</w:t>
      </w:r>
    </w:p>
    <w:p w14:paraId="15821C0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5.3、响应时间：≤5ms。</w:t>
      </w:r>
    </w:p>
    <w:p w14:paraId="465A312B">
      <w:pPr>
        <w:pStyle w:val="18"/>
        <w:tabs>
          <w:tab w:val="left" w:pos="567"/>
        </w:tabs>
        <w:spacing w:before="0" w:line="360" w:lineRule="auto"/>
        <w:outlineLvl w:val="2"/>
        <w:rPr>
          <w:rFonts w:ascii="仿宋" w:hAnsi="仿宋" w:eastAsia="仿宋" w:cs="仿宋"/>
          <w:bCs/>
          <w:color w:val="auto"/>
          <w:highlight w:val="none"/>
        </w:rPr>
      </w:pPr>
      <w:r>
        <w:rPr>
          <w:rFonts w:hint="eastAsia" w:ascii="仿宋" w:hAnsi="仿宋" w:eastAsia="仿宋" w:cs="仿宋"/>
          <w:color w:val="auto"/>
          <w:highlight w:val="none"/>
        </w:rPr>
        <w:t>6、</w:t>
      </w:r>
      <w:r>
        <w:rPr>
          <w:rFonts w:hint="eastAsia" w:ascii="仿宋" w:hAnsi="仿宋" w:eastAsia="仿宋" w:cs="仿宋"/>
          <w:bCs/>
          <w:color w:val="auto"/>
          <w:highlight w:val="none"/>
        </w:rPr>
        <w:t>关节镜1：</w:t>
      </w:r>
    </w:p>
    <w:p w14:paraId="3B0C4A69">
      <w:pPr>
        <w:pStyle w:val="18"/>
        <w:tabs>
          <w:tab w:val="left" w:pos="567"/>
        </w:tabs>
        <w:spacing w:before="0" w:line="360" w:lineRule="auto"/>
        <w:rPr>
          <w:rFonts w:ascii="仿宋" w:hAnsi="仿宋" w:eastAsia="仿宋" w:cs="仿宋"/>
          <w:bCs/>
          <w:color w:val="auto"/>
          <w:highlight w:val="none"/>
        </w:rPr>
      </w:pPr>
      <w:r>
        <w:rPr>
          <w:rFonts w:hint="eastAsia" w:ascii="仿宋" w:hAnsi="仿宋" w:eastAsia="仿宋" w:cs="仿宋"/>
          <w:bCs/>
          <w:color w:val="auto"/>
          <w:highlight w:val="none"/>
        </w:rPr>
        <w:t>6.1、</w:t>
      </w:r>
      <w:r>
        <w:rPr>
          <w:rFonts w:hint="eastAsia" w:ascii="仿宋" w:hAnsi="仿宋" w:eastAsia="仿宋" w:cs="仿宋"/>
          <w:color w:val="auto"/>
          <w:highlight w:val="none"/>
        </w:rPr>
        <w:t>视向角 30°。</w:t>
      </w:r>
    </w:p>
    <w:p w14:paraId="4A3117B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6.2、视场角：≥90°。</w:t>
      </w:r>
    </w:p>
    <w:p w14:paraId="25472013">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6.3、直径：≤4.0mm。</w:t>
      </w:r>
    </w:p>
    <w:p w14:paraId="305F6E96">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6.4、有效景深范围：3～50mm。</w:t>
      </w:r>
    </w:p>
    <w:p w14:paraId="29F9084B">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6.5、 有效光度率：≥1300cd/m</w:t>
      </w:r>
      <w:r>
        <w:rPr>
          <w:rFonts w:hint="eastAsia" w:ascii="仿宋" w:hAnsi="仿宋" w:eastAsia="仿宋" w:cs="仿宋"/>
          <w:color w:val="auto"/>
          <w:highlight w:val="none"/>
          <w:vertAlign w:val="superscript"/>
        </w:rPr>
        <w:t>2</w:t>
      </w:r>
      <w:r>
        <w:rPr>
          <w:rFonts w:hint="eastAsia" w:ascii="仿宋" w:hAnsi="仿宋" w:eastAsia="仿宋" w:cs="仿宋"/>
          <w:color w:val="auto"/>
          <w:highlight w:val="none"/>
        </w:rPr>
        <w:t>/lm。</w:t>
      </w:r>
    </w:p>
    <w:p w14:paraId="0E215A2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6.6、显色指数（RA）≥90。</w:t>
      </w:r>
    </w:p>
    <w:p w14:paraId="3F05E70F">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6.7、 视场中心角分辨力：≥3.5C/( °)。</w:t>
      </w:r>
    </w:p>
    <w:p w14:paraId="01D6949C">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6.8、镜鞘工作长度：120mm；最大宽度≤ 6mm；主通道≥ 4.5mm。</w:t>
      </w:r>
    </w:p>
    <w:p w14:paraId="2E7DF976">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6.9、配备光纤转接头≥3 种。</w:t>
      </w:r>
    </w:p>
    <w:p w14:paraId="3A416FF5">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w:t>
      </w:r>
      <w:r>
        <w:rPr>
          <w:rFonts w:hint="eastAsia" w:ascii="仿宋" w:hAnsi="仿宋" w:eastAsia="仿宋" w:cs="仿宋"/>
          <w:bCs/>
          <w:color w:val="auto"/>
          <w:highlight w:val="none"/>
        </w:rPr>
        <w:t>内窥镜2：</w:t>
      </w:r>
    </w:p>
    <w:p w14:paraId="7D985828">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7.1、视向角：30°。</w:t>
      </w:r>
    </w:p>
    <w:p w14:paraId="12D5CD79">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7.2、视场角：≥85。</w:t>
      </w:r>
    </w:p>
    <w:p w14:paraId="42FD34F3">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7.3、景深范围：3～100mm。</w:t>
      </w:r>
    </w:p>
    <w:p w14:paraId="086868E7">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7.4、中心角分辨力 ra(d)：≥4.82 C/°。</w:t>
      </w:r>
    </w:p>
    <w:p w14:paraId="3B7A4409">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7.5、插入部最大外径：≤4.0mm。</w:t>
      </w:r>
    </w:p>
    <w:p w14:paraId="7363FB05">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7.6、内窥镜工作长度：≥170mm。</w:t>
      </w:r>
    </w:p>
    <w:p w14:paraId="470CA4C1">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7.7、脊柱微创手术通道扩张管（镜鞘） 角度：30°；外径：6mm，内腔≥5.5mm，长度≥140mm。</w:t>
      </w:r>
    </w:p>
    <w:p w14:paraId="0913E965">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二、主要配置：</w:t>
      </w:r>
    </w:p>
    <w:p w14:paraId="13C3E5C0">
      <w:pPr>
        <w:pStyle w:val="18"/>
        <w:tabs>
          <w:tab w:val="left" w:pos="567"/>
        </w:tabs>
        <w:spacing w:before="0" w:line="360" w:lineRule="auto"/>
        <w:outlineLvl w:val="1"/>
        <w:rPr>
          <w:rFonts w:ascii="仿宋" w:hAnsi="仿宋" w:eastAsia="仿宋" w:cs="仿宋"/>
          <w:bCs/>
          <w:color w:val="auto"/>
          <w:highlight w:val="none"/>
        </w:rPr>
      </w:pPr>
      <w:r>
        <w:rPr>
          <w:rFonts w:hint="eastAsia" w:ascii="仿宋" w:hAnsi="仿宋" w:eastAsia="仿宋" w:cs="仿宋"/>
          <w:bCs/>
          <w:color w:val="auto"/>
          <w:highlight w:val="none"/>
        </w:rPr>
        <w:t>1、摄像主机：1台。</w:t>
      </w:r>
    </w:p>
    <w:p w14:paraId="611A2DC3">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2、摄像头：1个。</w:t>
      </w:r>
    </w:p>
    <w:p w14:paraId="2A28FA9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3、内窥镜冷光源：1台。</w:t>
      </w:r>
    </w:p>
    <w:p w14:paraId="0921AF8B">
      <w:pPr>
        <w:pStyle w:val="18"/>
        <w:tabs>
          <w:tab w:val="left" w:pos="567"/>
        </w:tabs>
        <w:spacing w:before="0" w:line="360" w:lineRule="auto"/>
        <w:rPr>
          <w:rFonts w:ascii="仿宋" w:hAnsi="仿宋" w:eastAsia="仿宋" w:cs="仿宋"/>
          <w:color w:val="auto"/>
          <w:highlight w:val="none"/>
        </w:rPr>
      </w:pPr>
      <w:r>
        <w:rPr>
          <w:rFonts w:hint="eastAsia" w:ascii="仿宋" w:hAnsi="仿宋" w:eastAsia="仿宋" w:cs="仿宋"/>
          <w:color w:val="auto"/>
          <w:highlight w:val="none"/>
        </w:rPr>
        <w:t>4、导光束：2条。</w:t>
      </w:r>
    </w:p>
    <w:p w14:paraId="735D52A8">
      <w:pPr>
        <w:pStyle w:val="18"/>
        <w:tabs>
          <w:tab w:val="left" w:pos="567"/>
        </w:tabs>
        <w:spacing w:before="0" w:line="360" w:lineRule="auto"/>
        <w:outlineLvl w:val="2"/>
        <w:rPr>
          <w:rFonts w:ascii="仿宋" w:hAnsi="仿宋" w:eastAsia="仿宋" w:cs="仿宋"/>
          <w:color w:val="auto"/>
          <w:highlight w:val="none"/>
        </w:rPr>
      </w:pPr>
      <w:r>
        <w:rPr>
          <w:rFonts w:hint="eastAsia" w:ascii="仿宋" w:hAnsi="仿宋" w:eastAsia="仿宋" w:cs="仿宋"/>
          <w:bCs/>
          <w:color w:val="auto"/>
          <w:highlight w:val="none"/>
        </w:rPr>
        <w:t>5、监视器：1台。</w:t>
      </w:r>
    </w:p>
    <w:p w14:paraId="1CED8672">
      <w:pPr>
        <w:pStyle w:val="18"/>
        <w:tabs>
          <w:tab w:val="left" w:pos="567"/>
        </w:tabs>
        <w:spacing w:before="0" w:line="360" w:lineRule="auto"/>
        <w:outlineLvl w:val="1"/>
        <w:rPr>
          <w:rFonts w:ascii="仿宋" w:hAnsi="仿宋" w:eastAsia="仿宋" w:cs="仿宋"/>
          <w:color w:val="auto"/>
          <w:highlight w:val="none"/>
        </w:rPr>
      </w:pPr>
      <w:r>
        <w:rPr>
          <w:rFonts w:hint="eastAsia" w:ascii="仿宋" w:hAnsi="仿宋" w:eastAsia="仿宋" w:cs="仿宋"/>
          <w:color w:val="auto"/>
          <w:highlight w:val="none"/>
        </w:rPr>
        <w:t>6、</w:t>
      </w:r>
      <w:r>
        <w:rPr>
          <w:rFonts w:hint="eastAsia" w:ascii="仿宋" w:hAnsi="仿宋" w:eastAsia="仿宋" w:cs="仿宋"/>
          <w:bCs/>
          <w:color w:val="auto"/>
          <w:highlight w:val="none"/>
        </w:rPr>
        <w:t>关节镜1（含</w:t>
      </w:r>
      <w:r>
        <w:rPr>
          <w:rFonts w:hint="eastAsia" w:ascii="仿宋" w:hAnsi="仿宋" w:eastAsia="仿宋" w:cs="仿宋"/>
          <w:color w:val="auto"/>
          <w:highlight w:val="none"/>
        </w:rPr>
        <w:t>镜鞘</w:t>
      </w:r>
      <w:r>
        <w:rPr>
          <w:rFonts w:hint="eastAsia" w:ascii="仿宋" w:hAnsi="仿宋" w:eastAsia="仿宋" w:cs="仿宋"/>
          <w:bCs/>
          <w:color w:val="auto"/>
          <w:highlight w:val="none"/>
        </w:rPr>
        <w:t>）：1套。</w:t>
      </w:r>
    </w:p>
    <w:p w14:paraId="4D3210B1">
      <w:pPr>
        <w:pStyle w:val="18"/>
        <w:tabs>
          <w:tab w:val="left" w:pos="567"/>
        </w:tabs>
        <w:outlineLvl w:val="2"/>
        <w:rPr>
          <w:rFonts w:hint="eastAsia" w:ascii="仿宋" w:hAnsi="仿宋" w:eastAsia="仿宋" w:cs="仿宋"/>
          <w:color w:val="auto"/>
          <w:sz w:val="24"/>
          <w:highlight w:val="none"/>
        </w:rPr>
      </w:pPr>
      <w:r>
        <w:rPr>
          <w:rFonts w:hint="eastAsia" w:ascii="仿宋" w:hAnsi="仿宋" w:eastAsia="仿宋" w:cs="仿宋"/>
          <w:color w:val="auto"/>
          <w:highlight w:val="none"/>
        </w:rPr>
        <w:t>7、</w:t>
      </w:r>
      <w:r>
        <w:rPr>
          <w:rFonts w:hint="eastAsia" w:ascii="仿宋" w:hAnsi="仿宋" w:eastAsia="仿宋" w:cs="仿宋"/>
          <w:bCs/>
          <w:color w:val="auto"/>
          <w:highlight w:val="none"/>
        </w:rPr>
        <w:t>内窥镜2（含</w:t>
      </w:r>
      <w:r>
        <w:rPr>
          <w:rFonts w:hint="eastAsia" w:ascii="仿宋" w:hAnsi="仿宋" w:eastAsia="仿宋" w:cs="仿宋"/>
          <w:color w:val="auto"/>
          <w:highlight w:val="none"/>
        </w:rPr>
        <w:t>镜鞘</w:t>
      </w:r>
      <w:r>
        <w:rPr>
          <w:rFonts w:hint="eastAsia" w:ascii="仿宋" w:hAnsi="仿宋" w:eastAsia="仿宋" w:cs="仿宋"/>
          <w:bCs/>
          <w:color w:val="auto"/>
          <w:highlight w:val="none"/>
        </w:rPr>
        <w:t>）：1套。</w:t>
      </w:r>
    </w:p>
    <w:p w14:paraId="50A4C561">
      <w:pPr>
        <w:pStyle w:val="18"/>
        <w:tabs>
          <w:tab w:val="left" w:pos="567"/>
        </w:tabs>
        <w:outlineLvl w:val="2"/>
        <w:rPr>
          <w:rFonts w:ascii="仿宋" w:hAnsi="仿宋" w:eastAsia="仿宋" w:cs="宋体"/>
          <w:b/>
          <w:color w:val="auto"/>
          <w:kern w:val="0"/>
          <w:sz w:val="24"/>
          <w:highlight w:val="none"/>
        </w:rPr>
      </w:pPr>
      <w:r>
        <w:rPr>
          <w:rFonts w:hint="eastAsia" w:ascii="仿宋" w:hAnsi="仿宋" w:eastAsia="仿宋" w:cs="仿宋"/>
          <w:color w:val="auto"/>
          <w:sz w:val="24"/>
          <w:highlight w:val="none"/>
        </w:rPr>
        <w:t>三、质保期：5年。</w:t>
      </w:r>
    </w:p>
    <w:p w14:paraId="45194183">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033DDEF0">
      <w:pPr>
        <w:snapToGrid w:val="0"/>
        <w:spacing w:line="360" w:lineRule="auto"/>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第7包 品目7-1 单侧双通道脊柱内镜系统</w:t>
      </w:r>
    </w:p>
    <w:p w14:paraId="339946F9">
      <w:pPr>
        <w:snapToGrid w:val="0"/>
        <w:spacing w:line="360" w:lineRule="auto"/>
        <w:rPr>
          <w:rFonts w:ascii="仿宋" w:hAnsi="仿宋" w:eastAsia="仿宋" w:cs="宋体"/>
          <w:b/>
          <w:color w:val="auto"/>
          <w:kern w:val="0"/>
          <w:sz w:val="24"/>
          <w:highlight w:val="none"/>
        </w:rPr>
      </w:pPr>
      <w:r>
        <w:rPr>
          <w:rFonts w:hint="eastAsia" w:ascii="仿宋" w:hAnsi="仿宋" w:eastAsia="仿宋" w:cs="宋体"/>
          <w:b/>
          <w:color w:val="auto"/>
          <w:kern w:val="0"/>
          <w:sz w:val="24"/>
          <w:highlight w:val="none"/>
        </w:rPr>
        <w:t>数量：1台/套</w:t>
      </w:r>
    </w:p>
    <w:p w14:paraId="6D4F173A">
      <w:pPr>
        <w:pStyle w:val="94"/>
        <w:spacing w:line="360" w:lineRule="auto"/>
        <w:ind w:firstLine="0" w:firstLineChars="0"/>
        <w:jc w:val="left"/>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设备1、4K摄像系统（核心产品）</w:t>
      </w:r>
    </w:p>
    <w:p w14:paraId="7C012185">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6C419988">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1、摄像主机：</w:t>
      </w:r>
    </w:p>
    <w:p w14:paraId="0D6326DF">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▲1.1、4K荧光内窥镜摄像摄像主机，可处理和输出最高分辨率≥3840×2160的视频图像，也可处理和输出分辨率1920×1080的视频图像。</w:t>
      </w:r>
    </w:p>
    <w:p w14:paraId="6EF7C6D7">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1.2、液晶触摸显示屏≥7英寸。</w:t>
      </w:r>
    </w:p>
    <w:p w14:paraId="1CC5FB2A">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1.3、图像色域范围支持BT.2020。</w:t>
      </w:r>
    </w:p>
    <w:p w14:paraId="1BA9B0B3">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1.4、显示模式：具备白光模式、黑白荧光模式、彩色荧光模式，可实现白光与荧光同屏显示。</w:t>
      </w:r>
    </w:p>
    <w:p w14:paraId="1DEC8AC0">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1.5、荧光模式下可标定荧光区域，荧光阈值、融合强度可手动可调。</w:t>
      </w:r>
    </w:p>
    <w:p w14:paraId="463F4284">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1.6、具备自动曝光控制功能，可进行白光和荧光曝光亮度调节；曝光亮度也可手动调节，调节档位≥10档。</w:t>
      </w:r>
    </w:p>
    <w:p w14:paraId="3028745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1.7、具备R增益、B增益、降噪、图像亮度、饱和度、对比度、锐度调节功能。</w:t>
      </w:r>
    </w:p>
    <w:p w14:paraId="03E7D980">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1.8、摄像系统信噪比≥60dB。</w:t>
      </w:r>
    </w:p>
    <w:p w14:paraId="60BD8A5C">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1.9、场景模式：具备自定义模式。</w:t>
      </w:r>
    </w:p>
    <w:p w14:paraId="35892F36">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1.10、色彩模式≥3种，可实时切换调整。</w:t>
      </w:r>
    </w:p>
    <w:p w14:paraId="2D01C4C2">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1.11、具有去网格功能。</w:t>
      </w:r>
    </w:p>
    <w:p w14:paraId="2F69B30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1.12、具有血管增强功能。</w:t>
      </w:r>
    </w:p>
    <w:p w14:paraId="59EAFDF7">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1.13、电子放大倍数调节范围：1～4倍。</w:t>
      </w:r>
    </w:p>
    <w:p w14:paraId="2EA1A330">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1.14、具备自动识别烟雾功能，可通过SCB接口连接气腹机，无需人工干预，快速排气除烟。</w:t>
      </w:r>
    </w:p>
    <w:p w14:paraId="63991A6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1.15、主机内置刻录功能，可录制白光画面、黑白荧光画面、彩色荧光画面和四分屏画面的视频，视频录制可设置4K（3840×2160）分辨率和全高清（1920×1080）分辨率。</w:t>
      </w:r>
    </w:p>
    <w:p w14:paraId="0BABF2B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1.16、内置USB接口≥4个，可通过USB接口连接键盘、鼠标、脚踏板、打印机、U盘、移动硬盘等外设。</w:t>
      </w:r>
    </w:p>
    <w:p w14:paraId="74EACE30">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1.17、输出端口：具备SDI、12G-SDI、HDMI输出接口。可同时输出图像。</w:t>
      </w:r>
    </w:p>
    <w:p w14:paraId="534461C0">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1.18、电击防护等级：CF型。</w:t>
      </w:r>
    </w:p>
    <w:p w14:paraId="58F947C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1.19、使用寿命：≥10年。（提供设备铭牌照片或使用说明书证明）</w:t>
      </w:r>
    </w:p>
    <w:p w14:paraId="28733BC4">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2、摄像头：</w:t>
      </w:r>
    </w:p>
    <w:p w14:paraId="43F692D6">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2.1、摄像头具备光学变焦功能，焦距调节范围：15～30mm，光学放大≥2倍。</w:t>
      </w:r>
    </w:p>
    <w:p w14:paraId="213C1C6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2.2、成像矩阵：≥3840×2160。</w:t>
      </w:r>
    </w:p>
    <w:p w14:paraId="450DD02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2.3、白光图像水平分辨率≥2400线，垂直分辨率≥2400线；原始黑白荧光图像水平分辨率≥1000线，垂直分辨率≥1000线。</w:t>
      </w:r>
    </w:p>
    <w:p w14:paraId="19711E3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2.4、摄像头的相对畸变≤1%。（提供第三方检验机构出具的检验报告或产品说明书）。</w:t>
      </w:r>
    </w:p>
    <w:p w14:paraId="2C89B6C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2.5、摄像头功能按键≥3个，自定义功能≥8种。</w:t>
      </w:r>
    </w:p>
    <w:p w14:paraId="1D6B04B1">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2.6、摄像头重量：≤250g。</w:t>
      </w:r>
    </w:p>
    <w:p w14:paraId="184AA68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2.7、防水防尘等级：IPX8，支持低温等离子灭菌；支持邻苯二甲醛浸泡消毒，消毒次数≥500次。</w:t>
      </w:r>
    </w:p>
    <w:p w14:paraId="0E14E9E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3、内窥镜冷光源：</w:t>
      </w:r>
    </w:p>
    <w:p w14:paraId="5675EBB0">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3.1、液晶触摸显示屏≥7英寸，可调整光源亮度大小。</w:t>
      </w:r>
    </w:p>
    <w:p w14:paraId="0371B79A">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3.2、LED光源，使用寿命≥60000小时。</w:t>
      </w:r>
    </w:p>
    <w:p w14:paraId="0910327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3.3、</w:t>
      </w:r>
      <w:r>
        <w:rPr>
          <w:rFonts w:hint="eastAsia" w:ascii="仿宋" w:hAnsi="仿宋" w:eastAsia="仿宋" w:cs="仿宋"/>
          <w:color w:val="auto"/>
          <w:sz w:val="24"/>
          <w:szCs w:val="24"/>
          <w:highlight w:val="none"/>
        </w:rPr>
        <w:t>光源色温：5500K±1000K。</w:t>
      </w:r>
    </w:p>
    <w:p w14:paraId="79817BF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3.4、输出总光通量≥2000lm，显色指数≥90%。（提供第三方检验机构出具的检验报告或产品说明书）</w:t>
      </w:r>
    </w:p>
    <w:p w14:paraId="14FD847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3.5、冷光源最大中心照度：≥3000000Lux。</w:t>
      </w:r>
    </w:p>
    <w:p w14:paraId="13EC9554">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3.6、红外截止性能：≤4mW/lm。</w:t>
      </w:r>
    </w:p>
    <w:p w14:paraId="7D40BD6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3.7、具备智能光源联动功能，可全自动调节光源亮度。</w:t>
      </w:r>
    </w:p>
    <w:p w14:paraId="35A2B84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3.8、具有光纤插入自动检测功能，无光纤插入时光源不发光。</w:t>
      </w:r>
    </w:p>
    <w:p w14:paraId="0522243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3.9、具有光源寿命提示功能。</w:t>
      </w:r>
    </w:p>
    <w:p w14:paraId="6BCBEC4F">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3.10、电击防护等级：CF型。</w:t>
      </w:r>
    </w:p>
    <w:p w14:paraId="2A4AB79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3.11、使用寿命：≥10年。（提供设备铭牌照片或使用说明书证明）</w:t>
      </w:r>
    </w:p>
    <w:p w14:paraId="316AEFC1">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4、导光束：</w:t>
      </w:r>
    </w:p>
    <w:p w14:paraId="04833F90">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4.1、长度：≥3000mm；有效芯径：4.0mm±0.5mm。</w:t>
      </w:r>
    </w:p>
    <w:p w14:paraId="2A23A37F">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4.2、可高温高压和低温等离子灭菌。</w:t>
      </w:r>
    </w:p>
    <w:p w14:paraId="246EEE71">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4.3、冷光源使用寿命：≥10年。</w:t>
      </w:r>
    </w:p>
    <w:p w14:paraId="00DF05E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5、监视器：</w:t>
      </w:r>
    </w:p>
    <w:p w14:paraId="13C57E0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5.1、彩色液晶显示器≥32英寸，分辨率≥3840×2160。</w:t>
      </w:r>
    </w:p>
    <w:p w14:paraId="22AF512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5.2、最大亮度：≥700cd/m²，最大对比度：≥1350:1。</w:t>
      </w:r>
    </w:p>
    <w:p w14:paraId="0CBB2124">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5.3、响应时间：≤18ms。</w:t>
      </w:r>
    </w:p>
    <w:p w14:paraId="0F4C323D">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5.4、具备画中画、画与画功能，可同时输入两路信号，在一个屏幕上显示不同内容。</w:t>
      </w:r>
    </w:p>
    <w:p w14:paraId="613D3CD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5.5、防水防尘等级：前壳IP65，后壳IP22。</w:t>
      </w:r>
    </w:p>
    <w:p w14:paraId="7F8D99FB">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6、台车：</w:t>
      </w:r>
    </w:p>
    <w:p w14:paraId="58D689F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6.1、台车主体材质：不锈钢；层板高度可自主调节；脚轮均为=静音制动脚轮。</w:t>
      </w:r>
    </w:p>
    <w:p w14:paraId="4013AB2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6.2、支臂可悬挂≥32英寸显示器。支臂可360°旋转且高度可调。</w:t>
      </w:r>
    </w:p>
    <w:p w14:paraId="156E83E6">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二、主要配置 </w:t>
      </w:r>
    </w:p>
    <w:p w14:paraId="6D7D587F">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1、摄像主机：1台。</w:t>
      </w:r>
    </w:p>
    <w:p w14:paraId="73B4D91F">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2、摄像头：1。</w:t>
      </w:r>
    </w:p>
    <w:p w14:paraId="17FAF2A4">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3、冷光源：1台。</w:t>
      </w:r>
    </w:p>
    <w:p w14:paraId="0E2FEC2F">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4、导光束：1条。</w:t>
      </w:r>
    </w:p>
    <w:p w14:paraId="70B16A89">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5、显示器：1台。</w:t>
      </w:r>
    </w:p>
    <w:p w14:paraId="2EF6E05F">
      <w:pPr>
        <w:pStyle w:val="94"/>
        <w:spacing w:line="360" w:lineRule="auto"/>
        <w:ind w:firstLine="0" w:firstLineChars="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6、台车：1辆。</w:t>
      </w:r>
    </w:p>
    <w:p w14:paraId="5DE228BA">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三、质保期：≥5年。</w:t>
      </w:r>
    </w:p>
    <w:p w14:paraId="7F993277">
      <w:pPr>
        <w:pStyle w:val="94"/>
        <w:spacing w:line="360" w:lineRule="auto"/>
        <w:ind w:firstLine="0" w:firstLineChars="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设备2、UBE内窥镜（带镜鞘-脊柱微创手术器械）：</w:t>
      </w:r>
    </w:p>
    <w:p w14:paraId="14E928F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3396B66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1、视向角： 30°；视场角：≥85°。</w:t>
      </w:r>
    </w:p>
    <w:p w14:paraId="79B7583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2、最小光学工作距离：≤4mm。</w:t>
      </w:r>
    </w:p>
    <w:p w14:paraId="7EEA8A5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3、景深范围：3～100mm</w:t>
      </w:r>
    </w:p>
    <w:p w14:paraId="5496EC64">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4、中心角分辨力 ra(d)：≥4.82 C/°</w:t>
      </w:r>
    </w:p>
    <w:p w14:paraId="4C7D8CC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5、显色指数：Ra≥90%。</w:t>
      </w:r>
    </w:p>
    <w:p w14:paraId="11DBD11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6、插入部最大外径(内窥镜)：≥ 4.0mm，工作长度：175mm。</w:t>
      </w:r>
    </w:p>
    <w:p w14:paraId="55C4744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7、脊柱微创手术通道扩张管（镜鞘）：具备神经拉钩作用，外径≤6mm，内径≤5.5mm，长度≥140mm，角度：30°。</w:t>
      </w:r>
    </w:p>
    <w:p w14:paraId="5F163041">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8、骨导引针：直径4.5mm，长度≥180mm。</w:t>
      </w:r>
    </w:p>
    <w:p w14:paraId="54923340">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p>
    <w:p w14:paraId="1CABF42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1、30°关节内窥镜：4支。</w:t>
      </w:r>
    </w:p>
    <w:p w14:paraId="6D868046">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2、30°镜鞘：3支。</w:t>
      </w:r>
    </w:p>
    <w:p w14:paraId="78ABA36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3、骨导引针-闭孔器：3支。</w:t>
      </w:r>
    </w:p>
    <w:p w14:paraId="4F46787F">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三、质保期：≥5年。</w:t>
      </w:r>
    </w:p>
    <w:p w14:paraId="7E528BC0">
      <w:pPr>
        <w:pStyle w:val="94"/>
        <w:spacing w:line="360" w:lineRule="auto"/>
        <w:ind w:firstLine="0" w:firstLineChars="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设备3、等离子射频手术系统：</w:t>
      </w:r>
    </w:p>
    <w:p w14:paraId="4EB74547">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一、主要用途：与一次性等离子刀头配合使用，在生理盐水环境下工作，用于脊柱微创手术的UBE术中的切割、消融、凝固和止血。</w:t>
      </w:r>
    </w:p>
    <w:p w14:paraId="49668CEA">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3678C773">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1、工作频率：≥100kHz；工作温度：40～70℃之间。</w:t>
      </w:r>
    </w:p>
    <w:p w14:paraId="288418F1">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2、具备射频消融功能（双极射频电极消融）和等离子消融切割功能。</w:t>
      </w:r>
    </w:p>
    <w:p w14:paraId="2B63950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3、工作模式：具有消融切割、凝固止血模式，具有内镜下消融切割和止血功能。</w:t>
      </w:r>
    </w:p>
    <w:p w14:paraId="1F6B66B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4、最大输出功率：≤400W；等离子汽化切割：≥8档可调；等离子凝固止血：≥8档可调。</w:t>
      </w:r>
    </w:p>
    <w:p w14:paraId="61FA76C0">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5、最大峰值≤</w:t>
      </w:r>
      <w:r>
        <w:rPr>
          <w:rFonts w:hint="eastAsia" w:ascii="仿宋" w:hAnsi="仿宋" w:eastAsia="仿宋" w:cs="仿宋"/>
          <w:color w:val="auto"/>
          <w:sz w:val="24"/>
          <w:szCs w:val="24"/>
          <w:highlight w:val="none"/>
          <w:lang w:val="en-US" w:eastAsia="zh-CN"/>
        </w:rPr>
        <w:t>800</w:t>
      </w:r>
      <w:r>
        <w:rPr>
          <w:rFonts w:hint="eastAsia" w:ascii="仿宋" w:hAnsi="仿宋" w:eastAsia="仿宋" w:cs="仿宋"/>
          <w:color w:val="auto"/>
          <w:sz w:val="24"/>
          <w:szCs w:val="24"/>
          <w:highlight w:val="none"/>
        </w:rPr>
        <w:t>V</w:t>
      </w:r>
      <w:r>
        <w:rPr>
          <w:rFonts w:ascii="仿宋" w:hAnsi="仿宋" w:eastAsia="仿宋" w:cs="仿宋"/>
          <w:color w:val="auto"/>
          <w:sz w:val="24"/>
          <w:szCs w:val="24"/>
          <w:highlight w:val="none"/>
          <w:vertAlign w:val="baseline"/>
        </w:rPr>
        <w:t>p</w:t>
      </w:r>
      <w:r>
        <w:rPr>
          <w:rFonts w:hint="eastAsia" w:ascii="仿宋" w:hAnsi="仿宋" w:eastAsia="仿宋" w:cs="仿宋"/>
          <w:color w:val="auto"/>
          <w:sz w:val="24"/>
          <w:szCs w:val="24"/>
          <w:highlight w:val="none"/>
        </w:rPr>
        <w:t>。</w:t>
      </w:r>
    </w:p>
    <w:p w14:paraId="66D5557A">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6、可自动检测附件及刀头，根据不同刀头在液晶屏上自动显示默认或设置档位。</w:t>
      </w:r>
    </w:p>
    <w:p w14:paraId="37338138">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7、可用脚踏开关控制切割、凝血功能的开启和停止，可通过脚踏调节消融切割、凝固止血模式档位。</w:t>
      </w:r>
    </w:p>
    <w:p w14:paraId="12E13A8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8、具有电极阻抗显示、电极温度显示功能。</w:t>
      </w:r>
    </w:p>
    <w:p w14:paraId="5C506980">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9、温度提示点设置范围：30～120℃。</w:t>
      </w:r>
    </w:p>
    <w:p w14:paraId="5DC268FA">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10、具备故障报警提示功能、输出正常提示功能，音量大小可调节。</w:t>
      </w:r>
    </w:p>
    <w:p w14:paraId="1D6C357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11、电极：采用双极或多级设计，无需接负极板使用。</w:t>
      </w:r>
    </w:p>
    <w:p w14:paraId="5BAFCEB7">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三、主要配置：</w:t>
      </w:r>
    </w:p>
    <w:p w14:paraId="7D9AF4F0">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1、等离子射频手术系统主机：1台。</w:t>
      </w:r>
    </w:p>
    <w:p w14:paraId="4C033033">
      <w:pPr>
        <w:pStyle w:val="94"/>
        <w:widowControl/>
        <w:spacing w:line="360" w:lineRule="auto"/>
        <w:ind w:firstLine="0" w:firstLineChars="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2、脚踏开关：1个。</w:t>
      </w:r>
    </w:p>
    <w:p w14:paraId="26E48B4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四、质保期：≥5年。</w:t>
      </w:r>
    </w:p>
    <w:p w14:paraId="0516851E">
      <w:pPr>
        <w:pStyle w:val="94"/>
        <w:spacing w:line="360" w:lineRule="auto"/>
        <w:ind w:firstLine="0" w:firstLineChars="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设备4、骨组织手术设备</w:t>
      </w:r>
    </w:p>
    <w:p w14:paraId="50E4D16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一、主要用途：具备超声骨刀、高速动力或刨削、灌注功能以及负压吸引功能，可用于脊柱内镜/UBE及开放手术中骨及软组织的切割和破碎、打磨和切吸。</w:t>
      </w:r>
    </w:p>
    <w:p w14:paraId="5685E21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28AAE609">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1、主机：</w:t>
      </w:r>
    </w:p>
    <w:p w14:paraId="2B60AF4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1.1、输出接口≥2个，可任意接插超声手柄、高速电机、刨削电机。</w:t>
      </w:r>
    </w:p>
    <w:p w14:paraId="0D379A8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1.2、手术动力主机具有联动控制的灌注和吸引功能，灌注系统随动力手柄启动自动增加压力。</w:t>
      </w:r>
    </w:p>
    <w:p w14:paraId="00E7A0C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1.3、压力调节范围：0～150mmHg。</w:t>
      </w:r>
    </w:p>
    <w:p w14:paraId="45D72C8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1.4、控制方式：脚踏式控制动力输出。</w:t>
      </w:r>
    </w:p>
    <w:p w14:paraId="652C3DEC">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2、手柄</w:t>
      </w:r>
    </w:p>
    <w:p w14:paraId="6AF4C45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2.1、动力及超声手柄均支持高温高压灭菌。</w:t>
      </w:r>
    </w:p>
    <w:p w14:paraId="35B9B04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2.2、高速电机手柄：</w:t>
      </w:r>
    </w:p>
    <w:p w14:paraId="0FB3DB4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2.2.1、刀头转速≥30000rpm。</w:t>
      </w:r>
    </w:p>
    <w:p w14:paraId="265DCC2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2.2.2、动力马达具有止停功能，扭矩≥2.5m·Nm。</w:t>
      </w:r>
    </w:p>
    <w:p w14:paraId="56D447B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2.3、刨削手柄，具有手控按键，可以控制手柄启停、调节转速。</w:t>
      </w:r>
    </w:p>
    <w:p w14:paraId="7480A20C">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2.4、超声手柄：具有按键识别功能，可适用开放、单侧双通道（UBE） 手术。</w:t>
      </w:r>
    </w:p>
    <w:p w14:paraId="1686DD59">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3、脊柱内镜刀头：</w:t>
      </w:r>
    </w:p>
    <w:p w14:paraId="34CFAA9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3.1、脊柱内镜磨头：西瓜头、宝石头各1支；直径：3.5mm，工作长度≥290mm </w:t>
      </w:r>
    </w:p>
    <w:p w14:paraId="010E711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3.2、UBE磨头：西瓜头、宝石头各1支，直径：4.0mm，工作长度≥120mm。</w:t>
      </w:r>
    </w:p>
    <w:p w14:paraId="6FA57E2A">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3.3、刨削刀：外刃内齿、双齿、侧保护球形刀头各1支，直径：4.5mm，工作长度≥130mm。</w:t>
      </w:r>
    </w:p>
    <w:p w14:paraId="240A1EF0">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3.4、开放用超声骨刀刀头：片切刀头、锉刀头、锯齿刀头、勾刀头各1支，长度≥50mm，直径：3.5mm～4.5mm之间。</w:t>
      </w:r>
    </w:p>
    <w:p w14:paraId="11D3837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3.5、UBE手术用超声骨刀刀头：片切刀头、锉刀头、锯齿刀头、勾刀头各1支，长度：120mm～140mm之间，直径：3.5mm～4.5mm之间。</w:t>
      </w:r>
    </w:p>
    <w:p w14:paraId="5FB2184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3.6、椎间孔镜手术用超声骨刀刀头：片切刀头、锉刀头、十字刀头各1支，长度≥250mm，直径：3.0mm～4.0mm直径。</w:t>
      </w:r>
    </w:p>
    <w:p w14:paraId="3535D48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3.7、大通道椎管狭窄镜手术用超声骨刀刀头：片切刀头、锉刀头、十字刀头各1支，长度≥250mm，直径5.0mm～6.0mm之间。</w:t>
      </w:r>
    </w:p>
    <w:p w14:paraId="7167E3AF">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三、主要配置：</w:t>
      </w:r>
    </w:p>
    <w:p w14:paraId="2AC33CCA">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02087680">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2、脚踏：1个。</w:t>
      </w:r>
    </w:p>
    <w:p w14:paraId="3358588B">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3、高速电机手柄：1把。</w:t>
      </w:r>
    </w:p>
    <w:p w14:paraId="27D77DF2">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4、刨削手柄：1把。</w:t>
      </w:r>
    </w:p>
    <w:p w14:paraId="0AADC1B9">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5、超声手柄：1把。</w:t>
      </w:r>
    </w:p>
    <w:p w14:paraId="4923861C">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6、脊柱内镜刀头：1套。</w:t>
      </w:r>
    </w:p>
    <w:p w14:paraId="3713062B">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四、质保期：5年</w:t>
      </w:r>
    </w:p>
    <w:p w14:paraId="2DC2B89C">
      <w:pPr>
        <w:pStyle w:val="94"/>
        <w:spacing w:line="360" w:lineRule="auto"/>
        <w:ind w:firstLine="0" w:firstLineChars="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设备5、脊柱微创手术器械：</w:t>
      </w:r>
    </w:p>
    <w:p w14:paraId="68CA7A6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1C93B9C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1．脊柱微创手术通道扩张管：</w:t>
      </w:r>
    </w:p>
    <w:p w14:paraId="436B0FA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1.1、数量：2支；长度：≥220mm；直径：≤4mm；用于建立扩张通道、实心。</w:t>
      </w:r>
    </w:p>
    <w:p w14:paraId="77D9978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1.2、数量：1支；长度：≥200mm；外径：≤6mm；用于建立扩张通道。</w:t>
      </w:r>
    </w:p>
    <w:p w14:paraId="349A4FA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1.3、数量：1支；长度：≥180mm；外径：≤8mm；用于建立扩张通道。</w:t>
      </w:r>
    </w:p>
    <w:p w14:paraId="4453728D">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1.4、数量：1支；长度：≥160mm；外径：≤10mm；用于建立扩张通道。</w:t>
      </w:r>
    </w:p>
    <w:p w14:paraId="64D86486">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1.5、数量：1支；长度：≥50mm；直径：≤10mm；半套管，用于建立扩张通道、器械操作通道、出水通道。</w:t>
      </w:r>
    </w:p>
    <w:p w14:paraId="5B0BE45B">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1.6、数量：1支；长度：≥90mm；直径≤10mm；半套管，用于建立扩张通道、器械操作通道、出水通道。</w:t>
      </w:r>
    </w:p>
    <w:p w14:paraId="18192E0A">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1.7、数量：1支；长度≥160mm；外径≤6mm；用于建立扩张通道、配合纤维环切刀使用。</w:t>
      </w:r>
    </w:p>
    <w:p w14:paraId="5DF9D3C6">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2、神经剥离器：</w:t>
      </w:r>
    </w:p>
    <w:p w14:paraId="666AF938">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2.1、数量：1支；T型，用于建立扩张通道、剥离骨面软组织。</w:t>
      </w:r>
    </w:p>
    <w:p w14:paraId="5B3B3FA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2.2、长度：≥150mm，厚度≤5mm.</w:t>
      </w:r>
    </w:p>
    <w:p w14:paraId="0BBFC5CC">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3、脊柱手术用神经拉钩：</w:t>
      </w:r>
    </w:p>
    <w:p w14:paraId="6BE8BBA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3.1、数量：1支；长度：≥100mm；宽：≥4mm，用于神经根牵拉。</w:t>
      </w:r>
    </w:p>
    <w:p w14:paraId="51C3909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3.2、数量：1支；长度≥100mm；宽≥8mm，用于神经根牵拉。</w:t>
      </w:r>
    </w:p>
    <w:p w14:paraId="5793153B">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4、神经剥离子：数量：1支；长度≥300mm；刃宽≥3mm，双工作端，角度0°、15°，用于神经根剥离。</w:t>
      </w:r>
    </w:p>
    <w:p w14:paraId="0BF32D3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5、骨探针：数量：1支；长度：≥100mm；前端：≥4mm；用于神经根剥离。</w:t>
      </w:r>
    </w:p>
    <w:p w14:paraId="02787C5C">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6.椎间盘铰刀：数量：1把；长度≥220mm，刃宽≥4mm，用于纤维环的切开。</w:t>
      </w:r>
    </w:p>
    <w:p w14:paraId="12C862E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7、骨凿： </w:t>
      </w:r>
    </w:p>
    <w:p w14:paraId="196A6BB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7.1、上翘型骨凿：数量：1把；角度：≥30°；刃宽：≥5mm。</w:t>
      </w:r>
    </w:p>
    <w:p w14:paraId="1460F6D4">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7.2、直型骨凿：数量：1把；直型；刃宽≥5mm。</w:t>
      </w:r>
    </w:p>
    <w:p w14:paraId="5F04584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7.3、L型骨凿：数量：1把；L 型；刃宽≥5mm。</w:t>
      </w:r>
    </w:p>
    <w:p w14:paraId="122035B0">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8、刮匙：</w:t>
      </w:r>
    </w:p>
    <w:p w14:paraId="51D9793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8.1、数量：1支；长度：≥140mm；刃宽：≥4mm；直型。</w:t>
      </w:r>
    </w:p>
    <w:p w14:paraId="608EB31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8.2、数量：1支；长度：≥140mm；刃宽：≥4mm；侧弯型。</w:t>
      </w:r>
    </w:p>
    <w:p w14:paraId="218FE96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9、骨锤：数量：1把；长度≥240mm。</w:t>
      </w:r>
    </w:p>
    <w:p w14:paraId="3AB6DB6C">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10、脊柱手术用神经拉钩： </w:t>
      </w:r>
    </w:p>
    <w:p w14:paraId="5331C937">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10.1、数量：1支；长度：≥100mm；宽：≥10mm，右折弯，用于神经根牵拉。</w:t>
      </w:r>
    </w:p>
    <w:p w14:paraId="7155117B">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10.2、数量：1支；长度：≥100mm；宽：≥10mm，左折弯，用于神经根牵拉。</w:t>
      </w:r>
    </w:p>
    <w:p w14:paraId="704D5ACF">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11、椎板咬骨钳：</w:t>
      </w:r>
    </w:p>
    <w:p w14:paraId="0324B13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11.1、数量：1把；长度：≥220mm；角度：≥110°；刃宽：≥3mm；缀板咬骨钳手柄，方向可调。</w:t>
      </w:r>
    </w:p>
    <w:p w14:paraId="506E9DC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11.2、数量：1把；长度：≥220mm；角度：≥130°；刃宽：≥3mm；缀板咬骨钳手柄，方向可调。</w:t>
      </w:r>
    </w:p>
    <w:p w14:paraId="2669E875">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11.3、数量：1把；长度：≥220mm；角度：≥130°；刃宽：≥3mm；缀板咬骨钳手柄，方向可调。</w:t>
      </w:r>
    </w:p>
    <w:p w14:paraId="53D6FEC3">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12、髓核钳：</w:t>
      </w:r>
    </w:p>
    <w:p w14:paraId="53A66C8E">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12.1、数量：1把；长度：≥180mm；刃宽：≥4mm；谷粒型，直型。</w:t>
      </w:r>
    </w:p>
    <w:p w14:paraId="6DC0CCA4">
      <w:pPr>
        <w:pStyle w:val="94"/>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12.2、数量：1把；长度≥180mm；刃宽：≥4mm；谷粒型，上翘型。</w:t>
      </w:r>
    </w:p>
    <w:p w14:paraId="629A2951">
      <w:pPr>
        <w:pStyle w:val="94"/>
        <w:spacing w:line="360" w:lineRule="auto"/>
        <w:ind w:firstLine="0" w:firstLineChars="0"/>
        <w:rPr>
          <w:rFonts w:ascii="仿宋" w:hAnsi="仿宋" w:eastAsia="仿宋" w:cs="宋体"/>
          <w:b/>
          <w:color w:val="auto"/>
          <w:kern w:val="0"/>
          <w:sz w:val="24"/>
          <w:highlight w:val="none"/>
        </w:rPr>
      </w:pPr>
      <w:r>
        <w:rPr>
          <w:rFonts w:hint="eastAsia" w:ascii="仿宋" w:hAnsi="仿宋" w:eastAsia="仿宋" w:cs="仿宋"/>
          <w:color w:val="auto"/>
          <w:sz w:val="24"/>
          <w:szCs w:val="24"/>
          <w:highlight w:val="none"/>
        </w:rPr>
        <w:t>二、质保期：≥5年。</w:t>
      </w:r>
    </w:p>
    <w:p w14:paraId="0841048C">
      <w:pPr>
        <w:pStyle w:val="94"/>
        <w:spacing w:line="360" w:lineRule="auto"/>
        <w:ind w:firstLine="0" w:firstLineChars="0"/>
        <w:rPr>
          <w:rFonts w:ascii="仿宋" w:hAnsi="仿宋" w:eastAsia="仿宋" w:cs="宋体"/>
          <w:b/>
          <w:color w:val="auto"/>
          <w:kern w:val="0"/>
          <w:sz w:val="24"/>
          <w:highlight w:val="none"/>
        </w:rPr>
      </w:pPr>
    </w:p>
    <w:p w14:paraId="11B1FE6B">
      <w:pPr>
        <w:pStyle w:val="4"/>
        <w:ind w:firstLine="0"/>
        <w:rPr>
          <w:rFonts w:ascii="仿宋" w:hAnsi="仿宋" w:eastAsia="仿宋" w:cs="宋体"/>
          <w:b/>
          <w:color w:val="auto"/>
          <w:kern w:val="0"/>
          <w:highlight w:val="none"/>
        </w:rPr>
      </w:pPr>
    </w:p>
    <w:p w14:paraId="372CBEC3">
      <w:pPr>
        <w:pStyle w:val="4"/>
        <w:ind w:firstLine="0"/>
        <w:rPr>
          <w:rFonts w:ascii="仿宋" w:hAnsi="仿宋" w:eastAsia="仿宋" w:cs="宋体"/>
          <w:b/>
          <w:color w:val="auto"/>
          <w:kern w:val="0"/>
          <w:highlight w:val="none"/>
        </w:rPr>
      </w:pPr>
    </w:p>
    <w:p w14:paraId="4130E4FA">
      <w:pPr>
        <w:pStyle w:val="4"/>
        <w:rPr>
          <w:rFonts w:ascii="仿宋" w:hAnsi="仿宋" w:eastAsia="仿宋" w:cs="宋体"/>
          <w:b/>
          <w:color w:val="auto"/>
          <w:kern w:val="0"/>
          <w:highlight w:val="none"/>
        </w:rPr>
      </w:pPr>
    </w:p>
    <w:p w14:paraId="73C662E2">
      <w:pPr>
        <w:pStyle w:val="4"/>
        <w:rPr>
          <w:rFonts w:ascii="仿宋" w:hAnsi="仿宋" w:eastAsia="仿宋" w:cs="宋体"/>
          <w:b/>
          <w:color w:val="auto"/>
          <w:kern w:val="0"/>
          <w:highlight w:val="none"/>
        </w:rPr>
      </w:pPr>
    </w:p>
    <w:p w14:paraId="69D5AF66">
      <w:pPr>
        <w:rPr>
          <w:rFonts w:ascii="仿宋" w:hAnsi="仿宋" w:eastAsia="仿宋" w:cs="仿宋"/>
          <w:bCs/>
          <w:color w:val="auto"/>
          <w:sz w:val="24"/>
          <w:highlight w:val="none"/>
        </w:rPr>
      </w:pPr>
      <w:bookmarkStart w:id="17" w:name="OLE_LINK103"/>
      <w:bookmarkStart w:id="18" w:name="OLE_LINK102"/>
      <w:r>
        <w:rPr>
          <w:rFonts w:hint="eastAsia" w:ascii="仿宋" w:hAnsi="仿宋" w:eastAsia="仿宋" w:cs="仿宋"/>
          <w:bCs/>
          <w:color w:val="auto"/>
          <w:sz w:val="24"/>
          <w:highlight w:val="none"/>
        </w:rPr>
        <w:br w:type="page"/>
      </w:r>
    </w:p>
    <w:p w14:paraId="3CBBB03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bookmarkEnd w:id="17"/>
      <w:bookmarkEnd w:id="18"/>
      <w:r>
        <w:rPr>
          <w:rFonts w:hint="eastAsia" w:ascii="仿宋" w:hAnsi="仿宋" w:eastAsia="仿宋" w:cs="仿宋"/>
          <w:bCs/>
          <w:color w:val="auto"/>
          <w:sz w:val="24"/>
          <w:highlight w:val="none"/>
        </w:rPr>
        <w:t>；</w:t>
      </w:r>
    </w:p>
    <w:p w14:paraId="57DA14E2">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2.1采购标的需满足的服务标准、效率要求（以各包技术规格中要求为准，如技术规格中无要求，则以本款要求为准。）</w:t>
      </w:r>
    </w:p>
    <w:p w14:paraId="537BBEA2">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14:paraId="4030547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2.1.2、投标人应保证在质量保证期内提供投标货物专用的软件和相应数据库资料的免费升级服务。（如果有）。</w:t>
      </w:r>
    </w:p>
    <w:p w14:paraId="14B29E89">
      <w:pPr>
        <w:pStyle w:val="4"/>
        <w:rPr>
          <w:color w:val="auto"/>
          <w:highlight w:val="none"/>
        </w:rPr>
      </w:pPr>
    </w:p>
    <w:p w14:paraId="7D51CB22">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2.2采购标的需满足的服务期限要求</w:t>
      </w:r>
    </w:p>
    <w:p w14:paraId="061B5C7F">
      <w:pPr>
        <w:spacing w:before="50" w:line="360" w:lineRule="auto"/>
        <w:ind w:firstLine="480" w:firstLineChars="200"/>
        <w:rPr>
          <w:rFonts w:ascii="仿宋" w:hAnsi="仿宋" w:eastAsia="仿宋"/>
          <w:color w:val="auto"/>
          <w:sz w:val="24"/>
          <w:highlight w:val="none"/>
        </w:rPr>
      </w:pPr>
      <w:r>
        <w:rPr>
          <w:rFonts w:ascii="仿宋" w:hAnsi="仿宋" w:eastAsia="仿宋"/>
          <w:color w:val="auto"/>
          <w:sz w:val="24"/>
          <w:highlight w:val="none"/>
        </w:rPr>
        <w:t>质量保证期（保修期）及服务要求：</w:t>
      </w:r>
      <w:r>
        <w:rPr>
          <w:rFonts w:hint="eastAsia" w:ascii="仿宋" w:hAnsi="仿宋" w:eastAsia="仿宋"/>
          <w:color w:val="auto"/>
          <w:sz w:val="24"/>
          <w:highlight w:val="none"/>
        </w:rPr>
        <w:t>除非在每包技术规格中另有规定外，本项目所供设备的质量保证期（保修期）：</w:t>
      </w:r>
    </w:p>
    <w:p w14:paraId="2B936F6D">
      <w:pPr>
        <w:spacing w:before="50"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1）第4包品目4-1</w:t>
      </w:r>
      <w:r>
        <w:rPr>
          <w:rFonts w:ascii="仿宋" w:hAnsi="仿宋" w:eastAsia="仿宋"/>
          <w:color w:val="auto"/>
          <w:sz w:val="24"/>
          <w:highlight w:val="none"/>
        </w:rPr>
        <w:t>质量保证期（保修期）</w:t>
      </w:r>
      <w:r>
        <w:rPr>
          <w:rFonts w:hint="eastAsia" w:ascii="仿宋" w:hAnsi="仿宋" w:eastAsia="仿宋"/>
          <w:color w:val="auto"/>
          <w:sz w:val="24"/>
          <w:highlight w:val="none"/>
        </w:rPr>
        <w:t>为调试验收合格后96个月。</w:t>
      </w:r>
    </w:p>
    <w:p w14:paraId="0BB93511">
      <w:pPr>
        <w:spacing w:before="50"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2）第5包品目5-1至品目5-4</w:t>
      </w:r>
      <w:r>
        <w:rPr>
          <w:rFonts w:ascii="仿宋" w:hAnsi="仿宋" w:eastAsia="仿宋"/>
          <w:color w:val="auto"/>
          <w:sz w:val="24"/>
          <w:highlight w:val="none"/>
        </w:rPr>
        <w:t>质量保证期（保修期）</w:t>
      </w:r>
      <w:r>
        <w:rPr>
          <w:rFonts w:hint="eastAsia" w:ascii="仿宋" w:hAnsi="仿宋" w:eastAsia="仿宋"/>
          <w:color w:val="auto"/>
          <w:sz w:val="24"/>
          <w:highlight w:val="none"/>
        </w:rPr>
        <w:t>为调试验收合格后72个月。</w:t>
      </w:r>
    </w:p>
    <w:p w14:paraId="676B7D33">
      <w:pPr>
        <w:spacing w:before="50"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3）其余包组</w:t>
      </w:r>
      <w:r>
        <w:rPr>
          <w:rFonts w:ascii="仿宋" w:hAnsi="仿宋" w:eastAsia="仿宋"/>
          <w:color w:val="auto"/>
          <w:sz w:val="24"/>
          <w:highlight w:val="none"/>
        </w:rPr>
        <w:t>质量保证期（保修期）</w:t>
      </w:r>
      <w:r>
        <w:rPr>
          <w:rFonts w:hint="eastAsia" w:ascii="仿宋" w:hAnsi="仿宋" w:eastAsia="仿宋"/>
          <w:color w:val="auto"/>
          <w:sz w:val="24"/>
          <w:highlight w:val="none"/>
        </w:rPr>
        <w:t>为调试验收合格后</w:t>
      </w:r>
      <w:r>
        <w:rPr>
          <w:rFonts w:ascii="仿宋" w:hAnsi="仿宋" w:eastAsia="仿宋"/>
          <w:color w:val="auto"/>
          <w:sz w:val="24"/>
          <w:highlight w:val="none"/>
        </w:rPr>
        <w:t>60</w:t>
      </w:r>
      <w:r>
        <w:rPr>
          <w:rFonts w:hint="eastAsia" w:ascii="仿宋" w:hAnsi="仿宋" w:eastAsia="仿宋"/>
          <w:color w:val="auto"/>
          <w:sz w:val="24"/>
          <w:highlight w:val="none"/>
        </w:rPr>
        <w:t>个月。</w:t>
      </w:r>
    </w:p>
    <w:p w14:paraId="22642094">
      <w:pPr>
        <w:snapToGrid w:val="0"/>
        <w:spacing w:line="360" w:lineRule="auto"/>
        <w:ind w:firstLine="480" w:firstLineChars="200"/>
        <w:rPr>
          <w:rFonts w:ascii="仿宋" w:hAnsi="仿宋" w:eastAsia="仿宋" w:cs="仿宋"/>
          <w:bCs/>
          <w:color w:val="auto"/>
          <w:sz w:val="24"/>
          <w:highlight w:val="none"/>
        </w:rPr>
      </w:pPr>
    </w:p>
    <w:p w14:paraId="1FD215C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74C95C1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0626FC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326B7E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273F7F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A4C9B0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D152742">
      <w:pPr>
        <w:snapToGrid w:val="0"/>
        <w:spacing w:line="360" w:lineRule="auto"/>
        <w:ind w:firstLine="480" w:firstLineChars="200"/>
        <w:rPr>
          <w:rFonts w:ascii="仿宋" w:hAnsi="仿宋" w:eastAsia="仿宋" w:cs="仿宋"/>
          <w:bCs/>
          <w:color w:val="auto"/>
          <w:sz w:val="24"/>
          <w:highlight w:val="none"/>
        </w:rPr>
      </w:pPr>
      <w:bookmarkStart w:id="19"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0" w:name="OLE_LINK56"/>
      <w:bookmarkStart w:id="21" w:name="OLE_LINK55"/>
      <w:r>
        <w:rPr>
          <w:rFonts w:hint="eastAsia" w:ascii="仿宋" w:hAnsi="仿宋" w:eastAsia="仿宋" w:cs="仿宋"/>
          <w:b/>
          <w:bCs/>
          <w:color w:val="auto"/>
          <w:sz w:val="24"/>
          <w:highlight w:val="none"/>
        </w:rPr>
        <w:t>投标人</w:t>
      </w:r>
      <w:bookmarkEnd w:id="20"/>
      <w:bookmarkEnd w:id="2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9"/>
    </w:p>
    <w:p w14:paraId="323D0329">
      <w:pPr>
        <w:pStyle w:val="4"/>
        <w:rPr>
          <w:color w:val="auto"/>
          <w:highlight w:val="none"/>
        </w:rPr>
      </w:pPr>
    </w:p>
    <w:p w14:paraId="5FF2E63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7C6170D1">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4.1、技术证明支持材料</w:t>
      </w:r>
    </w:p>
    <w:p w14:paraId="64CB1BE3">
      <w:pPr>
        <w:snapToGrid w:val="0"/>
        <w:spacing w:line="360" w:lineRule="auto"/>
        <w:ind w:firstLine="480" w:firstLineChars="200"/>
        <w:rPr>
          <w:rFonts w:ascii="仿宋" w:hAnsi="仿宋" w:eastAsia="仿宋" w:cs="仿宋"/>
          <w:bCs/>
          <w:color w:val="auto"/>
          <w:sz w:val="24"/>
          <w:highlight w:val="none"/>
        </w:rPr>
      </w:pPr>
      <w:bookmarkStart w:id="22" w:name="OLE_LINK201"/>
      <w:bookmarkStart w:id="23" w:name="OLE_LINK200"/>
      <w:r>
        <w:rPr>
          <w:rFonts w:hint="eastAsia" w:ascii="仿宋" w:hAnsi="仿宋" w:eastAsia="仿宋" w:cs="仿宋"/>
          <w:bCs/>
          <w:color w:val="auto"/>
          <w:sz w:val="24"/>
          <w:highlight w:val="none"/>
        </w:rPr>
        <w:t>4.1.</w:t>
      </w:r>
      <w:bookmarkEnd w:id="22"/>
      <w:bookmarkEnd w:id="23"/>
      <w:r>
        <w:rPr>
          <w:rFonts w:hint="eastAsia" w:ascii="仿宋" w:hAnsi="仿宋" w:eastAsia="仿宋" w:cs="仿宋"/>
          <w:bCs/>
          <w:color w:val="auto"/>
          <w:sz w:val="24"/>
          <w:highlight w:val="none"/>
        </w:rPr>
        <w:t>1、对于技术规格中标注“★”号的技术参数代表实质性指标，不满足该指标项将直接导致投标被拒绝。</w:t>
      </w:r>
    </w:p>
    <w:p w14:paraId="680CA38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4.1.2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39BDCCA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43305D70">
      <w:pPr>
        <w:snapToGrid w:val="0"/>
        <w:spacing w:line="360" w:lineRule="auto"/>
        <w:ind w:firstLine="482" w:firstLineChars="200"/>
        <w:rPr>
          <w:rFonts w:ascii="仿宋" w:hAnsi="仿宋" w:eastAsia="仿宋" w:cs="仿宋"/>
          <w:b/>
          <w:bCs/>
          <w:color w:val="auto"/>
          <w:sz w:val="24"/>
          <w:highlight w:val="none"/>
        </w:rPr>
      </w:pPr>
      <w:bookmarkStart w:id="24" w:name="OLE_LINK23"/>
      <w:bookmarkStart w:id="25" w:name="OLE_LINK22"/>
      <w:r>
        <w:rPr>
          <w:rFonts w:hint="eastAsia" w:ascii="仿宋" w:hAnsi="仿宋" w:eastAsia="仿宋" w:cs="仿宋"/>
          <w:b/>
          <w:bCs/>
          <w:color w:val="auto"/>
          <w:sz w:val="24"/>
          <w:highlight w:val="none"/>
        </w:rPr>
        <w:t>4.2、供货及安装要求</w:t>
      </w:r>
      <w:bookmarkEnd w:id="24"/>
      <w:bookmarkEnd w:id="25"/>
      <w:r>
        <w:rPr>
          <w:rFonts w:hint="eastAsia" w:ascii="仿宋" w:hAnsi="仿宋" w:eastAsia="仿宋" w:cs="仿宋"/>
          <w:b/>
          <w:bCs/>
          <w:color w:val="auto"/>
          <w:sz w:val="24"/>
          <w:highlight w:val="none"/>
        </w:rPr>
        <w:tab/>
      </w:r>
    </w:p>
    <w:p w14:paraId="3E4A9EA0">
      <w:pPr>
        <w:snapToGrid w:val="0"/>
        <w:spacing w:line="360" w:lineRule="auto"/>
        <w:ind w:firstLine="480" w:firstLineChars="200"/>
        <w:rPr>
          <w:rFonts w:ascii="仿宋" w:hAnsi="仿宋" w:eastAsia="仿宋" w:cs="仿宋"/>
          <w:bCs/>
          <w:color w:val="auto"/>
          <w:sz w:val="24"/>
          <w:highlight w:val="none"/>
        </w:rPr>
      </w:pPr>
      <w:bookmarkStart w:id="26" w:name="OLE_LINK203"/>
      <w:bookmarkStart w:id="27" w:name="OLE_LINK202"/>
      <w:r>
        <w:rPr>
          <w:rFonts w:hint="eastAsia" w:ascii="仿宋" w:hAnsi="仿宋" w:eastAsia="仿宋" w:cs="仿宋"/>
          <w:bCs/>
          <w:color w:val="auto"/>
          <w:sz w:val="24"/>
          <w:highlight w:val="none"/>
        </w:rPr>
        <w:t>4.2.1、</w:t>
      </w:r>
      <w:bookmarkEnd w:id="26"/>
      <w:bookmarkEnd w:id="27"/>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6B30904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28771B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4.2.3、投标人所提供的部件之间及设备之间的连线或接插件均视为设备内部部件，应包含在相应的配置中。</w:t>
      </w:r>
    </w:p>
    <w:p w14:paraId="5D6D10D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4.2.4、工作条件：除了在技术规格中另有规定外，投标人提供的一切仪器、设备和系统，应符合下列条件：</w:t>
      </w:r>
    </w:p>
    <w:p w14:paraId="0D2411D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180FE042">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6EC35E7F">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4.3、培训要求：</w:t>
      </w:r>
    </w:p>
    <w:p w14:paraId="076FC5E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7C7282BE">
      <w:pPr>
        <w:pStyle w:val="4"/>
        <w:rPr>
          <w:color w:val="auto"/>
          <w:highlight w:val="none"/>
        </w:rPr>
      </w:pPr>
    </w:p>
    <w:p w14:paraId="320669D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67F8BB3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48D68B94">
      <w:pPr>
        <w:pStyle w:val="4"/>
        <w:rPr>
          <w:rFonts w:ascii="仿宋" w:hAnsi="仿宋" w:eastAsia="仿宋"/>
          <w:color w:val="auto"/>
          <w:highlight w:val="none"/>
        </w:rPr>
      </w:pPr>
    </w:p>
    <w:p w14:paraId="59361F79">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7F300D5E">
      <w:pPr>
        <w:numPr>
          <w:ilvl w:val="255"/>
          <w:numId w:val="0"/>
        </w:num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E60CD5A">
      <w:pPr>
        <w:numPr>
          <w:ilvl w:val="255"/>
          <w:numId w:val="0"/>
        </w:num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2、货物运抵采购项目（标的）交付的地点后，采购人将在</w:t>
      </w:r>
      <w:r>
        <w:rPr>
          <w:rFonts w:hint="eastAsia" w:ascii="仿宋" w:hAnsi="仿宋" w:eastAsia="仿宋" w:cs="仿宋"/>
          <w:bCs/>
          <w:color w:val="auto"/>
          <w:sz w:val="24"/>
          <w:highlight w:val="none"/>
          <w:u w:val="single"/>
        </w:rPr>
        <w:t>30个工作日</w:t>
      </w:r>
      <w:r>
        <w:rPr>
          <w:rFonts w:hint="eastAsia" w:ascii="仿宋" w:hAnsi="仿宋" w:eastAsia="仿宋" w:cs="仿宋"/>
          <w:bCs/>
          <w:color w:val="auto"/>
          <w:sz w:val="24"/>
          <w:highlight w:val="none"/>
        </w:rPr>
        <w:t>内组织验收，由采购人组织验收小组，对货物的数量、外观、包装、质量、安全、功能及性能等进行验收，项目验收依据为采购合同、招标文件和投标文件。验收小组将根据验收情况制作验收备忘录并签署验收意见。</w:t>
      </w:r>
    </w:p>
    <w:p w14:paraId="0BC61B57">
      <w:pPr>
        <w:numPr>
          <w:ilvl w:val="255"/>
          <w:numId w:val="0"/>
        </w:num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3、投标人应负责使所供计量仪器通过计量部门的验收，并承担相关费用（包括运费）。若需要，应在检测期间提供备用仪器，以便不影响采购人的使用。</w:t>
      </w:r>
    </w:p>
    <w:p w14:paraId="760F12AC">
      <w:pPr>
        <w:numPr>
          <w:ilvl w:val="255"/>
          <w:numId w:val="0"/>
        </w:numPr>
        <w:snapToGrid w:val="0"/>
        <w:spacing w:line="360" w:lineRule="auto"/>
        <w:ind w:firstLine="482" w:firstLineChars="200"/>
        <w:rPr>
          <w:rFonts w:ascii="仿宋" w:hAnsi="仿宋" w:eastAsia="仿宋" w:cs="仿宋"/>
          <w:b/>
          <w:bCs/>
          <w:color w:val="auto"/>
          <w:sz w:val="24"/>
          <w:highlight w:val="none"/>
        </w:rPr>
      </w:pPr>
    </w:p>
    <w:p w14:paraId="6E2ECEFA">
      <w:pPr>
        <w:numPr>
          <w:ilvl w:val="255"/>
          <w:numId w:val="0"/>
        </w:num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300BE89E">
      <w:pPr>
        <w:numPr>
          <w:ilvl w:val="255"/>
          <w:numId w:val="0"/>
        </w:numPr>
        <w:snapToGrid w:val="0"/>
        <w:spacing w:line="360" w:lineRule="auto"/>
        <w:ind w:firstLine="720" w:firstLineChars="300"/>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822727C">
      <w:bookmarkStart w:id="28" w:name="_GoBack"/>
      <w:bookmarkEnd w:id="28"/>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00000" w:csb1="00000000"/>
  </w:font>
  <w:font w:name="......_.">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Helvetica Neue">
    <w:altName w:val="Times New Roman"/>
    <w:panose1 w:val="00000000000000000000"/>
    <w:charset w:val="00"/>
    <w:family w:val="auto"/>
    <w:pitch w:val="default"/>
    <w:sig w:usb0="00000000" w:usb1="00000000" w:usb2="00000010" w:usb3="00000000" w:csb0="00000001" w:csb1="00000000"/>
  </w:font>
  <w:font w:name="Helvetica">
    <w:altName w:val="Arial"/>
    <w:panose1 w:val="020B0604020202020204"/>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157C2"/>
    <w:multiLevelType w:val="multilevel"/>
    <w:tmpl w:val="1A5157C2"/>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21"/>
    <w:rsid w:val="000D0ED3"/>
    <w:rsid w:val="001247BD"/>
    <w:rsid w:val="001A64D5"/>
    <w:rsid w:val="001D7E02"/>
    <w:rsid w:val="001E78A3"/>
    <w:rsid w:val="002000D7"/>
    <w:rsid w:val="0020585F"/>
    <w:rsid w:val="00227260"/>
    <w:rsid w:val="0027169F"/>
    <w:rsid w:val="002901AE"/>
    <w:rsid w:val="002B1A97"/>
    <w:rsid w:val="00331D98"/>
    <w:rsid w:val="00431219"/>
    <w:rsid w:val="004F644E"/>
    <w:rsid w:val="004F66FA"/>
    <w:rsid w:val="00504DC9"/>
    <w:rsid w:val="00515BAC"/>
    <w:rsid w:val="00564AF8"/>
    <w:rsid w:val="005A187B"/>
    <w:rsid w:val="005A6B05"/>
    <w:rsid w:val="0061348A"/>
    <w:rsid w:val="00613CF3"/>
    <w:rsid w:val="00687E80"/>
    <w:rsid w:val="006F7B9A"/>
    <w:rsid w:val="007328B2"/>
    <w:rsid w:val="007D2BA0"/>
    <w:rsid w:val="007F4B3A"/>
    <w:rsid w:val="008300BA"/>
    <w:rsid w:val="00834121"/>
    <w:rsid w:val="00883501"/>
    <w:rsid w:val="009465E7"/>
    <w:rsid w:val="00977834"/>
    <w:rsid w:val="00A242E8"/>
    <w:rsid w:val="00A42718"/>
    <w:rsid w:val="00A70983"/>
    <w:rsid w:val="00BD0E3A"/>
    <w:rsid w:val="00BE7A21"/>
    <w:rsid w:val="00BF25DA"/>
    <w:rsid w:val="00C3563E"/>
    <w:rsid w:val="00D01513"/>
    <w:rsid w:val="00D054BD"/>
    <w:rsid w:val="00D95C82"/>
    <w:rsid w:val="00E45F05"/>
    <w:rsid w:val="00ED36F5"/>
    <w:rsid w:val="00EF5892"/>
    <w:rsid w:val="00F41F90"/>
    <w:rsid w:val="00FF6404"/>
    <w:rsid w:val="3AB04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iPriority="0" w:semiHidden="0" w:name="Body Text Indent 2"/>
    <w:lsdException w:qFormat="1" w:uiPriority="0" w:semiHidden="0" w:name="Body Text Indent 3"/>
    <w:lsdException w:qFormat="1" w:uiPriority="0" w:semiHidden="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69"/>
    <w:qFormat/>
    <w:uiPriority w:val="9"/>
    <w:pPr>
      <w:keepNext/>
      <w:keepLines/>
      <w:autoSpaceDE w:val="0"/>
      <w:autoSpaceDN w:val="0"/>
      <w:adjustRightInd w:val="0"/>
      <w:spacing w:before="240" w:after="120" w:line="300" w:lineRule="auto"/>
      <w:jc w:val="center"/>
      <w:outlineLvl w:val="0"/>
    </w:pPr>
    <w:rPr>
      <w:rFonts w:ascii="宋体"/>
      <w:b/>
      <w:kern w:val="44"/>
      <w:sz w:val="32"/>
    </w:rPr>
  </w:style>
  <w:style w:type="paragraph" w:styleId="3">
    <w:name w:val="heading 2"/>
    <w:basedOn w:val="1"/>
    <w:next w:val="4"/>
    <w:link w:val="232"/>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5">
    <w:name w:val="heading 3"/>
    <w:basedOn w:val="1"/>
    <w:next w:val="1"/>
    <w:link w:val="233"/>
    <w:unhideWhenUsed/>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6">
    <w:name w:val="heading 4"/>
    <w:basedOn w:val="1"/>
    <w:next w:val="1"/>
    <w:link w:val="72"/>
    <w:unhideWhenUsed/>
    <w:qFormat/>
    <w:uiPriority w:val="0"/>
    <w:pPr>
      <w:keepNext/>
      <w:keepLines/>
      <w:adjustRightInd w:val="0"/>
      <w:spacing w:before="280" w:after="290" w:line="376" w:lineRule="atLeast"/>
      <w:outlineLvl w:val="3"/>
    </w:pPr>
    <w:rPr>
      <w:rFonts w:ascii="Arial" w:hAnsi="Arial" w:eastAsia="黑体"/>
      <w:b/>
      <w:kern w:val="0"/>
      <w:sz w:val="28"/>
    </w:rPr>
  </w:style>
  <w:style w:type="paragraph" w:styleId="7">
    <w:name w:val="heading 5"/>
    <w:basedOn w:val="1"/>
    <w:next w:val="1"/>
    <w:link w:val="73"/>
    <w:unhideWhenUsed/>
    <w:qFormat/>
    <w:uiPriority w:val="0"/>
    <w:pPr>
      <w:keepNext/>
      <w:keepLines/>
      <w:adjustRightInd w:val="0"/>
      <w:spacing w:before="280" w:after="290" w:line="376" w:lineRule="atLeast"/>
      <w:outlineLvl w:val="4"/>
    </w:pPr>
    <w:rPr>
      <w:b/>
      <w:kern w:val="0"/>
      <w:sz w:val="28"/>
    </w:rPr>
  </w:style>
  <w:style w:type="paragraph" w:styleId="8">
    <w:name w:val="heading 6"/>
    <w:basedOn w:val="1"/>
    <w:next w:val="1"/>
    <w:link w:val="74"/>
    <w:unhideWhenUsed/>
    <w:qFormat/>
    <w:uiPriority w:val="0"/>
    <w:pPr>
      <w:keepNext/>
      <w:keepLines/>
      <w:adjustRightInd w:val="0"/>
      <w:spacing w:before="240" w:after="64" w:line="320" w:lineRule="atLeast"/>
      <w:outlineLvl w:val="5"/>
    </w:pPr>
    <w:rPr>
      <w:rFonts w:ascii="Arial" w:hAnsi="Arial" w:eastAsia="黑体"/>
      <w:b/>
      <w:kern w:val="0"/>
      <w:sz w:val="24"/>
    </w:rPr>
  </w:style>
  <w:style w:type="paragraph" w:styleId="9">
    <w:name w:val="heading 7"/>
    <w:basedOn w:val="1"/>
    <w:next w:val="1"/>
    <w:link w:val="75"/>
    <w:unhideWhenUsed/>
    <w:qFormat/>
    <w:uiPriority w:val="0"/>
    <w:pPr>
      <w:keepNext/>
      <w:keepLines/>
      <w:adjustRightInd w:val="0"/>
      <w:spacing w:before="240" w:after="64" w:line="320" w:lineRule="atLeast"/>
      <w:outlineLvl w:val="6"/>
    </w:pPr>
    <w:rPr>
      <w:b/>
      <w:kern w:val="0"/>
      <w:sz w:val="24"/>
    </w:rPr>
  </w:style>
  <w:style w:type="paragraph" w:styleId="10">
    <w:name w:val="heading 8"/>
    <w:basedOn w:val="1"/>
    <w:next w:val="1"/>
    <w:link w:val="76"/>
    <w:unhideWhenUsed/>
    <w:qFormat/>
    <w:uiPriority w:val="0"/>
    <w:pPr>
      <w:keepNext/>
      <w:keepLines/>
      <w:adjustRightInd w:val="0"/>
      <w:spacing w:before="240" w:after="64" w:line="320" w:lineRule="atLeast"/>
      <w:outlineLvl w:val="7"/>
    </w:pPr>
    <w:rPr>
      <w:rFonts w:ascii="Arial" w:hAnsi="Arial" w:eastAsia="黑体"/>
      <w:kern w:val="0"/>
      <w:sz w:val="24"/>
    </w:rPr>
  </w:style>
  <w:style w:type="paragraph" w:styleId="11">
    <w:name w:val="heading 9"/>
    <w:basedOn w:val="1"/>
    <w:next w:val="1"/>
    <w:link w:val="77"/>
    <w:unhideWhenUsed/>
    <w:qFormat/>
    <w:uiPriority w:val="0"/>
    <w:pPr>
      <w:keepNext/>
      <w:keepLines/>
      <w:adjustRightInd w:val="0"/>
      <w:spacing w:before="240" w:after="64" w:line="320" w:lineRule="atLeast"/>
      <w:outlineLvl w:val="8"/>
    </w:pPr>
    <w:rPr>
      <w:rFonts w:ascii="Arial" w:hAnsi="Arial" w:eastAsia="黑体"/>
      <w:kern w:val="0"/>
    </w:rPr>
  </w:style>
  <w:style w:type="character" w:default="1" w:styleId="49">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styleId="4">
    <w:name w:val="Normal Indent"/>
    <w:basedOn w:val="1"/>
    <w:link w:val="80"/>
    <w:unhideWhenUsed/>
    <w:qFormat/>
    <w:uiPriority w:val="0"/>
    <w:pPr>
      <w:autoSpaceDE w:val="0"/>
      <w:autoSpaceDN w:val="0"/>
      <w:adjustRightInd w:val="0"/>
      <w:ind w:firstLine="420"/>
      <w:jc w:val="left"/>
    </w:pPr>
    <w:rPr>
      <w:rFonts w:ascii="宋体"/>
      <w:sz w:val="24"/>
      <w:szCs w:val="24"/>
    </w:rPr>
  </w:style>
  <w:style w:type="paragraph" w:styleId="12">
    <w:name w:val="toc 7"/>
    <w:basedOn w:val="1"/>
    <w:next w:val="1"/>
    <w:autoRedefine/>
    <w:unhideWhenUsed/>
    <w:qFormat/>
    <w:uiPriority w:val="0"/>
    <w:pPr>
      <w:ind w:left="2520" w:leftChars="1200"/>
    </w:pPr>
    <w:rPr>
      <w:szCs w:val="24"/>
    </w:rPr>
  </w:style>
  <w:style w:type="paragraph" w:styleId="13">
    <w:name w:val="caption"/>
    <w:basedOn w:val="1"/>
    <w:next w:val="1"/>
    <w:unhideWhenUsed/>
    <w:qFormat/>
    <w:uiPriority w:val="0"/>
    <w:pPr>
      <w:spacing w:line="480" w:lineRule="auto"/>
    </w:pPr>
    <w:rPr>
      <w:rFonts w:ascii="华文中宋" w:hAnsi="华文中宋" w:eastAsia="华文中宋"/>
      <w:sz w:val="36"/>
    </w:rPr>
  </w:style>
  <w:style w:type="paragraph" w:styleId="14">
    <w:name w:val="Document Map"/>
    <w:basedOn w:val="1"/>
    <w:link w:val="88"/>
    <w:unhideWhenUsed/>
    <w:qFormat/>
    <w:uiPriority w:val="0"/>
    <w:pPr>
      <w:shd w:val="clear" w:color="auto" w:fill="000080"/>
    </w:pPr>
    <w:rPr>
      <w:szCs w:val="24"/>
    </w:rPr>
  </w:style>
  <w:style w:type="paragraph" w:styleId="15">
    <w:name w:val="toa heading"/>
    <w:basedOn w:val="1"/>
    <w:next w:val="1"/>
    <w:unhideWhenUsed/>
    <w:qFormat/>
    <w:uiPriority w:val="0"/>
    <w:pPr>
      <w:spacing w:before="120"/>
    </w:pPr>
    <w:rPr>
      <w:rFonts w:asciiTheme="majorHAnsi" w:hAnsiTheme="majorHAnsi" w:cstheme="majorBidi"/>
      <w:sz w:val="24"/>
      <w:szCs w:val="24"/>
    </w:rPr>
  </w:style>
  <w:style w:type="paragraph" w:styleId="16">
    <w:name w:val="annotation text"/>
    <w:basedOn w:val="1"/>
    <w:link w:val="63"/>
    <w:qFormat/>
    <w:uiPriority w:val="0"/>
    <w:pPr>
      <w:adjustRightInd w:val="0"/>
      <w:spacing w:line="360" w:lineRule="atLeast"/>
      <w:jc w:val="left"/>
      <w:textAlignment w:val="baseline"/>
    </w:pPr>
    <w:rPr>
      <w:rFonts w:asciiTheme="minorHAnsi" w:hAnsiTheme="minorHAnsi" w:cstheme="minorBidi"/>
      <w:sz w:val="24"/>
      <w:szCs w:val="22"/>
    </w:rPr>
  </w:style>
  <w:style w:type="paragraph" w:styleId="17">
    <w:name w:val="Body Text 3"/>
    <w:basedOn w:val="1"/>
    <w:link w:val="85"/>
    <w:unhideWhenUsed/>
    <w:qFormat/>
    <w:uiPriority w:val="0"/>
    <w:pPr>
      <w:spacing w:after="120"/>
    </w:pPr>
    <w:rPr>
      <w:sz w:val="16"/>
      <w:szCs w:val="16"/>
    </w:rPr>
  </w:style>
  <w:style w:type="paragraph" w:styleId="18">
    <w:name w:val="Body Text"/>
    <w:basedOn w:val="1"/>
    <w:link w:val="78"/>
    <w:unhideWhenUsed/>
    <w:qFormat/>
    <w:uiPriority w:val="0"/>
    <w:pPr>
      <w:spacing w:after="120"/>
    </w:pPr>
    <w:rPr>
      <w:szCs w:val="24"/>
    </w:rPr>
  </w:style>
  <w:style w:type="paragraph" w:styleId="19">
    <w:name w:val="Body Text Indent"/>
    <w:basedOn w:val="1"/>
    <w:link w:val="234"/>
    <w:unhideWhenUsed/>
    <w:qFormat/>
    <w:uiPriority w:val="99"/>
    <w:pPr>
      <w:spacing w:line="360" w:lineRule="auto"/>
      <w:ind w:firstLine="570"/>
    </w:pPr>
    <w:rPr>
      <w:sz w:val="24"/>
      <w:szCs w:val="24"/>
    </w:rPr>
  </w:style>
  <w:style w:type="paragraph" w:styleId="20">
    <w:name w:val="List 2"/>
    <w:basedOn w:val="1"/>
    <w:unhideWhenUsed/>
    <w:qFormat/>
    <w:uiPriority w:val="0"/>
    <w:pPr>
      <w:ind w:left="100" w:leftChars="200" w:hanging="200" w:hangingChars="200"/>
    </w:pPr>
    <w:rPr>
      <w:szCs w:val="24"/>
    </w:rPr>
  </w:style>
  <w:style w:type="paragraph" w:styleId="21">
    <w:name w:val="Block Text"/>
    <w:basedOn w:val="1"/>
    <w:unhideWhenUsed/>
    <w:qFormat/>
    <w:uiPriority w:val="0"/>
    <w:pPr>
      <w:widowControl/>
      <w:ind w:left="480" w:right="-341" w:firstLine="513"/>
    </w:pPr>
    <w:rPr>
      <w:kern w:val="0"/>
      <w:sz w:val="24"/>
    </w:rPr>
  </w:style>
  <w:style w:type="paragraph" w:styleId="22">
    <w:name w:val="toc 5"/>
    <w:basedOn w:val="1"/>
    <w:next w:val="1"/>
    <w:autoRedefine/>
    <w:unhideWhenUsed/>
    <w:qFormat/>
    <w:uiPriority w:val="0"/>
    <w:pPr>
      <w:ind w:left="1680" w:leftChars="800"/>
    </w:pPr>
    <w:rPr>
      <w:szCs w:val="24"/>
    </w:rPr>
  </w:style>
  <w:style w:type="paragraph" w:styleId="23">
    <w:name w:val="toc 3"/>
    <w:basedOn w:val="1"/>
    <w:next w:val="1"/>
    <w:autoRedefine/>
    <w:unhideWhenUsed/>
    <w:qFormat/>
    <w:uiPriority w:val="39"/>
    <w:pPr>
      <w:ind w:left="840" w:leftChars="400"/>
    </w:pPr>
    <w:rPr>
      <w:szCs w:val="24"/>
    </w:rPr>
  </w:style>
  <w:style w:type="paragraph" w:styleId="24">
    <w:name w:val="Plain Text"/>
    <w:basedOn w:val="1"/>
    <w:link w:val="59"/>
    <w:qFormat/>
    <w:uiPriority w:val="99"/>
    <w:rPr>
      <w:rFonts w:ascii="宋体" w:hAnsi="Courier New" w:cstheme="minorBidi"/>
      <w:szCs w:val="22"/>
    </w:rPr>
  </w:style>
  <w:style w:type="paragraph" w:styleId="25">
    <w:name w:val="toc 8"/>
    <w:basedOn w:val="1"/>
    <w:next w:val="1"/>
    <w:autoRedefine/>
    <w:unhideWhenUsed/>
    <w:qFormat/>
    <w:uiPriority w:val="0"/>
    <w:pPr>
      <w:ind w:left="2940" w:leftChars="1400"/>
    </w:pPr>
    <w:rPr>
      <w:szCs w:val="24"/>
    </w:rPr>
  </w:style>
  <w:style w:type="paragraph" w:styleId="26">
    <w:name w:val="Date"/>
    <w:basedOn w:val="1"/>
    <w:next w:val="1"/>
    <w:link w:val="82"/>
    <w:unhideWhenUsed/>
    <w:qFormat/>
    <w:uiPriority w:val="0"/>
    <w:pPr>
      <w:ind w:left="100" w:leftChars="2500"/>
    </w:pPr>
    <w:rPr>
      <w:rFonts w:ascii="仿宋_GB2312" w:hAnsi="宋体" w:eastAsia="仿宋_GB2312"/>
      <w:color w:val="000000"/>
      <w:sz w:val="24"/>
      <w:szCs w:val="24"/>
    </w:rPr>
  </w:style>
  <w:style w:type="paragraph" w:styleId="27">
    <w:name w:val="Body Text Indent 2"/>
    <w:basedOn w:val="1"/>
    <w:link w:val="86"/>
    <w:unhideWhenUsed/>
    <w:qFormat/>
    <w:uiPriority w:val="0"/>
    <w:pPr>
      <w:ind w:firstLine="480" w:firstLineChars="200"/>
    </w:pPr>
    <w:rPr>
      <w:rFonts w:ascii="仿宋_GB2312" w:eastAsia="仿宋_GB2312"/>
      <w:sz w:val="24"/>
      <w:szCs w:val="24"/>
    </w:rPr>
  </w:style>
  <w:style w:type="paragraph" w:styleId="28">
    <w:name w:val="endnote text"/>
    <w:basedOn w:val="1"/>
    <w:link w:val="270"/>
    <w:semiHidden/>
    <w:unhideWhenUsed/>
    <w:qFormat/>
    <w:uiPriority w:val="99"/>
    <w:pPr>
      <w:snapToGrid w:val="0"/>
      <w:jc w:val="left"/>
    </w:pPr>
    <w:rPr>
      <w:szCs w:val="22"/>
    </w:rPr>
  </w:style>
  <w:style w:type="paragraph" w:styleId="29">
    <w:name w:val="Balloon Text"/>
    <w:basedOn w:val="1"/>
    <w:link w:val="90"/>
    <w:unhideWhenUsed/>
    <w:qFormat/>
    <w:uiPriority w:val="0"/>
    <w:rPr>
      <w:sz w:val="18"/>
      <w:szCs w:val="18"/>
    </w:rPr>
  </w:style>
  <w:style w:type="paragraph" w:styleId="30">
    <w:name w:val="footer"/>
    <w:basedOn w:val="1"/>
    <w:link w:val="58"/>
    <w:unhideWhenUsed/>
    <w:qFormat/>
    <w:uiPriority w:val="99"/>
    <w:pPr>
      <w:tabs>
        <w:tab w:val="center" w:pos="4153"/>
        <w:tab w:val="right" w:pos="8306"/>
      </w:tabs>
      <w:snapToGrid w:val="0"/>
      <w:jc w:val="left"/>
    </w:pPr>
    <w:rPr>
      <w:sz w:val="18"/>
      <w:szCs w:val="18"/>
    </w:rPr>
  </w:style>
  <w:style w:type="paragraph" w:styleId="31">
    <w:name w:val="header"/>
    <w:basedOn w:val="1"/>
    <w:link w:val="57"/>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unhideWhenUsed/>
    <w:qFormat/>
    <w:uiPriority w:val="0"/>
    <w:pPr>
      <w:tabs>
        <w:tab w:val="left" w:pos="1050"/>
        <w:tab w:val="right" w:leader="dot" w:pos="8937"/>
      </w:tabs>
      <w:spacing w:line="300" w:lineRule="auto"/>
    </w:pPr>
    <w:rPr>
      <w:rFonts w:ascii="宋体" w:hAnsi="宋体"/>
      <w:b/>
      <w:sz w:val="24"/>
      <w:szCs w:val="24"/>
    </w:rPr>
  </w:style>
  <w:style w:type="paragraph" w:styleId="33">
    <w:name w:val="toc 4"/>
    <w:basedOn w:val="1"/>
    <w:next w:val="1"/>
    <w:autoRedefine/>
    <w:unhideWhenUsed/>
    <w:qFormat/>
    <w:uiPriority w:val="0"/>
    <w:pPr>
      <w:ind w:left="1260" w:leftChars="600"/>
    </w:pPr>
    <w:rPr>
      <w:szCs w:val="24"/>
    </w:rPr>
  </w:style>
  <w:style w:type="paragraph" w:styleId="34">
    <w:name w:val="toc 6"/>
    <w:basedOn w:val="1"/>
    <w:next w:val="1"/>
    <w:autoRedefine/>
    <w:unhideWhenUsed/>
    <w:qFormat/>
    <w:uiPriority w:val="0"/>
    <w:pPr>
      <w:ind w:left="2100" w:leftChars="1000"/>
    </w:pPr>
    <w:rPr>
      <w:szCs w:val="24"/>
    </w:rPr>
  </w:style>
  <w:style w:type="paragraph" w:styleId="35">
    <w:name w:val="Body Text Indent 3"/>
    <w:basedOn w:val="1"/>
    <w:link w:val="87"/>
    <w:unhideWhenUsed/>
    <w:qFormat/>
    <w:uiPriority w:val="0"/>
    <w:pPr>
      <w:autoSpaceDE w:val="0"/>
      <w:autoSpaceDN w:val="0"/>
      <w:adjustRightInd w:val="0"/>
      <w:spacing w:before="120" w:line="22" w:lineRule="atLeast"/>
      <w:ind w:left="720" w:firstLine="480"/>
      <w:jc w:val="left"/>
    </w:pPr>
    <w:rPr>
      <w:rFonts w:ascii="宋体"/>
      <w:kern w:val="0"/>
      <w:sz w:val="24"/>
    </w:rPr>
  </w:style>
  <w:style w:type="paragraph" w:styleId="36">
    <w:name w:val="toc 2"/>
    <w:basedOn w:val="1"/>
    <w:next w:val="1"/>
    <w:autoRedefine/>
    <w:unhideWhenUsed/>
    <w:qFormat/>
    <w:uiPriority w:val="39"/>
    <w:pPr>
      <w:tabs>
        <w:tab w:val="right" w:leader="dot" w:pos="8937"/>
      </w:tabs>
      <w:spacing w:line="312" w:lineRule="auto"/>
      <w:ind w:left="420" w:leftChars="200"/>
    </w:pPr>
    <w:rPr>
      <w:szCs w:val="24"/>
    </w:rPr>
  </w:style>
  <w:style w:type="paragraph" w:styleId="37">
    <w:name w:val="toc 9"/>
    <w:basedOn w:val="1"/>
    <w:next w:val="1"/>
    <w:autoRedefine/>
    <w:unhideWhenUsed/>
    <w:qFormat/>
    <w:uiPriority w:val="0"/>
    <w:pPr>
      <w:ind w:left="3360" w:leftChars="1600"/>
    </w:pPr>
    <w:rPr>
      <w:szCs w:val="24"/>
    </w:rPr>
  </w:style>
  <w:style w:type="paragraph" w:styleId="38">
    <w:name w:val="Body Text 2"/>
    <w:basedOn w:val="1"/>
    <w:link w:val="271"/>
    <w:qFormat/>
    <w:uiPriority w:val="0"/>
    <w:pPr>
      <w:adjustRightInd w:val="0"/>
      <w:spacing w:after="120" w:line="480" w:lineRule="auto"/>
      <w:textAlignment w:val="baseline"/>
    </w:pPr>
    <w:rPr>
      <w:kern w:val="0"/>
    </w:rPr>
  </w:style>
  <w:style w:type="paragraph" w:styleId="39">
    <w:name w:val="HTML Preformatted"/>
    <w:basedOn w:val="1"/>
    <w:link w:val="79"/>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autoRedefine/>
    <w:unhideWhenUsed/>
    <w:qFormat/>
    <w:uiPriority w:val="0"/>
  </w:style>
  <w:style w:type="paragraph" w:styleId="42">
    <w:name w:val="Title"/>
    <w:basedOn w:val="1"/>
    <w:link w:val="60"/>
    <w:qFormat/>
    <w:uiPriority w:val="0"/>
    <w:pPr>
      <w:spacing w:before="240" w:after="60"/>
      <w:jc w:val="center"/>
      <w:outlineLvl w:val="0"/>
    </w:pPr>
    <w:rPr>
      <w:rFonts w:ascii="Arial" w:hAnsi="Arial" w:cs="Arial"/>
      <w:b/>
      <w:bCs/>
      <w:sz w:val="32"/>
      <w:szCs w:val="32"/>
    </w:rPr>
  </w:style>
  <w:style w:type="paragraph" w:styleId="43">
    <w:name w:val="annotation subject"/>
    <w:basedOn w:val="16"/>
    <w:next w:val="16"/>
    <w:link w:val="89"/>
    <w:unhideWhenUsed/>
    <w:qFormat/>
    <w:uiPriority w:val="0"/>
    <w:pPr>
      <w:adjustRightInd/>
      <w:spacing w:line="240" w:lineRule="auto"/>
      <w:textAlignment w:val="auto"/>
    </w:pPr>
    <w:rPr>
      <w:rFonts w:ascii="Times New Roman" w:hAnsi="Times New Roman" w:cs="Times New Roman"/>
      <w:b/>
      <w:bCs/>
      <w:sz w:val="21"/>
      <w:szCs w:val="24"/>
    </w:rPr>
  </w:style>
  <w:style w:type="paragraph" w:styleId="44">
    <w:name w:val="Body Text First Indent"/>
    <w:basedOn w:val="18"/>
    <w:link w:val="83"/>
    <w:unhideWhenUsed/>
    <w:qFormat/>
    <w:uiPriority w:val="0"/>
    <w:pPr>
      <w:ind w:firstLine="420" w:firstLineChars="100"/>
    </w:pPr>
    <w:rPr>
      <w:rFonts w:eastAsia="仿宋" w:asciiTheme="minorHAnsi" w:hAnsiTheme="minorHAnsi" w:cstheme="minorBidi"/>
      <w:sz w:val="28"/>
    </w:rPr>
  </w:style>
  <w:style w:type="paragraph" w:styleId="45">
    <w:name w:val="Body Text First Indent 2"/>
    <w:basedOn w:val="19"/>
    <w:link w:val="84"/>
    <w:unhideWhenUsed/>
    <w:qFormat/>
    <w:uiPriority w:val="0"/>
    <w:pPr>
      <w:spacing w:after="120" w:line="480" w:lineRule="exact"/>
      <w:ind w:left="420" w:leftChars="200" w:firstLine="420" w:firstLineChars="200"/>
    </w:pPr>
    <w:rPr>
      <w:szCs w:val="20"/>
    </w:rPr>
  </w:style>
  <w:style w:type="table" w:styleId="47">
    <w:name w:val="Table Grid"/>
    <w:basedOn w:val="46"/>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qFormat/>
    <w:uiPriority w:val="0"/>
  </w:style>
  <w:style w:type="character" w:styleId="52">
    <w:name w:val="FollowedHyperlink"/>
    <w:unhideWhenUsed/>
    <w:qFormat/>
    <w:uiPriority w:val="0"/>
    <w:rPr>
      <w:color w:val="800080"/>
      <w:u w:val="single"/>
    </w:rPr>
  </w:style>
  <w:style w:type="character" w:styleId="53">
    <w:name w:val="Emphasis"/>
    <w:qFormat/>
    <w:uiPriority w:val="0"/>
    <w:rPr>
      <w:color w:val="CC0033"/>
    </w:rPr>
  </w:style>
  <w:style w:type="character" w:styleId="54">
    <w:name w:val="Hyperlink"/>
    <w:unhideWhenUsed/>
    <w:qFormat/>
    <w:uiPriority w:val="0"/>
    <w:rPr>
      <w:color w:val="0000FF"/>
      <w:u w:val="single"/>
    </w:rPr>
  </w:style>
  <w:style w:type="character" w:styleId="55">
    <w:name w:val="annotation reference"/>
    <w:unhideWhenUsed/>
    <w:qFormat/>
    <w:uiPriority w:val="99"/>
    <w:rPr>
      <w:sz w:val="21"/>
      <w:szCs w:val="21"/>
    </w:rPr>
  </w:style>
  <w:style w:type="character" w:styleId="56">
    <w:name w:val="HTML Cite"/>
    <w:qFormat/>
    <w:uiPriority w:val="0"/>
    <w:rPr>
      <w:i/>
      <w:iCs/>
    </w:rPr>
  </w:style>
  <w:style w:type="character" w:customStyle="1" w:styleId="57">
    <w:name w:val="页眉 Char"/>
    <w:basedOn w:val="49"/>
    <w:link w:val="31"/>
    <w:qFormat/>
    <w:uiPriority w:val="99"/>
    <w:rPr>
      <w:sz w:val="18"/>
      <w:szCs w:val="18"/>
    </w:rPr>
  </w:style>
  <w:style w:type="character" w:customStyle="1" w:styleId="58">
    <w:name w:val="页脚 Char"/>
    <w:basedOn w:val="49"/>
    <w:link w:val="30"/>
    <w:qFormat/>
    <w:uiPriority w:val="99"/>
    <w:rPr>
      <w:sz w:val="18"/>
      <w:szCs w:val="18"/>
    </w:rPr>
  </w:style>
  <w:style w:type="character" w:customStyle="1" w:styleId="59">
    <w:name w:val="纯文本 Char"/>
    <w:link w:val="24"/>
    <w:qFormat/>
    <w:uiPriority w:val="99"/>
    <w:rPr>
      <w:rFonts w:ascii="宋体" w:hAnsi="Courier New" w:eastAsia="宋体"/>
    </w:rPr>
  </w:style>
  <w:style w:type="character" w:customStyle="1" w:styleId="60">
    <w:name w:val="标题 Char1"/>
    <w:link w:val="42"/>
    <w:qFormat/>
    <w:uiPriority w:val="0"/>
    <w:rPr>
      <w:rFonts w:ascii="Arial" w:hAnsi="Arial" w:eastAsia="宋体" w:cs="Arial"/>
      <w:b/>
      <w:bCs/>
      <w:sz w:val="32"/>
      <w:szCs w:val="32"/>
    </w:rPr>
  </w:style>
  <w:style w:type="character" w:customStyle="1" w:styleId="61">
    <w:name w:val="纯文本 Char1"/>
    <w:basedOn w:val="49"/>
    <w:qFormat/>
    <w:uiPriority w:val="0"/>
    <w:rPr>
      <w:rFonts w:ascii="宋体" w:hAnsi="Courier New" w:eastAsia="宋体" w:cs="Courier New"/>
      <w:szCs w:val="21"/>
    </w:rPr>
  </w:style>
  <w:style w:type="character" w:customStyle="1" w:styleId="62">
    <w:name w:val="标题 Char"/>
    <w:basedOn w:val="49"/>
    <w:qFormat/>
    <w:uiPriority w:val="0"/>
    <w:rPr>
      <w:rFonts w:eastAsia="宋体" w:asciiTheme="majorHAnsi" w:hAnsiTheme="majorHAnsi" w:cstheme="majorBidi"/>
      <w:b/>
      <w:bCs/>
      <w:sz w:val="32"/>
      <w:szCs w:val="32"/>
    </w:rPr>
  </w:style>
  <w:style w:type="character" w:customStyle="1" w:styleId="63">
    <w:name w:val="批注文字 Char1"/>
    <w:link w:val="16"/>
    <w:qFormat/>
    <w:uiPriority w:val="0"/>
    <w:rPr>
      <w:rFonts w:eastAsia="宋体"/>
      <w:sz w:val="24"/>
    </w:rPr>
  </w:style>
  <w:style w:type="character" w:customStyle="1" w:styleId="64">
    <w:name w:val="批注文字 Char"/>
    <w:basedOn w:val="49"/>
    <w:qFormat/>
    <w:uiPriority w:val="0"/>
    <w:rPr>
      <w:rFonts w:ascii="Times New Roman" w:hAnsi="Times New Roman" w:eastAsia="宋体" w:cs="Times New Roman"/>
      <w:szCs w:val="20"/>
    </w:rPr>
  </w:style>
  <w:style w:type="paragraph" w:customStyle="1" w:styleId="65">
    <w:name w:val="列出段落1"/>
    <w:basedOn w:val="1"/>
    <w:qFormat/>
    <w:uiPriority w:val="34"/>
    <w:pPr>
      <w:ind w:firstLine="420" w:firstLineChars="200"/>
    </w:pPr>
    <w:rPr>
      <w:rFonts w:ascii="Calibri" w:hAnsi="Calibri"/>
      <w:szCs w:val="22"/>
    </w:rPr>
  </w:style>
  <w:style w:type="paragraph" w:customStyle="1" w:styleId="66">
    <w:name w:val="SOW正文"/>
    <w:basedOn w:val="1"/>
    <w:qFormat/>
    <w:uiPriority w:val="0"/>
    <w:pPr>
      <w:snapToGrid w:val="0"/>
      <w:spacing w:before="120" w:line="400" w:lineRule="exact"/>
      <w:ind w:firstLine="425"/>
    </w:pPr>
    <w:rPr>
      <w:sz w:val="24"/>
    </w:rPr>
  </w:style>
  <w:style w:type="character" w:customStyle="1" w:styleId="67">
    <w:name w:val="批注文字 Char2"/>
    <w:uiPriority w:val="0"/>
    <w:rPr>
      <w:sz w:val="24"/>
    </w:rPr>
  </w:style>
  <w:style w:type="character" w:customStyle="1" w:styleId="68">
    <w:name w:val="标题 Char2"/>
    <w:qFormat/>
    <w:locked/>
    <w:uiPriority w:val="0"/>
    <w:rPr>
      <w:rFonts w:ascii="Arial" w:hAnsi="Arial" w:eastAsia="宋体" w:cs="Arial"/>
      <w:b/>
      <w:bCs/>
      <w:sz w:val="32"/>
      <w:szCs w:val="32"/>
    </w:rPr>
  </w:style>
  <w:style w:type="character" w:customStyle="1" w:styleId="69">
    <w:name w:val="标题 1 Char"/>
    <w:basedOn w:val="49"/>
    <w:link w:val="2"/>
    <w:qFormat/>
    <w:uiPriority w:val="9"/>
    <w:rPr>
      <w:rFonts w:ascii="宋体" w:hAnsi="Times New Roman" w:eastAsia="宋体" w:cs="Times New Roman"/>
      <w:b/>
      <w:kern w:val="44"/>
      <w:sz w:val="32"/>
      <w:szCs w:val="20"/>
    </w:rPr>
  </w:style>
  <w:style w:type="character" w:customStyle="1" w:styleId="70">
    <w:name w:val="标题 2 Char"/>
    <w:basedOn w:val="49"/>
    <w:qFormat/>
    <w:uiPriority w:val="0"/>
    <w:rPr>
      <w:rFonts w:asciiTheme="majorHAnsi" w:hAnsiTheme="majorHAnsi" w:eastAsiaTheme="majorEastAsia" w:cstheme="majorBidi"/>
      <w:b/>
      <w:bCs/>
      <w:sz w:val="32"/>
      <w:szCs w:val="32"/>
    </w:rPr>
  </w:style>
  <w:style w:type="character" w:customStyle="1" w:styleId="71">
    <w:name w:val="标题 3 Char"/>
    <w:basedOn w:val="49"/>
    <w:qFormat/>
    <w:uiPriority w:val="0"/>
    <w:rPr>
      <w:rFonts w:ascii="Times New Roman" w:hAnsi="Times New Roman" w:eastAsia="宋体" w:cs="Times New Roman"/>
      <w:b/>
      <w:bCs/>
      <w:sz w:val="32"/>
      <w:szCs w:val="32"/>
    </w:rPr>
  </w:style>
  <w:style w:type="character" w:customStyle="1" w:styleId="72">
    <w:name w:val="标题 4 Char"/>
    <w:basedOn w:val="49"/>
    <w:link w:val="6"/>
    <w:qFormat/>
    <w:uiPriority w:val="0"/>
    <w:rPr>
      <w:rFonts w:ascii="Arial" w:hAnsi="Arial" w:eastAsia="黑体" w:cs="Times New Roman"/>
      <w:b/>
      <w:kern w:val="0"/>
      <w:sz w:val="28"/>
      <w:szCs w:val="20"/>
    </w:rPr>
  </w:style>
  <w:style w:type="character" w:customStyle="1" w:styleId="73">
    <w:name w:val="标题 5 Char"/>
    <w:basedOn w:val="49"/>
    <w:link w:val="7"/>
    <w:qFormat/>
    <w:uiPriority w:val="0"/>
    <w:rPr>
      <w:rFonts w:ascii="Times New Roman" w:hAnsi="Times New Roman" w:eastAsia="宋体" w:cs="Times New Roman"/>
      <w:b/>
      <w:kern w:val="0"/>
      <w:sz w:val="28"/>
      <w:szCs w:val="20"/>
    </w:rPr>
  </w:style>
  <w:style w:type="character" w:customStyle="1" w:styleId="74">
    <w:name w:val="标题 6 Char"/>
    <w:basedOn w:val="49"/>
    <w:link w:val="8"/>
    <w:qFormat/>
    <w:uiPriority w:val="0"/>
    <w:rPr>
      <w:rFonts w:ascii="Arial" w:hAnsi="Arial" w:eastAsia="黑体" w:cs="Times New Roman"/>
      <w:b/>
      <w:kern w:val="0"/>
      <w:sz w:val="24"/>
      <w:szCs w:val="20"/>
    </w:rPr>
  </w:style>
  <w:style w:type="character" w:customStyle="1" w:styleId="75">
    <w:name w:val="标题 7 Char"/>
    <w:basedOn w:val="49"/>
    <w:link w:val="9"/>
    <w:qFormat/>
    <w:uiPriority w:val="0"/>
    <w:rPr>
      <w:rFonts w:ascii="Times New Roman" w:hAnsi="Times New Roman" w:eastAsia="宋体" w:cs="Times New Roman"/>
      <w:b/>
      <w:kern w:val="0"/>
      <w:sz w:val="24"/>
      <w:szCs w:val="20"/>
    </w:rPr>
  </w:style>
  <w:style w:type="character" w:customStyle="1" w:styleId="76">
    <w:name w:val="标题 8 Char"/>
    <w:basedOn w:val="49"/>
    <w:link w:val="10"/>
    <w:qFormat/>
    <w:uiPriority w:val="0"/>
    <w:rPr>
      <w:rFonts w:ascii="Arial" w:hAnsi="Arial" w:eastAsia="黑体" w:cs="Times New Roman"/>
      <w:kern w:val="0"/>
      <w:sz w:val="24"/>
      <w:szCs w:val="20"/>
    </w:rPr>
  </w:style>
  <w:style w:type="character" w:customStyle="1" w:styleId="77">
    <w:name w:val="标题 9 Char"/>
    <w:basedOn w:val="49"/>
    <w:link w:val="11"/>
    <w:qFormat/>
    <w:uiPriority w:val="0"/>
    <w:rPr>
      <w:rFonts w:ascii="Arial" w:hAnsi="Arial" w:eastAsia="黑体" w:cs="Times New Roman"/>
      <w:kern w:val="0"/>
      <w:szCs w:val="20"/>
    </w:rPr>
  </w:style>
  <w:style w:type="character" w:customStyle="1" w:styleId="78">
    <w:name w:val="正文文本 Char"/>
    <w:basedOn w:val="49"/>
    <w:link w:val="18"/>
    <w:qFormat/>
    <w:uiPriority w:val="99"/>
    <w:rPr>
      <w:rFonts w:ascii="Times New Roman" w:hAnsi="Times New Roman" w:eastAsia="宋体" w:cs="Times New Roman"/>
      <w:szCs w:val="24"/>
    </w:rPr>
  </w:style>
  <w:style w:type="character" w:customStyle="1" w:styleId="79">
    <w:name w:val="HTML 预设格式 Char"/>
    <w:basedOn w:val="49"/>
    <w:link w:val="39"/>
    <w:qFormat/>
    <w:uiPriority w:val="0"/>
    <w:rPr>
      <w:rFonts w:ascii="宋体" w:hAnsi="宋体" w:eastAsia="宋体" w:cs="宋体"/>
      <w:kern w:val="0"/>
      <w:sz w:val="24"/>
      <w:szCs w:val="24"/>
    </w:rPr>
  </w:style>
  <w:style w:type="character" w:customStyle="1" w:styleId="80">
    <w:name w:val="正文缩进 Char1"/>
    <w:link w:val="4"/>
    <w:qFormat/>
    <w:locked/>
    <w:uiPriority w:val="0"/>
    <w:rPr>
      <w:rFonts w:ascii="宋体" w:hAnsi="Times New Roman" w:eastAsia="宋体" w:cs="Times New Roman"/>
      <w:sz w:val="24"/>
      <w:szCs w:val="24"/>
    </w:rPr>
  </w:style>
  <w:style w:type="character" w:customStyle="1" w:styleId="81">
    <w:name w:val="正文文本缩进 Char"/>
    <w:basedOn w:val="49"/>
    <w:qFormat/>
    <w:uiPriority w:val="99"/>
    <w:rPr>
      <w:rFonts w:ascii="Times New Roman" w:hAnsi="Times New Roman" w:eastAsia="宋体" w:cs="Times New Roman"/>
      <w:szCs w:val="20"/>
    </w:rPr>
  </w:style>
  <w:style w:type="character" w:customStyle="1" w:styleId="82">
    <w:name w:val="日期 Char"/>
    <w:basedOn w:val="49"/>
    <w:link w:val="26"/>
    <w:qFormat/>
    <w:uiPriority w:val="0"/>
    <w:rPr>
      <w:rFonts w:ascii="仿宋_GB2312" w:hAnsi="宋体" w:eastAsia="仿宋_GB2312" w:cs="Times New Roman"/>
      <w:color w:val="000000"/>
      <w:sz w:val="24"/>
      <w:szCs w:val="24"/>
    </w:rPr>
  </w:style>
  <w:style w:type="character" w:customStyle="1" w:styleId="83">
    <w:name w:val="正文首行缩进 Char"/>
    <w:basedOn w:val="78"/>
    <w:link w:val="44"/>
    <w:qFormat/>
    <w:uiPriority w:val="0"/>
    <w:rPr>
      <w:rFonts w:ascii="Times New Roman" w:hAnsi="Times New Roman" w:eastAsia="仿宋" w:cs="Times New Roman"/>
      <w:sz w:val="28"/>
      <w:szCs w:val="24"/>
    </w:rPr>
  </w:style>
  <w:style w:type="character" w:customStyle="1" w:styleId="84">
    <w:name w:val="正文首行缩进 2 Char"/>
    <w:basedOn w:val="81"/>
    <w:link w:val="45"/>
    <w:qFormat/>
    <w:uiPriority w:val="0"/>
    <w:rPr>
      <w:rFonts w:ascii="Times New Roman" w:hAnsi="Times New Roman" w:eastAsia="宋体" w:cs="Times New Roman"/>
      <w:sz w:val="24"/>
      <w:szCs w:val="20"/>
    </w:rPr>
  </w:style>
  <w:style w:type="character" w:customStyle="1" w:styleId="85">
    <w:name w:val="正文文本 3 Char"/>
    <w:basedOn w:val="49"/>
    <w:link w:val="17"/>
    <w:qFormat/>
    <w:uiPriority w:val="0"/>
    <w:rPr>
      <w:rFonts w:ascii="Times New Roman" w:hAnsi="Times New Roman" w:eastAsia="宋体" w:cs="Times New Roman"/>
      <w:sz w:val="16"/>
      <w:szCs w:val="16"/>
    </w:rPr>
  </w:style>
  <w:style w:type="character" w:customStyle="1" w:styleId="86">
    <w:name w:val="正文文本缩进 2 Char"/>
    <w:basedOn w:val="49"/>
    <w:link w:val="27"/>
    <w:qFormat/>
    <w:uiPriority w:val="0"/>
    <w:rPr>
      <w:rFonts w:ascii="仿宋_GB2312" w:hAnsi="Times New Roman" w:eastAsia="仿宋_GB2312" w:cs="Times New Roman"/>
      <w:sz w:val="24"/>
      <w:szCs w:val="24"/>
    </w:rPr>
  </w:style>
  <w:style w:type="character" w:customStyle="1" w:styleId="87">
    <w:name w:val="正文文本缩进 3 Char"/>
    <w:basedOn w:val="49"/>
    <w:link w:val="35"/>
    <w:qFormat/>
    <w:uiPriority w:val="0"/>
    <w:rPr>
      <w:rFonts w:ascii="宋体" w:hAnsi="Times New Roman" w:eastAsia="宋体" w:cs="Times New Roman"/>
      <w:kern w:val="0"/>
      <w:sz w:val="24"/>
      <w:szCs w:val="20"/>
    </w:rPr>
  </w:style>
  <w:style w:type="character" w:customStyle="1" w:styleId="88">
    <w:name w:val="文档结构图 Char"/>
    <w:basedOn w:val="49"/>
    <w:link w:val="14"/>
    <w:qFormat/>
    <w:uiPriority w:val="0"/>
    <w:rPr>
      <w:rFonts w:ascii="Times New Roman" w:hAnsi="Times New Roman" w:eastAsia="宋体" w:cs="Times New Roman"/>
      <w:szCs w:val="24"/>
      <w:shd w:val="clear" w:color="auto" w:fill="000080"/>
    </w:rPr>
  </w:style>
  <w:style w:type="character" w:customStyle="1" w:styleId="89">
    <w:name w:val="批注主题 Char"/>
    <w:basedOn w:val="63"/>
    <w:link w:val="43"/>
    <w:qFormat/>
    <w:uiPriority w:val="0"/>
    <w:rPr>
      <w:rFonts w:ascii="Times New Roman" w:hAnsi="Times New Roman" w:eastAsia="宋体" w:cs="Times New Roman"/>
      <w:b/>
      <w:bCs/>
      <w:sz w:val="24"/>
      <w:szCs w:val="24"/>
    </w:rPr>
  </w:style>
  <w:style w:type="character" w:customStyle="1" w:styleId="90">
    <w:name w:val="批注框文本 Char"/>
    <w:basedOn w:val="49"/>
    <w:link w:val="29"/>
    <w:qFormat/>
    <w:uiPriority w:val="99"/>
    <w:rPr>
      <w:rFonts w:ascii="Times New Roman" w:hAnsi="Times New Roman" w:eastAsia="宋体" w:cs="Times New Roman"/>
      <w:sz w:val="18"/>
      <w:szCs w:val="18"/>
    </w:rPr>
  </w:style>
  <w:style w:type="paragraph" w:styleId="9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Revision"/>
    <w:semiHidden/>
    <w:qFormat/>
    <w:uiPriority w:val="99"/>
    <w:rPr>
      <w:rFonts w:ascii="Times New Roman" w:hAnsi="Times New Roman" w:eastAsia="宋体" w:cs="Times New Roman"/>
      <w:kern w:val="2"/>
      <w:sz w:val="21"/>
      <w:szCs w:val="24"/>
      <w:lang w:val="en-US" w:eastAsia="zh-CN" w:bidi="ar-SA"/>
    </w:rPr>
  </w:style>
  <w:style w:type="character" w:customStyle="1" w:styleId="93">
    <w:name w:val="列出段落 Char1"/>
    <w:link w:val="94"/>
    <w:qFormat/>
    <w:locked/>
    <w:uiPriority w:val="34"/>
    <w:rPr>
      <w:rFonts w:ascii="Calibri" w:hAnsi="Calibri" w:cs="Calibri"/>
    </w:rPr>
  </w:style>
  <w:style w:type="paragraph" w:styleId="94">
    <w:name w:val="List Paragraph"/>
    <w:basedOn w:val="1"/>
    <w:link w:val="93"/>
    <w:qFormat/>
    <w:uiPriority w:val="0"/>
    <w:pPr>
      <w:ind w:firstLine="420" w:firstLineChars="200"/>
    </w:pPr>
    <w:rPr>
      <w:rFonts w:ascii="Calibri" w:hAnsi="Calibri" w:cs="Calibri" w:eastAsiaTheme="minorEastAsia"/>
      <w:szCs w:val="22"/>
    </w:rPr>
  </w:style>
  <w:style w:type="character" w:customStyle="1" w:styleId="95">
    <w:name w:val="正文小标题 Char"/>
    <w:link w:val="96"/>
    <w:qFormat/>
    <w:locked/>
    <w:uiPriority w:val="0"/>
    <w:rPr>
      <w:rFonts w:ascii="宋体" w:hAnsi="宋体" w:eastAsia="宋体"/>
      <w:b/>
      <w:i/>
      <w:color w:val="FF0000"/>
      <w:sz w:val="24"/>
    </w:rPr>
  </w:style>
  <w:style w:type="paragraph" w:customStyle="1" w:styleId="96">
    <w:name w:val="正文小标题"/>
    <w:basedOn w:val="1"/>
    <w:next w:val="4"/>
    <w:link w:val="95"/>
    <w:qFormat/>
    <w:uiPriority w:val="0"/>
    <w:pPr>
      <w:adjustRightInd w:val="0"/>
      <w:snapToGrid w:val="0"/>
      <w:spacing w:beforeLines="100"/>
      <w:ind w:firstLine="482"/>
      <w:jc w:val="left"/>
    </w:pPr>
    <w:rPr>
      <w:rFonts w:ascii="宋体" w:hAnsi="宋体" w:cstheme="minorBidi"/>
      <w:b/>
      <w:i/>
      <w:color w:val="FF0000"/>
      <w:sz w:val="24"/>
      <w:szCs w:val="22"/>
    </w:rPr>
  </w:style>
  <w:style w:type="character" w:customStyle="1" w:styleId="97">
    <w:name w:val="正文缩进 Char Char"/>
    <w:link w:val="98"/>
    <w:qFormat/>
    <w:locked/>
    <w:uiPriority w:val="0"/>
    <w:rPr>
      <w:rFonts w:ascii="宋体" w:hAnsi="宋体" w:eastAsia="宋体"/>
      <w:color w:val="000000"/>
      <w:kern w:val="28"/>
      <w:sz w:val="28"/>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character" w:customStyle="1" w:styleId="99">
    <w:name w:val="正文文本缩进 Char1"/>
    <w:link w:val="100"/>
    <w:qFormat/>
    <w:locked/>
    <w:uiPriority w:val="0"/>
    <w:rPr>
      <w:rFonts w:ascii="宋体" w:hAnsi="宋体" w:eastAsia="宋体"/>
      <w:sz w:val="24"/>
      <w:szCs w:val="24"/>
    </w:rPr>
  </w:style>
  <w:style w:type="paragraph" w:customStyle="1" w:styleId="100">
    <w:name w:val="正文文本缩进1"/>
    <w:basedOn w:val="1"/>
    <w:link w:val="99"/>
    <w:qFormat/>
    <w:uiPriority w:val="0"/>
    <w:pPr>
      <w:spacing w:line="480" w:lineRule="exact"/>
      <w:ind w:firstLine="480" w:firstLineChars="200"/>
    </w:pPr>
    <w:rPr>
      <w:rFonts w:ascii="宋体" w:hAnsi="宋体" w:cstheme="minorBidi"/>
      <w:sz w:val="24"/>
      <w:szCs w:val="24"/>
    </w:rPr>
  </w:style>
  <w:style w:type="character" w:customStyle="1" w:styleId="101">
    <w:name w:val="注释 Char"/>
    <w:link w:val="102"/>
    <w:qFormat/>
    <w:locked/>
    <w:uiPriority w:val="0"/>
    <w:rPr>
      <w:rFonts w:ascii="宋体" w:hAnsi="宋体" w:eastAsia="宋体"/>
      <w:szCs w:val="21"/>
    </w:rPr>
  </w:style>
  <w:style w:type="paragraph" w:customStyle="1" w:styleId="102">
    <w:name w:val="注释"/>
    <w:basedOn w:val="1"/>
    <w:link w:val="101"/>
    <w:qFormat/>
    <w:uiPriority w:val="0"/>
    <w:pPr>
      <w:adjustRightInd w:val="0"/>
      <w:snapToGrid w:val="0"/>
      <w:ind w:left="420" w:hanging="420" w:hangingChars="200"/>
      <w:jc w:val="left"/>
    </w:pPr>
    <w:rPr>
      <w:rFonts w:ascii="宋体" w:hAnsi="宋体" w:cstheme="minorBidi"/>
      <w:szCs w:val="21"/>
    </w:rPr>
  </w:style>
  <w:style w:type="character" w:customStyle="1" w:styleId="103">
    <w:name w:val="正文大标题 Char"/>
    <w:link w:val="104"/>
    <w:qFormat/>
    <w:locked/>
    <w:uiPriority w:val="0"/>
    <w:rPr>
      <w:rFonts w:ascii="宋体" w:hAnsi="宋体" w:eastAsia="宋体"/>
      <w:b/>
      <w:color w:val="000000"/>
      <w:sz w:val="28"/>
      <w:szCs w:val="21"/>
    </w:rPr>
  </w:style>
  <w:style w:type="paragraph" w:customStyle="1" w:styleId="104">
    <w:name w:val="正文大标题"/>
    <w:basedOn w:val="96"/>
    <w:next w:val="4"/>
    <w:link w:val="103"/>
    <w:qFormat/>
    <w:uiPriority w:val="0"/>
    <w:pPr>
      <w:jc w:val="center"/>
    </w:pPr>
    <w:rPr>
      <w:i w:val="0"/>
      <w:color w:val="000000"/>
      <w:sz w:val="28"/>
      <w:szCs w:val="21"/>
    </w:rPr>
  </w:style>
  <w:style w:type="character" w:customStyle="1" w:styleId="105">
    <w:name w:val="正文格式 Char"/>
    <w:link w:val="106"/>
    <w:qFormat/>
    <w:locked/>
    <w:uiPriority w:val="0"/>
    <w:rPr>
      <w:rFonts w:ascii="宋体" w:hAnsi="宋体" w:eastAsia="宋体"/>
      <w:sz w:val="24"/>
      <w:szCs w:val="24"/>
      <w:lang w:val="en-GB"/>
    </w:rPr>
  </w:style>
  <w:style w:type="paragraph" w:customStyle="1" w:styleId="106">
    <w:name w:val="正文格式"/>
    <w:basedOn w:val="1"/>
    <w:link w:val="105"/>
    <w:qFormat/>
    <w:uiPriority w:val="0"/>
    <w:pPr>
      <w:spacing w:beforeLines="50" w:line="360" w:lineRule="auto"/>
      <w:ind w:firstLine="480" w:firstLineChars="200"/>
    </w:pPr>
    <w:rPr>
      <w:rFonts w:ascii="宋体" w:hAnsi="宋体" w:cstheme="minorBidi"/>
      <w:sz w:val="24"/>
      <w:szCs w:val="24"/>
      <w:lang w:val="en-GB"/>
    </w:rPr>
  </w:style>
  <w:style w:type="character" w:customStyle="1" w:styleId="107">
    <w:name w:val="正文表格 Char"/>
    <w:link w:val="108"/>
    <w:qFormat/>
    <w:locked/>
    <w:uiPriority w:val="0"/>
    <w:rPr>
      <w:rFonts w:ascii="宋体" w:hAnsi="宋体" w:eastAsia="宋体"/>
      <w:color w:val="000000"/>
      <w:szCs w:val="21"/>
    </w:rPr>
  </w:style>
  <w:style w:type="paragraph" w:customStyle="1" w:styleId="108">
    <w:name w:val="正文表格"/>
    <w:basedOn w:val="1"/>
    <w:link w:val="107"/>
    <w:qFormat/>
    <w:uiPriority w:val="0"/>
    <w:pPr>
      <w:adjustRightInd w:val="0"/>
      <w:snapToGrid w:val="0"/>
      <w:jc w:val="left"/>
    </w:pPr>
    <w:rPr>
      <w:rFonts w:ascii="宋体" w:hAnsi="宋体" w:cstheme="minorBidi"/>
      <w:color w:val="000000"/>
      <w:szCs w:val="21"/>
    </w:rPr>
  </w:style>
  <w:style w:type="character" w:customStyle="1" w:styleId="109">
    <w:name w:val="中等深浅网格 1 - 强调文字颜色 2 Char"/>
    <w:link w:val="110"/>
    <w:qFormat/>
    <w:locked/>
    <w:uiPriority w:val="0"/>
    <w:rPr>
      <w:szCs w:val="24"/>
      <w:lang w:val="zh-CN"/>
    </w:rPr>
  </w:style>
  <w:style w:type="paragraph" w:customStyle="1" w:styleId="110">
    <w:name w:val="1"/>
    <w:link w:val="109"/>
    <w:qFormat/>
    <w:uiPriority w:val="0"/>
    <w:rPr>
      <w:rFonts w:asciiTheme="minorHAnsi" w:hAnsiTheme="minorHAnsi" w:eastAsiaTheme="minorEastAsia" w:cstheme="minorBidi"/>
      <w:kern w:val="2"/>
      <w:sz w:val="21"/>
      <w:szCs w:val="24"/>
      <w:lang w:val="zh-CN" w:eastAsia="zh-CN" w:bidi="ar-SA"/>
    </w:rPr>
  </w:style>
  <w:style w:type="character" w:customStyle="1" w:styleId="111">
    <w:name w:val="正文重点 Char"/>
    <w:link w:val="112"/>
    <w:qFormat/>
    <w:locked/>
    <w:uiPriority w:val="0"/>
    <w:rPr>
      <w:b/>
      <w:sz w:val="24"/>
    </w:rPr>
  </w:style>
  <w:style w:type="paragraph" w:customStyle="1" w:styleId="112">
    <w:name w:val="正文重点"/>
    <w:basedOn w:val="1"/>
    <w:link w:val="111"/>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113">
    <w:name w:val="正文文本样式"/>
    <w:basedOn w:val="1"/>
    <w:qFormat/>
    <w:uiPriority w:val="0"/>
    <w:pPr>
      <w:spacing w:line="360" w:lineRule="auto"/>
      <w:ind w:firstLine="482"/>
    </w:pPr>
    <w:rPr>
      <w:rFonts w:cs="宋体"/>
      <w:sz w:val="24"/>
    </w:rPr>
  </w:style>
  <w:style w:type="paragraph" w:customStyle="1" w:styleId="114">
    <w:name w:val="Char1"/>
    <w:basedOn w:val="1"/>
    <w:qFormat/>
    <w:uiPriority w:val="0"/>
    <w:pPr>
      <w:tabs>
        <w:tab w:val="left" w:pos="360"/>
      </w:tabs>
    </w:pPr>
    <w:rPr>
      <w:sz w:val="24"/>
      <w:szCs w:val="24"/>
    </w:rPr>
  </w:style>
  <w:style w:type="paragraph" w:customStyle="1" w:styleId="115">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118">
    <w:name w:val="Char Char Char1 Char2"/>
    <w:basedOn w:val="1"/>
    <w:qFormat/>
    <w:uiPriority w:val="0"/>
    <w:rPr>
      <w:rFonts w:ascii="Tahoma" w:hAnsi="Tahoma"/>
      <w:sz w:val="24"/>
    </w:rPr>
  </w:style>
  <w:style w:type="paragraph" w:customStyle="1" w:styleId="11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20">
    <w:name w:val="Char3 Char Char Char2"/>
    <w:basedOn w:val="1"/>
    <w:qFormat/>
    <w:uiPriority w:val="0"/>
    <w:rPr>
      <w:rFonts w:ascii="Tahoma" w:hAnsi="Tahoma"/>
      <w:sz w:val="24"/>
    </w:rPr>
  </w:style>
  <w:style w:type="paragraph" w:customStyle="1" w:styleId="121">
    <w:name w:val="标题1-附件"/>
    <w:basedOn w:val="2"/>
    <w:qFormat/>
    <w:uiPriority w:val="0"/>
    <w:pPr>
      <w:jc w:val="left"/>
    </w:pPr>
    <w:rPr>
      <w:sz w:val="24"/>
      <w:szCs w:val="24"/>
    </w:rPr>
  </w:style>
  <w:style w:type="paragraph" w:customStyle="1" w:styleId="122">
    <w:name w:val="章标题"/>
    <w:next w:val="1"/>
    <w:qFormat/>
    <w:uiPriority w:val="0"/>
    <w:pPr>
      <w:spacing w:before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23">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124">
    <w:name w:val="Char3 Char Char Char1"/>
    <w:basedOn w:val="1"/>
    <w:qFormat/>
    <w:uiPriority w:val="0"/>
    <w:rPr>
      <w:rFonts w:ascii="Tahoma" w:hAnsi="Tahoma"/>
      <w:sz w:val="24"/>
    </w:rPr>
  </w:style>
  <w:style w:type="paragraph" w:customStyle="1" w:styleId="125">
    <w:name w:val="font7"/>
    <w:basedOn w:val="1"/>
    <w:qFormat/>
    <w:uiPriority w:val="0"/>
    <w:pPr>
      <w:widowControl/>
      <w:spacing w:before="100" w:beforeAutospacing="1" w:after="100" w:afterAutospacing="1"/>
      <w:jc w:val="left"/>
    </w:pPr>
    <w:rPr>
      <w:rFonts w:eastAsia="Arial Unicode MS"/>
      <w:b/>
      <w:bCs/>
      <w:color w:val="000000"/>
      <w:kern w:val="0"/>
      <w:sz w:val="20"/>
    </w:rPr>
  </w:style>
  <w:style w:type="paragraph" w:customStyle="1" w:styleId="12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rPr>
  </w:style>
  <w:style w:type="paragraph" w:customStyle="1" w:styleId="127">
    <w:name w:val="1名"/>
    <w:basedOn w:val="1"/>
    <w:qFormat/>
    <w:uiPriority w:val="0"/>
    <w:pPr>
      <w:tabs>
        <w:tab w:val="left" w:pos="360"/>
      </w:tabs>
      <w:spacing w:before="120"/>
      <w:ind w:left="360" w:hanging="360"/>
    </w:pPr>
    <w:rPr>
      <w:rFonts w:ascii="宋体"/>
      <w:sz w:val="28"/>
    </w:rPr>
  </w:style>
  <w:style w:type="paragraph" w:customStyle="1" w:styleId="128">
    <w:name w:val="Char Char Char1 Char1"/>
    <w:basedOn w:val="1"/>
    <w:qFormat/>
    <w:uiPriority w:val="0"/>
    <w:rPr>
      <w:rFonts w:ascii="Tahoma" w:hAnsi="Tahoma"/>
      <w:sz w:val="24"/>
    </w:rPr>
  </w:style>
  <w:style w:type="paragraph" w:customStyle="1" w:styleId="129">
    <w:name w:val="正文须知-3级"/>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13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Char3 Char Char Char"/>
    <w:basedOn w:val="1"/>
    <w:qFormat/>
    <w:uiPriority w:val="0"/>
    <w:rPr>
      <w:rFonts w:ascii="Tahoma" w:hAnsi="Tahoma"/>
      <w:sz w:val="24"/>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rPr>
  </w:style>
  <w:style w:type="paragraph" w:customStyle="1" w:styleId="13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135">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3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7">
    <w:name w:val="Char Char Char1"/>
    <w:basedOn w:val="1"/>
    <w:qFormat/>
    <w:uiPriority w:val="0"/>
    <w:rPr>
      <w:rFonts w:ascii="Tahoma" w:hAnsi="Tahoma"/>
      <w:sz w:val="24"/>
    </w:rPr>
  </w:style>
  <w:style w:type="paragraph" w:customStyle="1" w:styleId="138">
    <w:name w:val="项目编号2"/>
    <w:basedOn w:val="134"/>
    <w:qFormat/>
    <w:uiPriority w:val="0"/>
    <w:pPr>
      <w:ind w:left="0" w:firstLine="0"/>
    </w:pPr>
  </w:style>
  <w:style w:type="paragraph" w:customStyle="1" w:styleId="139">
    <w:name w:val="Char22"/>
    <w:basedOn w:val="1"/>
    <w:qFormat/>
    <w:uiPriority w:val="0"/>
    <w:rPr>
      <w:rFonts w:ascii="Tahoma" w:hAnsi="Tahoma"/>
      <w:sz w:val="24"/>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41">
    <w:name w:val="List Paragraph1"/>
    <w:basedOn w:val="1"/>
    <w:qFormat/>
    <w:uiPriority w:val="34"/>
    <w:pPr>
      <w:ind w:firstLine="420" w:firstLineChars="200"/>
    </w:pPr>
    <w:rPr>
      <w:rFonts w:ascii="Calibri" w:hAnsi="Calibri"/>
      <w:szCs w:val="22"/>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rPr>
  </w:style>
  <w:style w:type="paragraph" w:customStyle="1" w:styleId="143">
    <w:name w:val="Char Char Char Char Char Char Char Char Char Char1"/>
    <w:basedOn w:val="1"/>
    <w:qFormat/>
    <w:uiPriority w:val="0"/>
    <w:rPr>
      <w:rFonts w:ascii="宋体" w:hAnsi="宋体" w:cs="Courier New"/>
      <w:sz w:val="32"/>
      <w:szCs w:val="32"/>
    </w:rPr>
  </w:style>
  <w:style w:type="paragraph" w:customStyle="1" w:styleId="144">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45">
    <w:name w:val="表格1"/>
    <w:basedOn w:val="1"/>
    <w:qFormat/>
    <w:uiPriority w:val="0"/>
    <w:pPr>
      <w:ind w:firstLine="480" w:firstLineChars="200"/>
      <w:jc w:val="center"/>
    </w:pPr>
    <w:rPr>
      <w:sz w:val="24"/>
    </w:rPr>
  </w:style>
  <w:style w:type="paragraph" w:customStyle="1" w:styleId="146">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7">
    <w:name w:val="正文须知-1级"/>
    <w:basedOn w:val="1"/>
    <w:next w:val="1"/>
    <w:qFormat/>
    <w:uiPriority w:val="0"/>
    <w:pPr>
      <w:adjustRightInd w:val="0"/>
      <w:snapToGrid w:val="0"/>
      <w:spacing w:line="300" w:lineRule="auto"/>
      <w:ind w:left="680" w:hanging="680"/>
    </w:pPr>
    <w:rPr>
      <w:rFonts w:ascii="宋体" w:hAnsi="Calibri"/>
      <w:sz w:val="24"/>
      <w:szCs w:val="21"/>
    </w:rPr>
  </w:style>
  <w:style w:type="paragraph" w:customStyle="1" w:styleId="14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9">
    <w:name w:val="正文文本样式 加粗"/>
    <w:basedOn w:val="113"/>
    <w:qFormat/>
    <w:uiPriority w:val="0"/>
    <w:rPr>
      <w:b/>
    </w:rPr>
  </w:style>
  <w:style w:type="paragraph" w:customStyle="1" w:styleId="150">
    <w:name w:val="Char Char Char2"/>
    <w:basedOn w:val="1"/>
    <w:qFormat/>
    <w:uiPriority w:val="0"/>
    <w:rPr>
      <w:rFonts w:ascii="Tahoma" w:hAnsi="Tahoma"/>
      <w:sz w:val="24"/>
    </w:rPr>
  </w:style>
  <w:style w:type="paragraph" w:customStyle="1" w:styleId="15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153">
    <w:name w:val="样式2"/>
    <w:basedOn w:val="41"/>
    <w:qFormat/>
    <w:uiPriority w:val="0"/>
    <w:pPr>
      <w:spacing w:line="360" w:lineRule="auto"/>
      <w:jc w:val="center"/>
    </w:pPr>
    <w:rPr>
      <w:sz w:val="24"/>
    </w:rPr>
  </w:style>
  <w:style w:type="paragraph" w:customStyle="1" w:styleId="154">
    <w:name w:val="样式 宋体 五号 行距: 单倍行距"/>
    <w:basedOn w:val="1"/>
    <w:qFormat/>
    <w:uiPriority w:val="0"/>
    <w:pPr>
      <w:adjustRightInd w:val="0"/>
      <w:jc w:val="left"/>
    </w:pPr>
    <w:rPr>
      <w:rFonts w:ascii="宋体" w:hAnsi="宋体"/>
      <w:kern w:val="0"/>
    </w:rPr>
  </w:style>
  <w:style w:type="paragraph" w:customStyle="1" w:styleId="155">
    <w:name w:val="Char Char Char Char Char Char Char Char Char Char"/>
    <w:basedOn w:val="1"/>
    <w:qFormat/>
    <w:uiPriority w:val="0"/>
    <w:rPr>
      <w:szCs w:val="24"/>
    </w:rPr>
  </w:style>
  <w:style w:type="paragraph" w:customStyle="1" w:styleId="15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5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158">
    <w:name w:val="正文列项_数字"/>
    <w:basedOn w:val="1"/>
    <w:qFormat/>
    <w:uiPriority w:val="0"/>
    <w:pPr>
      <w:autoSpaceDE w:val="0"/>
      <w:autoSpaceDN w:val="0"/>
      <w:spacing w:line="460" w:lineRule="exact"/>
      <w:ind w:left="680" w:leftChars="530" w:hanging="150" w:hangingChars="150"/>
      <w:outlineLvl w:val="7"/>
    </w:pPr>
    <w:rPr>
      <w:rFonts w:ascii="宋体"/>
      <w:kern w:val="0"/>
      <w:sz w:val="28"/>
    </w:rPr>
  </w:style>
  <w:style w:type="paragraph" w:customStyle="1" w:styleId="159">
    <w:name w:val="Char Char Char1 Char"/>
    <w:basedOn w:val="1"/>
    <w:qFormat/>
    <w:uiPriority w:val="0"/>
    <w:rPr>
      <w:rFonts w:ascii="Tahoma" w:hAnsi="Tahoma"/>
      <w:sz w:val="24"/>
    </w:rPr>
  </w:style>
  <w:style w:type="paragraph" w:customStyle="1" w:styleId="16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1">
    <w:name w:val="Char2 Char Char Char Char Char Char1"/>
    <w:basedOn w:val="1"/>
    <w:qFormat/>
    <w:uiPriority w:val="0"/>
    <w:pPr>
      <w:widowControl/>
      <w:spacing w:line="400" w:lineRule="exact"/>
      <w:jc w:val="center"/>
    </w:pPr>
    <w:rPr>
      <w:szCs w:val="24"/>
    </w:rPr>
  </w:style>
  <w:style w:type="paragraph" w:customStyle="1" w:styleId="16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64">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6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6">
    <w:name w:val="图中文字"/>
    <w:basedOn w:val="1"/>
    <w:qFormat/>
    <w:uiPriority w:val="0"/>
    <w:pPr>
      <w:adjustRightInd w:val="0"/>
      <w:snapToGrid w:val="0"/>
      <w:spacing w:line="0" w:lineRule="atLeast"/>
      <w:jc w:val="center"/>
    </w:pPr>
    <w:rPr>
      <w:sz w:val="24"/>
    </w:rPr>
  </w:style>
  <w:style w:type="paragraph" w:customStyle="1" w:styleId="167">
    <w:name w:val="样式 标题 2 + 宋体 五号 行距: 单倍行距"/>
    <w:basedOn w:val="3"/>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16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69">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0">
    <w:name w:val="字元 字元"/>
    <w:basedOn w:val="1"/>
    <w:qFormat/>
    <w:uiPriority w:val="0"/>
    <w:rPr>
      <w:rFonts w:ascii="Tahoma" w:hAnsi="Tahoma"/>
      <w:sz w:val="24"/>
    </w:rPr>
  </w:style>
  <w:style w:type="paragraph" w:customStyle="1" w:styleId="171">
    <w:name w:val="Char Char Char Char Char Char Char Char Char Char2"/>
    <w:basedOn w:val="1"/>
    <w:qFormat/>
    <w:uiPriority w:val="0"/>
    <w:rPr>
      <w:rFonts w:ascii="宋体" w:hAnsi="宋体" w:cs="Courier New"/>
      <w:sz w:val="32"/>
      <w:szCs w:val="32"/>
    </w:rPr>
  </w:style>
  <w:style w:type="paragraph" w:customStyle="1" w:styleId="172">
    <w:name w:val="Char2 Char Char Char Char Char Char"/>
    <w:basedOn w:val="1"/>
    <w:qFormat/>
    <w:uiPriority w:val="0"/>
    <w:pPr>
      <w:widowControl/>
      <w:spacing w:line="400" w:lineRule="exact"/>
      <w:jc w:val="center"/>
    </w:pPr>
    <w:rPr>
      <w:szCs w:val="24"/>
    </w:rPr>
  </w:style>
  <w:style w:type="paragraph" w:customStyle="1" w:styleId="17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7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75">
    <w:name w:val="图例"/>
    <w:basedOn w:val="1"/>
    <w:qFormat/>
    <w:uiPriority w:val="0"/>
    <w:pPr>
      <w:spacing w:before="120" w:after="120" w:line="360" w:lineRule="auto"/>
      <w:jc w:val="center"/>
    </w:pPr>
    <w:rPr>
      <w:rFonts w:eastAsia="仿宋_GB2312"/>
      <w:b/>
      <w:sz w:val="24"/>
    </w:rPr>
  </w:style>
  <w:style w:type="paragraph" w:customStyle="1" w:styleId="176">
    <w:name w:val="图文"/>
    <w:basedOn w:val="1"/>
    <w:qFormat/>
    <w:uiPriority w:val="0"/>
    <w:pPr>
      <w:adjustRightInd w:val="0"/>
      <w:snapToGrid w:val="0"/>
      <w:spacing w:after="50" w:line="360" w:lineRule="auto"/>
    </w:pPr>
    <w:rPr>
      <w:sz w:val="24"/>
      <w:szCs w:val="24"/>
    </w:rPr>
  </w:style>
  <w:style w:type="paragraph" w:customStyle="1" w:styleId="177">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rPr>
  </w:style>
  <w:style w:type="paragraph" w:customStyle="1" w:styleId="179">
    <w:name w:val="正文须知-2级"/>
    <w:basedOn w:val="1"/>
    <w:qFormat/>
    <w:uiPriority w:val="0"/>
    <w:pPr>
      <w:adjustRightInd w:val="0"/>
      <w:snapToGrid w:val="0"/>
      <w:spacing w:line="300" w:lineRule="auto"/>
      <w:ind w:left="851" w:hanging="851"/>
    </w:pPr>
    <w:rPr>
      <w:rFonts w:ascii="宋体" w:hAnsi="Calibri"/>
      <w:sz w:val="24"/>
      <w:szCs w:val="21"/>
    </w:rPr>
  </w:style>
  <w:style w:type="paragraph" w:customStyle="1" w:styleId="1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rPr>
  </w:style>
  <w:style w:type="paragraph" w:customStyle="1" w:styleId="181">
    <w:name w:val="Char Char41"/>
    <w:basedOn w:val="1"/>
    <w:qFormat/>
    <w:uiPriority w:val="0"/>
    <w:pPr>
      <w:widowControl/>
      <w:spacing w:line="400" w:lineRule="exact"/>
      <w:jc w:val="center"/>
    </w:pPr>
    <w:rPr>
      <w:szCs w:val="24"/>
    </w:rPr>
  </w:style>
  <w:style w:type="paragraph" w:customStyle="1" w:styleId="182">
    <w:name w:val="xl23"/>
    <w:basedOn w:val="1"/>
    <w:qFormat/>
    <w:uiPriority w:val="0"/>
    <w:pPr>
      <w:widowControl/>
      <w:spacing w:before="100" w:beforeAutospacing="1" w:after="100" w:afterAutospacing="1" w:line="360" w:lineRule="auto"/>
    </w:pPr>
    <w:rPr>
      <w:kern w:val="0"/>
      <w:sz w:val="24"/>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13"/>
    <w:qFormat/>
    <w:uiPriority w:val="0"/>
    <w:pPr>
      <w:ind w:left="902" w:hanging="420"/>
    </w:pPr>
  </w:style>
  <w:style w:type="paragraph" w:customStyle="1" w:styleId="185">
    <w:name w:val="修订1"/>
    <w:qFormat/>
    <w:uiPriority w:val="0"/>
    <w:rPr>
      <w:rFonts w:ascii="Times New Roman" w:hAnsi="Times New Roman" w:eastAsia="宋体" w:cs="Times New Roman"/>
      <w:kern w:val="2"/>
      <w:sz w:val="21"/>
      <w:szCs w:val="24"/>
      <w:lang w:val="en-US" w:eastAsia="zh-CN" w:bidi="ar-SA"/>
    </w:rPr>
  </w:style>
  <w:style w:type="paragraph" w:customStyle="1" w:styleId="186">
    <w:name w:val="字元 字元2"/>
    <w:basedOn w:val="1"/>
    <w:qFormat/>
    <w:uiPriority w:val="0"/>
    <w:rPr>
      <w:rFonts w:ascii="Tahoma" w:hAnsi="Tahoma"/>
      <w:sz w:val="24"/>
    </w:rPr>
  </w:style>
  <w:style w:type="paragraph" w:customStyle="1" w:styleId="18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4"/>
    <w:basedOn w:val="1"/>
    <w:qFormat/>
    <w:uiPriority w:val="0"/>
    <w:pPr>
      <w:widowControl/>
      <w:spacing w:line="400" w:lineRule="exact"/>
      <w:jc w:val="center"/>
    </w:pPr>
    <w:rPr>
      <w:szCs w:val="24"/>
    </w:rPr>
  </w:style>
  <w:style w:type="paragraph" w:customStyle="1" w:styleId="189">
    <w:name w:val="Char Char Char"/>
    <w:basedOn w:val="1"/>
    <w:qFormat/>
    <w:uiPriority w:val="0"/>
    <w:rPr>
      <w:rFonts w:ascii="Tahoma" w:hAnsi="Tahoma"/>
      <w:sz w:val="24"/>
    </w:rPr>
  </w:style>
  <w:style w:type="paragraph" w:customStyle="1" w:styleId="190">
    <w:name w:val="1 Char Char Char Char"/>
    <w:basedOn w:val="1"/>
    <w:qFormat/>
    <w:uiPriority w:val="0"/>
    <w:rPr>
      <w:rFonts w:ascii="Tahoma" w:hAnsi="Tahoma"/>
      <w:sz w:val="24"/>
    </w:rPr>
  </w:style>
  <w:style w:type="paragraph" w:customStyle="1" w:styleId="19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rPr>
  </w:style>
  <w:style w:type="paragraph" w:customStyle="1" w:styleId="192">
    <w:name w:val="Char"/>
    <w:basedOn w:val="1"/>
    <w:qFormat/>
    <w:uiPriority w:val="0"/>
    <w:pPr>
      <w:tabs>
        <w:tab w:val="left" w:pos="360"/>
      </w:tabs>
    </w:pPr>
    <w:rPr>
      <w:sz w:val="24"/>
      <w:szCs w:val="24"/>
    </w:rPr>
  </w:style>
  <w:style w:type="paragraph" w:customStyle="1" w:styleId="193">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95">
    <w:name w:val="Char2"/>
    <w:basedOn w:val="1"/>
    <w:qFormat/>
    <w:uiPriority w:val="0"/>
    <w:rPr>
      <w:rFonts w:ascii="Tahoma" w:hAnsi="Tahoma"/>
      <w:sz w:val="24"/>
    </w:rPr>
  </w:style>
  <w:style w:type="paragraph" w:customStyle="1" w:styleId="196">
    <w:name w:val="font8"/>
    <w:basedOn w:val="1"/>
    <w:qFormat/>
    <w:uiPriority w:val="0"/>
    <w:pPr>
      <w:widowControl/>
      <w:spacing w:before="100" w:beforeAutospacing="1" w:after="100" w:afterAutospacing="1"/>
      <w:jc w:val="left"/>
    </w:pPr>
    <w:rPr>
      <w:kern w:val="0"/>
      <w:sz w:val="36"/>
      <w:szCs w:val="36"/>
    </w:rPr>
  </w:style>
  <w:style w:type="paragraph" w:customStyle="1" w:styleId="197">
    <w:name w:val="正文 + 楷体_GB2312"/>
    <w:basedOn w:val="1"/>
    <w:qFormat/>
    <w:uiPriority w:val="0"/>
    <w:pPr>
      <w:widowControl/>
      <w:jc w:val="left"/>
    </w:pPr>
    <w:rPr>
      <w:rFonts w:ascii="楷体_GB2312" w:eastAsia="楷体_GB2312" w:cs="Arial"/>
      <w:kern w:val="0"/>
      <w:sz w:val="24"/>
      <w:szCs w:val="24"/>
    </w:rPr>
  </w:style>
  <w:style w:type="paragraph" w:customStyle="1" w:styleId="198">
    <w:name w:val="font9"/>
    <w:basedOn w:val="1"/>
    <w:qFormat/>
    <w:uiPriority w:val="0"/>
    <w:pPr>
      <w:widowControl/>
      <w:spacing w:before="100" w:beforeAutospacing="1" w:after="100" w:afterAutospacing="1"/>
      <w:jc w:val="left"/>
    </w:pPr>
    <w:rPr>
      <w:rFonts w:ascii="宋体" w:hAnsi="宋体" w:cs="Arial Unicode MS"/>
      <w:color w:val="000000"/>
      <w:kern w:val="0"/>
      <w:sz w:val="20"/>
    </w:rPr>
  </w:style>
  <w:style w:type="paragraph" w:customStyle="1" w:styleId="199">
    <w:name w:val="默认段落字体 Para Char Char Char Char"/>
    <w:basedOn w:val="1"/>
    <w:qFormat/>
    <w:uiPriority w:val="0"/>
    <w:rPr>
      <w:rFonts w:ascii="Arial" w:hAnsi="Arial" w:cs="Arial"/>
      <w:szCs w:val="21"/>
    </w:rPr>
  </w:style>
  <w:style w:type="paragraph" w:customStyle="1" w:styleId="200">
    <w:name w:val="正文缩进2"/>
    <w:basedOn w:val="1"/>
    <w:qFormat/>
    <w:uiPriority w:val="0"/>
    <w:pPr>
      <w:widowControl/>
      <w:adjustRightInd w:val="0"/>
      <w:snapToGrid w:val="0"/>
      <w:spacing w:line="480" w:lineRule="exact"/>
      <w:ind w:firstLine="567"/>
    </w:pPr>
    <w:rPr>
      <w:rFonts w:ascii="宋体"/>
      <w:color w:val="000000"/>
      <w:kern w:val="28"/>
      <w:sz w:val="28"/>
      <w:lang w:val="zh-CN"/>
    </w:rPr>
  </w:style>
  <w:style w:type="paragraph" w:customStyle="1" w:styleId="201">
    <w:name w:val="Char3"/>
    <w:basedOn w:val="1"/>
    <w:qFormat/>
    <w:uiPriority w:val="0"/>
    <w:pPr>
      <w:tabs>
        <w:tab w:val="left" w:pos="360"/>
      </w:tabs>
    </w:pPr>
    <w:rPr>
      <w:sz w:val="24"/>
      <w:szCs w:val="24"/>
    </w:rPr>
  </w:style>
  <w:style w:type="paragraph" w:customStyle="1" w:styleId="202">
    <w:name w:val="文档正文"/>
    <w:basedOn w:val="1"/>
    <w:qFormat/>
    <w:uiPriority w:val="0"/>
    <w:pPr>
      <w:snapToGrid w:val="0"/>
      <w:spacing w:before="120" w:after="120" w:line="180" w:lineRule="auto"/>
    </w:pPr>
    <w:rPr>
      <w:rFonts w:ascii="Arial" w:hAnsi="Arial"/>
    </w:rPr>
  </w:style>
  <w:style w:type="paragraph" w:customStyle="1" w:styleId="203">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4">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205">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0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7">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0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9">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210">
    <w:name w:val="Char Char1"/>
    <w:basedOn w:val="14"/>
    <w:qFormat/>
    <w:uiPriority w:val="0"/>
    <w:rPr>
      <w:rFonts w:ascii="Tahoma" w:hAnsi="Tahoma"/>
      <w:sz w:val="24"/>
    </w:rPr>
  </w:style>
  <w:style w:type="paragraph" w:customStyle="1" w:styleId="211">
    <w:name w:val="Char1 Char Char Char1"/>
    <w:basedOn w:val="1"/>
    <w:qFormat/>
    <w:uiPriority w:val="0"/>
    <w:rPr>
      <w:rFonts w:ascii="Tahoma" w:hAnsi="Tahoma" w:cs="仿宋_GB2312"/>
      <w:sz w:val="24"/>
      <w:szCs w:val="28"/>
    </w:rPr>
  </w:style>
  <w:style w:type="paragraph" w:customStyle="1" w:styleId="212">
    <w:name w:val="缺省文本"/>
    <w:basedOn w:val="1"/>
    <w:qFormat/>
    <w:uiPriority w:val="0"/>
    <w:pPr>
      <w:autoSpaceDE w:val="0"/>
      <w:autoSpaceDN w:val="0"/>
      <w:adjustRightInd w:val="0"/>
      <w:jc w:val="left"/>
    </w:pPr>
    <w:rPr>
      <w:kern w:val="0"/>
      <w:sz w:val="24"/>
      <w:szCs w:val="24"/>
    </w:rPr>
  </w:style>
  <w:style w:type="paragraph" w:customStyle="1" w:styleId="21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14">
    <w:name w:val="列出段落2"/>
    <w:basedOn w:val="1"/>
    <w:qFormat/>
    <w:uiPriority w:val="0"/>
    <w:pPr>
      <w:ind w:firstLine="420" w:firstLineChars="200"/>
    </w:pPr>
    <w:rPr>
      <w:rFonts w:ascii="Calibri" w:hAnsi="Calibri"/>
      <w:szCs w:val="22"/>
    </w:rPr>
  </w:style>
  <w:style w:type="paragraph" w:customStyle="1" w:styleId="215">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9">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0">
    <w:name w:val="字元 字元1"/>
    <w:basedOn w:val="1"/>
    <w:qFormat/>
    <w:uiPriority w:val="0"/>
    <w:rPr>
      <w:rFonts w:ascii="Tahoma" w:hAnsi="Tahoma"/>
      <w:sz w:val="24"/>
    </w:rPr>
  </w:style>
  <w:style w:type="paragraph" w:customStyle="1" w:styleId="2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223">
    <w:name w:val="Char21"/>
    <w:basedOn w:val="1"/>
    <w:qFormat/>
    <w:uiPriority w:val="0"/>
    <w:rPr>
      <w:rFonts w:ascii="Tahoma" w:hAnsi="Tahoma"/>
      <w:sz w:val="24"/>
    </w:rPr>
  </w:style>
  <w:style w:type="paragraph" w:customStyle="1" w:styleId="224">
    <w:name w:val="正文 A"/>
    <w:basedOn w:val="1"/>
    <w:qFormat/>
    <w:uiPriority w:val="0"/>
    <w:rPr>
      <w:rFonts w:ascii="Arial Unicode MS" w:hAnsi="Arial Unicode MS" w:eastAsia="Times New Roman"/>
      <w:color w:val="000000"/>
      <w:szCs w:val="21"/>
    </w:rPr>
  </w:style>
  <w:style w:type="character" w:customStyle="1" w:styleId="225">
    <w:name w:val="Body text|1_"/>
    <w:link w:val="226"/>
    <w:locked/>
    <w:uiPriority w:val="0"/>
    <w:rPr>
      <w:rFonts w:ascii="宋体" w:hAnsi="宋体" w:eastAsia="宋体" w:cs="宋体"/>
      <w:lang w:val="zh-TW" w:eastAsia="zh-TW" w:bidi="zh-TW"/>
    </w:rPr>
  </w:style>
  <w:style w:type="paragraph" w:customStyle="1" w:styleId="226">
    <w:name w:val="Body text|1"/>
    <w:basedOn w:val="1"/>
    <w:link w:val="225"/>
    <w:qFormat/>
    <w:uiPriority w:val="0"/>
    <w:pPr>
      <w:spacing w:after="60"/>
      <w:jc w:val="left"/>
    </w:pPr>
    <w:rPr>
      <w:rFonts w:ascii="宋体" w:hAnsi="宋体" w:cs="宋体"/>
      <w:szCs w:val="22"/>
      <w:lang w:val="zh-TW" w:eastAsia="zh-TW" w:bidi="zh-TW"/>
    </w:rPr>
  </w:style>
  <w:style w:type="paragraph" w:customStyle="1" w:styleId="227">
    <w:name w:val="msonospacing"/>
    <w:basedOn w:val="1"/>
    <w:qFormat/>
    <w:uiPriority w:val="0"/>
    <w:rPr>
      <w:rFonts w:ascii="等线" w:hAnsi="等线" w:eastAsia="等线"/>
      <w:szCs w:val="24"/>
    </w:rPr>
  </w:style>
  <w:style w:type="character" w:customStyle="1" w:styleId="228">
    <w:name w:val="目录用 Char"/>
    <w:link w:val="229"/>
    <w:locked/>
    <w:uiPriority w:val="0"/>
    <w:rPr>
      <w:b/>
      <w:sz w:val="36"/>
      <w:szCs w:val="36"/>
    </w:rPr>
  </w:style>
  <w:style w:type="paragraph" w:customStyle="1" w:styleId="229">
    <w:name w:val="目录用"/>
    <w:basedOn w:val="1"/>
    <w:link w:val="228"/>
    <w:qFormat/>
    <w:uiPriority w:val="0"/>
    <w:pPr>
      <w:snapToGrid w:val="0"/>
      <w:spacing w:line="540" w:lineRule="exact"/>
      <w:jc w:val="center"/>
      <w:outlineLvl w:val="0"/>
    </w:pPr>
    <w:rPr>
      <w:rFonts w:asciiTheme="minorHAnsi" w:hAnsiTheme="minorHAnsi" w:eastAsiaTheme="minorEastAsia" w:cstheme="minorBidi"/>
      <w:b/>
      <w:sz w:val="36"/>
      <w:szCs w:val="36"/>
    </w:rPr>
  </w:style>
  <w:style w:type="paragraph" w:customStyle="1" w:styleId="230">
    <w:name w:val="UserStyle_0"/>
    <w:basedOn w:val="1"/>
    <w:qFormat/>
    <w:uiPriority w:val="0"/>
    <w:pPr>
      <w:widowControl/>
      <w:spacing w:line="240" w:lineRule="atLeast"/>
      <w:jc w:val="left"/>
    </w:pPr>
    <w:rPr>
      <w:rFonts w:ascii="宋体" w:hAnsi="宋体"/>
      <w:color w:val="000000"/>
      <w:kern w:val="0"/>
    </w:rPr>
  </w:style>
  <w:style w:type="character" w:customStyle="1" w:styleId="231">
    <w:name w:val="正文文本 Char1"/>
    <w:uiPriority w:val="0"/>
    <w:rPr>
      <w:rFonts w:hint="eastAsia" w:ascii="宋体" w:hAnsi="宋体" w:eastAsia="宋体" w:cs="宋体"/>
      <w:sz w:val="24"/>
      <w:szCs w:val="24"/>
    </w:rPr>
  </w:style>
  <w:style w:type="character" w:customStyle="1" w:styleId="232">
    <w:name w:val="标题 2 Char1"/>
    <w:link w:val="3"/>
    <w:qFormat/>
    <w:locked/>
    <w:uiPriority w:val="0"/>
    <w:rPr>
      <w:rFonts w:ascii="Arial" w:hAnsi="Arial" w:eastAsia="黑体" w:cs="Times New Roman"/>
      <w:b/>
      <w:kern w:val="0"/>
      <w:sz w:val="30"/>
      <w:szCs w:val="20"/>
    </w:rPr>
  </w:style>
  <w:style w:type="character" w:customStyle="1" w:styleId="233">
    <w:name w:val="标题 3 Char1"/>
    <w:link w:val="5"/>
    <w:qFormat/>
    <w:locked/>
    <w:uiPriority w:val="0"/>
    <w:rPr>
      <w:rFonts w:ascii="宋体" w:hAnsi="Times New Roman" w:eastAsia="宋体" w:cs="Times New Roman"/>
      <w:b/>
      <w:kern w:val="0"/>
      <w:sz w:val="24"/>
      <w:szCs w:val="20"/>
      <w:u w:val="single"/>
    </w:rPr>
  </w:style>
  <w:style w:type="character" w:customStyle="1" w:styleId="234">
    <w:name w:val="正文文本缩进 Char3"/>
    <w:link w:val="19"/>
    <w:locked/>
    <w:uiPriority w:val="0"/>
    <w:rPr>
      <w:rFonts w:ascii="Times New Roman" w:hAnsi="Times New Roman" w:eastAsia="宋体" w:cs="Times New Roman"/>
      <w:sz w:val="24"/>
      <w:szCs w:val="24"/>
    </w:rPr>
  </w:style>
  <w:style w:type="character" w:customStyle="1" w:styleId="235">
    <w:name w:val="页脚 Char1"/>
    <w:qFormat/>
    <w:locked/>
    <w:uiPriority w:val="99"/>
    <w:rPr>
      <w:rFonts w:ascii="宋体" w:hAnsi="Times New Roman" w:eastAsia="宋体" w:cs="Times New Roman"/>
      <w:kern w:val="0"/>
      <w:sz w:val="18"/>
      <w:szCs w:val="20"/>
    </w:rPr>
  </w:style>
  <w:style w:type="character" w:customStyle="1" w:styleId="236">
    <w:name w:val="页眉 Char1"/>
    <w:qFormat/>
    <w:locked/>
    <w:uiPriority w:val="0"/>
    <w:rPr>
      <w:rFonts w:ascii="Times New Roman" w:hAnsi="Times New Roman" w:eastAsia="宋体" w:cs="Times New Roman"/>
      <w:sz w:val="18"/>
      <w:szCs w:val="18"/>
    </w:rPr>
  </w:style>
  <w:style w:type="character" w:customStyle="1" w:styleId="237">
    <w:name w:val="正文文本缩进 Char2"/>
    <w:qFormat/>
    <w:uiPriority w:val="0"/>
    <w:rPr>
      <w:rFonts w:hint="eastAsia" w:ascii="宋体" w:hAnsi="宋体" w:eastAsia="宋体"/>
      <w:kern w:val="2"/>
      <w:sz w:val="24"/>
      <w:szCs w:val="24"/>
      <w:lang w:val="en-US" w:eastAsia="zh-CN" w:bidi="ar-SA"/>
    </w:rPr>
  </w:style>
  <w:style w:type="character" w:customStyle="1" w:styleId="238">
    <w:name w:val="title4"/>
    <w:qFormat/>
    <w:uiPriority w:val="0"/>
    <w:rPr>
      <w:b/>
      <w:bCs/>
      <w:color w:val="1D87B3"/>
      <w:sz w:val="15"/>
      <w:szCs w:val="15"/>
    </w:rPr>
  </w:style>
  <w:style w:type="character" w:customStyle="1" w:styleId="239">
    <w:name w:val="chanpin拷贝"/>
    <w:qFormat/>
    <w:uiPriority w:val="0"/>
  </w:style>
  <w:style w:type="character" w:customStyle="1" w:styleId="240">
    <w:name w:val="c21"/>
    <w:qFormat/>
    <w:uiPriority w:val="0"/>
    <w:rPr>
      <w:rFonts w:hint="default" w:ascii="ˎ̥" w:hAnsi="ˎ̥"/>
      <w:color w:val="000000"/>
      <w:sz w:val="20"/>
      <w:szCs w:val="20"/>
      <w:u w:val="none"/>
    </w:rPr>
  </w:style>
  <w:style w:type="character" w:customStyle="1" w:styleId="241">
    <w:name w:val="txt"/>
    <w:qFormat/>
    <w:uiPriority w:val="0"/>
  </w:style>
  <w:style w:type="character" w:customStyle="1" w:styleId="242">
    <w:name w:val="正文缩进 Char"/>
    <w:qFormat/>
    <w:uiPriority w:val="0"/>
    <w:rPr>
      <w:rFonts w:hint="eastAsia" w:ascii="宋体" w:hAnsi="宋体" w:eastAsia="宋体"/>
      <w:kern w:val="2"/>
      <w:sz w:val="24"/>
      <w:szCs w:val="24"/>
      <w:lang w:val="en-US" w:eastAsia="zh-CN" w:bidi="ar-SA"/>
    </w:rPr>
  </w:style>
  <w:style w:type="character" w:customStyle="1" w:styleId="243">
    <w:name w:val="批注文字 字符"/>
    <w:qFormat/>
    <w:uiPriority w:val="99"/>
    <w:rPr>
      <w:rFonts w:hint="default" w:ascii="Times New Roman" w:hAnsi="Times New Roman" w:eastAsia="宋体" w:cs="Times New Roman"/>
      <w:sz w:val="24"/>
      <w:lang w:val="en-US" w:eastAsia="zh-CN" w:bidi="ar-SA"/>
    </w:rPr>
  </w:style>
  <w:style w:type="character" w:customStyle="1" w:styleId="244">
    <w:name w:val="street-address"/>
    <w:qFormat/>
    <w:uiPriority w:val="0"/>
  </w:style>
  <w:style w:type="character" w:customStyle="1" w:styleId="245">
    <w:name w:val="bjh-p"/>
    <w:qFormat/>
    <w:uiPriority w:val="0"/>
  </w:style>
  <w:style w:type="character" w:customStyle="1" w:styleId="246">
    <w:name w:val="black1"/>
    <w:qFormat/>
    <w:uiPriority w:val="0"/>
    <w:rPr>
      <w:color w:val="000000"/>
    </w:rPr>
  </w:style>
  <w:style w:type="character" w:customStyle="1" w:styleId="247">
    <w:name w:val="Char Char11"/>
    <w:qFormat/>
    <w:uiPriority w:val="0"/>
    <w:rPr>
      <w:rFonts w:hint="eastAsia" w:ascii="宋体" w:hAnsi="宋体" w:eastAsia="宋体"/>
      <w:b/>
      <w:sz w:val="24"/>
      <w:u w:val="single"/>
      <w:lang w:val="en-US" w:eastAsia="zh-CN" w:bidi="ar-SA"/>
    </w:rPr>
  </w:style>
  <w:style w:type="character" w:customStyle="1" w:styleId="248">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49">
    <w:name w:val="标题 3 Char Char"/>
    <w:qFormat/>
    <w:uiPriority w:val="0"/>
    <w:rPr>
      <w:rFonts w:hint="eastAsia" w:ascii="宋体" w:hAnsi="宋体" w:eastAsia="宋体"/>
      <w:b/>
      <w:bCs/>
      <w:kern w:val="2"/>
      <w:sz w:val="32"/>
      <w:szCs w:val="32"/>
      <w:lang w:val="en-US" w:eastAsia="zh-CN" w:bidi="ar-SA"/>
    </w:rPr>
  </w:style>
  <w:style w:type="character" w:customStyle="1" w:styleId="250">
    <w:name w:val="apple-style-span"/>
    <w:qFormat/>
    <w:uiPriority w:val="0"/>
    <w:rPr>
      <w:rFonts w:hint="default" w:ascii="Times New Roman" w:hAnsi="Times New Roman" w:cs="Times New Roman"/>
    </w:rPr>
  </w:style>
  <w:style w:type="character" w:customStyle="1" w:styleId="251">
    <w:name w:val="chanpin1"/>
    <w:qFormat/>
    <w:uiPriority w:val="0"/>
    <w:rPr>
      <w:rFonts w:hint="default" w:ascii="ˎ̥" w:hAnsi="ˎ̥"/>
      <w:color w:val="000000"/>
      <w:sz w:val="20"/>
      <w:szCs w:val="20"/>
      <w:u w:val="none"/>
    </w:rPr>
  </w:style>
  <w:style w:type="character" w:customStyle="1" w:styleId="252">
    <w:name w:val="locality"/>
    <w:qFormat/>
    <w:uiPriority w:val="0"/>
  </w:style>
  <w:style w:type="character" w:customStyle="1" w:styleId="253">
    <w:name w:val="段1 Char"/>
    <w:qFormat/>
    <w:uiPriority w:val="0"/>
    <w:rPr>
      <w:rFonts w:hint="eastAsia" w:ascii="宋体" w:hAnsi="宋体" w:eastAsia="宋体"/>
      <w:sz w:val="24"/>
      <w:lang w:val="en-US" w:eastAsia="zh-CN" w:bidi="ar-SA"/>
    </w:rPr>
  </w:style>
  <w:style w:type="character" w:customStyle="1" w:styleId="254">
    <w:name w:val="列出段落 Char"/>
    <w:qFormat/>
    <w:uiPriority w:val="0"/>
    <w:rPr>
      <w:rFonts w:hint="default" w:ascii="Calibri" w:hAnsi="Calibri" w:eastAsia="宋体" w:cs="Calibri"/>
      <w:kern w:val="2"/>
      <w:sz w:val="21"/>
      <w:szCs w:val="22"/>
      <w:lang w:val="en-US" w:eastAsia="zh-CN" w:bidi="ar-SA"/>
    </w:rPr>
  </w:style>
  <w:style w:type="character" w:customStyle="1" w:styleId="255">
    <w:name w:val="纯文本 字符1"/>
    <w:qFormat/>
    <w:uiPriority w:val="0"/>
    <w:rPr>
      <w:rFonts w:hint="eastAsia" w:ascii="宋体" w:hAnsi="Courier New" w:eastAsia="宋体"/>
    </w:rPr>
  </w:style>
  <w:style w:type="character" w:customStyle="1" w:styleId="256">
    <w:name w:val="Char Char111"/>
    <w:qFormat/>
    <w:uiPriority w:val="0"/>
    <w:rPr>
      <w:rFonts w:hint="eastAsia" w:ascii="宋体" w:hAnsi="宋体" w:eastAsia="宋体"/>
      <w:b/>
      <w:sz w:val="24"/>
      <w:u w:val="single"/>
      <w:lang w:val="en-US" w:eastAsia="zh-CN" w:bidi="ar-SA"/>
    </w:rPr>
  </w:style>
  <w:style w:type="character" w:customStyle="1" w:styleId="257">
    <w:name w:val="NormalCharacter"/>
    <w:qFormat/>
    <w:uiPriority w:val="0"/>
  </w:style>
  <w:style w:type="character" w:customStyle="1" w:styleId="258">
    <w:name w:val="标题 2 Char Char"/>
    <w:qFormat/>
    <w:uiPriority w:val="0"/>
    <w:rPr>
      <w:rFonts w:hint="default" w:ascii="Arial" w:hAnsi="Arial" w:eastAsia="黑体" w:cs="Arial"/>
      <w:b/>
      <w:bCs/>
      <w:kern w:val="2"/>
      <w:sz w:val="32"/>
      <w:szCs w:val="32"/>
      <w:lang w:val="en-US" w:eastAsia="zh-CN" w:bidi="ar-SA"/>
    </w:rPr>
  </w:style>
  <w:style w:type="character" w:customStyle="1" w:styleId="259">
    <w:name w:val="style81"/>
    <w:uiPriority w:val="0"/>
    <w:rPr>
      <w:sz w:val="24"/>
      <w:szCs w:val="24"/>
    </w:rPr>
  </w:style>
  <w:style w:type="character" w:customStyle="1" w:styleId="260">
    <w:name w:val="long_text"/>
    <w:basedOn w:val="49"/>
    <w:uiPriority w:val="0"/>
  </w:style>
  <w:style w:type="table" w:customStyle="1" w:styleId="261">
    <w:name w:val="Table Normal"/>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62">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table" w:customStyle="1" w:styleId="263">
    <w:name w:val="Table Normal1"/>
    <w:semiHidden/>
    <w:qFormat/>
    <w:uiPriority w:val="2"/>
    <w:rPr>
      <w:kern w:val="0"/>
      <w:sz w:val="20"/>
      <w:szCs w:val="20"/>
    </w:rPr>
    <w:tblPr>
      <w:tblCellMar>
        <w:top w:w="0" w:type="dxa"/>
        <w:left w:w="0" w:type="dxa"/>
        <w:bottom w:w="0" w:type="dxa"/>
        <w:right w:w="0" w:type="dxa"/>
      </w:tblCellMar>
    </w:tblPr>
  </w:style>
  <w:style w:type="paragraph" w:customStyle="1" w:styleId="264">
    <w:name w:val="项目符号1"/>
    <w:basedOn w:val="113"/>
    <w:qFormat/>
    <w:uiPriority w:val="0"/>
    <w:pPr>
      <w:ind w:left="-25" w:firstLine="0"/>
    </w:pPr>
  </w:style>
  <w:style w:type="paragraph" w:customStyle="1" w:styleId="265">
    <w:name w:val="一级条标题"/>
    <w:basedOn w:val="122"/>
    <w:next w:val="1"/>
    <w:qFormat/>
    <w:uiPriority w:val="0"/>
    <w:pPr>
      <w:tabs>
        <w:tab w:val="left" w:pos="360"/>
        <w:tab w:val="left" w:pos="840"/>
      </w:tabs>
      <w:ind w:hanging="840"/>
      <w:outlineLvl w:val="1"/>
    </w:pPr>
  </w:style>
  <w:style w:type="paragraph" w:customStyle="1" w:styleId="266">
    <w:name w:val="二级条标题"/>
    <w:basedOn w:val="265"/>
    <w:next w:val="1"/>
    <w:qFormat/>
    <w:uiPriority w:val="0"/>
    <w:pPr>
      <w:outlineLvl w:val="2"/>
    </w:pPr>
    <w:rPr>
      <w:rFonts w:ascii="宋体" w:eastAsia="宋体"/>
      <w:b w:val="0"/>
    </w:rPr>
  </w:style>
  <w:style w:type="paragraph" w:customStyle="1" w:styleId="267">
    <w:name w:val="三级条标题"/>
    <w:basedOn w:val="266"/>
    <w:next w:val="1"/>
    <w:qFormat/>
    <w:uiPriority w:val="0"/>
    <w:pPr>
      <w:outlineLvl w:val="3"/>
    </w:pPr>
  </w:style>
  <w:style w:type="paragraph" w:customStyle="1" w:styleId="268">
    <w:name w:val="四级条标题"/>
    <w:basedOn w:val="267"/>
    <w:next w:val="1"/>
    <w:qFormat/>
    <w:uiPriority w:val="0"/>
    <w:pPr>
      <w:outlineLvl w:val="4"/>
    </w:pPr>
  </w:style>
  <w:style w:type="paragraph" w:customStyle="1" w:styleId="269">
    <w:name w:val="五级条标题"/>
    <w:basedOn w:val="268"/>
    <w:next w:val="1"/>
    <w:qFormat/>
    <w:uiPriority w:val="0"/>
    <w:pPr>
      <w:outlineLvl w:val="5"/>
    </w:pPr>
  </w:style>
  <w:style w:type="character" w:customStyle="1" w:styleId="270">
    <w:name w:val="尾注文本 Char"/>
    <w:basedOn w:val="49"/>
    <w:link w:val="28"/>
    <w:semiHidden/>
    <w:qFormat/>
    <w:uiPriority w:val="99"/>
    <w:rPr>
      <w:rFonts w:ascii="Times New Roman" w:hAnsi="Times New Roman" w:eastAsia="宋体" w:cs="Times New Roman"/>
    </w:rPr>
  </w:style>
  <w:style w:type="character" w:customStyle="1" w:styleId="271">
    <w:name w:val="正文文本 2 Char"/>
    <w:basedOn w:val="49"/>
    <w:link w:val="38"/>
    <w:qFormat/>
    <w:uiPriority w:val="0"/>
    <w:rPr>
      <w:rFonts w:ascii="Times New Roman" w:hAnsi="Times New Roman" w:eastAsia="宋体" w:cs="Times New Roman"/>
      <w:kern w:val="0"/>
      <w:szCs w:val="20"/>
    </w:rPr>
  </w:style>
  <w:style w:type="paragraph" w:customStyle="1" w:styleId="272">
    <w:name w:val="Body text|2"/>
    <w:basedOn w:val="1"/>
    <w:qFormat/>
    <w:uiPriority w:val="0"/>
    <w:pPr>
      <w:spacing w:line="360" w:lineRule="auto"/>
    </w:pPr>
    <w:rPr>
      <w:rFonts w:ascii="宋体" w:hAnsi="宋体" w:cs="宋体"/>
      <w:sz w:val="22"/>
      <w:szCs w:val="22"/>
      <w:lang w:val="zh-TW" w:eastAsia="zh-TW" w:bidi="zh-TW"/>
    </w:rPr>
  </w:style>
  <w:style w:type="paragraph" w:customStyle="1" w:styleId="273">
    <w:name w:val="p15"/>
    <w:basedOn w:val="1"/>
    <w:qFormat/>
    <w:uiPriority w:val="0"/>
    <w:pPr>
      <w:widowControl/>
      <w:ind w:firstLine="420"/>
    </w:pPr>
    <w:rPr>
      <w:rFonts w:ascii="Calibri" w:hAnsi="Calibri" w:cs="宋体"/>
      <w:kern w:val="0"/>
      <w:szCs w:val="21"/>
    </w:rPr>
  </w:style>
  <w:style w:type="character" w:customStyle="1" w:styleId="274">
    <w:name w:val="A9"/>
    <w:qFormat/>
    <w:uiPriority w:val="99"/>
    <w:rPr>
      <w:rFonts w:cs="......_."/>
      <w:color w:val="000000"/>
      <w:sz w:val="10"/>
      <w:szCs w:val="10"/>
    </w:rPr>
  </w:style>
  <w:style w:type="paragraph" w:customStyle="1" w:styleId="275">
    <w:name w:val="Table Text"/>
    <w:basedOn w:val="1"/>
    <w:link w:val="279"/>
    <w:qFormat/>
    <w:uiPriority w:val="0"/>
    <w:pPr>
      <w:widowControl/>
      <w:autoSpaceDE w:val="0"/>
      <w:autoSpaceDN w:val="0"/>
      <w:spacing w:before="78" w:after="60" w:line="218" w:lineRule="auto"/>
      <w:jc w:val="center"/>
    </w:pPr>
    <w:rPr>
      <w:rFonts w:ascii="仿宋" w:hAnsi="仿宋" w:eastAsia="仿宋"/>
      <w:b/>
      <w:kern w:val="0"/>
      <w:sz w:val="24"/>
      <w:szCs w:val="24"/>
    </w:rPr>
  </w:style>
  <w:style w:type="paragraph" w:customStyle="1" w:styleId="276">
    <w:name w:val="179"/>
    <w:basedOn w:val="1"/>
    <w:qFormat/>
    <w:uiPriority w:val="0"/>
    <w:pPr>
      <w:widowControl/>
      <w:ind w:firstLine="420" w:firstLineChars="200"/>
      <w:textAlignment w:val="baseline"/>
    </w:pPr>
    <w:rPr>
      <w:rFonts w:ascii="Calibri" w:hAnsi="Calibri"/>
      <w:szCs w:val="24"/>
    </w:rPr>
  </w:style>
  <w:style w:type="paragraph" w:customStyle="1" w:styleId="277">
    <w:name w:val="样式"/>
    <w:basedOn w:val="1"/>
    <w:next w:val="24"/>
    <w:qFormat/>
    <w:uiPriority w:val="99"/>
    <w:rPr>
      <w:rFonts w:ascii="宋体" w:hAnsi="Courier New" w:cs="宋体"/>
      <w:szCs w:val="21"/>
    </w:rPr>
  </w:style>
  <w:style w:type="paragraph" w:customStyle="1" w:styleId="278">
    <w:name w:val="CM7"/>
    <w:basedOn w:val="164"/>
    <w:next w:val="164"/>
    <w:unhideWhenUsed/>
    <w:qFormat/>
    <w:uiPriority w:val="99"/>
    <w:rPr>
      <w:rFonts w:ascii="宋体" w:hAnsi="Calibri" w:cs="Times New Roman"/>
    </w:rPr>
  </w:style>
  <w:style w:type="character" w:customStyle="1" w:styleId="279">
    <w:name w:val="Table Text Char1"/>
    <w:link w:val="275"/>
    <w:qFormat/>
    <w:uiPriority w:val="0"/>
    <w:rPr>
      <w:rFonts w:ascii="仿宋" w:hAnsi="仿宋" w:eastAsia="仿宋" w:cs="Times New Roman"/>
      <w:b/>
      <w:kern w:val="0"/>
      <w:sz w:val="24"/>
      <w:szCs w:val="24"/>
    </w:rPr>
  </w:style>
  <w:style w:type="paragraph" w:customStyle="1" w:styleId="280">
    <w:name w:val="修订3"/>
    <w:hidden/>
    <w:semiHidden/>
    <w:unhideWhenUsed/>
    <w:qFormat/>
    <w:uiPriority w:val="99"/>
    <w:rPr>
      <w:rFonts w:ascii="Calibri" w:hAnsi="Calibri" w:eastAsia="宋体" w:cs="Times New Roman"/>
      <w:kern w:val="2"/>
      <w:sz w:val="21"/>
      <w:szCs w:val="24"/>
      <w:lang w:val="en-US" w:eastAsia="zh-CN" w:bidi="ar-SA"/>
    </w:rPr>
  </w:style>
  <w:style w:type="paragraph" w:customStyle="1" w:styleId="281">
    <w:name w:val="CM1"/>
    <w:basedOn w:val="164"/>
    <w:next w:val="164"/>
    <w:unhideWhenUsed/>
    <w:qFormat/>
    <w:uiPriority w:val="99"/>
    <w:pPr>
      <w:spacing w:line="313" w:lineRule="atLeast"/>
    </w:pPr>
    <w:rPr>
      <w:rFonts w:ascii="宋体" w:hAnsi="Calibri" w:cs="Times New Roman"/>
    </w:rPr>
  </w:style>
  <w:style w:type="paragraph" w:customStyle="1" w:styleId="282">
    <w:name w:val="默认"/>
    <w:qFormat/>
    <w:uiPriority w:val="0"/>
    <w:rPr>
      <w:rFonts w:ascii="Helvetica Neue" w:hAnsi="Helvetica Neue" w:eastAsia="Arial Unicode MS" w:cs="Arial Unicode MS"/>
      <w:color w:val="000000"/>
      <w:kern w:val="0"/>
      <w:sz w:val="22"/>
      <w:szCs w:val="22"/>
      <w:lang w:val="en-US" w:eastAsia="zh-CN" w:bidi="ar-SA"/>
    </w:rPr>
  </w:style>
  <w:style w:type="character" w:customStyle="1" w:styleId="283">
    <w:name w:val="A8"/>
    <w:qFormat/>
    <w:uiPriority w:val="99"/>
    <w:rPr>
      <w:rFonts w:cs="......_."/>
      <w:color w:val="000000"/>
      <w:sz w:val="18"/>
      <w:szCs w:val="18"/>
    </w:rPr>
  </w:style>
  <w:style w:type="character" w:customStyle="1" w:styleId="284">
    <w:name w:val="纯文本 Char4"/>
    <w:qFormat/>
    <w:uiPriority w:val="0"/>
    <w:rPr>
      <w:rFonts w:ascii="宋体" w:hAnsi="Courier New" w:eastAsia="宋体"/>
      <w:kern w:val="2"/>
      <w:sz w:val="21"/>
      <w:lang w:val="en-US" w:eastAsia="zh-CN" w:bidi="ar-SA"/>
    </w:rPr>
  </w:style>
  <w:style w:type="paragraph" w:customStyle="1" w:styleId="285">
    <w:name w:val="CM2"/>
    <w:basedOn w:val="164"/>
    <w:next w:val="164"/>
    <w:unhideWhenUsed/>
    <w:qFormat/>
    <w:uiPriority w:val="99"/>
    <w:rPr>
      <w:rFonts w:ascii="宋体" w:hAnsi="Calibri" w:cs="Times New Roman"/>
    </w:rPr>
  </w:style>
  <w:style w:type="paragraph" w:customStyle="1" w:styleId="286">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character" w:customStyle="1" w:styleId="288">
    <w:name w:val="font31"/>
    <w:basedOn w:val="49"/>
    <w:qFormat/>
    <w:uiPriority w:val="0"/>
    <w:rPr>
      <w:rFonts w:hint="eastAsia" w:ascii="等线" w:hAnsi="等线" w:eastAsia="等线" w:cs="等线"/>
      <w:color w:val="000000"/>
      <w:sz w:val="22"/>
      <w:szCs w:val="22"/>
      <w:u w:val="none"/>
    </w:rPr>
  </w:style>
  <w:style w:type="paragraph" w:customStyle="1" w:styleId="289">
    <w:name w:val="列表段落1"/>
    <w:basedOn w:val="1"/>
    <w:qFormat/>
    <w:uiPriority w:val="34"/>
    <w:pPr>
      <w:ind w:firstLine="420" w:firstLineChars="200"/>
    </w:pPr>
  </w:style>
  <w:style w:type="paragraph" w:customStyle="1" w:styleId="290">
    <w:name w:val="修订4"/>
    <w:hidden/>
    <w:unhideWhenUsed/>
    <w:qFormat/>
    <w:uiPriority w:val="99"/>
    <w:rPr>
      <w:rFonts w:ascii="Calibri" w:hAnsi="Calibri" w:eastAsia="宋体" w:cs="Times New Roman"/>
      <w:kern w:val="2"/>
      <w:sz w:val="21"/>
      <w:szCs w:val="24"/>
      <w:lang w:val="en-US" w:eastAsia="zh-CN" w:bidi="ar-SA"/>
    </w:rPr>
  </w:style>
  <w:style w:type="character" w:customStyle="1" w:styleId="291">
    <w:name w:val="font61"/>
    <w:qFormat/>
    <w:uiPriority w:val="0"/>
    <w:rPr>
      <w:rFonts w:hint="default" w:ascii="Times New Roman" w:hAnsi="Times New Roman" w:cs="Times New Roman"/>
      <w:color w:val="000000"/>
      <w:sz w:val="20"/>
      <w:szCs w:val="20"/>
      <w:u w:val="none"/>
    </w:rPr>
  </w:style>
  <w:style w:type="character" w:customStyle="1" w:styleId="292">
    <w:name w:val="font01"/>
    <w:basedOn w:val="49"/>
    <w:qFormat/>
    <w:uiPriority w:val="0"/>
    <w:rPr>
      <w:rFonts w:hint="eastAsia" w:ascii="等线" w:hAnsi="等线" w:eastAsia="等线" w:cs="等线"/>
      <w:color w:val="000000"/>
      <w:sz w:val="22"/>
      <w:szCs w:val="22"/>
      <w:u w:val="none"/>
    </w:rPr>
  </w:style>
  <w:style w:type="paragraph" w:customStyle="1" w:styleId="293">
    <w:name w:val="样式 首行缩进:  2 字符"/>
    <w:basedOn w:val="1"/>
    <w:qFormat/>
    <w:uiPriority w:val="0"/>
    <w:pPr>
      <w:ind w:firstLine="560"/>
    </w:pPr>
    <w:rPr>
      <w:rFonts w:eastAsia="仿宋_GB2312" w:cs="宋体"/>
      <w:sz w:val="24"/>
    </w:rPr>
  </w:style>
  <w:style w:type="paragraph" w:customStyle="1" w:styleId="294">
    <w:name w:val="修订2"/>
    <w:hidden/>
    <w:semiHidden/>
    <w:qFormat/>
    <w:uiPriority w:val="99"/>
    <w:rPr>
      <w:rFonts w:ascii="Calibri" w:hAnsi="Calibri" w:eastAsia="宋体" w:cs="Times New Roman"/>
      <w:kern w:val="2"/>
      <w:sz w:val="21"/>
      <w:szCs w:val="24"/>
      <w:lang w:val="en-US" w:eastAsia="zh-CN" w:bidi="ar-SA"/>
    </w:rPr>
  </w:style>
  <w:style w:type="paragraph" w:customStyle="1" w:styleId="295">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paragraph" w:customStyle="1" w:styleId="296">
    <w:name w:val="修订5"/>
    <w:hidden/>
    <w:unhideWhenUsed/>
    <w:qFormat/>
    <w:uiPriority w:val="99"/>
    <w:rPr>
      <w:rFonts w:ascii="Calibri" w:hAnsi="Calibri" w:eastAsia="宋体" w:cs="Times New Roman"/>
      <w:kern w:val="2"/>
      <w:sz w:val="21"/>
      <w:szCs w:val="24"/>
      <w:lang w:val="en-US" w:eastAsia="zh-CN" w:bidi="ar-SA"/>
    </w:rPr>
  </w:style>
  <w:style w:type="character" w:customStyle="1" w:styleId="297">
    <w:name w:val="normaltextrun"/>
    <w:basedOn w:val="49"/>
    <w:qFormat/>
    <w:uiPriority w:val="0"/>
  </w:style>
  <w:style w:type="character" w:customStyle="1" w:styleId="298">
    <w:name w:val="纯文本 Char3"/>
    <w:qFormat/>
    <w:uiPriority w:val="0"/>
    <w:rPr>
      <w:rFonts w:ascii="宋体" w:hAnsi="Courier New" w:eastAsia="宋体"/>
      <w:kern w:val="2"/>
      <w:sz w:val="21"/>
      <w:lang w:val="en-US" w:eastAsia="zh-CN" w:bidi="ar-SA"/>
    </w:rPr>
  </w:style>
  <w:style w:type="character" w:customStyle="1" w:styleId="299">
    <w:name w:val="标题 1 Char1"/>
    <w:qFormat/>
    <w:uiPriority w:val="0"/>
    <w:rPr>
      <w:rFonts w:ascii="Times New Roman" w:hAnsi="Times New Roman" w:eastAsia="宋体" w:cs="Times New Roman"/>
      <w:b/>
      <w:bCs/>
      <w:kern w:val="44"/>
      <w:sz w:val="32"/>
      <w:szCs w:val="44"/>
    </w:rPr>
  </w:style>
  <w:style w:type="paragraph" w:customStyle="1" w:styleId="300">
    <w:name w:val="l正文"/>
    <w:qFormat/>
    <w:uiPriority w:val="0"/>
    <w:pPr>
      <w:spacing w:line="360" w:lineRule="auto"/>
      <w:ind w:firstLine="200" w:firstLineChars="200"/>
    </w:pPr>
    <w:rPr>
      <w:rFonts w:ascii="Times New Roman" w:hAnsi="Times New Roman" w:eastAsia="宋体" w:cs="Times New Roman"/>
      <w:bCs/>
      <w:kern w:val="2"/>
      <w:sz w:val="24"/>
      <w:szCs w:val="22"/>
      <w:lang w:val="en-US" w:eastAsia="zh-CN" w:bidi="ar-SA"/>
    </w:rPr>
  </w:style>
  <w:style w:type="paragraph" w:customStyle="1" w:styleId="301">
    <w:name w:val="2"/>
    <w:basedOn w:val="1"/>
    <w:next w:val="94"/>
    <w:qFormat/>
    <w:uiPriority w:val="34"/>
    <w:pPr>
      <w:widowControl/>
      <w:spacing w:after="160" w:line="259" w:lineRule="auto"/>
      <w:ind w:left="720"/>
      <w:contextualSpacing/>
      <w:jc w:val="left"/>
    </w:pPr>
    <w:rPr>
      <w:rFonts w:ascii="Calibri" w:hAnsi="Calibri" w:eastAsia="等线"/>
      <w:kern w:val="0"/>
      <w:sz w:val="22"/>
      <w:szCs w:val="22"/>
    </w:rPr>
  </w:style>
  <w:style w:type="paragraph" w:customStyle="1" w:styleId="302">
    <w:name w:val="_Style 1"/>
    <w:basedOn w:val="1"/>
    <w:autoRedefine/>
    <w:unhideWhenUsed/>
    <w:qFormat/>
    <w:uiPriority w:val="99"/>
    <w:pPr>
      <w:ind w:firstLine="420" w:firstLineChars="200"/>
    </w:pPr>
    <w:rPr>
      <w:rFonts w:asciiTheme="minorHAnsi" w:hAnsiTheme="minorHAnsi" w:eastAsiaTheme="minorEastAsia" w:cstheme="minorBidi"/>
      <w:szCs w:val="24"/>
    </w:rPr>
  </w:style>
  <w:style w:type="character" w:customStyle="1" w:styleId="303">
    <w:name w:val="默认段落字体1"/>
    <w:semiHidden/>
    <w:uiPriority w:val="0"/>
  </w:style>
  <w:style w:type="paragraph" w:customStyle="1" w:styleId="304">
    <w:name w:val="cjk"/>
    <w:basedOn w:val="1"/>
    <w:uiPriority w:val="0"/>
    <w:pPr>
      <w:jc w:val="left"/>
    </w:pPr>
    <w:rPr>
      <w:rFonts w:hint="eastAsia" w:ascii="宋体" w:hAnsi="宋体"/>
      <w:kern w:val="0"/>
      <w:sz w:val="20"/>
    </w:rPr>
  </w:style>
  <w:style w:type="paragraph" w:customStyle="1" w:styleId="30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9539</Words>
  <Characters>10227</Characters>
  <Lines>75</Lines>
  <Paragraphs>21</Paragraphs>
  <TotalTime>0</TotalTime>
  <ScaleCrop>false</ScaleCrop>
  <LinksUpToDate>false</LinksUpToDate>
  <CharactersWithSpaces>10248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2022-07-08T10:18:00Z</dcterms:created>
  <dc:creator>ThinkPad</dc:creator>
  <cp:lastModifiedBy>Estela</cp:lastModifiedBy>
  <dcterms:modified xsi:type="dcterms:W3CDTF">2026-10-14T12:54:07Z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eyJoZGlkIjoiMzA3ZWQ0OTIxMTlkZDRlNTNlOGQwMWJhMThkMzdiYzEiLCJ1c2VySWQiOiIyNDc5MzkxNzUifQ==</vt:lpwstr>
  </property>
  <property fmtid="{D5CDD505-2E9C-101B-9397-08002B2CF9AE}" pid="3" name="KSOProductBuildVer">
    <vt:lpwstr>2052-12.1.0.28505</vt:lpwstr>
  </property>
  <property fmtid="{D5CDD505-2E9C-101B-9397-08002B2CF9AE}" pid="4" name="ICV">
    <vt:lpwstr>FE61E1D94F084CA7ABB177CACC84609A_12</vt:lpwstr>
  </property>
</Properties>
</file>