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F8101">
      <w:pPr>
        <w:spacing w:line="360" w:lineRule="auto"/>
        <w:jc w:val="center"/>
        <w:outlineLvl w:val="0"/>
        <w:rPr>
          <w:b/>
          <w:sz w:val="36"/>
          <w:szCs w:val="36"/>
        </w:rPr>
      </w:pPr>
      <w:r>
        <w:rPr>
          <w:b/>
          <w:sz w:val="36"/>
          <w:szCs w:val="36"/>
        </w:rPr>
        <w:t>采购需求</w:t>
      </w:r>
    </w:p>
    <w:p w14:paraId="3C5FAC77">
      <w:pPr>
        <w:pStyle w:val="5"/>
        <w:tabs>
          <w:tab w:val="right" w:leader="dot" w:pos="8937"/>
        </w:tabs>
      </w:pPr>
    </w:p>
    <w:p w14:paraId="77221365">
      <w:pPr>
        <w:pStyle w:val="11"/>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7"/>
        <w:tblW w:w="10993" w:type="dxa"/>
        <w:tblInd w:w="-800" w:type="dxa"/>
        <w:tblLayout w:type="fixed"/>
        <w:tblCellMar>
          <w:top w:w="0" w:type="dxa"/>
          <w:left w:w="108" w:type="dxa"/>
          <w:bottom w:w="0" w:type="dxa"/>
          <w:right w:w="108" w:type="dxa"/>
        </w:tblCellMar>
      </w:tblPr>
      <w:tblGrid>
        <w:gridCol w:w="638"/>
        <w:gridCol w:w="2768"/>
        <w:gridCol w:w="2151"/>
        <w:gridCol w:w="3000"/>
        <w:gridCol w:w="2436"/>
      </w:tblGrid>
      <w:tr w14:paraId="2D12D902">
        <w:tblPrEx>
          <w:tblCellMar>
            <w:top w:w="0" w:type="dxa"/>
            <w:left w:w="108" w:type="dxa"/>
            <w:bottom w:w="0" w:type="dxa"/>
            <w:right w:w="108" w:type="dxa"/>
          </w:tblCellMar>
        </w:tblPrEx>
        <w:trPr>
          <w:trHeight w:val="445" w:hRule="atLeast"/>
        </w:trPr>
        <w:tc>
          <w:tcPr>
            <w:tcW w:w="638" w:type="dxa"/>
            <w:tcBorders>
              <w:top w:val="single" w:color="auto" w:sz="4" w:space="0"/>
              <w:left w:val="single" w:color="auto" w:sz="4" w:space="0"/>
              <w:bottom w:val="single" w:color="auto" w:sz="4" w:space="0"/>
              <w:right w:val="single" w:color="auto" w:sz="4" w:space="0"/>
            </w:tcBorders>
            <w:vAlign w:val="center"/>
          </w:tcPr>
          <w:p w14:paraId="4547429C">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包号</w:t>
            </w:r>
          </w:p>
        </w:tc>
        <w:tc>
          <w:tcPr>
            <w:tcW w:w="2768" w:type="dxa"/>
            <w:tcBorders>
              <w:top w:val="single" w:color="auto" w:sz="4" w:space="0"/>
              <w:left w:val="nil"/>
              <w:bottom w:val="single" w:color="auto" w:sz="4" w:space="0"/>
              <w:right w:val="single" w:color="auto" w:sz="4" w:space="0"/>
            </w:tcBorders>
            <w:vAlign w:val="center"/>
          </w:tcPr>
          <w:p w14:paraId="603C47FC">
            <w:pPr>
              <w:widowControl/>
              <w:jc w:val="center"/>
              <w:rPr>
                <w:rFonts w:hint="eastAsia" w:ascii="宋体" w:hAnsi="宋体" w:cs="宋体"/>
                <w:b/>
                <w:bCs/>
                <w:color w:val="000000"/>
                <w:kern w:val="0"/>
                <w:sz w:val="24"/>
              </w:rPr>
            </w:pPr>
            <w:r>
              <w:rPr>
                <w:rFonts w:hint="eastAsia" w:ascii="宋体" w:hAnsi="宋体" w:cs="宋体"/>
                <w:b/>
                <w:bCs/>
                <w:color w:val="000000"/>
                <w:kern w:val="0"/>
                <w:sz w:val="24"/>
              </w:rPr>
              <w:t>采购包名称</w:t>
            </w:r>
          </w:p>
        </w:tc>
        <w:tc>
          <w:tcPr>
            <w:tcW w:w="2151" w:type="dxa"/>
            <w:tcBorders>
              <w:top w:val="single" w:color="auto" w:sz="4" w:space="0"/>
              <w:left w:val="nil"/>
              <w:bottom w:val="single" w:color="auto" w:sz="4" w:space="0"/>
              <w:right w:val="single" w:color="auto" w:sz="4" w:space="0"/>
            </w:tcBorders>
            <w:vAlign w:val="center"/>
          </w:tcPr>
          <w:p w14:paraId="538FC30F">
            <w:pPr>
              <w:widowControl/>
              <w:jc w:val="center"/>
              <w:rPr>
                <w:rFonts w:hint="eastAsia" w:ascii="宋体" w:hAnsi="宋体" w:cs="宋体"/>
                <w:b/>
                <w:bCs/>
                <w:color w:val="000000"/>
                <w:kern w:val="0"/>
                <w:sz w:val="24"/>
              </w:rPr>
            </w:pPr>
            <w:r>
              <w:rPr>
                <w:rFonts w:hint="eastAsia" w:ascii="宋体" w:hAnsi="宋体" w:cs="宋体"/>
                <w:b/>
                <w:bCs/>
                <w:color w:val="000000"/>
                <w:kern w:val="0"/>
                <w:sz w:val="24"/>
              </w:rPr>
              <w:t>采购包预算金额</w:t>
            </w:r>
          </w:p>
          <w:p w14:paraId="00B1125B">
            <w:pPr>
              <w:widowControl/>
              <w:jc w:val="center"/>
              <w:rPr>
                <w:rFonts w:hint="eastAsia" w:ascii="宋体" w:hAnsi="宋体" w:cs="宋体"/>
                <w:b/>
                <w:bCs/>
                <w:color w:val="000000"/>
                <w:kern w:val="0"/>
                <w:sz w:val="24"/>
              </w:rPr>
            </w:pPr>
            <w:r>
              <w:rPr>
                <w:rFonts w:hint="eastAsia" w:ascii="宋体" w:hAnsi="宋体" w:cs="宋体"/>
                <w:b/>
                <w:bCs/>
                <w:color w:val="000000"/>
                <w:kern w:val="0"/>
                <w:sz w:val="24"/>
              </w:rPr>
              <w:t>（万元）</w:t>
            </w:r>
          </w:p>
        </w:tc>
        <w:tc>
          <w:tcPr>
            <w:tcW w:w="3000" w:type="dxa"/>
            <w:tcBorders>
              <w:top w:val="single" w:color="auto" w:sz="4" w:space="0"/>
              <w:left w:val="nil"/>
              <w:bottom w:val="single" w:color="auto" w:sz="4" w:space="0"/>
              <w:right w:val="single" w:color="auto" w:sz="4" w:space="0"/>
            </w:tcBorders>
            <w:vAlign w:val="center"/>
          </w:tcPr>
          <w:p w14:paraId="2F7ECFFA">
            <w:pPr>
              <w:widowControl/>
              <w:jc w:val="center"/>
              <w:rPr>
                <w:rFonts w:hint="default" w:ascii="宋体" w:hAnsi="宋体" w:eastAsia="宋体" w:cs="宋体"/>
                <w:b/>
                <w:bCs/>
                <w:color w:val="000000"/>
                <w:kern w:val="0"/>
                <w:sz w:val="24"/>
                <w:lang w:val="en-US" w:eastAsia="zh-CN"/>
              </w:rPr>
            </w:pPr>
            <w:r>
              <w:rPr>
                <w:rFonts w:hint="eastAsia" w:ascii="宋体" w:hAnsi="宋体" w:cs="宋体"/>
                <w:b/>
                <w:bCs/>
                <w:color w:val="000000"/>
                <w:kern w:val="0"/>
                <w:sz w:val="24"/>
              </w:rPr>
              <w:t>采购包</w:t>
            </w:r>
            <w:r>
              <w:rPr>
                <w:rFonts w:hint="eastAsia" w:ascii="宋体" w:hAnsi="宋体" w:cs="宋体"/>
                <w:b/>
                <w:bCs/>
                <w:color w:val="000000"/>
                <w:kern w:val="0"/>
                <w:sz w:val="24"/>
                <w:lang w:val="en-US" w:eastAsia="zh-CN"/>
              </w:rPr>
              <w:t>最高限价</w:t>
            </w:r>
          </w:p>
          <w:p w14:paraId="7523CC06">
            <w:pPr>
              <w:widowControl/>
              <w:jc w:val="center"/>
              <w:rPr>
                <w:rFonts w:hint="eastAsia" w:ascii="宋体" w:hAnsi="宋体" w:cs="宋体"/>
                <w:b/>
                <w:bCs/>
                <w:color w:val="000000"/>
                <w:kern w:val="0"/>
                <w:sz w:val="24"/>
              </w:rPr>
            </w:pPr>
            <w:r>
              <w:rPr>
                <w:rFonts w:hint="eastAsia" w:ascii="宋体" w:hAnsi="宋体" w:cs="宋体"/>
                <w:b/>
                <w:bCs/>
                <w:color w:val="000000"/>
                <w:kern w:val="0"/>
                <w:sz w:val="24"/>
              </w:rPr>
              <w:t>（万元）</w:t>
            </w:r>
          </w:p>
        </w:tc>
        <w:tc>
          <w:tcPr>
            <w:tcW w:w="2436" w:type="dxa"/>
            <w:tcBorders>
              <w:top w:val="single" w:color="auto" w:sz="4" w:space="0"/>
              <w:left w:val="nil"/>
              <w:bottom w:val="single" w:color="auto" w:sz="4" w:space="0"/>
              <w:right w:val="single" w:color="auto" w:sz="4" w:space="0"/>
            </w:tcBorders>
            <w:vAlign w:val="center"/>
          </w:tcPr>
          <w:p w14:paraId="6E466F8A">
            <w:pPr>
              <w:widowControl/>
              <w:jc w:val="center"/>
              <w:rPr>
                <w:rFonts w:hint="eastAsia" w:ascii="宋体" w:hAnsi="宋体" w:cs="宋体"/>
                <w:b/>
                <w:bCs/>
                <w:color w:val="000000"/>
                <w:kern w:val="0"/>
                <w:sz w:val="24"/>
              </w:rPr>
            </w:pPr>
            <w:r>
              <w:rPr>
                <w:rFonts w:hint="eastAsia" w:ascii="宋体" w:hAnsi="宋体" w:cs="宋体"/>
                <w:b/>
                <w:bCs/>
                <w:color w:val="000000"/>
                <w:kern w:val="0"/>
                <w:sz w:val="24"/>
              </w:rPr>
              <w:t>简要技术需求</w:t>
            </w:r>
          </w:p>
        </w:tc>
      </w:tr>
      <w:tr w14:paraId="6FDCD52A">
        <w:tblPrEx>
          <w:tblCellMar>
            <w:top w:w="0" w:type="dxa"/>
            <w:left w:w="108" w:type="dxa"/>
            <w:bottom w:w="0" w:type="dxa"/>
            <w:right w:w="108" w:type="dxa"/>
          </w:tblCellMar>
        </w:tblPrEx>
        <w:trPr>
          <w:trHeight w:val="601" w:hRule="atLeast"/>
        </w:trPr>
        <w:tc>
          <w:tcPr>
            <w:tcW w:w="638" w:type="dxa"/>
            <w:tcBorders>
              <w:top w:val="single" w:color="auto" w:sz="4" w:space="0"/>
              <w:left w:val="single" w:color="auto" w:sz="4" w:space="0"/>
              <w:bottom w:val="single" w:color="auto" w:sz="4" w:space="0"/>
              <w:right w:val="single" w:color="auto" w:sz="4" w:space="0"/>
            </w:tcBorders>
            <w:vAlign w:val="center"/>
          </w:tcPr>
          <w:p w14:paraId="6D045F6C">
            <w:pPr>
              <w:widowControl/>
              <w:jc w:val="center"/>
              <w:rPr>
                <w:rFonts w:hint="eastAsia" w:ascii="宋体" w:hAnsi="宋体" w:cs="宋体"/>
                <w:color w:val="000000"/>
                <w:kern w:val="0"/>
                <w:sz w:val="24"/>
              </w:rPr>
            </w:pPr>
            <w:r>
              <w:rPr>
                <w:rFonts w:hint="eastAsia" w:ascii="宋体" w:hAnsi="宋体" w:cs="宋体"/>
                <w:color w:val="000000"/>
                <w:kern w:val="0"/>
                <w:sz w:val="24"/>
              </w:rPr>
              <w:t>01</w:t>
            </w:r>
          </w:p>
        </w:tc>
        <w:tc>
          <w:tcPr>
            <w:tcW w:w="2768" w:type="dxa"/>
            <w:tcBorders>
              <w:top w:val="single" w:color="auto" w:sz="4" w:space="0"/>
              <w:left w:val="nil"/>
              <w:bottom w:val="single" w:color="auto" w:sz="4" w:space="0"/>
              <w:right w:val="single" w:color="auto" w:sz="4" w:space="0"/>
            </w:tcBorders>
            <w:vAlign w:val="center"/>
          </w:tcPr>
          <w:p w14:paraId="53078602">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rPr>
              <w:t>医院制剂外包装材料</w:t>
            </w:r>
          </w:p>
        </w:tc>
        <w:tc>
          <w:tcPr>
            <w:tcW w:w="2151" w:type="dxa"/>
            <w:tcBorders>
              <w:top w:val="single" w:color="auto" w:sz="4" w:space="0"/>
              <w:left w:val="nil"/>
              <w:bottom w:val="single" w:color="auto" w:sz="4" w:space="0"/>
              <w:right w:val="single" w:color="auto" w:sz="4" w:space="0"/>
            </w:tcBorders>
            <w:vAlign w:val="center"/>
          </w:tcPr>
          <w:p w14:paraId="79F62832">
            <w:pPr>
              <w:widowControl/>
              <w:jc w:val="center"/>
              <w:textAlignment w:val="center"/>
              <w:rPr>
                <w:rFonts w:hint="eastAsia" w:ascii="宋体" w:hAnsi="宋体" w:cs="宋体"/>
                <w:color w:val="000000"/>
                <w:kern w:val="0"/>
                <w:sz w:val="24"/>
              </w:rPr>
            </w:pPr>
            <w:r>
              <w:rPr>
                <w:rFonts w:hint="eastAsia" w:ascii="宋体" w:hAnsi="宋体" w:cs="宋体"/>
                <w:color w:val="000000"/>
                <w:kern w:val="0"/>
                <w:sz w:val="24"/>
              </w:rPr>
              <w:t>100</w:t>
            </w:r>
          </w:p>
        </w:tc>
        <w:tc>
          <w:tcPr>
            <w:tcW w:w="3000" w:type="dxa"/>
            <w:tcBorders>
              <w:top w:val="single" w:color="auto" w:sz="4" w:space="0"/>
              <w:left w:val="nil"/>
              <w:bottom w:val="single" w:color="auto" w:sz="4" w:space="0"/>
              <w:right w:val="single" w:color="auto" w:sz="4" w:space="0"/>
            </w:tcBorders>
            <w:vAlign w:val="center"/>
          </w:tcPr>
          <w:p w14:paraId="0B4A2C2A">
            <w:pPr>
              <w:widowControl/>
              <w:jc w:val="center"/>
              <w:rPr>
                <w:rFonts w:hint="eastAsia" w:ascii="宋体" w:hAnsi="宋体" w:cs="宋体"/>
                <w:color w:val="000000"/>
                <w:kern w:val="0"/>
                <w:sz w:val="24"/>
              </w:rPr>
            </w:pPr>
            <w:r>
              <w:rPr>
                <w:rFonts w:hint="eastAsia" w:ascii="宋体" w:hAnsi="宋体" w:cs="宋体"/>
                <w:color w:val="000000"/>
                <w:kern w:val="0"/>
                <w:sz w:val="24"/>
                <w:lang w:val="en-US" w:eastAsia="zh-CN"/>
              </w:rPr>
              <w:t>99.9077</w:t>
            </w:r>
          </w:p>
        </w:tc>
        <w:tc>
          <w:tcPr>
            <w:tcW w:w="2436" w:type="dxa"/>
            <w:tcBorders>
              <w:top w:val="single" w:color="auto" w:sz="4" w:space="0"/>
              <w:left w:val="nil"/>
              <w:bottom w:val="single" w:color="auto" w:sz="4" w:space="0"/>
              <w:right w:val="single" w:color="auto" w:sz="4" w:space="0"/>
            </w:tcBorders>
            <w:vAlign w:val="center"/>
          </w:tcPr>
          <w:p w14:paraId="3E9AFBDE">
            <w:pPr>
              <w:widowControl/>
              <w:jc w:val="center"/>
              <w:rPr>
                <w:rFonts w:hint="eastAsia" w:ascii="宋体" w:hAnsi="宋体" w:cs="宋体"/>
                <w:color w:val="auto"/>
                <w:kern w:val="0"/>
                <w:sz w:val="24"/>
              </w:rPr>
            </w:pPr>
            <w:r>
              <w:rPr>
                <w:rFonts w:hint="eastAsia" w:ascii="宋体" w:hAnsi="宋体" w:cs="宋体"/>
                <w:color w:val="auto"/>
                <w:kern w:val="0"/>
                <w:sz w:val="24"/>
              </w:rPr>
              <w:t>提供</w:t>
            </w:r>
            <w:r>
              <w:rPr>
                <w:rFonts w:hint="eastAsia" w:ascii="宋体" w:hAnsi="宋体" w:cs="宋体"/>
                <w:color w:val="auto"/>
                <w:kern w:val="0"/>
                <w:sz w:val="24"/>
                <w:lang w:val="en-US" w:eastAsia="zh-CN"/>
              </w:rPr>
              <w:t>医院</w:t>
            </w:r>
            <w:r>
              <w:rPr>
                <w:rFonts w:hint="eastAsia" w:ascii="宋体" w:hAnsi="宋体" w:cs="宋体"/>
                <w:color w:val="auto"/>
                <w:kern w:val="0"/>
                <w:sz w:val="24"/>
              </w:rPr>
              <w:t>制剂外包装材料</w:t>
            </w:r>
          </w:p>
        </w:tc>
      </w:tr>
      <w:tr w14:paraId="2DC82AF1">
        <w:tblPrEx>
          <w:tblCellMar>
            <w:top w:w="0" w:type="dxa"/>
            <w:left w:w="108" w:type="dxa"/>
            <w:bottom w:w="0" w:type="dxa"/>
            <w:right w:w="108" w:type="dxa"/>
          </w:tblCellMar>
        </w:tblPrEx>
        <w:trPr>
          <w:trHeight w:val="445" w:hRule="atLeast"/>
        </w:trPr>
        <w:tc>
          <w:tcPr>
            <w:tcW w:w="638" w:type="dxa"/>
            <w:tcBorders>
              <w:top w:val="single" w:color="auto" w:sz="4" w:space="0"/>
              <w:left w:val="single" w:color="auto" w:sz="4" w:space="0"/>
              <w:bottom w:val="single" w:color="auto" w:sz="4" w:space="0"/>
              <w:right w:val="single" w:color="auto" w:sz="4" w:space="0"/>
            </w:tcBorders>
            <w:vAlign w:val="center"/>
          </w:tcPr>
          <w:p w14:paraId="248EDE9D">
            <w:pPr>
              <w:widowControl/>
              <w:jc w:val="center"/>
              <w:rPr>
                <w:rFonts w:hint="eastAsia" w:ascii="宋体" w:hAnsi="宋体" w:cs="宋体"/>
                <w:color w:val="000000"/>
                <w:kern w:val="0"/>
                <w:sz w:val="24"/>
              </w:rPr>
            </w:pPr>
            <w:r>
              <w:rPr>
                <w:rFonts w:hint="eastAsia" w:ascii="宋体" w:hAnsi="宋体" w:cs="宋体"/>
                <w:color w:val="000000"/>
                <w:kern w:val="0"/>
                <w:sz w:val="24"/>
              </w:rPr>
              <w:t>02</w:t>
            </w:r>
          </w:p>
        </w:tc>
        <w:tc>
          <w:tcPr>
            <w:tcW w:w="2768" w:type="dxa"/>
            <w:tcBorders>
              <w:top w:val="single" w:color="auto" w:sz="4" w:space="0"/>
              <w:left w:val="nil"/>
              <w:bottom w:val="single" w:color="auto" w:sz="4" w:space="0"/>
              <w:right w:val="single" w:color="auto" w:sz="4" w:space="0"/>
            </w:tcBorders>
            <w:vAlign w:val="center"/>
          </w:tcPr>
          <w:p w14:paraId="0D9AE185">
            <w:pPr>
              <w:widowControl/>
              <w:jc w:val="center"/>
              <w:textAlignment w:val="center"/>
              <w:rPr>
                <w:rFonts w:hint="eastAsia" w:ascii="宋体" w:hAnsi="宋体" w:cs="宋体"/>
                <w:color w:val="000000"/>
                <w:sz w:val="24"/>
              </w:rPr>
            </w:pPr>
            <w:r>
              <w:rPr>
                <w:rFonts w:hint="eastAsia" w:ascii="宋体" w:hAnsi="宋体" w:cs="宋体"/>
                <w:color w:val="000000"/>
                <w:sz w:val="24"/>
              </w:rPr>
              <w:t>医院制剂内包装材料</w:t>
            </w:r>
          </w:p>
        </w:tc>
        <w:tc>
          <w:tcPr>
            <w:tcW w:w="2151" w:type="dxa"/>
            <w:tcBorders>
              <w:top w:val="single" w:color="auto" w:sz="4" w:space="0"/>
              <w:left w:val="nil"/>
              <w:bottom w:val="single" w:color="auto" w:sz="4" w:space="0"/>
              <w:right w:val="single" w:color="auto" w:sz="4" w:space="0"/>
            </w:tcBorders>
            <w:vAlign w:val="center"/>
          </w:tcPr>
          <w:p w14:paraId="2A565526">
            <w:pPr>
              <w:widowControl/>
              <w:jc w:val="center"/>
              <w:rPr>
                <w:rFonts w:hint="eastAsia" w:ascii="宋体" w:hAnsi="宋体" w:cs="宋体"/>
                <w:color w:val="000000"/>
                <w:kern w:val="0"/>
                <w:sz w:val="24"/>
              </w:rPr>
            </w:pPr>
            <w:r>
              <w:rPr>
                <w:rFonts w:hint="eastAsia" w:ascii="宋体" w:hAnsi="宋体" w:cs="宋体"/>
                <w:color w:val="000000"/>
                <w:kern w:val="0"/>
                <w:sz w:val="24"/>
              </w:rPr>
              <w:t>150</w:t>
            </w:r>
          </w:p>
        </w:tc>
        <w:tc>
          <w:tcPr>
            <w:tcW w:w="3000" w:type="dxa"/>
            <w:tcBorders>
              <w:top w:val="single" w:color="auto" w:sz="4" w:space="0"/>
              <w:left w:val="nil"/>
              <w:bottom w:val="single" w:color="auto" w:sz="4" w:space="0"/>
              <w:right w:val="single" w:color="auto" w:sz="4" w:space="0"/>
            </w:tcBorders>
            <w:vAlign w:val="center"/>
          </w:tcPr>
          <w:p w14:paraId="7A35D9B0">
            <w:pPr>
              <w:widowControl/>
              <w:jc w:val="center"/>
              <w:rPr>
                <w:rFonts w:hint="eastAsia" w:ascii="宋体" w:hAnsi="宋体" w:cs="宋体"/>
                <w:color w:val="000000"/>
                <w:kern w:val="0"/>
                <w:sz w:val="24"/>
              </w:rPr>
            </w:pPr>
            <w:r>
              <w:rPr>
                <w:rFonts w:hint="eastAsia" w:ascii="宋体" w:hAnsi="宋体" w:cs="宋体"/>
                <w:color w:val="000000"/>
                <w:kern w:val="0"/>
                <w:sz w:val="24"/>
                <w:lang w:val="en-US" w:eastAsia="zh-CN"/>
              </w:rPr>
              <w:t>149.9601</w:t>
            </w:r>
          </w:p>
        </w:tc>
        <w:tc>
          <w:tcPr>
            <w:tcW w:w="2436" w:type="dxa"/>
            <w:tcBorders>
              <w:top w:val="single" w:color="auto" w:sz="4" w:space="0"/>
              <w:left w:val="nil"/>
              <w:bottom w:val="single" w:color="auto" w:sz="4" w:space="0"/>
              <w:right w:val="single" w:color="auto" w:sz="4" w:space="0"/>
            </w:tcBorders>
            <w:vAlign w:val="center"/>
          </w:tcPr>
          <w:p w14:paraId="030BDA17">
            <w:pPr>
              <w:widowControl/>
              <w:jc w:val="center"/>
              <w:rPr>
                <w:rFonts w:hint="eastAsia" w:ascii="宋体" w:hAnsi="宋体" w:cs="宋体"/>
                <w:color w:val="auto"/>
                <w:kern w:val="0"/>
                <w:sz w:val="24"/>
              </w:rPr>
            </w:pPr>
            <w:r>
              <w:rPr>
                <w:rFonts w:hint="eastAsia" w:ascii="宋体" w:hAnsi="宋体" w:cs="宋体"/>
                <w:color w:val="auto"/>
                <w:kern w:val="0"/>
                <w:sz w:val="24"/>
              </w:rPr>
              <w:t>提供</w:t>
            </w:r>
            <w:r>
              <w:rPr>
                <w:rFonts w:hint="eastAsia" w:ascii="宋体" w:hAnsi="宋体" w:cs="宋体"/>
                <w:color w:val="auto"/>
                <w:kern w:val="0"/>
                <w:sz w:val="24"/>
                <w:lang w:val="en-US" w:eastAsia="zh-CN"/>
              </w:rPr>
              <w:t>医院</w:t>
            </w:r>
            <w:r>
              <w:rPr>
                <w:rFonts w:hint="eastAsia" w:ascii="宋体" w:hAnsi="宋体" w:cs="宋体"/>
                <w:color w:val="auto"/>
                <w:kern w:val="0"/>
                <w:sz w:val="24"/>
              </w:rPr>
              <w:t>制剂内包装材料</w:t>
            </w:r>
          </w:p>
        </w:tc>
      </w:tr>
    </w:tbl>
    <w:p w14:paraId="0F77CB4D">
      <w:pPr>
        <w:pStyle w:val="6"/>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560BBDCC">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3D121015">
      <w:pPr>
        <w:pStyle w:val="4"/>
        <w:spacing w:line="360" w:lineRule="auto"/>
        <w:ind w:firstLine="480" w:firstLineChars="200"/>
        <w:rPr>
          <w:rFonts w:hint="eastAsia" w:hAnsi="宋体" w:cs="宋体"/>
          <w:bCs/>
          <w:highlight w:val="none"/>
        </w:rPr>
      </w:pPr>
      <w:r>
        <w:rPr>
          <w:rFonts w:hint="eastAsia" w:hAnsi="宋体" w:cs="宋体"/>
          <w:bCs/>
          <w:highlight w:val="none"/>
        </w:rPr>
        <w:t>1.交货时间：履行期限</w:t>
      </w:r>
      <w:r>
        <w:rPr>
          <w:rFonts w:hint="eastAsia" w:hAnsi="宋体" w:cs="宋体"/>
          <w:bCs/>
          <w:highlight w:val="none"/>
          <w:lang w:val="en-US" w:eastAsia="zh-CN"/>
        </w:rPr>
        <w:t>1</w:t>
      </w:r>
      <w:r>
        <w:rPr>
          <w:rFonts w:hint="eastAsia" w:hAnsi="宋体" w:cs="宋体"/>
          <w:bCs/>
          <w:highlight w:val="none"/>
        </w:rPr>
        <w:t>年，每次接到采购人通知后15个工作日</w:t>
      </w:r>
      <w:r>
        <w:rPr>
          <w:rFonts w:hint="eastAsia" w:hAnsi="宋体" w:cs="宋体"/>
          <w:bCs/>
          <w:highlight w:val="none"/>
          <w:lang w:val="en-US" w:eastAsia="zh-CN"/>
        </w:rPr>
        <w:t>内</w:t>
      </w:r>
      <w:r>
        <w:rPr>
          <w:rFonts w:hint="eastAsia" w:hAnsi="宋体" w:cs="宋体"/>
          <w:bCs/>
          <w:highlight w:val="none"/>
        </w:rPr>
        <w:t>送到指定地点</w:t>
      </w:r>
    </w:p>
    <w:p w14:paraId="1CDDC28F">
      <w:pPr>
        <w:pStyle w:val="4"/>
        <w:spacing w:line="360" w:lineRule="auto"/>
        <w:ind w:firstLine="480" w:firstLineChars="200"/>
        <w:rPr>
          <w:rFonts w:hint="eastAsia" w:hAnsi="宋体" w:cs="宋体"/>
          <w:bCs/>
          <w:highlight w:val="none"/>
        </w:rPr>
      </w:pPr>
      <w:r>
        <w:rPr>
          <w:rFonts w:hint="eastAsia" w:hAnsi="宋体" w:cs="宋体"/>
          <w:bCs/>
          <w:highlight w:val="none"/>
        </w:rPr>
        <w:t>2.交货地点：</w:t>
      </w:r>
      <w:r>
        <w:rPr>
          <w:rFonts w:hint="eastAsia" w:hAnsi="宋体" w:cs="宋体"/>
          <w:bCs/>
          <w:highlight w:val="none"/>
          <w:lang w:val="en-US" w:eastAsia="zh-CN"/>
        </w:rPr>
        <w:t>采购人</w:t>
      </w:r>
      <w:r>
        <w:rPr>
          <w:rFonts w:hint="eastAsia" w:hAnsi="宋体" w:cs="宋体"/>
          <w:bCs/>
          <w:highlight w:val="none"/>
        </w:rPr>
        <w:t>指定地点，北京中医医院制剂室库房（北京市怀柔区北房镇龙云路11号院内2号、4号建筑）。</w:t>
      </w:r>
      <w:r>
        <w:rPr>
          <w:rFonts w:hint="eastAsia" w:hAnsi="宋体" w:cs="宋体"/>
          <w:bCs/>
          <w:highlight w:val="none"/>
          <w:lang w:val="en-US" w:eastAsia="zh-CN"/>
        </w:rPr>
        <w:t>投标人</w:t>
      </w:r>
      <w:r>
        <w:rPr>
          <w:rFonts w:hint="eastAsia" w:hAnsi="宋体" w:cs="宋体"/>
          <w:bCs/>
          <w:highlight w:val="none"/>
        </w:rPr>
        <w:t>需配合</w:t>
      </w:r>
      <w:r>
        <w:rPr>
          <w:rFonts w:hint="eastAsia" w:hAnsi="宋体" w:cs="宋体"/>
          <w:bCs/>
          <w:highlight w:val="none"/>
          <w:lang w:val="en-US" w:eastAsia="zh-CN"/>
        </w:rPr>
        <w:t>采购人</w:t>
      </w:r>
      <w:r>
        <w:rPr>
          <w:rFonts w:hint="eastAsia" w:hAnsi="宋体" w:cs="宋体"/>
          <w:bCs/>
          <w:highlight w:val="none"/>
        </w:rPr>
        <w:t>将货物搬运至库房指定区域，并协助</w:t>
      </w:r>
      <w:r>
        <w:rPr>
          <w:rFonts w:hint="eastAsia" w:hAnsi="宋体" w:cs="宋体"/>
          <w:bCs/>
          <w:highlight w:val="none"/>
          <w:lang w:val="en-US" w:eastAsia="zh-CN"/>
        </w:rPr>
        <w:t>采购人</w:t>
      </w:r>
      <w:r>
        <w:rPr>
          <w:rFonts w:hint="eastAsia" w:hAnsi="宋体" w:cs="宋体"/>
          <w:bCs/>
          <w:highlight w:val="none"/>
        </w:rPr>
        <w:t>完成入库登记</w:t>
      </w:r>
    </w:p>
    <w:p w14:paraId="519AE374">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（二）付款条件（进度和方式）：</w:t>
      </w:r>
    </w:p>
    <w:p w14:paraId="5A0B82BB">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1.结算依据：以实际中标的单价、结合采购人实际验收合格的货物数量进行结算。</w:t>
      </w:r>
    </w:p>
    <w:p w14:paraId="5BFC00F9">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2.结算方式：据实结算，供应商在每次送货时将发票与随货同行单、检验报告等票据交予采购人，每季度结束后的20个工作日内完成结款。采购产品及数量需要根据采购人的实际需要，采购人不向供应商承诺每种产品的采购数量，也不承诺采购金额。付款都以收到供应商提供的增值税普通发票和确认的结算清单为前提。如提供的发票及结算清单不符合要求，结款时间将会后延。</w:t>
      </w:r>
    </w:p>
    <w:p w14:paraId="012E98B8">
      <w:pPr>
        <w:pStyle w:val="5"/>
        <w:tabs>
          <w:tab w:val="right" w:leader="dot" w:pos="8937"/>
        </w:tabs>
        <w:spacing w:line="360" w:lineRule="auto"/>
        <w:ind w:left="0" w:leftChars="0" w:firstLine="482" w:firstLineChars="200"/>
        <w:jc w:val="left"/>
        <w:rPr>
          <w:rFonts w:hint="default" w:ascii="宋体" w:hAnsi="宋体" w:eastAsia="宋体" w:cs="宋体"/>
          <w:b/>
          <w:bCs/>
          <w:sz w:val="24"/>
          <w:lang w:val="en-US" w:eastAsia="zh-CN"/>
        </w:rPr>
      </w:pPr>
      <w:r>
        <w:rPr>
          <w:rFonts w:hint="eastAsia" w:ascii="宋体" w:hAnsi="宋体" w:cs="宋体"/>
          <w:b/>
          <w:bCs/>
          <w:sz w:val="24"/>
          <w:lang w:val="en-US" w:eastAsia="zh-CN"/>
        </w:rPr>
        <w:t>注：如遇《保障中小企业款项支付条例》（国务院令第802号）适用情形，从其规定。</w:t>
      </w:r>
    </w:p>
    <w:p w14:paraId="1B4E5C20">
      <w:pPr>
        <w:pStyle w:val="5"/>
        <w:tabs>
          <w:tab w:val="right" w:leader="dot" w:pos="8937"/>
        </w:tabs>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527412A4">
      <w:pPr>
        <w:pStyle w:val="5"/>
        <w:tabs>
          <w:tab w:val="right" w:leader="dot" w:pos="8937"/>
        </w:tabs>
        <w:spacing w:line="360" w:lineRule="auto"/>
        <w:ind w:left="0" w:leftChars="0" w:firstLine="482" w:firstLineChars="200"/>
        <w:rPr>
          <w:rFonts w:hint="eastAsia" w:ascii="宋体" w:hAnsi="宋体" w:cs="宋体"/>
          <w:b/>
          <w:bCs/>
          <w:sz w:val="24"/>
        </w:rPr>
      </w:pPr>
      <w:r>
        <w:rPr>
          <w:rFonts w:hint="eastAsia" w:ascii="宋体" w:hAnsi="宋体" w:cs="宋体"/>
          <w:b/>
          <w:bCs/>
          <w:sz w:val="24"/>
        </w:rPr>
        <w:t>（四）应急及售后服务</w:t>
      </w:r>
    </w:p>
    <w:p w14:paraId="7E723ED6">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1.紧急订单处理：提供“优先”、“加急物流”等服务。</w:t>
      </w:r>
    </w:p>
    <w:p w14:paraId="7E6678BE">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2.质量问题处理：若出现疑似包装材料质量问题，供应商需在接到通知后配合制剂室开展原因排查。因包材质量问题导致的直接损失及间接损失，经双方确认或第三方机构评估后，由供应商全额承担；若涉及监管部门处罚，供应商需配合应对，并承担相应罚款。</w:t>
      </w:r>
    </w:p>
    <w:p w14:paraId="29FF30F5">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3.售后服务响应：供应商指定售后电话，建立24小时售后响应机制，≤60分钟内响应。</w:t>
      </w:r>
    </w:p>
    <w:p w14:paraId="560192A0">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4.售后回访：供应商建立定期对供应商相关部门（每3个月）回访机制，了解供货的产品质量和服务情况。</w:t>
      </w:r>
    </w:p>
    <w:p w14:paraId="13121BF8">
      <w:pPr>
        <w:pStyle w:val="5"/>
        <w:tabs>
          <w:tab w:val="right" w:leader="dot" w:pos="8937"/>
        </w:tabs>
        <w:spacing w:line="360" w:lineRule="auto"/>
        <w:ind w:left="0" w:leftChars="0" w:firstLine="482" w:firstLineChars="200"/>
        <w:rPr>
          <w:rFonts w:hint="eastAsia" w:ascii="宋体" w:hAnsi="宋体" w:cs="宋体"/>
          <w:b/>
          <w:bCs/>
          <w:sz w:val="24"/>
        </w:rPr>
      </w:pPr>
      <w:r>
        <w:rPr>
          <w:rFonts w:hint="eastAsia" w:ascii="宋体" w:hAnsi="宋体" w:cs="宋体"/>
          <w:b/>
          <w:bCs/>
          <w:sz w:val="24"/>
        </w:rPr>
        <w:t>（五）质保期</w:t>
      </w:r>
    </w:p>
    <w:p w14:paraId="094A307A">
      <w:pPr>
        <w:pStyle w:val="5"/>
        <w:tabs>
          <w:tab w:val="right" w:leader="dot" w:pos="8937"/>
        </w:tabs>
        <w:spacing w:line="360" w:lineRule="auto"/>
        <w:ind w:left="0" w:leftChars="0" w:firstLine="480" w:firstLineChars="200"/>
        <w:rPr>
          <w:rFonts w:hint="eastAsia" w:ascii="宋体" w:hAnsi="宋体" w:cs="宋体"/>
          <w:sz w:val="24"/>
        </w:rPr>
      </w:pPr>
      <w:r>
        <w:rPr>
          <w:rFonts w:hint="eastAsia" w:ascii="宋体" w:hAnsi="宋体" w:cs="宋体"/>
          <w:sz w:val="24"/>
        </w:rPr>
        <w:t>供应商应保证所供产品在出厂至标示有效期满之日止，在符合规定的仓储条件下，其质量始终符合国家标准和合同约定。在有效期内，如发现产品存在任何质量问题（包括但不限于霉变、虫蛀、有效成分不达标等），供应商均应在收到通知后无条件退换，并承担由此产生的一切费用和损失。</w:t>
      </w:r>
    </w:p>
    <w:p w14:paraId="317AC31E">
      <w:pPr>
        <w:pStyle w:val="5"/>
        <w:tabs>
          <w:tab w:val="right" w:leader="dot" w:pos="8937"/>
        </w:tabs>
        <w:spacing w:line="360" w:lineRule="auto"/>
        <w:ind w:left="0" w:leftChars="0" w:firstLine="482" w:firstLineChars="200"/>
        <w:rPr>
          <w:rFonts w:hint="eastAsia" w:ascii="宋体" w:hAnsi="宋体" w:cs="宋体"/>
          <w:b/>
          <w:bCs/>
          <w:sz w:val="24"/>
        </w:rPr>
      </w:pPr>
      <w:r>
        <w:rPr>
          <w:rFonts w:hint="eastAsia" w:ascii="宋体" w:hAnsi="宋体" w:cs="宋体"/>
          <w:b/>
          <w:bCs/>
          <w:sz w:val="24"/>
        </w:rPr>
        <w:t>（六）采购标的物验收标准</w:t>
      </w:r>
    </w:p>
    <w:p w14:paraId="406A886C">
      <w:pPr>
        <w:spacing w:line="360" w:lineRule="auto"/>
        <w:ind w:firstLine="480" w:firstLineChars="200"/>
        <w:contextualSpacing/>
        <w:rPr>
          <w:rFonts w:hint="eastAsia" w:ascii="宋体" w:hAnsi="宋体"/>
          <w:sz w:val="24"/>
        </w:rPr>
      </w:pPr>
      <w:r>
        <w:rPr>
          <w:rFonts w:hint="eastAsia" w:ascii="宋体" w:hAnsi="宋体"/>
          <w:sz w:val="24"/>
        </w:rPr>
        <w:t>1.验收方式、程序及内容：制剂室库房进行验收形式检查后，制剂检验室对产品进行质量初检。制剂室库房现场进行产品信息、随货同行单、质量报告书、发票及包装完整性等验收形式检查，制剂检验室对产品进行质量初检。</w:t>
      </w:r>
    </w:p>
    <w:p w14:paraId="6CE09368">
      <w:pPr>
        <w:spacing w:line="360" w:lineRule="auto"/>
        <w:ind w:firstLine="480" w:firstLineChars="200"/>
        <w:contextualSpacing/>
        <w:rPr>
          <w:rFonts w:hint="eastAsia" w:ascii="宋体" w:hAnsi="宋体"/>
          <w:sz w:val="24"/>
        </w:rPr>
      </w:pPr>
      <w:r>
        <w:rPr>
          <w:rFonts w:hint="eastAsia" w:ascii="宋体" w:hAnsi="宋体"/>
          <w:sz w:val="24"/>
        </w:rPr>
        <w:t>2.验收标准：产品形式审查符合制剂室库房验收标准；产品质量检查符合制剂质量初检标准。</w:t>
      </w:r>
    </w:p>
    <w:p w14:paraId="27C27ED0">
      <w:pPr>
        <w:spacing w:line="360" w:lineRule="auto"/>
        <w:ind w:firstLine="480" w:firstLineChars="200"/>
        <w:contextualSpacing/>
        <w:rPr>
          <w:rFonts w:hint="eastAsia" w:ascii="宋体" w:hAnsi="宋体"/>
          <w:sz w:val="24"/>
        </w:rPr>
      </w:pPr>
      <w:r>
        <w:rPr>
          <w:rFonts w:hint="eastAsia" w:ascii="宋体" w:hAnsi="宋体"/>
          <w:sz w:val="24"/>
        </w:rPr>
        <w:t>到货验收：货物送达后，由制剂室库房管理人员依据本文件附件及采购人库房管理相关规定，对产品的品名、规格、数量、包装、标签、有效期、随货同行单及质检报告等进行现场核验。</w:t>
      </w:r>
    </w:p>
    <w:p w14:paraId="28370222">
      <w:pPr>
        <w:spacing w:line="360" w:lineRule="auto"/>
        <w:ind w:firstLine="482" w:firstLineChars="200"/>
        <w:rPr>
          <w:rFonts w:hint="eastAsia" w:ascii="宋体" w:hAnsi="宋体" w:cs="宋体"/>
          <w:b/>
          <w:bCs/>
          <w:sz w:val="24"/>
        </w:rPr>
      </w:pPr>
      <w:r>
        <w:rPr>
          <w:rFonts w:hint="eastAsia" w:ascii="宋体" w:hAnsi="宋体" w:cs="宋体"/>
          <w:b/>
          <w:bCs/>
          <w:sz w:val="24"/>
        </w:rPr>
        <w:t>三、技术要求</w:t>
      </w:r>
    </w:p>
    <w:p w14:paraId="2EE8071A">
      <w:pPr>
        <w:spacing w:line="360" w:lineRule="auto"/>
        <w:ind w:firstLine="482" w:firstLineChars="200"/>
        <w:contextualSpacing/>
        <w:rPr>
          <w:rFonts w:hint="eastAsia" w:ascii="宋体" w:hAnsi="宋体" w:cs="宋体"/>
          <w:b/>
          <w:bCs/>
          <w:sz w:val="24"/>
        </w:rPr>
      </w:pPr>
      <w:r>
        <w:rPr>
          <w:rFonts w:hint="eastAsia" w:ascii="宋体" w:hAnsi="宋体" w:cs="宋体"/>
          <w:b/>
          <w:bCs/>
          <w:sz w:val="24"/>
        </w:rPr>
        <w:t>（一）基本要求</w:t>
      </w:r>
    </w:p>
    <w:p w14:paraId="1C7EFB4A">
      <w:pPr>
        <w:spacing w:line="360" w:lineRule="auto"/>
        <w:ind w:firstLine="480" w:firstLineChars="200"/>
        <w:contextualSpacing/>
        <w:rPr>
          <w:rFonts w:hint="eastAsia" w:ascii="宋体" w:hAnsi="宋体"/>
          <w:sz w:val="24"/>
        </w:rPr>
      </w:pPr>
      <w:r>
        <w:rPr>
          <w:rFonts w:hint="eastAsia" w:ascii="宋体" w:hAnsi="宋体"/>
          <w:sz w:val="24"/>
        </w:rPr>
        <w:t>1.采购标的需实现的功能或者目标</w:t>
      </w:r>
    </w:p>
    <w:p w14:paraId="2F752C87">
      <w:pPr>
        <w:spacing w:line="360" w:lineRule="auto"/>
        <w:ind w:firstLine="480" w:firstLineChars="200"/>
        <w:contextualSpacing/>
        <w:rPr>
          <w:rFonts w:hint="eastAsia" w:ascii="宋体" w:hAnsi="宋体"/>
          <w:sz w:val="24"/>
        </w:rPr>
      </w:pPr>
      <w:r>
        <w:rPr>
          <w:rFonts w:hint="eastAsia" w:ascii="宋体" w:hAnsi="宋体"/>
          <w:sz w:val="24"/>
        </w:rPr>
        <w:t>本次采购是“制剂室包装材料采购项目”，供应商应根据招标文件所提出的设备技术规格和服务要求，以满足招标文件要求的产品、优良的货物和优惠的价格，充分显示自己的竞争实力。</w:t>
      </w:r>
    </w:p>
    <w:p w14:paraId="10248FCF">
      <w:pPr>
        <w:spacing w:line="360" w:lineRule="auto"/>
        <w:ind w:firstLine="480" w:firstLineChars="200"/>
        <w:contextualSpacing/>
        <w:rPr>
          <w:rFonts w:hint="eastAsia" w:ascii="宋体" w:hAnsi="宋体" w:cs="宋体"/>
          <w:b/>
          <w:bCs/>
          <w:sz w:val="24"/>
        </w:rPr>
      </w:pPr>
      <w:r>
        <w:rPr>
          <w:rFonts w:hint="eastAsia" w:ascii="宋体" w:hAnsi="宋体" w:cs="宋体"/>
          <w:sz w:val="24"/>
        </w:rPr>
        <w:t>★</w:t>
      </w:r>
      <w:r>
        <w:rPr>
          <w:rFonts w:hint="eastAsia" w:ascii="宋体" w:hAnsi="宋体" w:cs="宋体"/>
          <w:b/>
          <w:bCs/>
          <w:sz w:val="24"/>
        </w:rPr>
        <w:t>2.需满足国家相关标准、行业标准、地方标准或者其他标准、规范：</w:t>
      </w:r>
    </w:p>
    <w:p w14:paraId="0FD7D421">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第01包：</w:t>
      </w:r>
    </w:p>
    <w:p w14:paraId="1BBA9E8E">
      <w:pPr>
        <w:spacing w:line="360" w:lineRule="auto"/>
        <w:ind w:firstLine="480" w:firstLineChars="200"/>
        <w:contextualSpacing/>
        <w:rPr>
          <w:rFonts w:hint="eastAsia" w:ascii="宋体" w:hAnsi="宋体"/>
          <w:sz w:val="24"/>
        </w:rPr>
      </w:pPr>
      <w:r>
        <w:rPr>
          <w:rFonts w:hint="eastAsia" w:ascii="宋体" w:hAnsi="宋体"/>
          <w:sz w:val="24"/>
        </w:rPr>
        <w:t>2.1</w:t>
      </w:r>
      <w:r>
        <w:rPr>
          <w:rFonts w:ascii="宋体" w:hAnsi="宋体"/>
          <w:sz w:val="24"/>
        </w:rPr>
        <w:t>印刷经营许可证</w:t>
      </w:r>
    </w:p>
    <w:p w14:paraId="524000E7">
      <w:pPr>
        <w:spacing w:line="360" w:lineRule="auto"/>
        <w:ind w:firstLine="480" w:firstLineChars="200"/>
        <w:contextualSpacing/>
        <w:rPr>
          <w:rFonts w:hint="eastAsia" w:ascii="宋体" w:hAnsi="宋体"/>
          <w:sz w:val="24"/>
        </w:rPr>
      </w:pPr>
      <w:r>
        <w:rPr>
          <w:rFonts w:ascii="宋体" w:hAnsi="宋体"/>
          <w:sz w:val="24"/>
        </w:rPr>
        <w:t>投标人涉及印刷内容（纸盒、说明书、不干胶标签等）的，须提供有效的《印刷经营许可证》。如投标人为生产厂家，提供自身的《印刷经营许可证》；如投标人为经销商，提供所代理生产厂家的有效《印刷经营许可证》复印件。</w:t>
      </w:r>
    </w:p>
    <w:p w14:paraId="65DB4A8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第02包：</w:t>
      </w:r>
    </w:p>
    <w:p w14:paraId="731CC630">
      <w:pPr>
        <w:spacing w:line="360" w:lineRule="auto"/>
        <w:ind w:firstLine="420" w:firstLineChars="200"/>
        <w:contextualSpacing/>
        <w:rPr>
          <w:rFonts w:hint="eastAsia" w:ascii="宋体" w:hAnsi="宋体"/>
          <w:sz w:val="24"/>
        </w:rPr>
      </w:pPr>
      <w:r>
        <w:rPr>
          <w:rFonts w:hint="eastAsia" w:ascii="宋体" w:hAnsi="宋体" w:cs="宋体"/>
          <w:szCs w:val="21"/>
        </w:rPr>
        <w:t>2.1</w:t>
      </w:r>
      <w:r>
        <w:rPr>
          <w:rFonts w:hint="eastAsia" w:ascii="宋体" w:hAnsi="宋体"/>
          <w:sz w:val="24"/>
        </w:rPr>
        <w:t>药包材登记与关联审评要求</w:t>
      </w:r>
    </w:p>
    <w:p w14:paraId="484AA1FC">
      <w:pPr>
        <w:spacing w:line="360" w:lineRule="auto"/>
        <w:ind w:firstLine="480" w:firstLineChars="200"/>
        <w:contextualSpacing/>
        <w:rPr>
          <w:rFonts w:hint="eastAsia" w:ascii="宋体" w:hAnsi="宋体"/>
          <w:sz w:val="24"/>
        </w:rPr>
      </w:pPr>
      <w:r>
        <w:rPr>
          <w:rFonts w:hint="eastAsia" w:ascii="宋体" w:hAnsi="宋体"/>
          <w:sz w:val="24"/>
        </w:rPr>
        <w:t>投标人销售的内包装材料产品须在国家药品监督管理局药品审评中心（CDE）“原辅包登记平台”完成药包材登记，且与制剂共同审评审批结果为“A”（激活状态），投标文件中须提供CDE平台登记信息完整页面截图（加盖投标人公章）。</w:t>
      </w:r>
    </w:p>
    <w:p w14:paraId="72352865">
      <w:pPr>
        <w:spacing w:line="360" w:lineRule="auto"/>
        <w:ind w:firstLine="480" w:firstLineChars="200"/>
        <w:contextualSpacing/>
        <w:rPr>
          <w:rFonts w:hint="eastAsia" w:ascii="宋体" w:hAnsi="宋体"/>
          <w:sz w:val="24"/>
        </w:rPr>
      </w:pPr>
      <w:r>
        <w:rPr>
          <w:rFonts w:hint="eastAsia" w:ascii="宋体" w:hAnsi="宋体"/>
          <w:sz w:val="24"/>
        </w:rPr>
        <w:t>2.2 供应商类型资质</w:t>
      </w:r>
    </w:p>
    <w:p w14:paraId="624DB53B">
      <w:pPr>
        <w:spacing w:line="360" w:lineRule="auto"/>
        <w:ind w:firstLine="480" w:firstLineChars="200"/>
        <w:contextualSpacing/>
        <w:rPr>
          <w:rFonts w:hint="eastAsia" w:ascii="宋体" w:hAnsi="宋体"/>
          <w:sz w:val="24"/>
        </w:rPr>
      </w:pPr>
      <w:r>
        <w:rPr>
          <w:rFonts w:hint="eastAsia" w:ascii="宋体" w:hAnsi="宋体"/>
          <w:sz w:val="24"/>
        </w:rPr>
        <w:t>2.2.1如投标人为生产厂家：须提供CDE平台登记信息截图（登记状态为“A”）；</w:t>
      </w:r>
    </w:p>
    <w:p w14:paraId="293E575C">
      <w:pPr>
        <w:spacing w:line="360" w:lineRule="auto"/>
        <w:ind w:firstLine="480" w:firstLineChars="200"/>
        <w:contextualSpacing/>
        <w:rPr>
          <w:rFonts w:hint="eastAsia" w:ascii="宋体" w:hAnsi="宋体"/>
          <w:sz w:val="24"/>
        </w:rPr>
      </w:pPr>
      <w:r>
        <w:rPr>
          <w:rFonts w:hint="eastAsia" w:ascii="宋体" w:hAnsi="宋体"/>
          <w:sz w:val="24"/>
        </w:rPr>
        <w:t>2.2.2如投标人为经销商（代理商） ：须提供</w:t>
      </w:r>
      <w:r>
        <w:rPr>
          <w:rFonts w:hint="eastAsia" w:ascii="宋体" w:hAnsi="宋体"/>
          <w:sz w:val="24"/>
          <w:lang w:val="en-US" w:eastAsia="zh-CN"/>
        </w:rPr>
        <w:t>其单位及其</w:t>
      </w:r>
      <w:r>
        <w:rPr>
          <w:rFonts w:hint="eastAsia" w:ascii="宋体" w:hAnsi="宋体"/>
          <w:sz w:val="24"/>
        </w:rPr>
        <w:t>生产厂家的CDE平台登记信息截图（登记状态为“A”）。</w:t>
      </w:r>
    </w:p>
    <w:p w14:paraId="03F7905F">
      <w:pPr>
        <w:spacing w:line="360" w:lineRule="auto"/>
        <w:ind w:firstLine="480" w:firstLineChars="200"/>
        <w:contextualSpacing/>
        <w:rPr>
          <w:rFonts w:hint="eastAsia" w:ascii="宋体" w:hAnsi="宋体"/>
          <w:sz w:val="24"/>
        </w:rPr>
      </w:pPr>
      <w:r>
        <w:rPr>
          <w:rFonts w:hint="eastAsia" w:ascii="宋体" w:hAnsi="宋体"/>
          <w:sz w:val="24"/>
        </w:rPr>
        <w:t>2.3质量管理体系要求</w:t>
      </w:r>
    </w:p>
    <w:p w14:paraId="487B83AF">
      <w:pPr>
        <w:spacing w:line="360" w:lineRule="auto"/>
        <w:ind w:firstLine="480" w:firstLineChars="200"/>
        <w:contextualSpacing/>
        <w:rPr>
          <w:rFonts w:hint="eastAsia" w:ascii="宋体" w:hAnsi="宋体"/>
          <w:sz w:val="24"/>
        </w:rPr>
      </w:pPr>
      <w:r>
        <w:rPr>
          <w:rFonts w:hint="eastAsia" w:ascii="宋体" w:hAnsi="宋体"/>
          <w:sz w:val="24"/>
        </w:rPr>
        <w:t>内包材生产企业应具备完善的质量管理体系，符合国家药监局《药品生产质量管理规范（2010年修订）》药用辅料附录、药包材附录相关要求。每批次随货提供质量检验报告书（COA）。（提供承诺书并加盖投标人公章）</w:t>
      </w:r>
    </w:p>
    <w:p w14:paraId="18C64DB8">
      <w:pPr>
        <w:spacing w:line="360" w:lineRule="auto"/>
        <w:ind w:firstLine="480" w:firstLineChars="200"/>
        <w:contextualSpacing/>
        <w:rPr>
          <w:rFonts w:hint="eastAsia" w:ascii="宋体" w:hAnsi="宋体"/>
          <w:sz w:val="24"/>
        </w:rPr>
      </w:pPr>
      <w:r>
        <w:rPr>
          <w:rFonts w:hint="eastAsia" w:ascii="宋体" w:hAnsi="宋体"/>
          <w:sz w:val="24"/>
        </w:rPr>
        <w:t>2.4产品标准符合性</w:t>
      </w:r>
    </w:p>
    <w:p w14:paraId="326FEFB3">
      <w:pPr>
        <w:spacing w:line="360" w:lineRule="auto"/>
        <w:ind w:firstLine="480" w:firstLineChars="200"/>
        <w:contextualSpacing/>
        <w:rPr>
          <w:rFonts w:hint="eastAsia" w:ascii="宋体" w:hAnsi="宋体"/>
          <w:sz w:val="24"/>
        </w:rPr>
      </w:pPr>
      <w:r>
        <w:rPr>
          <w:rFonts w:hint="eastAsia" w:ascii="宋体" w:hAnsi="宋体"/>
          <w:sz w:val="24"/>
        </w:rPr>
        <w:t>所有内包装材料须符合现行版《中国药典》药包材通用要求指导原则（通则9621）及关联审评审批制度要求。（提供承诺书并加盖投标人公章）</w:t>
      </w:r>
    </w:p>
    <w:p w14:paraId="71BBD816">
      <w:pPr>
        <w:spacing w:line="360" w:lineRule="auto"/>
        <w:ind w:firstLine="480" w:firstLineChars="200"/>
        <w:jc w:val="left"/>
        <w:rPr>
          <w:rFonts w:hint="eastAsia" w:ascii="宋体" w:hAnsi="宋体" w:cs="宋体"/>
          <w:sz w:val="24"/>
        </w:rPr>
      </w:pPr>
      <w:r>
        <w:rPr>
          <w:rFonts w:hint="eastAsia" w:ascii="宋体" w:hAnsi="宋体" w:cs="宋体"/>
          <w:sz w:val="24"/>
        </w:rPr>
        <w:t>（二）具体要求</w:t>
      </w:r>
    </w:p>
    <w:p w14:paraId="28300831">
      <w:pPr>
        <w:spacing w:line="360" w:lineRule="auto"/>
        <w:ind w:firstLine="480" w:firstLineChars="200"/>
        <w:jc w:val="left"/>
        <w:rPr>
          <w:rFonts w:hint="eastAsia" w:ascii="宋体" w:hAnsi="宋体" w:cs="宋体"/>
          <w:sz w:val="24"/>
        </w:rPr>
      </w:pPr>
      <w:bookmarkStart w:id="0" w:name="OLE_LINK8"/>
      <w:bookmarkStart w:id="1" w:name="OLE_LINK7"/>
      <w:r>
        <w:rPr>
          <w:rFonts w:hint="eastAsia" w:ascii="宋体" w:hAnsi="宋体" w:cs="宋体"/>
          <w:sz w:val="24"/>
        </w:rPr>
        <w:t>▲1.常规订单：自下达正式采购订单并确认技术参数、数量后，供应商需在15个工作日内发货，且需确保货物在交货周期内送达指定位置。</w:t>
      </w:r>
    </w:p>
    <w:p w14:paraId="1CFAC93F">
      <w:pPr>
        <w:spacing w:line="360" w:lineRule="auto"/>
        <w:ind w:firstLine="480" w:firstLineChars="200"/>
        <w:jc w:val="left"/>
        <w:rPr>
          <w:rFonts w:hint="eastAsia" w:ascii="宋体" w:hAnsi="宋体" w:cs="宋体"/>
          <w:sz w:val="24"/>
        </w:rPr>
      </w:pPr>
      <w:r>
        <w:rPr>
          <w:rFonts w:hint="eastAsia" w:ascii="宋体" w:hAnsi="宋体" w:cs="宋体"/>
          <w:sz w:val="24"/>
        </w:rPr>
        <w:t>▲2.紧急订单：因采购人生产计划调整、库存短缺等提出的紧急订货需求，供应商须在订单确认后4小时内响应，并在12小时内完成详细的供货方案确认，明确预计发货及到货时间。</w:t>
      </w:r>
    </w:p>
    <w:p w14:paraId="258E91C8">
      <w:pPr>
        <w:spacing w:line="360" w:lineRule="auto"/>
        <w:ind w:firstLine="480" w:firstLineChars="200"/>
        <w:jc w:val="left"/>
        <w:rPr>
          <w:rFonts w:hint="eastAsia" w:ascii="宋体" w:hAnsi="宋体" w:cs="宋体"/>
          <w:sz w:val="24"/>
        </w:rPr>
      </w:pPr>
      <w:r>
        <w:rPr>
          <w:rFonts w:hint="eastAsia" w:ascii="宋体" w:hAnsi="宋体" w:cs="宋体"/>
          <w:sz w:val="24"/>
        </w:rPr>
        <w:t>3.供应商需提供订单跟踪服务，指定专属订单对接人（需提供姓名、联系方式、工作时间）。当订单不能按时发货或者运输过程出现异常等情况不能按时送达，需提前告知采购人。</w:t>
      </w:r>
    </w:p>
    <w:p w14:paraId="21293777">
      <w:pPr>
        <w:spacing w:line="360" w:lineRule="auto"/>
        <w:ind w:firstLine="480" w:firstLineChars="200"/>
        <w:jc w:val="left"/>
        <w:rPr>
          <w:rFonts w:hint="eastAsia" w:ascii="宋体" w:hAnsi="宋体" w:cs="宋体"/>
          <w:sz w:val="24"/>
        </w:rPr>
      </w:pPr>
      <w:r>
        <w:rPr>
          <w:rFonts w:hint="eastAsia" w:ascii="宋体" w:hAnsi="宋体" w:cs="宋体"/>
          <w:sz w:val="24"/>
        </w:rPr>
        <w:t>4.供应商不得擅自变更生产厂家。原厂无货时供应商须立即与采购人沟通，并积极协助采购人寻找第三方货源，保证采购人供货不中断。</w:t>
      </w:r>
    </w:p>
    <w:p w14:paraId="542EB59D">
      <w:pPr>
        <w:spacing w:line="360" w:lineRule="auto"/>
        <w:ind w:firstLine="480" w:firstLineChars="200"/>
        <w:jc w:val="left"/>
        <w:rPr>
          <w:rFonts w:hint="eastAsia" w:ascii="宋体" w:hAnsi="宋体" w:cs="宋体"/>
          <w:sz w:val="24"/>
        </w:rPr>
      </w:pPr>
      <w:r>
        <w:rPr>
          <w:rFonts w:hint="eastAsia" w:ascii="宋体" w:hAnsi="宋体" w:cs="宋体"/>
          <w:sz w:val="24"/>
        </w:rPr>
        <w:t>5.供货商具有仓储能力，以保证采购人所需包材的全面性、及时性。供应商需配合采购人将货物搬运至库房指定区域，并协助采购人完成入库登记。</w:t>
      </w:r>
    </w:p>
    <w:p w14:paraId="6946061E">
      <w:pPr>
        <w:spacing w:line="360" w:lineRule="auto"/>
        <w:ind w:firstLine="480" w:firstLineChars="200"/>
        <w:jc w:val="left"/>
        <w:rPr>
          <w:rFonts w:hint="eastAsia" w:ascii="宋体" w:hAnsi="宋体" w:cs="宋体"/>
          <w:sz w:val="24"/>
        </w:rPr>
      </w:pPr>
      <w:r>
        <w:rPr>
          <w:rFonts w:hint="eastAsia" w:ascii="宋体" w:hAnsi="宋体" w:cs="宋体"/>
          <w:sz w:val="24"/>
        </w:rPr>
        <w:t>6.质量管理要求</w:t>
      </w:r>
    </w:p>
    <w:p w14:paraId="13AD43E2">
      <w:pPr>
        <w:spacing w:line="360" w:lineRule="auto"/>
        <w:ind w:firstLine="480" w:firstLineChars="200"/>
        <w:jc w:val="left"/>
        <w:rPr>
          <w:rFonts w:hint="eastAsia" w:ascii="宋体" w:hAnsi="宋体" w:cs="宋体"/>
          <w:sz w:val="24"/>
        </w:rPr>
      </w:pPr>
      <w:r>
        <w:rPr>
          <w:rFonts w:hint="eastAsia" w:ascii="宋体" w:hAnsi="宋体" w:cs="宋体"/>
          <w:sz w:val="24"/>
        </w:rPr>
        <w:t>▲6.1批次追溯服务：每批包材交货时，供应商需随货提供随货同行单（随货清单）、质量检验报告书、合格证、发票、检验报告书等相关资料，如采购人因药品质量问题追溯、上级药品监管检查等需求，调取某一批次包材详细追溯信息时，供应商需在7个工作日内完整提供，不得隐瞒或拖延。</w:t>
      </w:r>
    </w:p>
    <w:p w14:paraId="3A46FAB1">
      <w:pPr>
        <w:spacing w:line="360" w:lineRule="auto"/>
        <w:ind w:firstLine="480" w:firstLineChars="200"/>
        <w:jc w:val="left"/>
        <w:rPr>
          <w:rFonts w:hint="eastAsia" w:ascii="宋体" w:hAnsi="宋体" w:cs="宋体"/>
          <w:sz w:val="24"/>
        </w:rPr>
      </w:pPr>
      <w:r>
        <w:rPr>
          <w:rFonts w:hint="eastAsia" w:ascii="宋体" w:hAnsi="宋体" w:cs="宋体"/>
          <w:sz w:val="24"/>
        </w:rPr>
        <w:t>▲6.2供货商提供的所有产品均可溯源</w:t>
      </w:r>
      <w:r>
        <w:rPr>
          <w:rFonts w:hint="eastAsia" w:ascii="宋体" w:hAnsi="宋体" w:cs="宋体"/>
          <w:sz w:val="24"/>
          <w:lang w:eastAsia="zh-CN"/>
        </w:rPr>
        <w:t>，</w:t>
      </w:r>
      <w:r>
        <w:rPr>
          <w:rFonts w:hint="eastAsia" w:ascii="宋体" w:hAnsi="宋体" w:cs="宋体"/>
          <w:sz w:val="24"/>
        </w:rPr>
        <w:t>不得掺杂掺假、以次充好。对特殊技术或包装要求，支持</w:t>
      </w:r>
      <w:r>
        <w:rPr>
          <w:rFonts w:hint="eastAsia" w:ascii="宋体" w:hAnsi="宋体" w:cs="宋体"/>
          <w:sz w:val="24"/>
          <w:lang w:val="en-US" w:eastAsia="zh-CN"/>
        </w:rPr>
        <w:t>采购人</w:t>
      </w:r>
      <w:r>
        <w:rPr>
          <w:rFonts w:hint="eastAsia" w:ascii="宋体" w:hAnsi="宋体" w:cs="宋体"/>
          <w:sz w:val="24"/>
        </w:rPr>
        <w:t>小批量采购。</w:t>
      </w:r>
    </w:p>
    <w:p w14:paraId="3FFF6D49">
      <w:pPr>
        <w:spacing w:line="360" w:lineRule="auto"/>
        <w:ind w:firstLine="480" w:firstLineChars="200"/>
        <w:jc w:val="left"/>
        <w:rPr>
          <w:rFonts w:hint="eastAsia" w:ascii="宋体" w:hAnsi="宋体" w:cs="宋体"/>
          <w:sz w:val="24"/>
        </w:rPr>
      </w:pPr>
      <w:r>
        <w:rPr>
          <w:rFonts w:hint="eastAsia" w:ascii="宋体" w:hAnsi="宋体" w:cs="宋体"/>
          <w:sz w:val="24"/>
        </w:rPr>
        <w:t>▲6.3到货检验不合格处理：在货物签收时若发现包材存在质量问题（如指标不符合双方约定标准、包装破损导致物料污染、受潮、变质、数量短缺、标识信息不全等），供应商需无条件退换并自行承担相关损失。</w:t>
      </w:r>
    </w:p>
    <w:p w14:paraId="0C90F05F">
      <w:pPr>
        <w:spacing w:line="360" w:lineRule="auto"/>
        <w:ind w:firstLine="480" w:firstLineChars="200"/>
        <w:jc w:val="left"/>
        <w:rPr>
          <w:rFonts w:hint="eastAsia" w:ascii="宋体" w:hAnsi="宋体" w:cs="宋体"/>
          <w:sz w:val="24"/>
        </w:rPr>
      </w:pPr>
      <w:r>
        <w:rPr>
          <w:rFonts w:hint="eastAsia" w:ascii="宋体" w:hAnsi="宋体" w:cs="宋体"/>
          <w:sz w:val="24"/>
        </w:rPr>
        <w:t>7.应提供针对本项目的质量保障方案，至少应包含：检验与质控方案、保密方案及具有重大隐患事故方案、抽检包材不合格应对方案。因地震、洪水、疫情等不可抗力导致无法履行合同的，受影响一方需在不可抗力发生后15个工作日内书面通知对方；双方优先协商保障急救类包材的供应，可延期履行或调整订单，互不承担违约责任。若遇公共卫生事件（如疫情、突发传染病），需优先保障采购人包材的供应，不得擅自断供或涨价。</w:t>
      </w:r>
    </w:p>
    <w:p w14:paraId="51C3B46B">
      <w:pPr>
        <w:spacing w:line="360" w:lineRule="auto"/>
        <w:ind w:firstLine="480" w:firstLineChars="200"/>
        <w:jc w:val="left"/>
        <w:rPr>
          <w:rFonts w:hint="eastAsia" w:ascii="宋体" w:hAnsi="宋体" w:cs="宋体"/>
          <w:sz w:val="24"/>
        </w:rPr>
      </w:pPr>
      <w:r>
        <w:rPr>
          <w:rFonts w:hint="eastAsia" w:ascii="宋体" w:hAnsi="宋体" w:cs="宋体"/>
          <w:sz w:val="24"/>
        </w:rPr>
        <w:t>▲8.保证所供包材符合医疗质量标准，不提供过期、变质、伪造批次号或无资质的货物，若因包材质量导致采购人制剂不合格，供应商需无条件召回相关产品并承担全部召回费用及采购人全部损失。</w:t>
      </w:r>
    </w:p>
    <w:p w14:paraId="320781D6">
      <w:pPr>
        <w:spacing w:line="360" w:lineRule="auto"/>
        <w:ind w:firstLine="480" w:firstLineChars="200"/>
        <w:jc w:val="left"/>
        <w:rPr>
          <w:rFonts w:hint="eastAsia" w:ascii="宋体" w:hAnsi="宋体" w:cs="宋体"/>
          <w:sz w:val="24"/>
        </w:rPr>
      </w:pPr>
      <w:r>
        <w:rPr>
          <w:rFonts w:hint="eastAsia" w:ascii="宋体" w:hAnsi="宋体" w:cs="宋体"/>
          <w:sz w:val="24"/>
        </w:rPr>
        <w:t>9.配合采购人完成医疗监管部门的检查（如提供生产记录、资质备案等），若因供应商资质不全或质量问题导致采购人被处罚，需承担全部罚款及整改费用。</w:t>
      </w:r>
    </w:p>
    <w:p w14:paraId="39091F28">
      <w:pPr>
        <w:spacing w:line="360" w:lineRule="auto"/>
        <w:ind w:firstLine="480" w:firstLineChars="200"/>
        <w:jc w:val="left"/>
        <w:rPr>
          <w:rFonts w:hint="eastAsia" w:ascii="宋体" w:hAnsi="宋体" w:cs="宋体"/>
          <w:sz w:val="24"/>
        </w:rPr>
      </w:pPr>
      <w:r>
        <w:rPr>
          <w:rFonts w:hint="eastAsia" w:ascii="宋体" w:hAnsi="宋体" w:cs="宋体"/>
          <w:sz w:val="24"/>
        </w:rPr>
        <w:t>▲10.所有包材需符合国家药用包装相关标准，样品经采购人验收合格后方可供货，材质不达标一律拒收、无条件退换货。</w:t>
      </w:r>
    </w:p>
    <w:p w14:paraId="37711B0E">
      <w:pPr>
        <w:spacing w:line="360" w:lineRule="auto"/>
        <w:ind w:firstLine="480" w:firstLineChars="200"/>
        <w:jc w:val="left"/>
        <w:rPr>
          <w:rFonts w:hint="eastAsia" w:ascii="宋体" w:hAnsi="宋体" w:cs="宋体"/>
          <w:sz w:val="24"/>
        </w:rPr>
      </w:pPr>
      <w:r>
        <w:rPr>
          <w:rFonts w:hint="eastAsia" w:ascii="宋体" w:hAnsi="宋体" w:cs="宋体"/>
          <w:sz w:val="24"/>
        </w:rPr>
        <w:t>▲11.外包材生产厂家具有印刷药品追溯码的能力并提供相关证明材料（如设备清单、以往案例等）。</w:t>
      </w:r>
    </w:p>
    <w:p w14:paraId="37FC76E2">
      <w:pPr>
        <w:spacing w:line="360" w:lineRule="auto"/>
        <w:ind w:firstLine="480" w:firstLineChars="200"/>
        <w:jc w:val="left"/>
        <w:rPr>
          <w:rFonts w:hint="eastAsia" w:ascii="宋体" w:hAnsi="宋体" w:cs="宋体"/>
          <w:sz w:val="24"/>
        </w:rPr>
      </w:pPr>
      <w:r>
        <w:rPr>
          <w:rFonts w:hint="eastAsia" w:ascii="宋体" w:hAnsi="宋体" w:cs="宋体"/>
          <w:sz w:val="24"/>
        </w:rPr>
        <w:t>12.包装和运输</w:t>
      </w:r>
    </w:p>
    <w:p w14:paraId="4F5CE3C5">
      <w:pPr>
        <w:spacing w:line="360" w:lineRule="auto"/>
        <w:ind w:firstLine="480" w:firstLineChars="200"/>
        <w:jc w:val="left"/>
        <w:rPr>
          <w:rFonts w:hint="eastAsia" w:ascii="宋体" w:hAnsi="宋体" w:cs="宋体"/>
          <w:sz w:val="24"/>
        </w:rPr>
      </w:pPr>
      <w:r>
        <w:rPr>
          <w:rFonts w:hint="eastAsia" w:ascii="宋体" w:hAnsi="宋体" w:cs="宋体"/>
          <w:sz w:val="24"/>
        </w:rPr>
        <w:t>12.1由供应商负责运输，运输过程中货物的损毁、丢失、污染风险由供应商承担，直至货物交付采购人且经采购人验收合格。</w:t>
      </w:r>
    </w:p>
    <w:p w14:paraId="24BF280E">
      <w:pPr>
        <w:spacing w:line="360" w:lineRule="auto"/>
        <w:ind w:firstLine="480" w:firstLineChars="200"/>
        <w:jc w:val="left"/>
        <w:rPr>
          <w:rFonts w:hint="eastAsia" w:ascii="宋体" w:hAnsi="宋体" w:cs="宋体"/>
          <w:sz w:val="24"/>
        </w:rPr>
      </w:pPr>
      <w:r>
        <w:rPr>
          <w:rFonts w:hint="eastAsia" w:ascii="宋体" w:hAnsi="宋体" w:cs="宋体"/>
          <w:sz w:val="24"/>
        </w:rPr>
        <w:t>12.2供应商提供针对本项目的供货保障与仓储运输方案，方案中应至少应包含供货保障方案（如：包材运输过程、到达指定地点后的交接人员应具备相关专业知识；应提供采购、仓储、配送等技术服务团队，团队人员应有类似包材采购及配送项目的经验等）、安全库存及备货情况及配送服务方案等。</w:t>
      </w:r>
    </w:p>
    <w:p w14:paraId="49EB96F8">
      <w:pPr>
        <w:spacing w:line="360" w:lineRule="auto"/>
        <w:ind w:firstLine="480" w:firstLineChars="200"/>
        <w:jc w:val="left"/>
        <w:rPr>
          <w:rFonts w:hint="eastAsia" w:ascii="宋体" w:hAnsi="宋体" w:cs="宋体"/>
          <w:sz w:val="24"/>
        </w:rPr>
      </w:pPr>
      <w:r>
        <w:rPr>
          <w:rFonts w:hint="eastAsia" w:ascii="宋体" w:hAnsi="宋体" w:cs="宋体"/>
          <w:sz w:val="24"/>
        </w:rPr>
        <w:t xml:space="preserve">12.3产品包装材料符合国家或行业环保标准，禁止使用破损、受潮、承重不足的旧包装；纸箱需用高强度封箱胶带封箱，塑料箱需配备可扣紧的箱盖，防止运输中开箱或灰尘、雨水侵入。 </w:t>
      </w:r>
    </w:p>
    <w:p w14:paraId="7F2F299F">
      <w:pPr>
        <w:spacing w:line="360" w:lineRule="auto"/>
        <w:ind w:firstLine="480" w:firstLineChars="200"/>
        <w:jc w:val="left"/>
        <w:rPr>
          <w:rFonts w:hint="eastAsia" w:ascii="宋体" w:hAnsi="宋体" w:cs="宋体"/>
          <w:sz w:val="24"/>
        </w:rPr>
      </w:pPr>
      <w:r>
        <w:rPr>
          <w:rFonts w:hint="eastAsia" w:ascii="宋体" w:hAnsi="宋体" w:cs="宋体"/>
          <w:sz w:val="24"/>
        </w:rPr>
        <w:t>12.4针对高风险或特殊属性货物，需额外强化防护。</w:t>
      </w:r>
    </w:p>
    <w:p w14:paraId="091C0DF1">
      <w:pPr>
        <w:spacing w:line="360" w:lineRule="auto"/>
        <w:ind w:firstLine="480" w:firstLineChars="200"/>
        <w:jc w:val="left"/>
        <w:rPr>
          <w:rFonts w:hint="eastAsia" w:ascii="宋体" w:hAnsi="宋体" w:cs="宋体"/>
          <w:sz w:val="24"/>
        </w:rPr>
      </w:pPr>
      <w:r>
        <w:rPr>
          <w:rFonts w:hint="eastAsia" w:ascii="宋体" w:hAnsi="宋体" w:cs="宋体"/>
          <w:sz w:val="24"/>
        </w:rPr>
        <w:t>12.5包装上需清晰地标注货物信息。</w:t>
      </w:r>
    </w:p>
    <w:p w14:paraId="657A8D6B">
      <w:pPr>
        <w:spacing w:line="360" w:lineRule="auto"/>
        <w:ind w:firstLine="480" w:firstLineChars="200"/>
        <w:jc w:val="left"/>
        <w:rPr>
          <w:rFonts w:hint="eastAsia" w:ascii="宋体" w:hAnsi="宋体" w:cs="宋体"/>
          <w:sz w:val="24"/>
        </w:rPr>
      </w:pPr>
      <w:r>
        <w:rPr>
          <w:rFonts w:hint="eastAsia" w:ascii="宋体" w:hAnsi="宋体" w:cs="宋体"/>
          <w:sz w:val="24"/>
        </w:rPr>
        <w:t>▲12.6供应商将产品运输至指定地点，需随货提供随货同行单、发票、检验报告书等文件，作为验收依据。</w:t>
      </w:r>
    </w:p>
    <w:p w14:paraId="5CBCB359">
      <w:pPr>
        <w:widowControl/>
        <w:spacing w:line="360" w:lineRule="auto"/>
        <w:ind w:firstLine="482" w:firstLineChars="200"/>
        <w:contextualSpacing/>
        <w:jc w:val="left"/>
        <w:rPr>
          <w:rFonts w:hint="eastAsia" w:ascii="宋体" w:hAnsi="宋体" w:cs="宋体"/>
          <w:b/>
          <w:bCs/>
          <w:sz w:val="24"/>
        </w:rPr>
      </w:pPr>
    </w:p>
    <w:p w14:paraId="7B8790A0">
      <w:pPr>
        <w:rPr>
          <w:rFonts w:hint="eastAsia" w:ascii="宋体" w:hAnsi="宋体" w:cs="宋体"/>
          <w:b/>
          <w:szCs w:val="21"/>
        </w:rPr>
      </w:pPr>
      <w:r>
        <w:rPr>
          <w:rFonts w:hint="eastAsia" w:ascii="宋体" w:hAnsi="宋体" w:cs="宋体"/>
          <w:b/>
          <w:bCs/>
          <w:sz w:val="24"/>
        </w:rPr>
        <w:br w:type="page"/>
      </w:r>
      <w:r>
        <w:rPr>
          <w:rFonts w:hint="eastAsia" w:ascii="宋体" w:hAnsi="宋体" w:cs="宋体"/>
          <w:b/>
          <w:color w:val="auto"/>
          <w:szCs w:val="21"/>
        </w:rPr>
        <w:t>附表1                          01包医院制剂外包装材料需求表</w:t>
      </w:r>
    </w:p>
    <w:p w14:paraId="6677ECC0">
      <w:pPr>
        <w:rPr>
          <w:rFonts w:hint="eastAsia" w:ascii="宋体" w:hAnsi="宋体" w:cs="宋体"/>
          <w:b/>
          <w:szCs w:val="21"/>
        </w:rPr>
      </w:pPr>
    </w:p>
    <w:tbl>
      <w:tblPr>
        <w:tblStyle w:val="7"/>
        <w:tblpPr w:leftFromText="180" w:rightFromText="180" w:vertAnchor="text" w:horzAnchor="page" w:tblpX="802" w:tblpY="150"/>
        <w:tblOverlap w:val="never"/>
        <w:tblW w:w="101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7"/>
        <w:gridCol w:w="1170"/>
        <w:gridCol w:w="1425"/>
        <w:gridCol w:w="333"/>
        <w:gridCol w:w="882"/>
        <w:gridCol w:w="953"/>
        <w:gridCol w:w="858"/>
        <w:gridCol w:w="4095"/>
      </w:tblGrid>
      <w:tr w14:paraId="1DFF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1"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B876">
            <w:pPr>
              <w:keepNext w:val="0"/>
              <w:keepLines w:val="0"/>
              <w:widowControl/>
              <w:suppressLineNumbers w:val="0"/>
              <w:jc w:val="right"/>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序号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05F1">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品名</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2EB4">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规格</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580E">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单位</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588FD">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预计使用量</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A0D7">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单价最高限价（元）</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8E71">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是否核心产品</w:t>
            </w:r>
          </w:p>
        </w:tc>
        <w:tc>
          <w:tcPr>
            <w:tcW w:w="4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1145">
            <w:pPr>
              <w:keepNext w:val="0"/>
              <w:keepLines w:val="0"/>
              <w:widowControl/>
              <w:suppressLineNumbers w:val="0"/>
              <w:ind w:firstLine="1446" w:firstLineChars="800"/>
              <w:jc w:val="both"/>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质量技术要求</w:t>
            </w:r>
          </w:p>
        </w:tc>
      </w:tr>
      <w:tr w14:paraId="62D1A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1C1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A08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47F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44*115*44mm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38A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354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F89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1.36</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8C7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49D7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1、材质与规格：采用300g白卡纸，纸张及纸板应参考《药品包装盒纸板选择指南》中定量、厚度偏差、挺度等理化指标。</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2、外观与印刷：版面洁净，图案和文字正确、清晰、完整，过环保光油，采用大豆环保油墨。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3、模切：折叠纸盒模切规格误差≤±0.5mm。                </w:t>
            </w:r>
            <w:r>
              <w:rPr>
                <w:rFonts w:hint="eastAsia" w:ascii="宋体" w:hAnsi="宋体" w:eastAsia="宋体" w:cs="宋体"/>
                <w:color w:val="auto"/>
                <w:sz w:val="18"/>
                <w:szCs w:val="18"/>
                <w:u w:val="none"/>
                <w:lang w:val="en-US" w:eastAsia="zh-CN" w:bidi="ar"/>
              </w:rPr>
              <w:t>4、可追溯性：外包材投标方应具备印刷药品追溯码的能力，满足药品追溯法规要求。</w:t>
            </w:r>
            <w:r>
              <w:rPr>
                <w:rFonts w:hint="eastAsia" w:ascii="宋体" w:hAnsi="宋体" w:eastAsia="宋体" w:cs="宋体"/>
                <w:color w:val="auto"/>
                <w:sz w:val="18"/>
                <w:szCs w:val="18"/>
                <w:u w:val="none"/>
                <w:lang w:val="en-US" w:eastAsia="zh-CN" w:bidi="ar"/>
              </w:rPr>
              <w:br w:type="textWrapping"/>
            </w:r>
          </w:p>
        </w:tc>
      </w:tr>
      <w:tr w14:paraId="443E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463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339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1CF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54*148*54mm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A1A3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B88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240000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C9F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1.71</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415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是</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36E81">
            <w:pPr>
              <w:jc w:val="left"/>
              <w:rPr>
                <w:rFonts w:hint="eastAsia" w:ascii="宋体" w:hAnsi="宋体" w:eastAsia="宋体" w:cs="宋体"/>
                <w:i w:val="0"/>
                <w:iCs w:val="0"/>
                <w:color w:val="auto"/>
                <w:sz w:val="18"/>
                <w:szCs w:val="18"/>
                <w:u w:val="none"/>
              </w:rPr>
            </w:pPr>
          </w:p>
        </w:tc>
      </w:tr>
      <w:tr w14:paraId="7B9EA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967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DC7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BC7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50*185*50mm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1F8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6267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16000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062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1.71</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9C3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CC704">
            <w:pPr>
              <w:jc w:val="left"/>
              <w:rPr>
                <w:rFonts w:hint="eastAsia" w:ascii="宋体" w:hAnsi="宋体" w:eastAsia="宋体" w:cs="宋体"/>
                <w:i w:val="0"/>
                <w:iCs w:val="0"/>
                <w:color w:val="auto"/>
                <w:sz w:val="18"/>
                <w:szCs w:val="18"/>
                <w:u w:val="none"/>
              </w:rPr>
            </w:pPr>
          </w:p>
        </w:tc>
      </w:tr>
      <w:tr w14:paraId="63B4C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757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A01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EC5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180*80*50mm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8AF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FC3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098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8A4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31731">
            <w:pPr>
              <w:jc w:val="left"/>
              <w:rPr>
                <w:rFonts w:hint="eastAsia" w:ascii="宋体" w:hAnsi="宋体" w:eastAsia="宋体" w:cs="宋体"/>
                <w:i w:val="0"/>
                <w:iCs w:val="0"/>
                <w:color w:val="auto"/>
                <w:sz w:val="18"/>
                <w:szCs w:val="18"/>
                <w:u w:val="none"/>
              </w:rPr>
            </w:pPr>
          </w:p>
        </w:tc>
      </w:tr>
      <w:tr w14:paraId="2DFA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D3B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73A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91A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65*65*65mm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AF3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CB3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FE6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1.34</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525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307E5">
            <w:pPr>
              <w:jc w:val="left"/>
              <w:rPr>
                <w:rFonts w:hint="eastAsia" w:ascii="宋体" w:hAnsi="宋体" w:eastAsia="宋体" w:cs="宋体"/>
                <w:i w:val="0"/>
                <w:iCs w:val="0"/>
                <w:color w:val="auto"/>
                <w:sz w:val="18"/>
                <w:szCs w:val="18"/>
                <w:u w:val="none"/>
              </w:rPr>
            </w:pPr>
          </w:p>
        </w:tc>
      </w:tr>
      <w:tr w14:paraId="62A4F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4D8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D74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993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47*85*47mm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3B2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746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4000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AB4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1.34</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FD9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BBDDB">
            <w:pPr>
              <w:jc w:val="left"/>
              <w:rPr>
                <w:rFonts w:hint="eastAsia" w:ascii="宋体" w:hAnsi="宋体" w:eastAsia="宋体" w:cs="宋体"/>
                <w:i w:val="0"/>
                <w:iCs w:val="0"/>
                <w:color w:val="auto"/>
                <w:sz w:val="18"/>
                <w:szCs w:val="18"/>
                <w:u w:val="none"/>
              </w:rPr>
            </w:pPr>
          </w:p>
        </w:tc>
      </w:tr>
      <w:tr w14:paraId="5C564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FA7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EE1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CD2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155*80*35mm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BD3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A40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9EF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1.62</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9F8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62A4F">
            <w:pPr>
              <w:jc w:val="left"/>
              <w:rPr>
                <w:rFonts w:hint="eastAsia" w:ascii="宋体" w:hAnsi="宋体" w:eastAsia="宋体" w:cs="宋体"/>
                <w:i w:val="0"/>
                <w:iCs w:val="0"/>
                <w:color w:val="auto"/>
                <w:sz w:val="18"/>
                <w:szCs w:val="18"/>
                <w:u w:val="none"/>
              </w:rPr>
            </w:pPr>
          </w:p>
        </w:tc>
      </w:tr>
      <w:tr w14:paraId="059E7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D87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C20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C90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100*100*80mm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C98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CE8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4000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620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99A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2A4AA">
            <w:pPr>
              <w:jc w:val="left"/>
              <w:rPr>
                <w:rFonts w:hint="eastAsia" w:ascii="宋体" w:hAnsi="宋体" w:eastAsia="宋体" w:cs="宋体"/>
                <w:i w:val="0"/>
                <w:iCs w:val="0"/>
                <w:color w:val="auto"/>
                <w:sz w:val="18"/>
                <w:szCs w:val="18"/>
                <w:u w:val="none"/>
              </w:rPr>
            </w:pPr>
          </w:p>
        </w:tc>
      </w:tr>
      <w:tr w14:paraId="6423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C29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536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E6A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160*105*80mm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C5A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FCE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3000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5BA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EDA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1D136">
            <w:pPr>
              <w:jc w:val="left"/>
              <w:rPr>
                <w:rFonts w:hint="eastAsia" w:ascii="宋体" w:hAnsi="宋体" w:eastAsia="宋体" w:cs="宋体"/>
                <w:i w:val="0"/>
                <w:iCs w:val="0"/>
                <w:color w:val="auto"/>
                <w:sz w:val="18"/>
                <w:szCs w:val="18"/>
                <w:u w:val="none"/>
              </w:rPr>
            </w:pPr>
          </w:p>
        </w:tc>
      </w:tr>
      <w:tr w14:paraId="426DA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250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A0D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EA85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150*77*25mm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F31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2A1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F0B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1.62</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04B3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0737C">
            <w:pPr>
              <w:jc w:val="left"/>
              <w:rPr>
                <w:rFonts w:hint="eastAsia" w:ascii="宋体" w:hAnsi="宋体" w:eastAsia="宋体" w:cs="宋体"/>
                <w:i w:val="0"/>
                <w:iCs w:val="0"/>
                <w:color w:val="auto"/>
                <w:sz w:val="18"/>
                <w:szCs w:val="18"/>
                <w:u w:val="none"/>
              </w:rPr>
            </w:pPr>
          </w:p>
        </w:tc>
      </w:tr>
      <w:tr w14:paraId="179EC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AD3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DF9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5C2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170*65*33mm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CC5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7B2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9000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A1F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1.62</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3E55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D34AA">
            <w:pPr>
              <w:jc w:val="left"/>
              <w:rPr>
                <w:rFonts w:hint="eastAsia" w:ascii="宋体" w:hAnsi="宋体" w:eastAsia="宋体" w:cs="宋体"/>
                <w:i w:val="0"/>
                <w:iCs w:val="0"/>
                <w:color w:val="auto"/>
                <w:sz w:val="18"/>
                <w:szCs w:val="18"/>
                <w:u w:val="none"/>
              </w:rPr>
            </w:pPr>
          </w:p>
        </w:tc>
      </w:tr>
      <w:tr w14:paraId="10DB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682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2A4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6D5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76*60*64mm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DDE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615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80000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8F8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B82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ECCD6">
            <w:pPr>
              <w:jc w:val="left"/>
              <w:rPr>
                <w:rFonts w:hint="eastAsia" w:ascii="宋体" w:hAnsi="宋体" w:eastAsia="宋体" w:cs="宋体"/>
                <w:i w:val="0"/>
                <w:iCs w:val="0"/>
                <w:color w:val="auto"/>
                <w:sz w:val="18"/>
                <w:szCs w:val="18"/>
                <w:u w:val="none"/>
              </w:rPr>
            </w:pPr>
          </w:p>
        </w:tc>
      </w:tr>
      <w:tr w14:paraId="11953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EC2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AB8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3F3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175*80*65mm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132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E44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5000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7AF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0FD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FC4CB">
            <w:pPr>
              <w:jc w:val="left"/>
              <w:rPr>
                <w:rFonts w:hint="eastAsia" w:ascii="宋体" w:hAnsi="宋体" w:eastAsia="宋体" w:cs="宋体"/>
                <w:i w:val="0"/>
                <w:iCs w:val="0"/>
                <w:color w:val="auto"/>
                <w:sz w:val="18"/>
                <w:szCs w:val="18"/>
                <w:u w:val="none"/>
              </w:rPr>
            </w:pPr>
          </w:p>
        </w:tc>
      </w:tr>
      <w:tr w14:paraId="16A6B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578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4FC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包装盒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8A5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180*80*64mm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EA3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336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15000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83D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E08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8F018">
            <w:pPr>
              <w:jc w:val="left"/>
              <w:rPr>
                <w:rFonts w:hint="eastAsia" w:ascii="宋体" w:hAnsi="宋体" w:eastAsia="宋体" w:cs="宋体"/>
                <w:i w:val="0"/>
                <w:iCs w:val="0"/>
                <w:color w:val="auto"/>
                <w:sz w:val="18"/>
                <w:szCs w:val="18"/>
                <w:u w:val="none"/>
              </w:rPr>
            </w:pPr>
          </w:p>
        </w:tc>
      </w:tr>
      <w:tr w14:paraId="3E86A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D8E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1BB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折叠纸盒</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63E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通用</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733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AC5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D19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1.62</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8E6A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B0108">
            <w:pPr>
              <w:jc w:val="left"/>
              <w:rPr>
                <w:rFonts w:hint="eastAsia" w:ascii="宋体" w:hAnsi="宋体" w:eastAsia="宋体" w:cs="宋体"/>
                <w:i w:val="0"/>
                <w:iCs w:val="0"/>
                <w:color w:val="auto"/>
                <w:sz w:val="18"/>
                <w:szCs w:val="18"/>
                <w:u w:val="none"/>
              </w:rPr>
            </w:pPr>
          </w:p>
        </w:tc>
      </w:tr>
      <w:tr w14:paraId="1430B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D6B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485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C74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46*68mm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376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036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250000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1A1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E946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886E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1、材质与规格：不干胶纸，纸张符合GB/T7706-2008《凸版装潢印刷品》要求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2、外观与印刷：标签表面整洁，文字、图案印刷清晰。采用大豆环保油墨。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3、粘合性能：胶粘剂涂布均匀，剥离强度适中，强度范围≥6N/25mm。</w:t>
            </w:r>
          </w:p>
        </w:tc>
      </w:tr>
      <w:tr w14:paraId="5A3EB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CE3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3DC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869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58*78mm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606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05E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16000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BD3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B79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A59B9">
            <w:pPr>
              <w:jc w:val="left"/>
              <w:rPr>
                <w:rFonts w:hint="eastAsia" w:ascii="宋体" w:hAnsi="宋体" w:eastAsia="宋体" w:cs="宋体"/>
                <w:i w:val="0"/>
                <w:iCs w:val="0"/>
                <w:color w:val="auto"/>
                <w:sz w:val="18"/>
                <w:szCs w:val="18"/>
                <w:u w:val="none"/>
              </w:rPr>
            </w:pPr>
          </w:p>
        </w:tc>
      </w:tr>
      <w:tr w14:paraId="1C3F6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51C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171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E82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58*58mm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D3C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9C5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7000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857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C3D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BBD5A">
            <w:pPr>
              <w:jc w:val="left"/>
              <w:rPr>
                <w:rFonts w:hint="eastAsia" w:ascii="宋体" w:hAnsi="宋体" w:eastAsia="宋体" w:cs="宋体"/>
                <w:i w:val="0"/>
                <w:iCs w:val="0"/>
                <w:color w:val="auto"/>
                <w:sz w:val="18"/>
                <w:szCs w:val="18"/>
                <w:u w:val="none"/>
              </w:rPr>
            </w:pPr>
          </w:p>
        </w:tc>
      </w:tr>
      <w:tr w14:paraId="40F91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A6C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F4D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78D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50mm圆形</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0B1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FAC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5BB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B70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302C8">
            <w:pPr>
              <w:jc w:val="left"/>
              <w:rPr>
                <w:rFonts w:hint="eastAsia" w:ascii="宋体" w:hAnsi="宋体" w:eastAsia="宋体" w:cs="宋体"/>
                <w:i w:val="0"/>
                <w:iCs w:val="0"/>
                <w:color w:val="auto"/>
                <w:sz w:val="18"/>
                <w:szCs w:val="18"/>
                <w:u w:val="none"/>
              </w:rPr>
            </w:pPr>
          </w:p>
        </w:tc>
      </w:tr>
      <w:tr w14:paraId="3645E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C47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B71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971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68*34mm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8F5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52C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2D8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414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C2F14">
            <w:pPr>
              <w:jc w:val="left"/>
              <w:rPr>
                <w:rFonts w:hint="eastAsia" w:ascii="宋体" w:hAnsi="宋体" w:eastAsia="宋体" w:cs="宋体"/>
                <w:i w:val="0"/>
                <w:iCs w:val="0"/>
                <w:color w:val="auto"/>
                <w:sz w:val="18"/>
                <w:szCs w:val="18"/>
                <w:u w:val="none"/>
              </w:rPr>
            </w:pPr>
          </w:p>
        </w:tc>
      </w:tr>
      <w:tr w14:paraId="78166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9A6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286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3FD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68*36mm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0B2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1B7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56A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05CC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F38C8">
            <w:pPr>
              <w:jc w:val="left"/>
              <w:rPr>
                <w:rFonts w:hint="eastAsia" w:ascii="宋体" w:hAnsi="宋体" w:eastAsia="宋体" w:cs="宋体"/>
                <w:i w:val="0"/>
                <w:iCs w:val="0"/>
                <w:color w:val="auto"/>
                <w:sz w:val="18"/>
                <w:szCs w:val="18"/>
                <w:u w:val="none"/>
              </w:rPr>
            </w:pPr>
          </w:p>
        </w:tc>
      </w:tr>
      <w:tr w14:paraId="7498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399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8E9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5A9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80*40mm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9B4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034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E84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34F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F86CA">
            <w:pPr>
              <w:jc w:val="left"/>
              <w:rPr>
                <w:rFonts w:hint="eastAsia" w:ascii="宋体" w:hAnsi="宋体" w:eastAsia="宋体" w:cs="宋体"/>
                <w:i w:val="0"/>
                <w:iCs w:val="0"/>
                <w:color w:val="auto"/>
                <w:sz w:val="18"/>
                <w:szCs w:val="18"/>
                <w:u w:val="none"/>
              </w:rPr>
            </w:pPr>
          </w:p>
        </w:tc>
      </w:tr>
      <w:tr w14:paraId="127A1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FC5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E16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A2A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90*40mm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938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5C2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035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D4F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0B1B4">
            <w:pPr>
              <w:jc w:val="left"/>
              <w:rPr>
                <w:rFonts w:hint="eastAsia" w:ascii="宋体" w:hAnsi="宋体" w:eastAsia="宋体" w:cs="宋体"/>
                <w:i w:val="0"/>
                <w:iCs w:val="0"/>
                <w:color w:val="auto"/>
                <w:sz w:val="18"/>
                <w:szCs w:val="18"/>
                <w:u w:val="none"/>
              </w:rPr>
            </w:pPr>
          </w:p>
        </w:tc>
      </w:tr>
      <w:tr w14:paraId="0ABCE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D76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95A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2C1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43*36mm卷</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6A1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03A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5DD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0.14</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394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17AA">
            <w:pPr>
              <w:jc w:val="left"/>
              <w:rPr>
                <w:rFonts w:hint="eastAsia" w:ascii="宋体" w:hAnsi="宋体" w:eastAsia="宋体" w:cs="宋体"/>
                <w:i w:val="0"/>
                <w:iCs w:val="0"/>
                <w:color w:val="auto"/>
                <w:sz w:val="18"/>
                <w:szCs w:val="18"/>
                <w:u w:val="none"/>
              </w:rPr>
            </w:pPr>
          </w:p>
        </w:tc>
      </w:tr>
      <w:tr w14:paraId="54F24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F0A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9C5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282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43*36mm平</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8D6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5AF1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30000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22E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830D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09E10">
            <w:pPr>
              <w:jc w:val="left"/>
              <w:rPr>
                <w:rFonts w:hint="eastAsia" w:ascii="宋体" w:hAnsi="宋体" w:eastAsia="宋体" w:cs="宋体"/>
                <w:i w:val="0"/>
                <w:iCs w:val="0"/>
                <w:color w:val="auto"/>
                <w:sz w:val="18"/>
                <w:szCs w:val="18"/>
                <w:u w:val="none"/>
              </w:rPr>
            </w:pPr>
          </w:p>
        </w:tc>
      </w:tr>
      <w:tr w14:paraId="0577C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7CA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CF4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78D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37mm圆形</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A0B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B34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810000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510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0.14</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9E5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23518">
            <w:pPr>
              <w:jc w:val="left"/>
              <w:rPr>
                <w:rFonts w:hint="eastAsia" w:ascii="宋体" w:hAnsi="宋体" w:eastAsia="宋体" w:cs="宋体"/>
                <w:i w:val="0"/>
                <w:iCs w:val="0"/>
                <w:color w:val="auto"/>
                <w:sz w:val="18"/>
                <w:szCs w:val="18"/>
                <w:u w:val="none"/>
              </w:rPr>
            </w:pPr>
          </w:p>
        </w:tc>
      </w:tr>
      <w:tr w14:paraId="373FF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FE8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E14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3A2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54*39mm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B8B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3E8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30000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C25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0.14</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1FA2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BB7EC">
            <w:pPr>
              <w:jc w:val="left"/>
              <w:rPr>
                <w:rFonts w:hint="eastAsia" w:ascii="宋体" w:hAnsi="宋体" w:eastAsia="宋体" w:cs="宋体"/>
                <w:i w:val="0"/>
                <w:iCs w:val="0"/>
                <w:color w:val="auto"/>
                <w:sz w:val="18"/>
                <w:szCs w:val="18"/>
                <w:u w:val="none"/>
              </w:rPr>
            </w:pPr>
          </w:p>
        </w:tc>
      </w:tr>
      <w:tr w14:paraId="17116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216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F0C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D46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82*53mm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7FF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FAC2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40000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FB7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0.14</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52B6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AC349">
            <w:pPr>
              <w:jc w:val="left"/>
              <w:rPr>
                <w:rFonts w:hint="eastAsia" w:ascii="宋体" w:hAnsi="宋体" w:eastAsia="宋体" w:cs="宋体"/>
                <w:i w:val="0"/>
                <w:iCs w:val="0"/>
                <w:color w:val="auto"/>
                <w:sz w:val="18"/>
                <w:szCs w:val="18"/>
                <w:u w:val="none"/>
              </w:rPr>
            </w:pPr>
          </w:p>
        </w:tc>
      </w:tr>
      <w:tr w14:paraId="686A9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841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D2A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B81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46*29mm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386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B42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74C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79C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0D1C6">
            <w:pPr>
              <w:jc w:val="left"/>
              <w:rPr>
                <w:rFonts w:hint="eastAsia" w:ascii="宋体" w:hAnsi="宋体" w:eastAsia="宋体" w:cs="宋体"/>
                <w:i w:val="0"/>
                <w:iCs w:val="0"/>
                <w:color w:val="auto"/>
                <w:sz w:val="18"/>
                <w:szCs w:val="18"/>
                <w:u w:val="none"/>
              </w:rPr>
            </w:pPr>
          </w:p>
        </w:tc>
      </w:tr>
      <w:tr w14:paraId="2B8B8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AED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D47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FFB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47*34mm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78C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D43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698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1A2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448CC">
            <w:pPr>
              <w:jc w:val="left"/>
              <w:rPr>
                <w:rFonts w:hint="eastAsia" w:ascii="宋体" w:hAnsi="宋体" w:eastAsia="宋体" w:cs="宋体"/>
                <w:i w:val="0"/>
                <w:iCs w:val="0"/>
                <w:color w:val="auto"/>
                <w:sz w:val="18"/>
                <w:szCs w:val="18"/>
                <w:u w:val="none"/>
              </w:rPr>
            </w:pPr>
          </w:p>
        </w:tc>
      </w:tr>
      <w:tr w14:paraId="0B787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998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9F3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C4B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50*33mm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E8C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56C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4000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9DA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2AA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C1E65">
            <w:pPr>
              <w:jc w:val="left"/>
              <w:rPr>
                <w:rFonts w:hint="eastAsia" w:ascii="宋体" w:hAnsi="宋体" w:eastAsia="宋体" w:cs="宋体"/>
                <w:i w:val="0"/>
                <w:iCs w:val="0"/>
                <w:color w:val="auto"/>
                <w:sz w:val="18"/>
                <w:szCs w:val="18"/>
                <w:u w:val="none"/>
              </w:rPr>
            </w:pPr>
          </w:p>
        </w:tc>
      </w:tr>
      <w:tr w14:paraId="618C7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93D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D24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094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58*30mm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A33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5B4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3000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BF9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26B8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BA456">
            <w:pPr>
              <w:jc w:val="left"/>
              <w:rPr>
                <w:rFonts w:hint="eastAsia" w:ascii="宋体" w:hAnsi="宋体" w:eastAsia="宋体" w:cs="宋体"/>
                <w:i w:val="0"/>
                <w:iCs w:val="0"/>
                <w:color w:val="auto"/>
                <w:sz w:val="18"/>
                <w:szCs w:val="18"/>
                <w:u w:val="none"/>
              </w:rPr>
            </w:pPr>
          </w:p>
        </w:tc>
      </w:tr>
      <w:tr w14:paraId="54BE3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9F5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9B6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8B4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69*22mm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5EC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6A6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71A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8136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3EB13">
            <w:pPr>
              <w:jc w:val="left"/>
              <w:rPr>
                <w:rFonts w:hint="eastAsia" w:ascii="宋体" w:hAnsi="宋体" w:eastAsia="宋体" w:cs="宋体"/>
                <w:i w:val="0"/>
                <w:iCs w:val="0"/>
                <w:color w:val="auto"/>
                <w:sz w:val="18"/>
                <w:szCs w:val="18"/>
                <w:u w:val="none"/>
              </w:rPr>
            </w:pPr>
          </w:p>
        </w:tc>
      </w:tr>
      <w:tr w14:paraId="2F170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51F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94E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727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72*40mm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ED8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B95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361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510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EF2C5">
            <w:pPr>
              <w:jc w:val="left"/>
              <w:rPr>
                <w:rFonts w:hint="eastAsia" w:ascii="宋体" w:hAnsi="宋体" w:eastAsia="宋体" w:cs="宋体"/>
                <w:i w:val="0"/>
                <w:iCs w:val="0"/>
                <w:color w:val="auto"/>
                <w:sz w:val="18"/>
                <w:szCs w:val="18"/>
                <w:u w:val="none"/>
              </w:rPr>
            </w:pPr>
          </w:p>
        </w:tc>
      </w:tr>
      <w:tr w14:paraId="0BFB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BC5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B92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51A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73*25mm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F07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365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3000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1F2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C95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A4510">
            <w:pPr>
              <w:jc w:val="left"/>
              <w:rPr>
                <w:rFonts w:hint="eastAsia" w:ascii="宋体" w:hAnsi="宋体" w:eastAsia="宋体" w:cs="宋体"/>
                <w:i w:val="0"/>
                <w:iCs w:val="0"/>
                <w:color w:val="auto"/>
                <w:sz w:val="18"/>
                <w:szCs w:val="18"/>
                <w:u w:val="none"/>
              </w:rPr>
            </w:pPr>
          </w:p>
        </w:tc>
      </w:tr>
      <w:tr w14:paraId="478F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923D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61B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2FB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75*24mm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913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5F4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0BD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55E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7AE2F">
            <w:pPr>
              <w:jc w:val="left"/>
              <w:rPr>
                <w:rFonts w:hint="eastAsia" w:ascii="宋体" w:hAnsi="宋体" w:eastAsia="宋体" w:cs="宋体"/>
                <w:i w:val="0"/>
                <w:iCs w:val="0"/>
                <w:color w:val="auto"/>
                <w:sz w:val="18"/>
                <w:szCs w:val="18"/>
                <w:u w:val="none"/>
              </w:rPr>
            </w:pPr>
          </w:p>
        </w:tc>
      </w:tr>
      <w:tr w14:paraId="5C45C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E7D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A48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不干胶标签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8D2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34*18mm长圆</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D95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173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D30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0.08</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829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E2EFF">
            <w:pPr>
              <w:jc w:val="left"/>
              <w:rPr>
                <w:rFonts w:hint="eastAsia" w:ascii="宋体" w:hAnsi="宋体" w:eastAsia="宋体" w:cs="宋体"/>
                <w:i w:val="0"/>
                <w:iCs w:val="0"/>
                <w:color w:val="auto"/>
                <w:sz w:val="18"/>
                <w:szCs w:val="18"/>
                <w:u w:val="none"/>
              </w:rPr>
            </w:pPr>
          </w:p>
        </w:tc>
      </w:tr>
      <w:tr w14:paraId="486FB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ED6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661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说明书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B87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73*92mm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AC1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05D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40000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FF6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0.07</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C8B8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A6D8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1、纸张与印刷：</w:t>
            </w:r>
            <w:r>
              <w:rPr>
                <w:rFonts w:hint="eastAsia" w:ascii="宋体" w:hAnsi="宋体" w:eastAsia="宋体" w:cs="宋体"/>
                <w:color w:val="auto"/>
                <w:sz w:val="18"/>
                <w:szCs w:val="18"/>
                <w:u w:val="none"/>
                <w:lang w:val="en-US" w:eastAsia="zh-CN" w:bidi="ar"/>
              </w:rPr>
              <w:t>≥70g胶版纸</w:t>
            </w:r>
            <w:r>
              <w:rPr>
                <w:rFonts w:hint="eastAsia" w:ascii="宋体" w:hAnsi="宋体" w:eastAsia="宋体" w:cs="宋体"/>
                <w:i w:val="0"/>
                <w:iCs w:val="0"/>
                <w:color w:val="auto"/>
                <w:kern w:val="0"/>
                <w:sz w:val="18"/>
                <w:szCs w:val="18"/>
                <w:u w:val="none"/>
                <w:lang w:val="en-US" w:eastAsia="zh-CN" w:bidi="ar"/>
              </w:rPr>
              <w:t>，版面整洁，文字正确无误。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2、尺寸：裁切整齐。</w:t>
            </w:r>
          </w:p>
        </w:tc>
      </w:tr>
      <w:tr w14:paraId="5BD2D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E3F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7CC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说明书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9C4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83*100mm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047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695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200000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386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0.07</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F76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21840">
            <w:pPr>
              <w:jc w:val="left"/>
              <w:rPr>
                <w:rFonts w:hint="eastAsia" w:ascii="宋体" w:hAnsi="宋体" w:eastAsia="宋体" w:cs="宋体"/>
                <w:i w:val="0"/>
                <w:iCs w:val="0"/>
                <w:color w:val="auto"/>
                <w:sz w:val="18"/>
                <w:szCs w:val="18"/>
                <w:u w:val="none"/>
              </w:rPr>
            </w:pPr>
          </w:p>
        </w:tc>
      </w:tr>
      <w:tr w14:paraId="04082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416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870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说明书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859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90*110mm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3CA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6DC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827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0.07</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AB2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F3F19">
            <w:pPr>
              <w:jc w:val="left"/>
              <w:rPr>
                <w:rFonts w:hint="eastAsia" w:ascii="宋体" w:hAnsi="宋体" w:eastAsia="宋体" w:cs="宋体"/>
                <w:i w:val="0"/>
                <w:iCs w:val="0"/>
                <w:color w:val="auto"/>
                <w:sz w:val="18"/>
                <w:szCs w:val="18"/>
                <w:u w:val="none"/>
              </w:rPr>
            </w:pPr>
          </w:p>
        </w:tc>
      </w:tr>
      <w:tr w14:paraId="2E39D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50B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DE0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说明书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58B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120*170mm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D68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1AC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B96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0.08</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717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A4503">
            <w:pPr>
              <w:jc w:val="left"/>
              <w:rPr>
                <w:rFonts w:hint="eastAsia" w:ascii="宋体" w:hAnsi="宋体" w:eastAsia="宋体" w:cs="宋体"/>
                <w:i w:val="0"/>
                <w:iCs w:val="0"/>
                <w:color w:val="auto"/>
                <w:sz w:val="18"/>
                <w:szCs w:val="18"/>
                <w:u w:val="none"/>
              </w:rPr>
            </w:pPr>
          </w:p>
        </w:tc>
      </w:tr>
      <w:tr w14:paraId="505A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8E9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FB9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说明书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8A8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120*175mm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318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CC4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15000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EF7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0.08</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88AD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5321C">
            <w:pPr>
              <w:jc w:val="left"/>
              <w:rPr>
                <w:rFonts w:hint="eastAsia" w:ascii="宋体" w:hAnsi="宋体" w:eastAsia="宋体" w:cs="宋体"/>
                <w:i w:val="0"/>
                <w:iCs w:val="0"/>
                <w:color w:val="auto"/>
                <w:sz w:val="18"/>
                <w:szCs w:val="18"/>
                <w:u w:val="none"/>
              </w:rPr>
            </w:pPr>
          </w:p>
        </w:tc>
      </w:tr>
      <w:tr w14:paraId="59320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D67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934B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说明书</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EE9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65*93mm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88E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C48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D25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0.07</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4A1C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E6CE2">
            <w:pPr>
              <w:jc w:val="left"/>
              <w:rPr>
                <w:rFonts w:hint="eastAsia" w:ascii="宋体" w:hAnsi="宋体" w:eastAsia="宋体" w:cs="宋体"/>
                <w:i w:val="0"/>
                <w:iCs w:val="0"/>
                <w:color w:val="auto"/>
                <w:sz w:val="18"/>
                <w:szCs w:val="18"/>
                <w:u w:val="none"/>
              </w:rPr>
            </w:pPr>
          </w:p>
        </w:tc>
      </w:tr>
      <w:tr w14:paraId="41968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AD0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52D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封口签</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1BA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25mm圆形</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388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F06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700000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EDF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264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6BB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1、材质与规格：不干胶纸，纸张符合GB/T7706-2008《凸版装潢印刷品》要求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2、外观与印刷：标签表面整洁，文字、图案印刷清晰。采用大豆环保油墨。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3、粘合性能：胶粘剂涂布均匀，剥离强度适中。</w:t>
            </w:r>
          </w:p>
        </w:tc>
      </w:tr>
      <w:tr w14:paraId="5FF13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37E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440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合格证</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1C7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裁切整齐</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089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243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723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0.19</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80D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A75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1、外观与印刷:印刷清晰,采用大豆环保油墨。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2、尺寸：裁切整齐。</w:t>
            </w:r>
          </w:p>
        </w:tc>
      </w:tr>
      <w:tr w14:paraId="1902E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986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BCE8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牛皮纸袋</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F36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110*160mm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55E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F4F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FF4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0.48</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9E1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B01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1、材质与规格：采用≥70g牛皮纸</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2、外观与印刷：文字、图案印刷清晰，采用大豆环保油墨。袋体平整，粘合牢固，粘合处涂布均匀。</w:t>
            </w:r>
          </w:p>
        </w:tc>
      </w:tr>
      <w:tr w14:paraId="5A079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37A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E71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瓦楞纸箱</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6DA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440*300*230mm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D58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7CF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6B6F">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6.13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4A1B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E91B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1、五层瓦楞纸箱。</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2、纸板材质应符合 GB/T 6544《瓦楞纸板》 标准要求。    3、面纸采用≥200g牛皮纸，纸箱长、宽、高偏差不超过±5mm，箱面平整、洁净，无破损、脏污等缺陷，成箱抗压、承重满足使用要求。</w:t>
            </w:r>
          </w:p>
        </w:tc>
      </w:tr>
      <w:tr w14:paraId="7BA03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531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769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瓦楞纸箱</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62D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500*390*160mm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1BA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214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7000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8EB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7.27</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32A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8165B">
            <w:pPr>
              <w:jc w:val="left"/>
              <w:rPr>
                <w:rFonts w:hint="eastAsia" w:ascii="宋体" w:hAnsi="宋体" w:eastAsia="宋体" w:cs="宋体"/>
                <w:i w:val="0"/>
                <w:iCs w:val="0"/>
                <w:color w:val="auto"/>
                <w:sz w:val="18"/>
                <w:szCs w:val="18"/>
                <w:u w:val="none"/>
              </w:rPr>
            </w:pPr>
          </w:p>
        </w:tc>
      </w:tr>
      <w:tr w14:paraId="217E3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22B2">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E53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瓦楞纸箱</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72BA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500*360*190mm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059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A7B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5000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2339">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6.83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35C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F60E9">
            <w:pPr>
              <w:jc w:val="left"/>
              <w:rPr>
                <w:rFonts w:hint="eastAsia" w:ascii="宋体" w:hAnsi="宋体" w:eastAsia="宋体" w:cs="宋体"/>
                <w:i w:val="0"/>
                <w:iCs w:val="0"/>
                <w:color w:val="auto"/>
                <w:sz w:val="18"/>
                <w:szCs w:val="18"/>
                <w:u w:val="none"/>
              </w:rPr>
            </w:pPr>
          </w:p>
        </w:tc>
      </w:tr>
      <w:tr w14:paraId="6A2C7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A3C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E8FD">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瓦楞纸箱</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A98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350*220*160mm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D698">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37F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D356">
            <w:pPr>
              <w:keepNext w:val="0"/>
              <w:keepLines w:val="0"/>
              <w:widowControl/>
              <w:suppressLineNumbers w:val="0"/>
              <w:jc w:val="right"/>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3.30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143E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5727E">
            <w:pPr>
              <w:jc w:val="left"/>
              <w:rPr>
                <w:rFonts w:hint="eastAsia" w:ascii="宋体" w:hAnsi="宋体" w:eastAsia="宋体" w:cs="宋体"/>
                <w:i w:val="0"/>
                <w:iCs w:val="0"/>
                <w:color w:val="auto"/>
                <w:sz w:val="18"/>
                <w:szCs w:val="18"/>
                <w:u w:val="none"/>
              </w:rPr>
            </w:pPr>
          </w:p>
        </w:tc>
      </w:tr>
      <w:tr w14:paraId="2CB0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801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18B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瓦楞纸箱</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C08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400*385*350mm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B06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686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479D">
            <w:pPr>
              <w:keepNext w:val="0"/>
              <w:keepLines w:val="0"/>
              <w:widowControl/>
              <w:suppressLineNumbers w:val="0"/>
              <w:jc w:val="right"/>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7.10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0CE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C2E6B">
            <w:pPr>
              <w:jc w:val="left"/>
              <w:rPr>
                <w:rFonts w:hint="eastAsia" w:ascii="宋体" w:hAnsi="宋体" w:eastAsia="宋体" w:cs="宋体"/>
                <w:i w:val="0"/>
                <w:iCs w:val="0"/>
                <w:color w:val="auto"/>
                <w:sz w:val="18"/>
                <w:szCs w:val="18"/>
                <w:u w:val="none"/>
              </w:rPr>
            </w:pPr>
          </w:p>
        </w:tc>
      </w:tr>
      <w:tr w14:paraId="0FAC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9F126">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52</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CF54">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瓦楞纸箱</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826B">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420*370*345mm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FA4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BD9C">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0E31">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7.83</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869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172FE">
            <w:pPr>
              <w:jc w:val="left"/>
              <w:rPr>
                <w:rFonts w:hint="eastAsia" w:ascii="宋体" w:hAnsi="宋体" w:eastAsia="宋体" w:cs="宋体"/>
                <w:i w:val="0"/>
                <w:iCs w:val="0"/>
                <w:color w:val="auto"/>
                <w:sz w:val="18"/>
                <w:szCs w:val="18"/>
                <w:u w:val="none"/>
              </w:rPr>
            </w:pPr>
          </w:p>
        </w:tc>
      </w:tr>
      <w:tr w14:paraId="0EECA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163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6590">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瓦楞纸箱</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7E59E">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420*320*190mm</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F5FA">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FCD5">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0353">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3.67</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6CE7">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c>
          <w:tcPr>
            <w:tcW w:w="4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83C10">
            <w:pPr>
              <w:jc w:val="left"/>
              <w:rPr>
                <w:rFonts w:hint="eastAsia" w:ascii="宋体" w:hAnsi="宋体" w:eastAsia="宋体" w:cs="宋体"/>
                <w:i w:val="0"/>
                <w:iCs w:val="0"/>
                <w:color w:val="auto"/>
                <w:sz w:val="18"/>
                <w:szCs w:val="18"/>
                <w:u w:val="none"/>
              </w:rPr>
            </w:pPr>
          </w:p>
        </w:tc>
      </w:tr>
    </w:tbl>
    <w:p w14:paraId="6F9EA494">
      <w:pPr>
        <w:rPr>
          <w:rFonts w:hint="eastAsia" w:ascii="宋体" w:hAnsi="宋体" w:cs="宋体"/>
          <w:b/>
          <w:szCs w:val="21"/>
        </w:rPr>
      </w:pPr>
    </w:p>
    <w:p w14:paraId="0638C792">
      <w:pPr>
        <w:rPr>
          <w:rFonts w:hint="eastAsia" w:ascii="宋体" w:hAnsi="宋体" w:cs="宋体"/>
          <w:b/>
          <w:szCs w:val="21"/>
        </w:rPr>
      </w:pPr>
      <w:r>
        <w:rPr>
          <w:rFonts w:hint="eastAsia" w:ascii="宋体" w:hAnsi="宋体" w:cs="宋体"/>
          <w:b/>
          <w:szCs w:val="21"/>
        </w:rPr>
        <w:br w:type="page"/>
      </w:r>
    </w:p>
    <w:p w14:paraId="76603B42">
      <w:pPr>
        <w:spacing w:line="360" w:lineRule="auto"/>
        <w:rPr>
          <w:rFonts w:hint="eastAsia" w:ascii="宋体" w:hAnsi="宋体" w:cs="宋体"/>
          <w:b/>
          <w:szCs w:val="21"/>
        </w:rPr>
      </w:pPr>
      <w:r>
        <w:rPr>
          <w:rFonts w:hint="eastAsia" w:ascii="宋体" w:hAnsi="宋体" w:cs="宋体"/>
          <w:b/>
          <w:szCs w:val="21"/>
        </w:rPr>
        <w:t>附表2                          02包 医院制剂内包装材料需求表</w:t>
      </w:r>
    </w:p>
    <w:tbl>
      <w:tblPr>
        <w:tblStyle w:val="7"/>
        <w:tblW w:w="96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7"/>
        <w:gridCol w:w="2923"/>
        <w:gridCol w:w="1325"/>
        <w:gridCol w:w="945"/>
        <w:gridCol w:w="765"/>
        <w:gridCol w:w="885"/>
        <w:gridCol w:w="1080"/>
        <w:gridCol w:w="1290"/>
      </w:tblGrid>
      <w:tr w14:paraId="32829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8625">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序号</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A2F7">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品名及质量技术要求</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FF2E">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类型</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409DC">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规格</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2358">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D652">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预计使用量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9BA3">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单价最高限价（元）</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BA5A">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是否核心产品</w:t>
            </w:r>
          </w:p>
        </w:tc>
      </w:tr>
      <w:tr w14:paraId="42198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AAC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CFB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B36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保险瓶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EC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C2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9F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14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0.99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800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0A71F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69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D74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94E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保险瓶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7D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92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1A2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C1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1.00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3C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3DA49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86A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66F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E0F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广口保险瓶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6C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4BC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7C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2E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0.47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E0D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1E63A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311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025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6DF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棕色保险瓶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D9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E6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932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A6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0.99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EF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0E143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3E4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420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DDA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棕色保险瓶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A7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C6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21F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B60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2.49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C1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1D411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42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269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2DF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棕色聚脂瓶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74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84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7D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BBB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2.82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40B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22226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EBF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272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334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棕色瓶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C5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8A8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42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ECB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3.86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B8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3CF8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35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347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4C0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棕色瓶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D18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2B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7A4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6B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1.15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73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576CC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EE7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1F5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04E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58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AC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235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647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13.80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36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7A68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627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F17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92E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白色软膏盒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1CA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656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15A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0E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1.25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9D4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13F3F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B9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E98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E7E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黄色软膏盒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5A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48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283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BF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1.21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A0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1A35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EF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F86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A4F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黄色软膏盒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4C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0A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693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10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1.16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F8E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072F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385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A92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128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深绿色软膏盒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14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61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50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330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1.33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40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47AB4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61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D1E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BCB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玫红色软膏盒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D35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A0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64A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4A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1.33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6C8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5F9FE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4B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533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00D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黄色乳膏盒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E8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60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F4E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FAF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2.70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AA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65BDD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1E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1CB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A1F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黑色软膏盒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64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48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764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CC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1.08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1B5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08A60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682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CCE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EAA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粉色软膏盒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1DE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CB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F4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43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1.08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89B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50164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0DF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995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1E6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黄色软膏盒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18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3C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5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D71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1.44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8E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1F277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B99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8A0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413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浅绿色软膏盒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737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20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86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62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1.37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DFD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27D3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94E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16E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74B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蓝色软膏盒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F7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88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8A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CD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1.08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54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3E69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1D8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B49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2F1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褐色软膏盒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A6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112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AB2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81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1.43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14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2AC54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36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218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826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紫色软膏盒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BA2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261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97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8C5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1.08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F18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33DEE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4B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C14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82D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银色软膏盒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2B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73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EB99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3AE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1.11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E9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1EB15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A9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375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外用软膏剂用聚丙烯盒</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6D7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红色软膏盒</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F0B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ADC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55D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5E9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1.11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7AF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73358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2A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B8F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透明聚酯吸塑托盘</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73C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圆塑料托</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1A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定制</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001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DD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1E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0.31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EC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70A9E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F6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58E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14C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保险瓶200ml</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535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3E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B15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7E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1.78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B3A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是</w:t>
            </w:r>
          </w:p>
        </w:tc>
      </w:tr>
      <w:tr w14:paraId="0491A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8E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55A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口服液体药用聚丙烯瓶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39C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保险瓶200ml</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87D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51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31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1F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1.78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7AC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62F6C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72D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1A1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B41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防盗方瓶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2ED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F2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51D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AC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3.20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87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5526C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4F9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729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444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保险瓶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A9B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33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B2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C3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1.23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0B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2423E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CCB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829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5F2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棕色药用瓶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8B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4A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76D5">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6EC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1.19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7A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5E38E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77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9900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口服液体药用高密度聚乙烯瓶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402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口服膏瓶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2F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BD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B8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B88E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1.61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DB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6B725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E59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B73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口服固体药用聚丙烯瓶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52B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胶囊瓶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EE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6C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17C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CF9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1.29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DD8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09096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36E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750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口服固体药用高密度聚乙烯瓶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0D8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胶囊瓶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E69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039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A18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30C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1.29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481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55431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C5FD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82F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口服固体药用聚丙烯瓶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9F9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塑料瓶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FD3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9C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506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023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1.26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7CD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19367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AD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E98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口服固体药用高密度聚乙烯瓶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212B">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塑料瓶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94A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3C5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5E8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63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1.26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1BC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10310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01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84F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口服固体药用聚丙烯瓶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2B1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56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FE4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BA8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89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0.63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2FA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66C9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CD6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FDA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口服固体药用聚丙烯瓶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560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广口保险瓶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1C7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C6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5E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2A4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0.24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43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55D00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FF9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766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聚乙烯中药丸球壳</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B0C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A77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883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925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BC8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0.25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AC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3D6B8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3AD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D6F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聚乙烯中药丸球壳</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E2A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药球</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2CF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9g</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82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72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F07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0.24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60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304D7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00F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DF4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低密度聚乙烯药用滴眼剂瓶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B8A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眼药水瓶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D896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764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E39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50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0.49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58E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7C4E1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3D7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1A2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低密度聚乙烯药用滴眼剂瓶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6E4A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眼药水瓶</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09C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10ml</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5E5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67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D38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0.49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FE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79FF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49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9CE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药用低密度聚乙烯袋</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710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塑料袋</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0B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120*60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FE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0DA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A3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2.40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CC6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2CE9D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B37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1DF4">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药用低密度聚乙烯袋</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A785">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塑料袋</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87D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65*45</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087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07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608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1.37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1E6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4A217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3FB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3389">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药用低密度聚乙烯袋</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C9DC">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塑料袋</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4FC4">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100个/捆</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71B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E8F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CD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0.29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9F3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r w14:paraId="332A1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CC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2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5AA7">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PS 发泡压敏封口垫片</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CB9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垫片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135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182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5E1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63E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0.17 </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149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否</w:t>
            </w:r>
          </w:p>
        </w:tc>
      </w:tr>
    </w:tbl>
    <w:p w14:paraId="27507CE8">
      <w:pPr>
        <w:rPr>
          <w:rFonts w:hint="eastAsia" w:ascii="宋体" w:hAnsi="宋体" w:cs="宋体"/>
          <w:b/>
          <w:sz w:val="18"/>
          <w:szCs w:val="18"/>
        </w:rPr>
      </w:pPr>
      <w:r>
        <w:rPr>
          <w:rFonts w:hint="eastAsia" w:ascii="宋体" w:hAnsi="宋体" w:cs="宋体"/>
          <w:b/>
          <w:sz w:val="18"/>
          <w:szCs w:val="18"/>
        </w:rPr>
        <w:br w:type="page"/>
      </w:r>
    </w:p>
    <w:p w14:paraId="5B3C35BB">
      <w:pPr>
        <w:rPr>
          <w:rFonts w:hint="eastAsia" w:ascii="宋体" w:hAnsi="宋体" w:cs="宋体"/>
          <w:b/>
          <w:sz w:val="18"/>
          <w:szCs w:val="18"/>
        </w:rPr>
      </w:pPr>
    </w:p>
    <w:p w14:paraId="00FAE310">
      <w:pPr>
        <w:spacing w:line="360" w:lineRule="auto"/>
        <w:ind w:firstLine="480" w:firstLineChars="200"/>
        <w:jc w:val="left"/>
        <w:rPr>
          <w:rFonts w:hint="eastAsia" w:ascii="宋体" w:hAnsi="宋体" w:cs="宋体"/>
          <w:sz w:val="24"/>
        </w:rPr>
      </w:pPr>
      <w:r>
        <w:rPr>
          <w:rFonts w:hint="eastAsia" w:ascii="宋体" w:hAnsi="宋体" w:cs="宋体"/>
          <w:sz w:val="24"/>
        </w:rPr>
        <w:t>备注：</w:t>
      </w:r>
    </w:p>
    <w:p w14:paraId="44BDBC2D">
      <w:pPr>
        <w:spacing w:line="360" w:lineRule="auto"/>
        <w:ind w:firstLine="480" w:firstLineChars="200"/>
        <w:jc w:val="left"/>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w:t>
      </w:r>
      <w:r>
        <w:rPr>
          <w:rFonts w:hint="eastAsia" w:ascii="宋体" w:hAnsi="宋体" w:cs="宋体"/>
          <w:sz w:val="24"/>
        </w:rPr>
        <w:t>本项目设置“双重限价”，投标人报价须同时满足以下条件，任一项不满足即为无效投标：</w:t>
      </w:r>
    </w:p>
    <w:p w14:paraId="2C49C94A">
      <w:pPr>
        <w:spacing w:line="360" w:lineRule="auto"/>
        <w:ind w:firstLine="480" w:firstLineChars="200"/>
        <w:jc w:val="left"/>
        <w:rPr>
          <w:rFonts w:hint="eastAsia" w:ascii="宋体" w:hAnsi="宋体" w:cs="宋体"/>
          <w:sz w:val="24"/>
        </w:rPr>
      </w:pPr>
      <w:r>
        <w:rPr>
          <w:rFonts w:hint="eastAsia" w:ascii="宋体" w:hAnsi="宋体" w:cs="宋体"/>
          <w:sz w:val="24"/>
        </w:rPr>
        <w:t>（1）单价限价：各分项货物的投标单价均不得高于招标文件提供的“单价最高限价”；</w:t>
      </w:r>
    </w:p>
    <w:p w14:paraId="4D90AD11">
      <w:pPr>
        <w:spacing w:line="360" w:lineRule="auto"/>
        <w:ind w:firstLine="480" w:firstLineChars="200"/>
        <w:jc w:val="left"/>
        <w:rPr>
          <w:rFonts w:hint="eastAsia" w:ascii="宋体" w:hAnsi="宋体" w:cs="宋体"/>
          <w:sz w:val="24"/>
        </w:rPr>
      </w:pPr>
      <w:r>
        <w:rPr>
          <w:rFonts w:hint="eastAsia" w:ascii="宋体" w:hAnsi="宋体" w:cs="宋体"/>
          <w:sz w:val="24"/>
        </w:rPr>
        <w:t>（2）总价限价：投标人依据</w:t>
      </w:r>
      <w:r>
        <w:rPr>
          <w:rFonts w:hint="eastAsia" w:ascii="宋体" w:hAnsi="宋体" w:cs="宋体"/>
          <w:sz w:val="24"/>
          <w:lang w:eastAsia="zh-CN"/>
        </w:rPr>
        <w:t>采购人</w:t>
      </w:r>
      <w:r>
        <w:rPr>
          <w:rFonts w:hint="eastAsia" w:ascii="宋体" w:hAnsi="宋体" w:cs="宋体"/>
          <w:sz w:val="24"/>
        </w:rPr>
        <w:t>提供的“预估使用数量”，计算得出的评标总价（Σ投标单价×预估数量），不得超过本项目各采购包的预算金额：第01包制剂室外包装材料预算金额：100万元/年 ；第02包制剂室内包装材料预算金额：150万元/年 。</w:t>
      </w:r>
    </w:p>
    <w:p w14:paraId="1CFFABA9">
      <w:pPr>
        <w:spacing w:line="360" w:lineRule="auto"/>
        <w:ind w:firstLine="480" w:firstLineChars="200"/>
        <w:jc w:val="left"/>
        <w:rPr>
          <w:rFonts w:hint="eastAsia" w:ascii="宋体" w:hAnsi="宋体" w:cs="宋体"/>
          <w:sz w:val="24"/>
        </w:rPr>
        <w:sectPr>
          <w:pgSz w:w="11906" w:h="16838"/>
          <w:pgMar w:top="1440" w:right="1080" w:bottom="1440" w:left="1080" w:header="851" w:footer="992" w:gutter="0"/>
          <w:cols w:space="425" w:num="1"/>
          <w:docGrid w:type="lines" w:linePitch="312" w:charSpace="0"/>
        </w:sectPr>
      </w:pPr>
      <w:r>
        <w:rPr>
          <w:rFonts w:hint="eastAsia" w:ascii="宋体" w:hAnsi="宋体" w:cs="宋体"/>
          <w:sz w:val="24"/>
        </w:rPr>
        <w:t>2</w:t>
      </w:r>
      <w:r>
        <w:rPr>
          <w:rFonts w:hint="eastAsia" w:ascii="宋体" w:hAnsi="宋体" w:cs="宋体"/>
          <w:sz w:val="24"/>
          <w:lang w:val="en-US" w:eastAsia="zh-CN"/>
        </w:rPr>
        <w:t>.</w:t>
      </w:r>
      <w:r>
        <w:rPr>
          <w:rFonts w:hint="eastAsia" w:ascii="宋体" w:hAnsi="宋体" w:cs="宋体"/>
          <w:sz w:val="24"/>
        </w:rPr>
        <w:t>上述“评标总价”仅作为价格评审时的得分计算依据。中标后，合同为固定单价合同，最终结算金额以实际供货验收合格的数量×中标单价为准，</w:t>
      </w:r>
      <w:r>
        <w:rPr>
          <w:rFonts w:hint="eastAsia" w:ascii="宋体" w:hAnsi="宋体" w:cs="宋体"/>
          <w:sz w:val="24"/>
          <w:lang w:eastAsia="zh-CN"/>
        </w:rPr>
        <w:t>采购人</w:t>
      </w:r>
      <w:r>
        <w:rPr>
          <w:rFonts w:hint="eastAsia" w:ascii="宋体" w:hAnsi="宋体" w:cs="宋体"/>
          <w:sz w:val="24"/>
        </w:rPr>
        <w:t>不承诺预估数量的准确性，盈亏风险由投标人自行承担。</w:t>
      </w:r>
    </w:p>
    <w:p w14:paraId="3868E8E6">
      <w:pPr>
        <w:rPr>
          <w:rFonts w:hint="eastAsia" w:ascii="宋体" w:hAnsi="宋体" w:cs="宋体"/>
          <w:b/>
          <w:bCs/>
          <w:sz w:val="24"/>
        </w:rPr>
      </w:pPr>
    </w:p>
    <w:p w14:paraId="52FF5E75">
      <w:pPr>
        <w:rPr>
          <w:rFonts w:hint="eastAsia" w:ascii="宋体" w:hAnsi="宋体" w:cs="宋体"/>
          <w:b/>
          <w:bCs/>
          <w:sz w:val="24"/>
        </w:rPr>
      </w:pPr>
    </w:p>
    <w:p w14:paraId="614DB470">
      <w:pPr>
        <w:widowControl/>
        <w:spacing w:line="360" w:lineRule="auto"/>
        <w:ind w:firstLine="482" w:firstLineChars="200"/>
        <w:contextualSpacing/>
        <w:jc w:val="left"/>
        <w:rPr>
          <w:rFonts w:hint="eastAsia" w:ascii="宋体" w:hAnsi="宋体" w:cs="宋体"/>
          <w:b/>
          <w:bCs/>
          <w:sz w:val="24"/>
        </w:rPr>
      </w:pPr>
      <w:r>
        <w:rPr>
          <w:rFonts w:hint="eastAsia" w:ascii="宋体" w:hAnsi="宋体" w:cs="宋体"/>
          <w:b/>
          <w:bCs/>
          <w:sz w:val="24"/>
        </w:rPr>
        <w:t>（三）特别说明：</w:t>
      </w:r>
    </w:p>
    <w:p w14:paraId="69D5DB4B">
      <w:pPr>
        <w:spacing w:line="360" w:lineRule="auto"/>
        <w:ind w:firstLine="480" w:firstLineChars="200"/>
        <w:jc w:val="left"/>
        <w:rPr>
          <w:rFonts w:hint="eastAsia" w:ascii="宋体" w:hAnsi="宋体" w:cs="宋体"/>
          <w:sz w:val="24"/>
        </w:rPr>
      </w:pPr>
      <w:r>
        <w:rPr>
          <w:rFonts w:hint="eastAsia" w:ascii="宋体" w:hAnsi="宋体" w:cs="宋体"/>
          <w:sz w:val="24"/>
        </w:rPr>
        <w:t>1.对于技术规格中标注“★”号（如有）的技术参数代表实质性指标，不满足该指标项将直接导致投标被拒绝。</w:t>
      </w:r>
    </w:p>
    <w:p w14:paraId="313129F1">
      <w:pPr>
        <w:spacing w:line="360" w:lineRule="auto"/>
        <w:ind w:firstLine="480" w:firstLineChars="200"/>
        <w:jc w:val="left"/>
        <w:rPr>
          <w:rFonts w:hint="eastAsia" w:ascii="宋体" w:hAnsi="宋体" w:cs="宋体"/>
          <w:sz w:val="24"/>
        </w:rPr>
      </w:pPr>
      <w:r>
        <w:rPr>
          <w:rFonts w:hint="eastAsia" w:ascii="宋体" w:hAnsi="宋体" w:cs="宋体"/>
          <w:sz w:val="24"/>
        </w:rPr>
        <w:t>2.标注“▲”的指标为重要的技术指标，不满足将导致其在第四章评标标准中对采购需求的响应情况被扣除相应分值。</w:t>
      </w:r>
    </w:p>
    <w:p w14:paraId="0D6EA8D0">
      <w:pPr>
        <w:spacing w:line="360" w:lineRule="auto"/>
        <w:ind w:firstLine="480" w:firstLineChars="200"/>
        <w:jc w:val="left"/>
        <w:rPr>
          <w:rFonts w:hint="eastAsia" w:hAnsi="宋体"/>
          <w:sz w:val="36"/>
          <w:szCs w:val="36"/>
        </w:rPr>
      </w:pPr>
      <w:r>
        <w:rPr>
          <w:rFonts w:hint="eastAsia" w:ascii="宋体" w:hAnsi="宋体" w:cs="宋体"/>
          <w:sz w:val="24"/>
        </w:rPr>
        <w:t>3.对于采购需求“三、技术要求”中“（二）具体要求”所列的技术指标，如应提供且可以提供设备的真实技术指标参数但投标人不提供，只照抄招标文件参数要求，经评标委员会认定，投标人对该项指标的响应为“负偏离”。</w:t>
      </w:r>
      <w:bookmarkEnd w:id="0"/>
      <w:bookmarkEnd w:id="1"/>
      <w:r>
        <w:rPr>
          <w:rFonts w:hAnsi="宋体"/>
          <w:sz w:val="36"/>
          <w:szCs w:val="36"/>
        </w:rPr>
        <w:br w:type="page"/>
      </w:r>
    </w:p>
    <w:p w14:paraId="6EC2ABE1">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7175E7"/>
    <w:rsid w:val="158445FD"/>
    <w:rsid w:val="1829020E"/>
    <w:rsid w:val="30DD752B"/>
    <w:rsid w:val="3E803FB6"/>
    <w:rsid w:val="40BE1BF9"/>
    <w:rsid w:val="518855B2"/>
    <w:rsid w:val="56624473"/>
    <w:rsid w:val="570A507F"/>
    <w:rsid w:val="62BF6114"/>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1"/>
    <w:link w:val="10"/>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toc 2"/>
    <w:basedOn w:val="1"/>
    <w:next w:val="1"/>
    <w:qFormat/>
    <w:uiPriority w:val="0"/>
    <w:pPr>
      <w:ind w:left="420" w:leftChars="200"/>
    </w:pPr>
  </w:style>
  <w:style w:type="paragraph" w:styleId="6">
    <w:name w:val="Body Text 2"/>
    <w:basedOn w:val="1"/>
    <w:qFormat/>
    <w:uiPriority w:val="0"/>
    <w:pPr>
      <w:spacing w:after="120" w:afterLines="0" w:afterAutospacing="0" w:line="480" w:lineRule="auto"/>
    </w:pPr>
  </w:style>
  <w:style w:type="character" w:styleId="9">
    <w:name w:val="Hyperlink"/>
    <w:qFormat/>
    <w:uiPriority w:val="0"/>
    <w:rPr>
      <w:rFonts w:ascii="Times New Roman" w:hAnsi="Times New Roman" w:eastAsia="宋体"/>
      <w:color w:val="0000FF"/>
      <w:u w:val="single"/>
    </w:rPr>
  </w:style>
  <w:style w:type="character" w:customStyle="1" w:styleId="10">
    <w:name w:val="标题 3 字符2"/>
    <w:link w:val="3"/>
    <w:qFormat/>
    <w:uiPriority w:val="9"/>
    <w:rPr>
      <w:rFonts w:ascii="宋体" w:hAnsi="宋体" w:eastAsia="宋体" w:cs="Times New Roman"/>
      <w:b/>
      <w:bCs/>
      <w:sz w:val="22"/>
      <w:szCs w:val="32"/>
      <w:u w:val="none"/>
    </w:rPr>
  </w:style>
  <w:style w:type="paragraph" w:customStyle="1" w:styleId="11">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2022-02-16T00:34:00Z</dcterms:created>
  <dc:creator>Win10</dc:creator>
  <cp:lastModifiedBy>用户</cp:lastModifiedBy>
  <dcterms:modified xsi:type="dcterms:W3CDTF">2026-10-19T07:47:00Z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79C27083D0B341C8A3A65D4C91BCDA55</vt:lpwstr>
  </property>
  <property fmtid="{D5CDD505-2E9C-101B-9397-08002B2CF9AE}" pid="4" name="KSOTemplateDocerSaveRecord">
    <vt:lpwstr>eyJoZGlkIjoiZjg1ODk3M2MzMDBhMDA5MTkyZTBmMGVhNmU3ZTA3MGQiLCJ1c2VySWQiOiIyOTI2NjUzMzQifQ==</vt:lpwstr>
  </property>
</Properties>
</file>