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8"/>
          <w:szCs w:val="28"/>
          <w:lang w:eastAsia="zh-CN"/>
        </w:rPr>
      </w:pPr>
      <w:bookmarkStart w:id="0" w:name="_Toc35393789"/>
      <w:bookmarkStart w:id="1" w:name="_Toc28359001"/>
      <w:r>
        <w:rPr>
          <w:rFonts w:hint="eastAsia" w:ascii="宋体" w:hAnsi="宋体" w:eastAsia="宋体" w:cs="宋体"/>
          <w:sz w:val="28"/>
          <w:szCs w:val="28"/>
        </w:rPr>
        <w:t>招标公告</w:t>
      </w:r>
      <w:bookmarkEnd w:id="0"/>
      <w:bookmarkEnd w:id="1"/>
      <w:r>
        <w:rPr>
          <w:rFonts w:hint="eastAsia" w:ascii="宋体" w:hAnsi="宋体" w:cs="宋体"/>
          <w:sz w:val="28"/>
          <w:szCs w:val="28"/>
          <w:lang w:eastAsia="zh-CN"/>
        </w:rPr>
        <w:t>（</w:t>
      </w:r>
      <w:r>
        <w:rPr>
          <w:rFonts w:hint="eastAsia" w:ascii="宋体" w:hAnsi="宋体" w:cs="宋体"/>
          <w:sz w:val="28"/>
          <w:szCs w:val="28"/>
          <w:lang w:val="en-US" w:eastAsia="zh-CN"/>
        </w:rPr>
        <w:t>重招</w:t>
      </w:r>
      <w:r>
        <w:rPr>
          <w:rFonts w:hint="eastAsia" w:ascii="宋体" w:hAnsi="宋体" w:cs="宋体"/>
          <w:sz w:val="28"/>
          <w:szCs w:val="28"/>
          <w:lang w:eastAsia="zh-CN"/>
        </w:rPr>
        <w:t>）</w:t>
      </w:r>
    </w:p>
    <w:p>
      <w:pPr>
        <w:pageBreakBefore w:val="0"/>
        <w:pBdr>
          <w:top w:val="single" w:color="auto" w:sz="4" w:space="1"/>
          <w:left w:val="single" w:color="auto" w:sz="4" w:space="4"/>
          <w:bottom w:val="single" w:color="auto" w:sz="4" w:space="1"/>
          <w:right w:val="single" w:color="auto" w:sz="4" w:space="4"/>
        </w:pBdr>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首都医科大学附属北京胸科医院2026年医责险采购项目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w:t>
      </w:r>
      <w:r>
        <w:rPr>
          <w:rFonts w:hint="eastAsia" w:ascii="宋体" w:hAnsi="宋体" w:eastAsia="宋体" w:cs="宋体"/>
          <w:sz w:val="24"/>
          <w:szCs w:val="24"/>
          <w:highlight w:val="none"/>
          <w:u w:val="single"/>
        </w:rPr>
        <w:t>g-bjzc.zhongcy.com/bjczj-portal-site/index.html#/home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w:t>
      </w:r>
      <w:r>
        <w:rPr>
          <w:rFonts w:hint="eastAsia" w:ascii="宋体" w:hAnsi="宋体" w:cs="宋体"/>
          <w:sz w:val="24"/>
          <w:szCs w:val="24"/>
          <w:highlight w:val="none"/>
          <w:u w:val="single"/>
          <w:lang w:val="en-US" w:eastAsia="zh-CN"/>
        </w:rPr>
        <w:t>11</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2</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下午13</w:t>
      </w:r>
      <w:r>
        <w:rPr>
          <w:rFonts w:hint="eastAsia" w:ascii="宋体" w:hAnsi="宋体" w:eastAsia="宋体" w:cs="宋体"/>
          <w:sz w:val="24"/>
          <w:szCs w:val="24"/>
          <w:highlight w:val="none"/>
          <w:u w:val="single"/>
          <w:lang w:eastAsia="zh-CN"/>
        </w:rPr>
        <w:t>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pPr>
        <w:pageBreakBefore w:val="0"/>
        <w:kinsoku/>
        <w:overflowPunct/>
        <w:bidi w:val="0"/>
        <w:spacing w:line="360" w:lineRule="auto"/>
        <w:rPr>
          <w:rFonts w:hint="eastAsia" w:ascii="宋体" w:hAnsi="宋体" w:eastAsia="宋体" w:cs="宋体"/>
          <w:sz w:val="24"/>
          <w:szCs w:val="24"/>
        </w:rPr>
      </w:pPr>
    </w:p>
    <w:p>
      <w:pPr>
        <w:pStyle w:val="3"/>
        <w:pageBreakBefore w:val="0"/>
        <w:kinsoku/>
        <w:overflowPunct/>
        <w:bidi w:val="0"/>
        <w:spacing w:before="0" w:after="0" w:line="360" w:lineRule="auto"/>
        <w:rPr>
          <w:rFonts w:hint="eastAsia" w:ascii="宋体" w:hAnsi="宋体" w:eastAsia="宋体" w:cs="宋体"/>
          <w:b w:val="0"/>
          <w:sz w:val="24"/>
          <w:szCs w:val="24"/>
        </w:rPr>
      </w:pPr>
      <w:bookmarkStart w:id="2" w:name="_Toc35393621"/>
      <w:bookmarkStart w:id="3" w:name="_Toc28359079"/>
      <w:bookmarkStart w:id="4" w:name="_Toc35393790"/>
      <w:bookmarkStart w:id="5" w:name="_Toc28359002"/>
      <w:bookmarkStart w:id="6" w:name="_Hlk24379207"/>
      <w:r>
        <w:rPr>
          <w:rFonts w:hint="eastAsia" w:ascii="宋体" w:hAnsi="宋体" w:eastAsia="宋体" w:cs="宋体"/>
          <w:b w:val="0"/>
          <w:sz w:val="24"/>
          <w:szCs w:val="24"/>
        </w:rPr>
        <w:t>一、项目基本情况</w:t>
      </w:r>
      <w:bookmarkEnd w:id="2"/>
      <w:bookmarkEnd w:id="3"/>
      <w:bookmarkEnd w:id="4"/>
      <w:bookmarkEnd w:id="5"/>
    </w:p>
    <w:bookmarkEnd w:id="6"/>
    <w:p>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1.项目编号：0686-26110I045673Z</w:t>
      </w:r>
      <w:bookmarkStart w:id="33" w:name="_GoBack"/>
      <w:bookmarkEnd w:id="33"/>
    </w:p>
    <w:p>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2.项目名称：首都医科大学附属北京胸科医院2026年医责险采购项目</w:t>
      </w:r>
    </w:p>
    <w:p>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3.项目预算金额：165万元</w:t>
      </w:r>
    </w:p>
    <w:p>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4.采购需求：</w:t>
      </w:r>
    </w:p>
    <w:tbl>
      <w:tblPr>
        <w:tblStyle w:val="12"/>
        <w:tblW w:w="50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2136"/>
        <w:gridCol w:w="2140"/>
        <w:gridCol w:w="842"/>
        <w:gridCol w:w="47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21" w:type="pct"/>
            <w:vAlign w:val="center"/>
          </w:tcPr>
          <w:p>
            <w:pPr>
              <w:widowControl/>
              <w:jc w:val="center"/>
              <w:rPr>
                <w:sz w:val="24"/>
              </w:rPr>
            </w:pPr>
            <w:r>
              <w:rPr>
                <w:rFonts w:hint="eastAsia"/>
                <w:sz w:val="24"/>
              </w:rPr>
              <w:t>包号</w:t>
            </w:r>
          </w:p>
        </w:tc>
        <w:tc>
          <w:tcPr>
            <w:tcW w:w="994" w:type="pct"/>
            <w:vAlign w:val="center"/>
          </w:tcPr>
          <w:p>
            <w:pPr>
              <w:widowControl/>
              <w:jc w:val="center"/>
              <w:rPr>
                <w:sz w:val="24"/>
              </w:rPr>
            </w:pPr>
            <w:r>
              <w:rPr>
                <w:rFonts w:hint="eastAsia"/>
                <w:sz w:val="24"/>
              </w:rPr>
              <w:t>标的名称</w:t>
            </w:r>
          </w:p>
        </w:tc>
        <w:tc>
          <w:tcPr>
            <w:tcW w:w="996" w:type="pct"/>
            <w:vAlign w:val="center"/>
          </w:tcPr>
          <w:p>
            <w:pPr>
              <w:widowControl/>
              <w:jc w:val="center"/>
              <w:rPr>
                <w:sz w:val="24"/>
                <w:lang w:eastAsia="zh-CN"/>
              </w:rPr>
            </w:pPr>
            <w:r>
              <w:rPr>
                <w:rFonts w:hint="eastAsia"/>
                <w:sz w:val="24"/>
                <w:lang w:eastAsia="zh-CN"/>
              </w:rPr>
              <w:t>分包预算金额</w:t>
            </w:r>
          </w:p>
          <w:p>
            <w:pPr>
              <w:widowControl/>
              <w:jc w:val="center"/>
              <w:rPr>
                <w:sz w:val="24"/>
                <w:lang w:eastAsia="zh-CN"/>
              </w:rPr>
            </w:pPr>
            <w:r>
              <w:rPr>
                <w:rFonts w:hint="eastAsia"/>
                <w:sz w:val="24"/>
                <w:lang w:eastAsia="zh-CN"/>
              </w:rPr>
              <w:t>（万元）</w:t>
            </w:r>
          </w:p>
        </w:tc>
        <w:tc>
          <w:tcPr>
            <w:tcW w:w="392" w:type="pct"/>
            <w:vAlign w:val="center"/>
          </w:tcPr>
          <w:p>
            <w:pPr>
              <w:widowControl/>
              <w:jc w:val="center"/>
              <w:rPr>
                <w:sz w:val="24"/>
              </w:rPr>
            </w:pPr>
            <w:r>
              <w:rPr>
                <w:rFonts w:hint="eastAsia"/>
                <w:sz w:val="24"/>
              </w:rPr>
              <w:t>数量</w:t>
            </w:r>
          </w:p>
        </w:tc>
        <w:tc>
          <w:tcPr>
            <w:tcW w:w="2194" w:type="pct"/>
            <w:vAlign w:val="center"/>
          </w:tcPr>
          <w:p>
            <w:pPr>
              <w:widowControl/>
              <w:jc w:val="center"/>
              <w:rPr>
                <w:sz w:val="24"/>
                <w:lang w:eastAsia="zh-CN"/>
              </w:rPr>
            </w:pPr>
            <w:r>
              <w:rPr>
                <w:rFonts w:hint="eastAsia"/>
                <w:sz w:val="24"/>
                <w:lang w:eastAsia="zh-CN"/>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421" w:type="pct"/>
            <w:noWrap/>
            <w:vAlign w:val="center"/>
          </w:tcPr>
          <w:p>
            <w:pPr>
              <w:jc w:val="center"/>
              <w:rPr>
                <w:sz w:val="24"/>
                <w:szCs w:val="24"/>
              </w:rPr>
            </w:pPr>
            <w:r>
              <w:rPr>
                <w:rFonts w:hint="eastAsia"/>
                <w:sz w:val="24"/>
                <w:szCs w:val="24"/>
              </w:rPr>
              <w:t>1</w:t>
            </w:r>
          </w:p>
        </w:tc>
        <w:tc>
          <w:tcPr>
            <w:tcW w:w="994" w:type="pct"/>
            <w:vAlign w:val="center"/>
          </w:tcPr>
          <w:p>
            <w:pPr>
              <w:jc w:val="center"/>
              <w:rPr>
                <w:sz w:val="24"/>
                <w:szCs w:val="24"/>
                <w:lang w:eastAsia="zh-CN"/>
              </w:rPr>
            </w:pPr>
            <w:r>
              <w:rPr>
                <w:rFonts w:hint="eastAsia"/>
                <w:sz w:val="24"/>
                <w:szCs w:val="24"/>
                <w:lang w:eastAsia="zh-CN"/>
              </w:rPr>
              <w:t>2026年医责险</w:t>
            </w:r>
          </w:p>
        </w:tc>
        <w:tc>
          <w:tcPr>
            <w:tcW w:w="996" w:type="pct"/>
            <w:noWrap/>
            <w:vAlign w:val="center"/>
          </w:tcPr>
          <w:p>
            <w:pPr>
              <w:widowControl/>
              <w:jc w:val="center"/>
              <w:rPr>
                <w:sz w:val="24"/>
                <w:szCs w:val="24"/>
                <w:lang w:eastAsia="zh-CN"/>
              </w:rPr>
            </w:pPr>
            <w:r>
              <w:rPr>
                <w:rFonts w:hint="eastAsia"/>
                <w:sz w:val="24"/>
                <w:szCs w:val="24"/>
                <w:lang w:eastAsia="zh-CN"/>
              </w:rPr>
              <w:t>165</w:t>
            </w:r>
          </w:p>
        </w:tc>
        <w:tc>
          <w:tcPr>
            <w:tcW w:w="392" w:type="pct"/>
            <w:noWrap/>
            <w:vAlign w:val="center"/>
          </w:tcPr>
          <w:p>
            <w:pPr>
              <w:widowControl/>
              <w:jc w:val="center"/>
              <w:rPr>
                <w:sz w:val="24"/>
                <w:szCs w:val="24"/>
              </w:rPr>
            </w:pPr>
            <w:r>
              <w:rPr>
                <w:rFonts w:hint="eastAsia"/>
                <w:sz w:val="24"/>
                <w:szCs w:val="24"/>
              </w:rPr>
              <w:t>1项</w:t>
            </w:r>
          </w:p>
        </w:tc>
        <w:tc>
          <w:tcPr>
            <w:tcW w:w="2194" w:type="pct"/>
            <w:vAlign w:val="center"/>
          </w:tcPr>
          <w:p>
            <w:pPr>
              <w:widowControl/>
              <w:jc w:val="center"/>
              <w:rPr>
                <w:sz w:val="24"/>
                <w:szCs w:val="24"/>
                <w:lang w:eastAsia="zh-CN"/>
              </w:rPr>
            </w:pPr>
            <w:r>
              <w:rPr>
                <w:rFonts w:hint="eastAsia" w:ascii="宋体" w:hAnsi="宋体" w:eastAsia="宋体" w:cs="宋体"/>
                <w:bCs/>
                <w:kern w:val="0"/>
                <w:sz w:val="24"/>
                <w:szCs w:val="24"/>
                <w:highlight w:val="none"/>
              </w:rPr>
              <w:t>在保险期间内，采购人及其医务人员在保险合同载明的区域范围内从事诊疗护理活动中，因执业过失</w:t>
            </w:r>
            <w:r>
              <w:rPr>
                <w:rFonts w:hint="eastAsia" w:ascii="宋体" w:hAnsi="宋体" w:eastAsia="宋体" w:cs="宋体"/>
                <w:bCs/>
                <w:kern w:val="0"/>
                <w:sz w:val="24"/>
                <w:szCs w:val="24"/>
              </w:rPr>
              <w:t xml:space="preserve">造成患者人身损害，由患者或其近亲属在保险期内首次向医院提出损害赔偿请求，应由医院承担的经济赔偿数额，供应商依据合同约定负责理赔。 </w:t>
            </w:r>
          </w:p>
        </w:tc>
      </w:tr>
    </w:tbl>
    <w:p>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5.合同履行期限：详见第五章《采购需求》。</w:t>
      </w:r>
    </w:p>
    <w:p>
      <w:pPr>
        <w:pStyle w:val="5"/>
        <w:tabs>
          <w:tab w:val="left" w:pos="4222"/>
        </w:tab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6.本项目是否接受联合体投标：□是</w:t>
      </w:r>
      <w:r>
        <w:rPr>
          <w:rFonts w:hint="eastAsia" w:ascii="宋体" w:hAnsi="宋体" w:eastAsia="宋体" w:cs="宋体"/>
          <w:kern w:val="2"/>
          <w:sz w:val="24"/>
          <w:szCs w:val="24"/>
          <w:lang w:val="en-US" w:eastAsia="zh-CN" w:bidi="ar-SA"/>
        </w:rPr>
        <w:tab/>
      </w:r>
      <w:bookmarkStart w:id="7" w:name="OLE_LINK6"/>
      <w:bookmarkStart w:id="8" w:name="OLE_LINK5"/>
      <w:r>
        <w:rPr>
          <w:rFonts w:hint="eastAsia" w:ascii="宋体" w:hAnsi="宋体" w:eastAsia="宋体" w:cs="宋体"/>
          <w:kern w:val="2"/>
          <w:sz w:val="24"/>
          <w:szCs w:val="24"/>
          <w:lang w:val="en-US" w:eastAsia="zh-CN" w:bidi="ar-SA"/>
        </w:rPr>
        <w:t>■</w:t>
      </w:r>
      <w:bookmarkEnd w:id="7"/>
      <w:bookmarkEnd w:id="8"/>
      <w:r>
        <w:rPr>
          <w:rFonts w:hint="eastAsia" w:ascii="宋体" w:hAnsi="宋体" w:eastAsia="宋体" w:cs="宋体"/>
          <w:kern w:val="2"/>
          <w:sz w:val="24"/>
          <w:szCs w:val="24"/>
          <w:lang w:val="en-US" w:eastAsia="zh-CN" w:bidi="ar-SA"/>
        </w:rPr>
        <w:t>否。</w:t>
      </w:r>
    </w:p>
    <w:p>
      <w:pPr>
        <w:pStyle w:val="3"/>
        <w:pageBreakBefore w:val="0"/>
        <w:kinsoku/>
        <w:overflowPunct/>
        <w:bidi w:val="0"/>
        <w:spacing w:before="0" w:after="0" w:line="360" w:lineRule="auto"/>
        <w:rPr>
          <w:rFonts w:hint="eastAsia" w:ascii="宋体" w:hAnsi="宋体" w:eastAsia="宋体" w:cs="宋体"/>
          <w:b w:val="0"/>
          <w:sz w:val="24"/>
          <w:szCs w:val="24"/>
        </w:rPr>
      </w:pPr>
      <w:bookmarkStart w:id="9" w:name="_Toc28359003"/>
      <w:bookmarkStart w:id="10" w:name="_Toc35393622"/>
      <w:bookmarkStart w:id="11" w:name="_Toc35393791"/>
      <w:bookmarkStart w:id="12" w:name="_Toc28359080"/>
      <w:r>
        <w:rPr>
          <w:rFonts w:hint="eastAsia" w:ascii="宋体" w:hAnsi="宋体" w:eastAsia="宋体" w:cs="宋体"/>
          <w:b w:val="0"/>
          <w:sz w:val="24"/>
          <w:szCs w:val="24"/>
        </w:rPr>
        <w:t>二、申请人的资格要求：</w:t>
      </w:r>
      <w:bookmarkEnd w:id="9"/>
      <w:bookmarkEnd w:id="10"/>
      <w:bookmarkEnd w:id="11"/>
      <w:bookmarkEnd w:id="12"/>
    </w:p>
    <w:p>
      <w:pPr>
        <w:pStyle w:val="5"/>
        <w:spacing w:line="360" w:lineRule="auto"/>
        <w:ind w:firstLine="480" w:firstLineChars="200"/>
        <w:rPr>
          <w:rFonts w:hint="eastAsia" w:ascii="宋体" w:hAnsi="宋体" w:eastAsia="宋体" w:cs="宋体"/>
          <w:b w:val="0"/>
          <w:bCs/>
          <w:kern w:val="2"/>
          <w:sz w:val="24"/>
          <w:szCs w:val="24"/>
          <w:lang w:val="en-US" w:eastAsia="zh-CN" w:bidi="ar-SA"/>
        </w:rPr>
      </w:pPr>
      <w:bookmarkStart w:id="13" w:name="_Toc35393792"/>
      <w:bookmarkStart w:id="14" w:name="_Toc28359081"/>
      <w:bookmarkStart w:id="15" w:name="_Toc28359004"/>
      <w:bookmarkStart w:id="16" w:name="_Toc35393623"/>
      <w:r>
        <w:rPr>
          <w:rFonts w:hint="eastAsia" w:ascii="宋体" w:hAnsi="宋体" w:eastAsia="宋体" w:cs="宋体"/>
          <w:b w:val="0"/>
          <w:bCs/>
          <w:kern w:val="2"/>
          <w:sz w:val="24"/>
          <w:szCs w:val="24"/>
          <w:lang w:val="en-US" w:eastAsia="zh-CN" w:bidi="ar-SA"/>
        </w:rPr>
        <w:t>1.满足《中华人民共和国政府采购法》第二十二条规定；</w:t>
      </w:r>
    </w:p>
    <w:p>
      <w:pPr>
        <w:pStyle w:val="53"/>
        <w:numPr>
          <w:ilvl w:val="1"/>
          <w:numId w:val="0"/>
        </w:numPr>
        <w:tabs>
          <w:tab w:val="left" w:pos="1201"/>
          <w:tab w:val="left" w:pos="8160"/>
        </w:tabs>
        <w:spacing w:before="0" w:line="360" w:lineRule="auto"/>
        <w:ind w:firstLine="480" w:firstLineChars="2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2.落实政府采购政策需满足的资格要求：</w:t>
      </w:r>
    </w:p>
    <w:p>
      <w:pPr>
        <w:pStyle w:val="53"/>
        <w:numPr>
          <w:ilvl w:val="1"/>
          <w:numId w:val="0"/>
        </w:numPr>
        <w:tabs>
          <w:tab w:val="left" w:pos="1201"/>
          <w:tab w:val="left" w:pos="8160"/>
        </w:tabs>
        <w:spacing w:before="0" w:line="360" w:lineRule="auto"/>
        <w:ind w:firstLine="480" w:firstLineChars="2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2.1 中小企业政策</w:t>
      </w:r>
    </w:p>
    <w:p>
      <w:pPr>
        <w:pStyle w:val="5"/>
        <w:tabs>
          <w:tab w:val="left" w:pos="567"/>
        </w:tabs>
        <w:spacing w:line="360" w:lineRule="auto"/>
        <w:ind w:left="615"/>
        <w:rPr>
          <w:rFonts w:hint="eastAsia" w:ascii="宋体" w:hAnsi="宋体" w:eastAsia="宋体" w:cs="宋体"/>
          <w:b w:val="0"/>
          <w:bCs/>
          <w:kern w:val="2"/>
          <w:sz w:val="24"/>
          <w:szCs w:val="24"/>
          <w:lang w:val="en-US" w:eastAsia="zh-CN" w:bidi="ar-SA"/>
        </w:rPr>
      </w:pPr>
      <w:bookmarkStart w:id="17" w:name="OLE_LINK3"/>
      <w:bookmarkStart w:id="18" w:name="OLE_LINK4"/>
      <w:r>
        <w:rPr>
          <w:rFonts w:hint="eastAsia" w:ascii="宋体" w:hAnsi="宋体" w:eastAsia="宋体" w:cs="宋体"/>
          <w:b w:val="0"/>
          <w:bCs/>
          <w:kern w:val="2"/>
          <w:sz w:val="24"/>
          <w:szCs w:val="24"/>
          <w:lang w:val="en-US" w:eastAsia="zh-CN" w:bidi="ar-SA"/>
        </w:rPr>
        <w:t>■</w:t>
      </w:r>
      <w:bookmarkEnd w:id="17"/>
      <w:bookmarkEnd w:id="18"/>
      <w:r>
        <w:rPr>
          <w:rFonts w:hint="eastAsia" w:ascii="宋体" w:hAnsi="宋体" w:eastAsia="宋体" w:cs="宋体"/>
          <w:b w:val="0"/>
          <w:bCs/>
          <w:kern w:val="2"/>
          <w:sz w:val="24"/>
          <w:szCs w:val="24"/>
          <w:lang w:val="en-US" w:eastAsia="zh-CN" w:bidi="ar-SA"/>
        </w:rPr>
        <w:t>本项目不专门面向中小企业预留采购份额。</w:t>
      </w:r>
    </w:p>
    <w:p>
      <w:pPr>
        <w:pStyle w:val="5"/>
        <w:spacing w:line="360" w:lineRule="auto"/>
        <w:ind w:left="615"/>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□本项目专门面向  □中小   □小微企业 采购。即：提供的货物全部由符合政策要求的中小/小微企业制造、服务全部由符合政策要求的中小/小微企业承接。</w:t>
      </w:r>
    </w:p>
    <w:p>
      <w:pPr>
        <w:pStyle w:val="5"/>
        <w:spacing w:line="360" w:lineRule="auto"/>
        <w:ind w:left="615"/>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□本项目预留部分采购项目预算专门面向中小企业采购。对于预留份额，提供的服务由符合政策要求的中小企业承接。预留份额通过以下措施进行：        。</w:t>
      </w:r>
    </w:p>
    <w:p>
      <w:pPr>
        <w:pStyle w:val="53"/>
        <w:numPr>
          <w:ilvl w:val="1"/>
          <w:numId w:val="0"/>
        </w:numPr>
        <w:tabs>
          <w:tab w:val="left" w:pos="1201"/>
          <w:tab w:val="left" w:pos="8160"/>
        </w:tabs>
        <w:spacing w:before="0" w:line="360" w:lineRule="auto"/>
        <w:ind w:firstLine="480" w:firstLineChars="2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2.2 其它落实政府采购政策的资格要求：/。</w:t>
      </w:r>
    </w:p>
    <w:p>
      <w:pPr>
        <w:pStyle w:val="5"/>
        <w:spacing w:line="360" w:lineRule="auto"/>
        <w:ind w:firstLine="480" w:firstLineChars="2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3.本项目的特定资格要求：</w:t>
      </w:r>
    </w:p>
    <w:p>
      <w:pPr>
        <w:tabs>
          <w:tab w:val="left" w:pos="900"/>
          <w:tab w:val="left" w:pos="1134"/>
          <w:tab w:val="left" w:pos="1589"/>
          <w:tab w:val="left" w:pos="5521"/>
        </w:tabs>
        <w:snapToGrid w:val="0"/>
        <w:spacing w:line="360" w:lineRule="auto"/>
        <w:ind w:firstLine="480" w:firstLineChars="2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3.1 本项目是否接受分支机构参与投标：■是   □否；</w:t>
      </w:r>
    </w:p>
    <w:p>
      <w:pPr>
        <w:tabs>
          <w:tab w:val="left" w:pos="900"/>
          <w:tab w:val="left" w:pos="1134"/>
          <w:tab w:val="left" w:pos="1589"/>
          <w:tab w:val="left" w:pos="5521"/>
        </w:tabs>
        <w:snapToGrid w:val="0"/>
        <w:spacing w:line="360" w:lineRule="auto"/>
        <w:ind w:firstLine="480" w:firstLineChars="2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3.2 本项目是否属于政府购买服务：</w:t>
      </w:r>
    </w:p>
    <w:p>
      <w:pPr>
        <w:tabs>
          <w:tab w:val="left" w:pos="900"/>
          <w:tab w:val="left" w:pos="1134"/>
          <w:tab w:val="left" w:pos="1589"/>
          <w:tab w:val="left" w:pos="5521"/>
        </w:tabs>
        <w:snapToGrid w:val="0"/>
        <w:spacing w:line="360" w:lineRule="auto"/>
        <w:ind w:firstLine="240" w:firstLineChars="1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 xml:space="preserve"> </w:t>
      </w:r>
      <w:r>
        <w:rPr>
          <w:rFonts w:hint="eastAsia" w:ascii="宋体" w:hAnsi="宋体" w:cs="宋体"/>
          <w:b w:val="0"/>
          <w:bCs/>
          <w:kern w:val="2"/>
          <w:sz w:val="24"/>
          <w:szCs w:val="24"/>
          <w:lang w:val="en-US" w:eastAsia="zh-CN" w:bidi="ar-SA"/>
        </w:rPr>
        <w:t xml:space="preserve">  </w:t>
      </w:r>
      <w:r>
        <w:rPr>
          <w:rFonts w:hint="eastAsia" w:ascii="宋体" w:hAnsi="宋体" w:eastAsia="宋体" w:cs="宋体"/>
          <w:b w:val="0"/>
          <w:bCs/>
          <w:kern w:val="2"/>
          <w:sz w:val="24"/>
          <w:szCs w:val="24"/>
          <w:lang w:val="en-US" w:eastAsia="zh-CN" w:bidi="ar-SA"/>
        </w:rPr>
        <w:t>■ 否</w:t>
      </w:r>
    </w:p>
    <w:p>
      <w:pPr>
        <w:tabs>
          <w:tab w:val="left" w:pos="900"/>
          <w:tab w:val="left" w:pos="1134"/>
          <w:tab w:val="left" w:pos="1589"/>
          <w:tab w:val="left" w:pos="5521"/>
        </w:tabs>
        <w:snapToGrid w:val="0"/>
        <w:spacing w:line="360" w:lineRule="auto"/>
        <w:ind w:firstLine="480" w:firstLineChars="2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 xml:space="preserve"> □ 是，公益一类事业单位、使用事业编制且由财政拨款保障的群团组织，不得作为承接主体；</w:t>
      </w:r>
    </w:p>
    <w:p>
      <w:pPr>
        <w:pStyle w:val="5"/>
        <w:spacing w:line="360" w:lineRule="auto"/>
        <w:ind w:firstLine="480" w:firstLineChars="2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3.3 其他特定资格要求：</w:t>
      </w:r>
    </w:p>
    <w:p>
      <w:pPr>
        <w:pageBreakBefore w:val="0"/>
        <w:kinsoku/>
        <w:overflowPunct/>
        <w:bidi w:val="0"/>
        <w:spacing w:line="360" w:lineRule="auto"/>
        <w:ind w:firstLine="720" w:firstLineChars="300"/>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投标人须具有中国保险监督管理委员会颁发的《经营保险业务许可证》。本项目允许保险机构的分支机构参与，如为分支机构参与，提供总公司或集团公司的营业执照及其授权文件。</w:t>
      </w:r>
    </w:p>
    <w:p>
      <w:pPr>
        <w:pStyle w:val="3"/>
        <w:pageBreakBefore w:val="0"/>
        <w:kinsoku/>
        <w:overflowPunct/>
        <w:bidi w:val="0"/>
        <w:spacing w:before="0" w:after="0"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3"/>
      <w:bookmarkEnd w:id="14"/>
      <w:bookmarkEnd w:id="15"/>
      <w:bookmarkEnd w:id="16"/>
    </w:p>
    <w:p>
      <w:pPr>
        <w:pageBreakBefore w:val="0"/>
        <w:kinsoku/>
        <w:overflowPunct/>
        <w:bidi w:val="0"/>
        <w:spacing w:line="360" w:lineRule="auto"/>
        <w:ind w:firstLine="480" w:firstLineChars="200"/>
        <w:rPr>
          <w:rFonts w:hint="eastAsia" w:ascii="宋体" w:hAnsi="宋体" w:eastAsia="宋体" w:cs="宋体"/>
          <w:sz w:val="24"/>
          <w:szCs w:val="24"/>
          <w:lang w:eastAsia="zh-CN"/>
        </w:rPr>
      </w:pPr>
      <w:bookmarkStart w:id="19" w:name="_Toc28359005"/>
      <w:bookmarkStart w:id="20" w:name="_Toc28359082"/>
      <w:bookmarkStart w:id="21" w:name="_Toc35393793"/>
      <w:bookmarkStart w:id="22" w:name="_Toc35393624"/>
      <w:r>
        <w:rPr>
          <w:rFonts w:hint="eastAsia" w:ascii="宋体" w:hAnsi="宋体" w:eastAsia="宋体" w:cs="宋体"/>
          <w:sz w:val="24"/>
          <w:szCs w:val="24"/>
        </w:rPr>
        <w:t>1.</w:t>
      </w:r>
      <w:r>
        <w:rPr>
          <w:rFonts w:hint="eastAsia" w:ascii="宋体" w:hAnsi="宋体" w:eastAsia="宋体" w:cs="宋体"/>
          <w:sz w:val="24"/>
          <w:szCs w:val="24"/>
          <w:lang w:eastAsia="zh-CN"/>
        </w:rPr>
        <w:t>时间：2026年</w:t>
      </w:r>
      <w:r>
        <w:rPr>
          <w:rFonts w:hint="eastAsia" w:ascii="宋体" w:hAnsi="宋体" w:eastAsia="宋体" w:cs="宋体"/>
          <w:sz w:val="24"/>
          <w:szCs w:val="24"/>
          <w:lang w:val="en-US" w:eastAsia="zh-CN"/>
        </w:rPr>
        <w:t>10</w:t>
      </w:r>
      <w:r>
        <w:rPr>
          <w:rFonts w:hint="eastAsia" w:ascii="宋体" w:hAnsi="宋体" w:eastAsia="宋体" w:cs="宋体"/>
          <w:sz w:val="24"/>
          <w:szCs w:val="24"/>
          <w:lang w:eastAsia="zh-CN"/>
        </w:rPr>
        <w:t>月</w:t>
      </w:r>
      <w:r>
        <w:rPr>
          <w:rFonts w:hint="eastAsia" w:ascii="宋体" w:hAnsi="宋体" w:eastAsia="宋体" w:cs="宋体"/>
          <w:sz w:val="24"/>
          <w:szCs w:val="24"/>
          <w:lang w:val="en-US" w:eastAsia="zh-CN"/>
        </w:rPr>
        <w:t>12</w:t>
      </w:r>
      <w:r>
        <w:rPr>
          <w:rFonts w:hint="eastAsia" w:ascii="宋体" w:hAnsi="宋体" w:eastAsia="宋体" w:cs="宋体"/>
          <w:sz w:val="24"/>
          <w:szCs w:val="24"/>
          <w:lang w:eastAsia="zh-CN"/>
        </w:rPr>
        <w:t>日至2026年</w:t>
      </w:r>
      <w:r>
        <w:rPr>
          <w:rFonts w:hint="eastAsia" w:ascii="宋体" w:hAnsi="宋体" w:eastAsia="宋体" w:cs="宋体"/>
          <w:sz w:val="24"/>
          <w:szCs w:val="24"/>
          <w:lang w:val="en-US" w:eastAsia="zh-CN"/>
        </w:rPr>
        <w:t>10</w:t>
      </w:r>
      <w:r>
        <w:rPr>
          <w:rFonts w:hint="eastAsia" w:ascii="宋体" w:hAnsi="宋体" w:eastAsia="宋体" w:cs="宋体"/>
          <w:sz w:val="24"/>
          <w:szCs w:val="24"/>
          <w:lang w:eastAsia="zh-CN"/>
        </w:rPr>
        <w:t>月</w:t>
      </w:r>
      <w:r>
        <w:rPr>
          <w:rFonts w:hint="eastAsia" w:ascii="宋体" w:hAnsi="宋体" w:eastAsia="宋体" w:cs="宋体"/>
          <w:sz w:val="24"/>
          <w:szCs w:val="24"/>
          <w:lang w:val="en-US" w:eastAsia="zh-CN"/>
        </w:rPr>
        <w:t>19</w:t>
      </w:r>
      <w:r>
        <w:rPr>
          <w:rFonts w:hint="eastAsia" w:ascii="宋体" w:hAnsi="宋体" w:eastAsia="宋体" w:cs="宋体"/>
          <w:sz w:val="24"/>
          <w:szCs w:val="24"/>
          <w:lang w:eastAsia="zh-CN"/>
        </w:rPr>
        <w:t>日，每天上午8:30至12:00，下午12:00至1</w:t>
      </w:r>
      <w:r>
        <w:rPr>
          <w:rFonts w:hint="eastAsia" w:ascii="宋体" w:hAnsi="宋体" w:eastAsia="宋体" w:cs="宋体"/>
          <w:sz w:val="24"/>
          <w:szCs w:val="24"/>
          <w:lang w:val="en-US" w:eastAsia="zh-CN"/>
        </w:rPr>
        <w:t>6:3</w:t>
      </w:r>
      <w:r>
        <w:rPr>
          <w:rFonts w:hint="eastAsia" w:ascii="宋体" w:hAnsi="宋体" w:eastAsia="宋体" w:cs="宋体"/>
          <w:sz w:val="24"/>
          <w:szCs w:val="24"/>
          <w:lang w:eastAsia="zh-CN"/>
        </w:rPr>
        <w:t>0（北京时间，法定节假日除外）。</w:t>
      </w:r>
    </w:p>
    <w:p>
      <w:pPr>
        <w:pageBreakBefore w:val="0"/>
        <w:kinsoku/>
        <w:overflowPunct/>
        <w:bidi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2.地点：北京市政府采购电子交易平台</w:t>
      </w:r>
    </w:p>
    <w:p>
      <w:pPr>
        <w:pageBreakBefore w:val="0"/>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3.方式：供应商使用 CA 数字证书或电子营业执照登录北京市政府采购电子交易平台（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"http://zbcg-bjzc.zhongcy.com/bjczj-portal-site/index.html%23/home" \h </w:instrText>
      </w:r>
      <w:r>
        <w:rPr>
          <w:rFonts w:hint="eastAsia" w:ascii="宋体" w:hAnsi="宋体" w:eastAsia="宋体" w:cs="宋体"/>
          <w:sz w:val="24"/>
          <w:szCs w:val="24"/>
        </w:rPr>
        <w:fldChar w:fldCharType="separate"/>
      </w:r>
      <w:r>
        <w:rPr>
          <w:rFonts w:hint="eastAsia" w:ascii="宋体" w:hAnsi="宋体" w:eastAsia="宋体" w:cs="宋体"/>
          <w:sz w:val="24"/>
          <w:szCs w:val="24"/>
        </w:rPr>
        <w:t>http://zbcg-bjzc.zhongcy.com/bjczj-portal-site/index.html#/home</w:t>
      </w:r>
      <w:r>
        <w:rPr>
          <w:rFonts w:hint="eastAsia" w:ascii="宋体" w:hAnsi="宋体" w:eastAsia="宋体" w:cs="宋体"/>
          <w:sz w:val="24"/>
          <w:szCs w:val="24"/>
        </w:rPr>
        <w:fldChar w:fldCharType="end"/>
      </w:r>
      <w:r>
        <w:rPr>
          <w:rFonts w:hint="eastAsia" w:ascii="宋体" w:hAnsi="宋体" w:eastAsia="宋体" w:cs="宋体"/>
          <w:sz w:val="24"/>
          <w:szCs w:val="24"/>
        </w:rPr>
        <w:t>）获取电子版招标文件。</w:t>
      </w:r>
    </w:p>
    <w:p>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 元。</w:t>
      </w:r>
    </w:p>
    <w:p>
      <w:pPr>
        <w:pStyle w:val="3"/>
        <w:pageBreakBefore w:val="0"/>
        <w:kinsoku/>
        <w:overflowPunct/>
        <w:bidi w:val="0"/>
        <w:spacing w:before="0" w:after="0"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9"/>
      <w:bookmarkEnd w:id="20"/>
      <w:r>
        <w:rPr>
          <w:rFonts w:hint="eastAsia" w:ascii="宋体" w:hAnsi="宋体" w:eastAsia="宋体" w:cs="宋体"/>
          <w:b w:val="0"/>
          <w:sz w:val="24"/>
          <w:szCs w:val="24"/>
          <w:highlight w:val="none"/>
        </w:rPr>
        <w:t>截止时间、开标时间和地点</w:t>
      </w:r>
      <w:bookmarkEnd w:id="21"/>
      <w:bookmarkEnd w:id="22"/>
    </w:p>
    <w:p>
      <w:pPr>
        <w:pageBreakBefore w:val="0"/>
        <w:kinsoku/>
        <w:overflowPunct/>
        <w:bidi w:val="0"/>
        <w:spacing w:line="360" w:lineRule="auto"/>
        <w:ind w:firstLine="360" w:firstLineChars="150"/>
        <w:rPr>
          <w:rFonts w:hint="eastAsia" w:ascii="宋体" w:hAnsi="宋体" w:eastAsia="宋体" w:cs="宋体"/>
          <w:bCs/>
          <w:sz w:val="24"/>
          <w:szCs w:val="24"/>
          <w:highlight w:val="none"/>
        </w:rPr>
      </w:pPr>
      <w:bookmarkStart w:id="23" w:name="_Toc28359007"/>
      <w:bookmarkStart w:id="24" w:name="_Toc28359084"/>
      <w:bookmarkStart w:id="25" w:name="_Toc35393794"/>
      <w:bookmarkStart w:id="26" w:name="_Toc35393625"/>
      <w:r>
        <w:rPr>
          <w:rFonts w:hint="eastAsia" w:ascii="宋体" w:hAnsi="宋体" w:eastAsia="宋体" w:cs="宋体"/>
          <w:bCs/>
          <w:sz w:val="24"/>
          <w:szCs w:val="24"/>
          <w:highlight w:val="none"/>
        </w:rPr>
        <w:t>投</w:t>
      </w:r>
      <w:r>
        <w:rPr>
          <w:rFonts w:hint="eastAsia" w:ascii="宋体" w:hAnsi="宋体" w:eastAsia="宋体" w:cs="宋体"/>
          <w:bCs/>
          <w:sz w:val="24"/>
          <w:szCs w:val="24"/>
          <w:highlight w:val="none"/>
          <w:lang w:eastAsia="zh-CN"/>
        </w:rPr>
        <w:t>标截止时间、开标时间：2026年11月2日下午13时30分（北京时间）</w:t>
      </w:r>
      <w:r>
        <w:rPr>
          <w:rFonts w:hint="eastAsia" w:ascii="宋体" w:hAnsi="宋体" w:eastAsia="宋体" w:cs="宋体"/>
          <w:bCs/>
          <w:sz w:val="24"/>
          <w:szCs w:val="24"/>
          <w:highlight w:val="none"/>
        </w:rPr>
        <w:t>。</w:t>
      </w:r>
    </w:p>
    <w:p>
      <w:pPr>
        <w:pageBreakBefore w:val="0"/>
        <w:kinsoku/>
        <w:overflowPunct/>
        <w:bidi w:val="0"/>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地点：北京市政府采购电子交易平台。</w:t>
      </w:r>
    </w:p>
    <w:p>
      <w:pPr>
        <w:pStyle w:val="3"/>
        <w:pageBreakBefore w:val="0"/>
        <w:kinsoku/>
        <w:overflowPunct/>
        <w:bidi w:val="0"/>
        <w:spacing w:before="0" w:after="0" w:line="360" w:lineRule="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五、公告期限</w:t>
      </w:r>
      <w:bookmarkEnd w:id="23"/>
      <w:bookmarkEnd w:id="24"/>
      <w:bookmarkEnd w:id="25"/>
      <w:bookmarkEnd w:id="26"/>
    </w:p>
    <w:p>
      <w:pPr>
        <w:pageBreakBefore w:val="0"/>
        <w:kinsoku/>
        <w:overflowPunct/>
        <w:bidi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pPr>
        <w:pStyle w:val="3"/>
        <w:pageBreakBefore w:val="0"/>
        <w:kinsoku/>
        <w:overflowPunct/>
        <w:bidi w:val="0"/>
        <w:spacing w:before="0" w:after="0" w:line="360" w:lineRule="auto"/>
        <w:rPr>
          <w:rFonts w:hint="eastAsia" w:ascii="宋体" w:hAnsi="宋体" w:eastAsia="宋体" w:cs="宋体"/>
          <w:b w:val="0"/>
          <w:sz w:val="24"/>
          <w:szCs w:val="24"/>
          <w:lang w:val="en-US" w:eastAsia="zh-CN"/>
        </w:rPr>
      </w:pPr>
      <w:bookmarkStart w:id="27" w:name="_Toc35393626"/>
      <w:bookmarkStart w:id="28" w:name="_Toc35393795"/>
      <w:r>
        <w:rPr>
          <w:rFonts w:hint="eastAsia" w:ascii="宋体" w:hAnsi="宋体" w:eastAsia="宋体" w:cs="宋体"/>
          <w:b w:val="0"/>
          <w:sz w:val="24"/>
          <w:szCs w:val="24"/>
          <w:lang w:val="en-US" w:eastAsia="zh-CN"/>
        </w:rPr>
        <w:t>六、其他补充事宜</w:t>
      </w:r>
      <w:bookmarkEnd w:id="27"/>
      <w:bookmarkEnd w:id="28"/>
      <w:bookmarkStart w:id="29" w:name="_Toc28359085"/>
      <w:bookmarkStart w:id="30" w:name="_Toc28359008"/>
      <w:bookmarkStart w:id="31" w:name="_Toc35393796"/>
      <w:bookmarkStart w:id="32" w:name="_Toc35393627"/>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1. 本项目需要落实的政府采购政策：促进中小企业发展政策、监狱企业扶持政策、促进残疾人就业政府采购政策、鼓励节能、环保政策、实施本国产品标准及相关政策等。具体落实情况详见招标文件。 </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2. 申请人的资格要求补充： </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（1）被“信用中国”网站（www.creditchina.gov.cn）列入失信被执行人和重大税收</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违法案件当事人名单的、被“中国政府采购网”网站（www.ccgp.gov.cn）列入政</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府采购严重违法失信行为记录名单（处罚期限尚未届满的）的供应商，不得参与</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本项目的政府采购活动。 </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（2）单位负责人为同一人或者存在直接控股、管理关系的不同供应商，不得参加同一</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包的投标或者未划分包的同一招标项目的投标。 </w:t>
      </w:r>
    </w:p>
    <w:p>
      <w:pPr>
        <w:pageBreakBefore w:val="0"/>
        <w:tabs>
          <w:tab w:val="left" w:pos="360"/>
          <w:tab w:val="left" w:pos="794"/>
        </w:tabs>
        <w:kinsoku/>
        <w:overflowPunct/>
        <w:bidi w:val="0"/>
        <w:spacing w:line="360" w:lineRule="auto"/>
        <w:ind w:firstLine="720" w:firstLineChars="300"/>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 本条所指单位负责人为同一人指单位法定代表人或者法律、行政法规规定代表</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单位行使职权的主要负责人。 </w:t>
      </w:r>
    </w:p>
    <w:p>
      <w:pPr>
        <w:pageBreakBefore w:val="0"/>
        <w:tabs>
          <w:tab w:val="left" w:pos="360"/>
          <w:tab w:val="left" w:pos="794"/>
        </w:tabs>
        <w:kinsoku/>
        <w:overflowPunct/>
        <w:bidi w:val="0"/>
        <w:spacing w:line="360" w:lineRule="auto"/>
        <w:ind w:firstLine="720" w:firstLineChars="300"/>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 本条所指控股关系指单位或股东的控股关系。控股股东指：</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a.出资额占有限责任公司资本总额百分之五十以上或者其持有的股份占股份有限</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公司股本总额百分之五十以上的股东； </w:t>
      </w:r>
    </w:p>
    <w:p>
      <w:pPr>
        <w:pageBreakBefore w:val="0"/>
        <w:tabs>
          <w:tab w:val="left" w:pos="360"/>
          <w:tab w:val="left" w:pos="794"/>
        </w:tabs>
        <w:kinsoku/>
        <w:overflowPunct/>
        <w:bidi w:val="0"/>
        <w:spacing w:line="360" w:lineRule="auto"/>
        <w:ind w:firstLine="480" w:firstLineChars="200"/>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b.出资额或者持有股份的比例不足百分之五十，但其出资额或者持有的股份所享</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有的表决权已足以对股东会、股东大会的决议产生重大影响的股东。 </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3) 本条所指管理关系指不具有出资持股关系的其他单位之间存在的管理与被管理</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关系。 </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注：本条所指的控股、管理关系仅限于直接控股、直接管理关系，不包括间接控</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股或管理关系。 </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（3）为本采购项目提供过整体设计、规范编制或者项目管理、监理、检测等服务的供</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应商及其附属机构，不得再参加本采购项目的投标活动。 </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（4）按照招标公告要求获取了招标文件。 </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（5）符合法律、行政法规规定的其他要求。</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3.本次招标供应商必须以包为单位进行投标响应，评标和合同授予也以包为单位。</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本项目采用全流程电子化招标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CA 数字证书服务热线 010-58511086</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电子营业执照服务热线  400-699-7000</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技术支持服务热线  010-86483801</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4.1 办理 CA 数字证书或电子营业执照</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供应商登录北京市政府采购电子交易平台查阅 “用户指南”—“操作指南”—</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“市场主体 CA 办理操作流程指引”/“电子营业执照使用指南”，按照程序要求办理。</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4.2 注册</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供应商登录北京市政府采购电子交易平台“用户指南”—“操作指南”—“市</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场主体注册入库操作流程指引”进行自助注册绑定。</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4.3 驱动、客户端下载</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供应商登录北京市政府采购电子交易平台“用户指南”—“工具下载”—“招</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标采购系统文件驱动安装包”下载相关驱动。</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供应商登录北京市政府采购电子交易平台“用户指南”—“工具下载”—“投</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标文件编制工具”下载相关客户端。</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4.4 获取电子招标文件</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供应商使用 CA 数字证书或电子营业执照登录北京市政府采购电子交易平台获取</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电子招标文件。</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供应商如计划参与多个采购包的投标，应在登录北京市政府采购电子交易平台后，在【我的项目】栏目依次选择对应采购包，进入项目工作台招标/采购文件环节</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分别按采购包下载招标文件电子版。未在规定期限内按上述操作获取招标文件的投标无效。</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4.5 编制电子投标文件</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供应商应使用电子投标客户端编制电子投标文件并进行线上投标，供应商电子投标</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文件需要加密并加盖电子签章，如无法按照要求在电子投标文件中加盖电子签章和加密，请及时通过技术支持服务热线联系技术人员。</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4.6 提交电子投标文件</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供应商应于投标截止时间前在北京市政府采购电子交易平台提交电子投标文件，上</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传电子投标文件过程中请保持与互联网的连接畅通。</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4.7 电子开标</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供应商在开标地点使用CA认证证书登录北京市政府采购电子交易平台进行电子开标。</w:t>
      </w:r>
    </w:p>
    <w:p>
      <w:pPr>
        <w:pageBreakBefore w:val="0"/>
        <w:tabs>
          <w:tab w:val="left" w:pos="360"/>
          <w:tab w:val="left" w:pos="794"/>
        </w:tabs>
        <w:kinsoku/>
        <w:overflowPunct/>
        <w:bidi w:val="0"/>
        <w:spacing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9"/>
      <w:bookmarkEnd w:id="30"/>
      <w:bookmarkEnd w:id="31"/>
      <w:bookmarkEnd w:id="32"/>
    </w:p>
    <w:p>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称：首都医科大学附属北京胸科医院</w:t>
      </w:r>
    </w:p>
    <w:p>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址：通州区北关大街9号院</w:t>
      </w:r>
    </w:p>
    <w:p>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联系方式：010-89509226</w:t>
      </w:r>
    </w:p>
    <w:p>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pPr>
        <w:pageBreakBefore w:val="0"/>
        <w:kinsoku/>
        <w:overflowPunct/>
        <w:bidi w:val="0"/>
        <w:spacing w:line="360" w:lineRule="auto"/>
        <w:ind w:firstLine="720" w:firstLineChars="300"/>
        <w:rPr>
          <w:rFonts w:hint="eastAsia" w:ascii="宋体" w:hAnsi="宋体" w:eastAsia="宋体" w:cs="宋体"/>
          <w:bCs/>
          <w:sz w:val="28"/>
          <w:szCs w:val="28"/>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4ZTNjYWE3NzJkN2QyNzI0ZDUxMDFlZTAzODYzMjMifQ=="/>
  </w:docVars>
  <w:rsids>
    <w:rsidRoot w:val="5C69757C"/>
    <w:rsid w:val="0029212E"/>
    <w:rsid w:val="006A79F1"/>
    <w:rsid w:val="0091581F"/>
    <w:rsid w:val="00A94DCD"/>
    <w:rsid w:val="00BF4BC5"/>
    <w:rsid w:val="00D65262"/>
    <w:rsid w:val="00DB1EA0"/>
    <w:rsid w:val="00F92BA9"/>
    <w:rsid w:val="01CA1639"/>
    <w:rsid w:val="027F5EA8"/>
    <w:rsid w:val="02ED5607"/>
    <w:rsid w:val="03EE0393"/>
    <w:rsid w:val="03F36EDF"/>
    <w:rsid w:val="041C6F4E"/>
    <w:rsid w:val="044D466E"/>
    <w:rsid w:val="04923431"/>
    <w:rsid w:val="04B24EC3"/>
    <w:rsid w:val="05D83E7B"/>
    <w:rsid w:val="06475B39"/>
    <w:rsid w:val="07A54001"/>
    <w:rsid w:val="07FC3326"/>
    <w:rsid w:val="0854278F"/>
    <w:rsid w:val="090D2269"/>
    <w:rsid w:val="0AF376E5"/>
    <w:rsid w:val="0B3B3792"/>
    <w:rsid w:val="0B616D1D"/>
    <w:rsid w:val="0BA430E7"/>
    <w:rsid w:val="0C1D1568"/>
    <w:rsid w:val="0E0B286D"/>
    <w:rsid w:val="0E4C6701"/>
    <w:rsid w:val="0FE614C3"/>
    <w:rsid w:val="103E71C0"/>
    <w:rsid w:val="12A51AA6"/>
    <w:rsid w:val="130E27A5"/>
    <w:rsid w:val="13400495"/>
    <w:rsid w:val="134C1D1E"/>
    <w:rsid w:val="13BE73B3"/>
    <w:rsid w:val="13EA45AA"/>
    <w:rsid w:val="13F86009"/>
    <w:rsid w:val="141D78B9"/>
    <w:rsid w:val="14545688"/>
    <w:rsid w:val="15065107"/>
    <w:rsid w:val="15735CFA"/>
    <w:rsid w:val="158C674C"/>
    <w:rsid w:val="167D7355"/>
    <w:rsid w:val="17CF0DE0"/>
    <w:rsid w:val="18335BC8"/>
    <w:rsid w:val="19522F2C"/>
    <w:rsid w:val="19F03C9C"/>
    <w:rsid w:val="1A3C3D20"/>
    <w:rsid w:val="1B0442B0"/>
    <w:rsid w:val="1B4048D1"/>
    <w:rsid w:val="1B866B59"/>
    <w:rsid w:val="1C4972F3"/>
    <w:rsid w:val="1CCA710D"/>
    <w:rsid w:val="1E1411A7"/>
    <w:rsid w:val="1E7C67FB"/>
    <w:rsid w:val="1EB63404"/>
    <w:rsid w:val="1ED35AA3"/>
    <w:rsid w:val="1EE17DC8"/>
    <w:rsid w:val="20322F5E"/>
    <w:rsid w:val="205C14B5"/>
    <w:rsid w:val="2113111A"/>
    <w:rsid w:val="21410915"/>
    <w:rsid w:val="21457417"/>
    <w:rsid w:val="2224601B"/>
    <w:rsid w:val="22F97D63"/>
    <w:rsid w:val="230456A7"/>
    <w:rsid w:val="239B2179"/>
    <w:rsid w:val="250F7ADC"/>
    <w:rsid w:val="256C4FCA"/>
    <w:rsid w:val="25B76FF0"/>
    <w:rsid w:val="25F33BB6"/>
    <w:rsid w:val="25FF1B34"/>
    <w:rsid w:val="26AD7506"/>
    <w:rsid w:val="27401BB2"/>
    <w:rsid w:val="285212FE"/>
    <w:rsid w:val="291C4B35"/>
    <w:rsid w:val="2967011C"/>
    <w:rsid w:val="29DB6A8D"/>
    <w:rsid w:val="2A83792D"/>
    <w:rsid w:val="2A874528"/>
    <w:rsid w:val="2BCA04EF"/>
    <w:rsid w:val="2CF55A3F"/>
    <w:rsid w:val="2D26209C"/>
    <w:rsid w:val="2E385BE3"/>
    <w:rsid w:val="2EC63CEE"/>
    <w:rsid w:val="303E35CF"/>
    <w:rsid w:val="31886C6D"/>
    <w:rsid w:val="31BF63A2"/>
    <w:rsid w:val="31F50738"/>
    <w:rsid w:val="3262685B"/>
    <w:rsid w:val="32627B42"/>
    <w:rsid w:val="329434F6"/>
    <w:rsid w:val="33526100"/>
    <w:rsid w:val="337E053C"/>
    <w:rsid w:val="33A1236A"/>
    <w:rsid w:val="34AF4725"/>
    <w:rsid w:val="34D07ED2"/>
    <w:rsid w:val="34DD22D5"/>
    <w:rsid w:val="3569702C"/>
    <w:rsid w:val="36151C5B"/>
    <w:rsid w:val="36A06E2F"/>
    <w:rsid w:val="36A1760F"/>
    <w:rsid w:val="36D41352"/>
    <w:rsid w:val="36D81DC5"/>
    <w:rsid w:val="387B69BA"/>
    <w:rsid w:val="390377C3"/>
    <w:rsid w:val="3B82647B"/>
    <w:rsid w:val="3D0657A9"/>
    <w:rsid w:val="3D650A59"/>
    <w:rsid w:val="3D7344A5"/>
    <w:rsid w:val="3DA90D42"/>
    <w:rsid w:val="3F302C3B"/>
    <w:rsid w:val="3F3630FE"/>
    <w:rsid w:val="3F640B0B"/>
    <w:rsid w:val="40331F2C"/>
    <w:rsid w:val="40E6314D"/>
    <w:rsid w:val="40FD2E2B"/>
    <w:rsid w:val="41270BD1"/>
    <w:rsid w:val="425D1A0B"/>
    <w:rsid w:val="42C43A92"/>
    <w:rsid w:val="43CA6B8D"/>
    <w:rsid w:val="43FD5DA5"/>
    <w:rsid w:val="440700DA"/>
    <w:rsid w:val="459660BA"/>
    <w:rsid w:val="46050649"/>
    <w:rsid w:val="46AF7F09"/>
    <w:rsid w:val="46CA2B46"/>
    <w:rsid w:val="46D52298"/>
    <w:rsid w:val="48A87680"/>
    <w:rsid w:val="493E680F"/>
    <w:rsid w:val="494E49AA"/>
    <w:rsid w:val="4BB5041C"/>
    <w:rsid w:val="4C6F0B7D"/>
    <w:rsid w:val="4C9F5D25"/>
    <w:rsid w:val="4CAB781B"/>
    <w:rsid w:val="4D21520B"/>
    <w:rsid w:val="4D771C1E"/>
    <w:rsid w:val="4D9C11A0"/>
    <w:rsid w:val="4E212C99"/>
    <w:rsid w:val="4E3C38DE"/>
    <w:rsid w:val="4E524648"/>
    <w:rsid w:val="4EB8286A"/>
    <w:rsid w:val="4EBA744A"/>
    <w:rsid w:val="4EFB135B"/>
    <w:rsid w:val="4FC96956"/>
    <w:rsid w:val="50B018E0"/>
    <w:rsid w:val="50C8175A"/>
    <w:rsid w:val="5186480E"/>
    <w:rsid w:val="52C23F57"/>
    <w:rsid w:val="52EF249C"/>
    <w:rsid w:val="531E6325"/>
    <w:rsid w:val="53457C95"/>
    <w:rsid w:val="53A86942"/>
    <w:rsid w:val="53D23BDF"/>
    <w:rsid w:val="548D63DA"/>
    <w:rsid w:val="567B02F2"/>
    <w:rsid w:val="56C00491"/>
    <w:rsid w:val="5814071D"/>
    <w:rsid w:val="586F71D9"/>
    <w:rsid w:val="59413C36"/>
    <w:rsid w:val="594828CF"/>
    <w:rsid w:val="5A59165A"/>
    <w:rsid w:val="5A755946"/>
    <w:rsid w:val="5B4857A8"/>
    <w:rsid w:val="5BC0634E"/>
    <w:rsid w:val="5C69757C"/>
    <w:rsid w:val="5D5B3753"/>
    <w:rsid w:val="5DBE13B2"/>
    <w:rsid w:val="5E127261"/>
    <w:rsid w:val="5F100B70"/>
    <w:rsid w:val="5F1617EB"/>
    <w:rsid w:val="609E2FA1"/>
    <w:rsid w:val="6224485E"/>
    <w:rsid w:val="62AC0550"/>
    <w:rsid w:val="62CA27A3"/>
    <w:rsid w:val="63DB4629"/>
    <w:rsid w:val="643D1F77"/>
    <w:rsid w:val="64793376"/>
    <w:rsid w:val="65EE2A50"/>
    <w:rsid w:val="66940DD7"/>
    <w:rsid w:val="66DD3ED2"/>
    <w:rsid w:val="67397CFB"/>
    <w:rsid w:val="677A75D3"/>
    <w:rsid w:val="683A1C4F"/>
    <w:rsid w:val="68DF504F"/>
    <w:rsid w:val="68E02922"/>
    <w:rsid w:val="69725190"/>
    <w:rsid w:val="69A54848"/>
    <w:rsid w:val="69B33D95"/>
    <w:rsid w:val="6A151A7D"/>
    <w:rsid w:val="6A373141"/>
    <w:rsid w:val="6AB04778"/>
    <w:rsid w:val="6B2262B4"/>
    <w:rsid w:val="6C3D7821"/>
    <w:rsid w:val="6CAC58D7"/>
    <w:rsid w:val="6F542FCF"/>
    <w:rsid w:val="70E632A0"/>
    <w:rsid w:val="710148AA"/>
    <w:rsid w:val="71EE7763"/>
    <w:rsid w:val="72F23D89"/>
    <w:rsid w:val="73364194"/>
    <w:rsid w:val="73723423"/>
    <w:rsid w:val="74057A00"/>
    <w:rsid w:val="74294E24"/>
    <w:rsid w:val="74AE2CAA"/>
    <w:rsid w:val="750652A7"/>
    <w:rsid w:val="7506570B"/>
    <w:rsid w:val="7522503C"/>
    <w:rsid w:val="75490F59"/>
    <w:rsid w:val="75B2173C"/>
    <w:rsid w:val="7688114B"/>
    <w:rsid w:val="76A9682B"/>
    <w:rsid w:val="7747264E"/>
    <w:rsid w:val="77C65F49"/>
    <w:rsid w:val="78B910A6"/>
    <w:rsid w:val="79253CCD"/>
    <w:rsid w:val="793730E3"/>
    <w:rsid w:val="798538CB"/>
    <w:rsid w:val="7A4A0D23"/>
    <w:rsid w:val="7AE57ADF"/>
    <w:rsid w:val="7B8437E3"/>
    <w:rsid w:val="7BD323FA"/>
    <w:rsid w:val="7BF20C06"/>
    <w:rsid w:val="7C436FF0"/>
    <w:rsid w:val="7DAE0B2D"/>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3">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qFormat/>
    <w:uiPriority w:val="0"/>
    <w:pPr>
      <w:spacing w:after="120"/>
    </w:pPr>
    <w:rPr>
      <w:szCs w:val="24"/>
    </w:rPr>
  </w:style>
  <w:style w:type="paragraph" w:styleId="6">
    <w:name w:val="Body Text Indent"/>
    <w:basedOn w:val="1"/>
    <w:next w:val="7"/>
    <w:qFormat/>
    <w:uiPriority w:val="0"/>
    <w:pPr>
      <w:spacing w:after="120"/>
      <w:ind w:left="420" w:leftChars="200"/>
    </w:pPr>
    <w:rPr>
      <w:szCs w:val="24"/>
    </w:rPr>
  </w:style>
  <w:style w:type="paragraph" w:styleId="7">
    <w:name w:val="Body Text First Indent 2"/>
    <w:basedOn w:val="6"/>
    <w:unhideWhenUsed/>
    <w:qFormat/>
    <w:uiPriority w:val="99"/>
    <w:pPr>
      <w:ind w:firstLine="420" w:firstLineChars="200"/>
    </w:p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toc 2"/>
    <w:basedOn w:val="1"/>
    <w:next w:val="1"/>
    <w:qFormat/>
    <w:uiPriority w:val="0"/>
    <w:pPr>
      <w:ind w:left="420" w:leftChars="200"/>
    </w:pPr>
  </w:style>
  <w:style w:type="paragraph" w:styleId="11">
    <w:name w:val="Title"/>
    <w:basedOn w:val="1"/>
    <w:next w:val="1"/>
    <w:qFormat/>
    <w:uiPriority w:val="0"/>
    <w:pPr>
      <w:jc w:val="center"/>
      <w:outlineLvl w:val="0"/>
    </w:pPr>
    <w:rPr>
      <w:b/>
      <w:sz w:val="32"/>
      <w:szCs w:val="20"/>
    </w:rPr>
  </w:style>
  <w:style w:type="character" w:styleId="14">
    <w:name w:val="FollowedHyperlink"/>
    <w:basedOn w:val="13"/>
    <w:qFormat/>
    <w:uiPriority w:val="0"/>
    <w:rPr>
      <w:color w:val="2490F8"/>
      <w:u w:val="single"/>
    </w:rPr>
  </w:style>
  <w:style w:type="character" w:styleId="15">
    <w:name w:val="Hyperlink"/>
    <w:basedOn w:val="13"/>
    <w:qFormat/>
    <w:uiPriority w:val="0"/>
    <w:rPr>
      <w:color w:val="2490F8"/>
      <w:u w:val="single"/>
    </w:rPr>
  </w:style>
  <w:style w:type="paragraph" w:customStyle="1" w:styleId="1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7">
    <w:name w:val="首行缩进"/>
    <w:basedOn w:val="1"/>
    <w:qFormat/>
    <w:uiPriority w:val="0"/>
    <w:pPr>
      <w:spacing w:line="360" w:lineRule="auto"/>
      <w:ind w:firstLine="480" w:firstLineChars="200"/>
    </w:pPr>
    <w:rPr>
      <w:rFonts w:ascii="宋体" w:hAnsi="宋体" w:cs="宋体"/>
      <w:kern w:val="0"/>
      <w:sz w:val="24"/>
    </w:rPr>
  </w:style>
  <w:style w:type="paragraph" w:customStyle="1" w:styleId="18">
    <w:name w:val="表格文字"/>
    <w:basedOn w:val="1"/>
    <w:qFormat/>
    <w:uiPriority w:val="0"/>
    <w:pPr>
      <w:spacing w:before="25" w:after="25"/>
      <w:jc w:val="left"/>
    </w:pPr>
    <w:rPr>
      <w:bCs/>
      <w:spacing w:val="10"/>
      <w:kern w:val="0"/>
      <w:sz w:val="24"/>
    </w:rPr>
  </w:style>
  <w:style w:type="paragraph" w:customStyle="1" w:styleId="19">
    <w:name w:val="列表段落1"/>
    <w:basedOn w:val="1"/>
    <w:qFormat/>
    <w:uiPriority w:val="34"/>
    <w:pPr>
      <w:ind w:firstLine="420" w:firstLineChars="200"/>
    </w:pPr>
  </w:style>
  <w:style w:type="paragraph" w:customStyle="1" w:styleId="20">
    <w:name w:val="正文3"/>
    <w:qFormat/>
    <w:uiPriority w:val="0"/>
    <w:pPr>
      <w:jc w:val="both"/>
    </w:pPr>
    <w:rPr>
      <w:rFonts w:ascii="Calibri" w:hAnsi="Calibri" w:eastAsia="宋体" w:cs="Times New Roman"/>
      <w:kern w:val="2"/>
      <w:sz w:val="21"/>
      <w:szCs w:val="21"/>
      <w:lang w:val="en-US" w:eastAsia="zh-CN" w:bidi="ar-SA"/>
    </w:rPr>
  </w:style>
  <w:style w:type="character" w:customStyle="1" w:styleId="21">
    <w:name w:val="font21"/>
    <w:basedOn w:val="13"/>
    <w:qFormat/>
    <w:uiPriority w:val="0"/>
    <w:rPr>
      <w:rFonts w:ascii="Tahoma" w:hAnsi="Tahoma" w:eastAsia="Tahoma" w:cs="Tahoma"/>
      <w:color w:val="000000"/>
      <w:sz w:val="22"/>
      <w:szCs w:val="22"/>
      <w:u w:val="none"/>
    </w:rPr>
  </w:style>
  <w:style w:type="character" w:customStyle="1" w:styleId="22">
    <w:name w:val="drapbtn"/>
    <w:basedOn w:val="13"/>
    <w:qFormat/>
    <w:uiPriority w:val="0"/>
  </w:style>
  <w:style w:type="character" w:customStyle="1" w:styleId="23">
    <w:name w:val="button"/>
    <w:basedOn w:val="13"/>
    <w:qFormat/>
    <w:uiPriority w:val="0"/>
  </w:style>
  <w:style w:type="character" w:customStyle="1" w:styleId="24">
    <w:name w:val="iconline2"/>
    <w:basedOn w:val="13"/>
    <w:qFormat/>
    <w:uiPriority w:val="0"/>
  </w:style>
  <w:style w:type="character" w:customStyle="1" w:styleId="25">
    <w:name w:val="icontext3"/>
    <w:basedOn w:val="13"/>
    <w:qFormat/>
    <w:uiPriority w:val="0"/>
  </w:style>
  <w:style w:type="character" w:customStyle="1" w:styleId="26">
    <w:name w:val="after"/>
    <w:basedOn w:val="13"/>
    <w:qFormat/>
    <w:uiPriority w:val="0"/>
    <w:rPr>
      <w:sz w:val="0"/>
      <w:szCs w:val="0"/>
    </w:rPr>
  </w:style>
  <w:style w:type="character" w:customStyle="1" w:styleId="27">
    <w:name w:val="pagechatarealistclose_box"/>
    <w:basedOn w:val="13"/>
    <w:qFormat/>
    <w:uiPriority w:val="0"/>
  </w:style>
  <w:style w:type="character" w:customStyle="1" w:styleId="28">
    <w:name w:val="pagechatarealistclose_box1"/>
    <w:basedOn w:val="13"/>
    <w:qFormat/>
    <w:uiPriority w:val="0"/>
  </w:style>
  <w:style w:type="character" w:customStyle="1" w:styleId="29">
    <w:name w:val="cy"/>
    <w:basedOn w:val="13"/>
    <w:qFormat/>
    <w:uiPriority w:val="0"/>
  </w:style>
  <w:style w:type="character" w:customStyle="1" w:styleId="30">
    <w:name w:val="hilite5"/>
    <w:basedOn w:val="13"/>
    <w:qFormat/>
    <w:uiPriority w:val="0"/>
    <w:rPr>
      <w:color w:val="FFFFFF"/>
      <w:shd w:val="clear" w:fill="666666"/>
    </w:rPr>
  </w:style>
  <w:style w:type="character" w:customStyle="1" w:styleId="31">
    <w:name w:val="layui-layer-tabnow"/>
    <w:basedOn w:val="13"/>
    <w:qFormat/>
    <w:uiPriority w:val="0"/>
    <w:rPr>
      <w:bdr w:val="single" w:color="CCCCCC" w:sz="6" w:space="0"/>
      <w:shd w:val="clear" w:fill="FFFFFF"/>
    </w:rPr>
  </w:style>
  <w:style w:type="character" w:customStyle="1" w:styleId="32">
    <w:name w:val="cdropright"/>
    <w:basedOn w:val="13"/>
    <w:qFormat/>
    <w:uiPriority w:val="0"/>
  </w:style>
  <w:style w:type="character" w:customStyle="1" w:styleId="33">
    <w:name w:val="ico1651"/>
    <w:basedOn w:val="13"/>
    <w:qFormat/>
    <w:uiPriority w:val="0"/>
  </w:style>
  <w:style w:type="character" w:customStyle="1" w:styleId="34">
    <w:name w:val="ico1652"/>
    <w:basedOn w:val="13"/>
    <w:qFormat/>
    <w:uiPriority w:val="0"/>
  </w:style>
  <w:style w:type="character" w:customStyle="1" w:styleId="35">
    <w:name w:val="associateddata"/>
    <w:basedOn w:val="13"/>
    <w:qFormat/>
    <w:uiPriority w:val="0"/>
    <w:rPr>
      <w:shd w:val="clear" w:fill="50A6F9"/>
    </w:rPr>
  </w:style>
  <w:style w:type="character" w:customStyle="1" w:styleId="36">
    <w:name w:val="cdropleft"/>
    <w:basedOn w:val="13"/>
    <w:qFormat/>
    <w:uiPriority w:val="0"/>
  </w:style>
  <w:style w:type="character" w:customStyle="1" w:styleId="37">
    <w:name w:val="active7"/>
    <w:basedOn w:val="13"/>
    <w:qFormat/>
    <w:uiPriority w:val="0"/>
    <w:rPr>
      <w:shd w:val="clear" w:fill="EC3535"/>
    </w:rPr>
  </w:style>
  <w:style w:type="character" w:customStyle="1" w:styleId="38">
    <w:name w:val="active8"/>
    <w:basedOn w:val="13"/>
    <w:qFormat/>
    <w:uiPriority w:val="0"/>
    <w:rPr>
      <w:color w:val="00FF00"/>
      <w:shd w:val="clear" w:fill="111111"/>
    </w:rPr>
  </w:style>
  <w:style w:type="character" w:customStyle="1" w:styleId="39">
    <w:name w:val="icontext2"/>
    <w:basedOn w:val="13"/>
    <w:qFormat/>
    <w:uiPriority w:val="0"/>
  </w:style>
  <w:style w:type="character" w:customStyle="1" w:styleId="40">
    <w:name w:val="tmpztreemove_arrow"/>
    <w:basedOn w:val="13"/>
    <w:qFormat/>
    <w:uiPriority w:val="0"/>
  </w:style>
  <w:style w:type="character" w:customStyle="1" w:styleId="41">
    <w:name w:val="icontext1"/>
    <w:basedOn w:val="13"/>
    <w:qFormat/>
    <w:uiPriority w:val="0"/>
  </w:style>
  <w:style w:type="character" w:customStyle="1" w:styleId="42">
    <w:name w:val="icontext11"/>
    <w:basedOn w:val="13"/>
    <w:qFormat/>
    <w:uiPriority w:val="0"/>
  </w:style>
  <w:style w:type="character" w:customStyle="1" w:styleId="43">
    <w:name w:val="icontext12"/>
    <w:basedOn w:val="13"/>
    <w:qFormat/>
    <w:uiPriority w:val="0"/>
  </w:style>
  <w:style w:type="character" w:customStyle="1" w:styleId="44">
    <w:name w:val="w32"/>
    <w:basedOn w:val="13"/>
    <w:qFormat/>
    <w:uiPriority w:val="0"/>
  </w:style>
  <w:style w:type="character" w:customStyle="1" w:styleId="45">
    <w:name w:val="first-child"/>
    <w:basedOn w:val="13"/>
    <w:qFormat/>
    <w:uiPriority w:val="0"/>
  </w:style>
  <w:style w:type="character" w:customStyle="1" w:styleId="46">
    <w:name w:val="ico1654"/>
    <w:basedOn w:val="13"/>
    <w:qFormat/>
    <w:uiPriority w:val="0"/>
  </w:style>
  <w:style w:type="character" w:customStyle="1" w:styleId="47">
    <w:name w:val="active"/>
    <w:basedOn w:val="13"/>
    <w:qFormat/>
    <w:uiPriority w:val="0"/>
    <w:rPr>
      <w:color w:val="00FF00"/>
      <w:shd w:val="clear" w:fill="111111"/>
    </w:rPr>
  </w:style>
  <w:style w:type="character" w:customStyle="1" w:styleId="48">
    <w:name w:val="active1"/>
    <w:basedOn w:val="13"/>
    <w:qFormat/>
    <w:uiPriority w:val="0"/>
    <w:rPr>
      <w:shd w:val="clear" w:fill="EC3535"/>
    </w:rPr>
  </w:style>
  <w:style w:type="character" w:customStyle="1" w:styleId="49">
    <w:name w:val="hilite6"/>
    <w:basedOn w:val="13"/>
    <w:qFormat/>
    <w:uiPriority w:val="0"/>
    <w:rPr>
      <w:color w:val="FFFFFF"/>
      <w:shd w:val="clear" w:fill="666666"/>
    </w:rPr>
  </w:style>
  <w:style w:type="paragraph" w:customStyle="1" w:styleId="50">
    <w:name w:val="Table Paragraph"/>
    <w:basedOn w:val="1"/>
    <w:qFormat/>
    <w:uiPriority w:val="1"/>
    <w:rPr>
      <w:rFonts w:ascii="宋体" w:hAnsi="宋体" w:eastAsia="宋体" w:cs="宋体"/>
    </w:rPr>
  </w:style>
  <w:style w:type="paragraph" w:customStyle="1" w:styleId="51">
    <w:name w:val="List Paragraph"/>
    <w:basedOn w:val="1"/>
    <w:qFormat/>
    <w:uiPriority w:val="1"/>
    <w:pPr>
      <w:spacing w:before="134"/>
      <w:ind w:left="1196" w:hanging="720"/>
    </w:pPr>
    <w:rPr>
      <w:rFonts w:ascii="宋体" w:hAnsi="宋体" w:eastAsia="宋体"/>
      <w:sz w:val="20"/>
    </w:rPr>
  </w:style>
  <w:style w:type="character" w:customStyle="1" w:styleId="52">
    <w:name w:val="font11"/>
    <w:basedOn w:val="13"/>
    <w:qFormat/>
    <w:uiPriority w:val="0"/>
    <w:rPr>
      <w:rFonts w:hint="eastAsia" w:ascii="宋体" w:hAnsi="宋体" w:eastAsia="宋体" w:cs="宋体"/>
      <w:color w:val="000000"/>
      <w:sz w:val="21"/>
      <w:szCs w:val="21"/>
      <w:u w:val="none"/>
    </w:rPr>
  </w:style>
  <w:style w:type="paragraph" w:customStyle="1" w:styleId="53">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2572</Words>
  <Characters>2932</Characters>
  <Lines>18</Lines>
  <Paragraphs>5</Paragraphs>
  <TotalTime>0</TotalTime>
  <ScaleCrop>false</ScaleCrop>
  <LinksUpToDate>false</LinksUpToDate>
  <CharactersWithSpaces>3069</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KB114</cp:lastModifiedBy>
  <cp:lastPrinted>2022-08-09T12:07:00Z</cp:lastPrinted>
  <dcterms:modified xsi:type="dcterms:W3CDTF">2026-10-12T04:11:18Z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2FFA333E51E04073B538B517BBF2E2DC_13</vt:lpwstr>
  </property>
  <property fmtid="{D5CDD505-2E9C-101B-9397-08002B2CF9AE}" pid="4" name="KSOTemplateDocerSaveRecord">
    <vt:lpwstr>eyJoZGlkIjoiMTUxNjU4Y2I1ZTg1ZmY0MTJiZWRhYWQxYzNmOTNlNDEiLCJ1c2VySWQiOiIyMTg5Mjc5NjMifQ==</vt:lpwstr>
  </property>
</Properties>
</file>