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9C3AB">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178B1FE1">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4EEC4570">
      <w:pPr>
        <w:snapToGrid w:val="0"/>
        <w:spacing w:line="360" w:lineRule="auto"/>
        <w:contextualSpacing/>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1159F70A">
      <w:pPr>
        <w:snapToGrid w:val="0"/>
        <w:spacing w:line="360" w:lineRule="auto"/>
        <w:contextualSpacing/>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5CCD25C6">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456CC175">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17CD9824">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69C15927">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0586331C">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63699A0D">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7984C73A">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15471714">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3BC4A493">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6AE1DF83">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79D41F51">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5576AF51">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01CD1FCE">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3A5179A0">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506E0D3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48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852"/>
        <w:gridCol w:w="3296"/>
        <w:gridCol w:w="819"/>
        <w:gridCol w:w="819"/>
        <w:gridCol w:w="1774"/>
      </w:tblGrid>
      <w:tr w14:paraId="5CBF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4" w:type="pct"/>
            <w:vAlign w:val="center"/>
          </w:tcPr>
          <w:p w14:paraId="7017866D">
            <w:pPr>
              <w:widowControl/>
              <w:jc w:val="center"/>
              <w:rPr>
                <w:rFonts w:ascii="仿宋" w:hAnsi="仿宋" w:eastAsia="仿宋" w:cs="宋体"/>
                <w:kern w:val="0"/>
                <w:sz w:val="24"/>
              </w:rPr>
            </w:pPr>
            <w:r>
              <w:rPr>
                <w:rFonts w:hint="eastAsia" w:ascii="仿宋" w:hAnsi="仿宋" w:eastAsia="仿宋" w:cs="宋体"/>
                <w:kern w:val="0"/>
                <w:sz w:val="24"/>
              </w:rPr>
              <w:t>包号</w:t>
            </w:r>
          </w:p>
        </w:tc>
        <w:tc>
          <w:tcPr>
            <w:tcW w:w="520" w:type="pct"/>
            <w:vAlign w:val="center"/>
          </w:tcPr>
          <w:p w14:paraId="7810F3A6">
            <w:pPr>
              <w:widowControl/>
              <w:jc w:val="center"/>
              <w:rPr>
                <w:rFonts w:ascii="仿宋" w:hAnsi="仿宋" w:eastAsia="仿宋" w:cs="宋体"/>
                <w:kern w:val="0"/>
                <w:sz w:val="24"/>
              </w:rPr>
            </w:pPr>
            <w:r>
              <w:rPr>
                <w:rFonts w:hint="eastAsia" w:ascii="仿宋" w:hAnsi="仿宋" w:eastAsia="仿宋" w:cs="宋体"/>
                <w:kern w:val="0"/>
                <w:sz w:val="24"/>
              </w:rPr>
              <w:t>品目号</w:t>
            </w:r>
          </w:p>
        </w:tc>
        <w:tc>
          <w:tcPr>
            <w:tcW w:w="2013" w:type="pct"/>
            <w:vAlign w:val="center"/>
          </w:tcPr>
          <w:p w14:paraId="26B1CA08">
            <w:pPr>
              <w:widowControl/>
              <w:jc w:val="center"/>
              <w:rPr>
                <w:rFonts w:ascii="仿宋" w:hAnsi="仿宋" w:eastAsia="仿宋" w:cs="宋体"/>
                <w:kern w:val="0"/>
                <w:sz w:val="24"/>
              </w:rPr>
            </w:pPr>
            <w:r>
              <w:rPr>
                <w:rFonts w:hint="eastAsia" w:ascii="仿宋" w:hAnsi="仿宋" w:eastAsia="仿宋" w:cs="宋体"/>
                <w:kern w:val="0"/>
                <w:sz w:val="24"/>
              </w:rPr>
              <w:t>标的名称</w:t>
            </w:r>
          </w:p>
        </w:tc>
        <w:tc>
          <w:tcPr>
            <w:tcW w:w="500" w:type="pct"/>
            <w:vAlign w:val="center"/>
          </w:tcPr>
          <w:p w14:paraId="4AE5ECD7">
            <w:pPr>
              <w:snapToGrid w:val="0"/>
              <w:spacing w:line="360" w:lineRule="auto"/>
              <w:jc w:val="center"/>
              <w:rPr>
                <w:rFonts w:ascii="仿宋" w:hAnsi="仿宋" w:eastAsia="仿宋" w:cs="仿宋"/>
                <w:bCs/>
                <w:sz w:val="24"/>
                <w:highlight w:val="none"/>
              </w:rPr>
            </w:pPr>
            <w:r>
              <w:rPr>
                <w:rFonts w:hint="eastAsia" w:ascii="仿宋" w:hAnsi="仿宋" w:eastAsia="仿宋" w:cs="仿宋"/>
                <w:bCs/>
                <w:sz w:val="24"/>
                <w:highlight w:val="none"/>
              </w:rPr>
              <w:t>数量</w:t>
            </w:r>
          </w:p>
        </w:tc>
        <w:tc>
          <w:tcPr>
            <w:tcW w:w="500" w:type="pct"/>
            <w:vAlign w:val="center"/>
          </w:tcPr>
          <w:p w14:paraId="2EAFB0C8">
            <w:pPr>
              <w:snapToGrid w:val="0"/>
              <w:spacing w:line="360" w:lineRule="auto"/>
              <w:jc w:val="center"/>
              <w:rPr>
                <w:rFonts w:ascii="仿宋" w:hAnsi="仿宋" w:eastAsia="仿宋" w:cs="仿宋"/>
                <w:bCs/>
                <w:sz w:val="24"/>
              </w:rPr>
            </w:pPr>
            <w:r>
              <w:rPr>
                <w:rFonts w:hint="eastAsia" w:ascii="仿宋" w:hAnsi="仿宋" w:eastAsia="仿宋" w:cs="仿宋"/>
                <w:bCs/>
                <w:sz w:val="24"/>
              </w:rPr>
              <w:t>单位</w:t>
            </w:r>
          </w:p>
        </w:tc>
        <w:tc>
          <w:tcPr>
            <w:tcW w:w="1084" w:type="pct"/>
            <w:vAlign w:val="center"/>
          </w:tcPr>
          <w:p w14:paraId="269F1064">
            <w:pPr>
              <w:widowControl/>
              <w:jc w:val="center"/>
              <w:rPr>
                <w:rFonts w:ascii="仿宋" w:hAnsi="仿宋" w:eastAsia="仿宋" w:cs="宋体"/>
                <w:kern w:val="0"/>
                <w:sz w:val="24"/>
              </w:rPr>
            </w:pPr>
            <w:r>
              <w:rPr>
                <w:rFonts w:hint="eastAsia" w:ascii="仿宋" w:hAnsi="仿宋" w:eastAsia="仿宋" w:cs="宋体"/>
                <w:kern w:val="0"/>
                <w:sz w:val="24"/>
              </w:rPr>
              <w:t>是否接受进口产品</w:t>
            </w:r>
          </w:p>
        </w:tc>
      </w:tr>
      <w:tr w14:paraId="4C94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84" w:type="pct"/>
            <w:noWrap/>
            <w:vAlign w:val="center"/>
          </w:tcPr>
          <w:p w14:paraId="08842464">
            <w:pPr>
              <w:widowControl/>
              <w:jc w:val="center"/>
              <w:rPr>
                <w:rFonts w:ascii="仿宋" w:hAnsi="仿宋" w:eastAsia="仿宋" w:cs="宋体"/>
                <w:kern w:val="0"/>
                <w:sz w:val="24"/>
              </w:rPr>
            </w:pPr>
            <w:r>
              <w:rPr>
                <w:rFonts w:hint="eastAsia" w:ascii="仿宋" w:hAnsi="仿宋" w:eastAsia="仿宋" w:cs="宋体"/>
                <w:kern w:val="0"/>
                <w:sz w:val="24"/>
              </w:rPr>
              <w:t>1</w:t>
            </w:r>
          </w:p>
        </w:tc>
        <w:tc>
          <w:tcPr>
            <w:tcW w:w="520" w:type="pct"/>
            <w:noWrap/>
            <w:vAlign w:val="center"/>
          </w:tcPr>
          <w:p w14:paraId="2A922982">
            <w:pPr>
              <w:widowControl/>
              <w:jc w:val="center"/>
              <w:rPr>
                <w:rFonts w:ascii="仿宋" w:hAnsi="仿宋" w:eastAsia="仿宋" w:cs="宋体"/>
                <w:kern w:val="0"/>
                <w:sz w:val="24"/>
              </w:rPr>
            </w:pPr>
            <w:r>
              <w:rPr>
                <w:rFonts w:hint="eastAsia" w:ascii="仿宋" w:hAnsi="仿宋" w:eastAsia="仿宋" w:cs="宋体"/>
                <w:kern w:val="0"/>
                <w:sz w:val="24"/>
              </w:rPr>
              <w:t>1-1</w:t>
            </w:r>
          </w:p>
        </w:tc>
        <w:tc>
          <w:tcPr>
            <w:tcW w:w="2013" w:type="pct"/>
            <w:vAlign w:val="center"/>
          </w:tcPr>
          <w:p w14:paraId="691BED31">
            <w:pPr>
              <w:widowControl/>
              <w:jc w:val="center"/>
              <w:rPr>
                <w:rFonts w:ascii="仿宋" w:hAnsi="仿宋" w:eastAsia="仿宋" w:cs="宋体"/>
                <w:kern w:val="0"/>
                <w:sz w:val="24"/>
              </w:rPr>
            </w:pPr>
            <w:r>
              <w:rPr>
                <w:rFonts w:hint="eastAsia" w:ascii="仿宋" w:hAnsi="仿宋" w:eastAsia="仿宋" w:cs="仿宋"/>
                <w:kern w:val="0"/>
                <w:sz w:val="24"/>
                <w:lang w:bidi="ar"/>
              </w:rPr>
              <w:t>良性阵发性位置性眩晕诊疗系仪</w:t>
            </w:r>
          </w:p>
        </w:tc>
        <w:tc>
          <w:tcPr>
            <w:tcW w:w="500" w:type="pct"/>
            <w:vAlign w:val="center"/>
          </w:tcPr>
          <w:p w14:paraId="5506A6B2">
            <w:pPr>
              <w:snapToGrid w:val="0"/>
              <w:spacing w:line="360" w:lineRule="auto"/>
              <w:jc w:val="center"/>
              <w:rPr>
                <w:rFonts w:hint="eastAsia" w:ascii="仿宋" w:hAnsi="仿宋" w:eastAsia="仿宋" w:cs="仿宋"/>
                <w:kern w:val="0"/>
                <w:sz w:val="24"/>
                <w:highlight w:val="none"/>
                <w:lang w:val="en-US" w:eastAsia="zh-CN" w:bidi="ar"/>
              </w:rPr>
            </w:pPr>
            <w:r>
              <w:rPr>
                <w:rFonts w:hint="eastAsia" w:ascii="仿宋" w:hAnsi="仿宋" w:eastAsia="仿宋" w:cs="仿宋"/>
                <w:kern w:val="0"/>
                <w:sz w:val="24"/>
                <w:highlight w:val="none"/>
                <w:lang w:val="en-US" w:eastAsia="zh-CN" w:bidi="ar"/>
              </w:rPr>
              <w:t>1</w:t>
            </w:r>
          </w:p>
        </w:tc>
        <w:tc>
          <w:tcPr>
            <w:tcW w:w="500" w:type="pct"/>
            <w:noWrap/>
            <w:vAlign w:val="center"/>
          </w:tcPr>
          <w:p w14:paraId="52953AA7">
            <w:pPr>
              <w:snapToGrid w:val="0"/>
              <w:spacing w:line="360" w:lineRule="auto"/>
              <w:jc w:val="center"/>
              <w:rPr>
                <w:rFonts w:ascii="仿宋" w:hAnsi="仿宋" w:eastAsia="仿宋" w:cs="仿宋"/>
                <w:kern w:val="0"/>
                <w:sz w:val="24"/>
                <w:lang w:bidi="ar"/>
              </w:rPr>
            </w:pPr>
            <w:r>
              <w:rPr>
                <w:rFonts w:hint="eastAsia" w:ascii="仿宋" w:hAnsi="仿宋" w:eastAsia="仿宋" w:cs="仿宋"/>
                <w:kern w:val="0"/>
                <w:sz w:val="24"/>
                <w:lang w:bidi="ar"/>
              </w:rPr>
              <w:t>套</w:t>
            </w:r>
          </w:p>
        </w:tc>
        <w:tc>
          <w:tcPr>
            <w:tcW w:w="1084" w:type="pct"/>
            <w:vAlign w:val="center"/>
          </w:tcPr>
          <w:p w14:paraId="70A132A7">
            <w:pPr>
              <w:jc w:val="center"/>
              <w:rPr>
                <w:rFonts w:ascii="仿宋" w:hAnsi="仿宋" w:eastAsia="仿宋"/>
                <w:sz w:val="24"/>
              </w:rPr>
            </w:pPr>
            <w:r>
              <w:rPr>
                <w:rFonts w:hint="eastAsia" w:ascii="仿宋" w:hAnsi="仿宋" w:eastAsia="仿宋" w:cs="宋体"/>
                <w:kern w:val="0"/>
                <w:sz w:val="24"/>
              </w:rPr>
              <w:t>否</w:t>
            </w:r>
          </w:p>
        </w:tc>
      </w:tr>
    </w:tbl>
    <w:p w14:paraId="30341FC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14:paraId="0D4CB1E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由专业人员操作在医疗机构内用于辅助诊断眩晕症，并对水平及后半规管良性阵发性位置性眩晕症进行治疗。</w:t>
      </w:r>
    </w:p>
    <w:p w14:paraId="012A6288">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31049A5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5322473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1、交付时间：签订合同后三个月内。</w:t>
      </w:r>
    </w:p>
    <w:p w14:paraId="7DC99E1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2、交付地点：北京清华长庚医院指定地点。</w:t>
      </w:r>
    </w:p>
    <w:p w14:paraId="1DC44FF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46D5B25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合同签订后且采购人收到中标人提交的预付款保函后付75%，到货初验合格且试用期满后付20%，</w:t>
      </w:r>
      <w:bookmarkStart w:id="5" w:name="_GoBack"/>
      <w:bookmarkEnd w:id="5"/>
      <w:r>
        <w:rPr>
          <w:rFonts w:hint="eastAsia" w:ascii="仿宋" w:hAnsi="仿宋" w:eastAsia="仿宋" w:cs="仿宋"/>
          <w:bCs/>
          <w:sz w:val="24"/>
        </w:rPr>
        <w:t>剩余5%作为履约保证金，待合同约定的质量保修期届满，中标人在保修期内已全面履行保修义务且不存在任何其他违约行为的，经采购人书面确认后30日内，由采购人支付中标人剩余履约保证金。（详见合同）</w:t>
      </w:r>
    </w:p>
    <w:p w14:paraId="1C1BEE3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30C6F67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0307406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（四）售后服务（质保期）</w:t>
      </w:r>
    </w:p>
    <w:p w14:paraId="18FF031A">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1、自设备验收完成之日起≥2年全责免费保修。</w:t>
      </w:r>
    </w:p>
    <w:p w14:paraId="618EF5D6">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2、保修期内已购软件免费升级。</w:t>
      </w:r>
    </w:p>
    <w:p w14:paraId="6299904A">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3、提供新增软、硬件购置折扣计价方式。</w:t>
      </w:r>
    </w:p>
    <w:p w14:paraId="1C224766">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4、提供全部零件编号及价格，零件保证供应10年以上。</w:t>
      </w:r>
    </w:p>
    <w:p w14:paraId="6CE983AE">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539EA38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（一）基本要求</w:t>
      </w:r>
    </w:p>
    <w:p w14:paraId="6C91751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1、采购标的需实现的功能或者目标</w:t>
      </w:r>
    </w:p>
    <w:p w14:paraId="3E125A8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本次招标采购是为北京清华长庚医院配置基本设备，</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9B1A32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228F4D34">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2.1、</w:t>
      </w:r>
      <w:r>
        <w:rPr>
          <w:rFonts w:ascii="仿宋" w:hAnsi="仿宋" w:eastAsia="仿宋" w:cs="仿宋"/>
          <w:b/>
          <w:bCs/>
          <w:sz w:val="24"/>
        </w:rPr>
        <w:t>投标产品属于医疗器械的，应按原国家食品药品监督管理</w:t>
      </w:r>
      <w:r>
        <w:rPr>
          <w:rFonts w:hint="eastAsia" w:ascii="仿宋" w:hAnsi="仿宋" w:eastAsia="仿宋" w:cs="仿宋"/>
          <w:b/>
          <w:bCs/>
          <w:sz w:val="24"/>
        </w:rPr>
        <w:t>总</w:t>
      </w:r>
      <w:r>
        <w:rPr>
          <w:rFonts w:ascii="仿宋" w:hAnsi="仿宋" w:eastAsia="仿宋" w:cs="仿宋"/>
          <w:b/>
          <w:bCs/>
          <w:sz w:val="24"/>
        </w:rPr>
        <w:t>局颁发的</w:t>
      </w:r>
      <w:r>
        <w:rPr>
          <w:rFonts w:hint="eastAsia" w:ascii="仿宋" w:hAnsi="仿宋" w:eastAsia="仿宋" w:cs="仿宋"/>
          <w:b/>
          <w:bCs/>
          <w:sz w:val="24"/>
        </w:rPr>
        <w:t>《医疗器械注册管理办法》</w:t>
      </w:r>
      <w:r>
        <w:rPr>
          <w:rFonts w:ascii="仿宋" w:hAnsi="仿宋" w:eastAsia="仿宋" w:cs="仿宋"/>
          <w:b/>
          <w:bCs/>
          <w:sz w:val="24"/>
        </w:rPr>
        <w:t>，办理医疗器械注册证或者办理备案，</w:t>
      </w:r>
      <w:r>
        <w:rPr>
          <w:rFonts w:hint="eastAsia" w:ascii="仿宋" w:hAnsi="仿宋" w:eastAsia="仿宋" w:cs="仿宋"/>
          <w:b/>
          <w:bCs/>
          <w:sz w:val="24"/>
        </w:rPr>
        <w:t>投标人</w:t>
      </w:r>
      <w:r>
        <w:rPr>
          <w:rFonts w:ascii="仿宋" w:hAnsi="仿宋" w:eastAsia="仿宋" w:cs="仿宋"/>
          <w:b/>
          <w:bCs/>
          <w:sz w:val="24"/>
        </w:rPr>
        <w:t>须提供医疗器械注册证复印件</w:t>
      </w:r>
      <w:r>
        <w:rPr>
          <w:rFonts w:hint="eastAsia" w:ascii="仿宋" w:hAnsi="仿宋" w:eastAsia="仿宋" w:cs="仿宋"/>
          <w:b/>
          <w:bCs/>
          <w:sz w:val="24"/>
        </w:rPr>
        <w:t>或</w:t>
      </w:r>
      <w:r>
        <w:rPr>
          <w:rFonts w:ascii="仿宋" w:hAnsi="仿宋" w:eastAsia="仿宋" w:cs="仿宋"/>
          <w:b/>
          <w:bCs/>
          <w:sz w:val="24"/>
        </w:rPr>
        <w:t>备案凭证。</w:t>
      </w:r>
    </w:p>
    <w:p w14:paraId="12C60039">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2.2、</w:t>
      </w:r>
      <w:r>
        <w:rPr>
          <w:rFonts w:ascii="仿宋" w:hAnsi="仿宋" w:eastAsia="仿宋" w:cs="仿宋"/>
          <w:b/>
          <w:bCs/>
          <w:sz w:val="24"/>
        </w:rPr>
        <w:t>投标产品属于医疗器械的，</w:t>
      </w:r>
      <w:r>
        <w:rPr>
          <w:rFonts w:hint="eastAsia" w:ascii="仿宋" w:hAnsi="仿宋" w:eastAsia="仿宋" w:cs="仿宋"/>
          <w:b/>
          <w:bCs/>
          <w:sz w:val="24"/>
        </w:rPr>
        <w:t>中华人民共和国境内制造商</w:t>
      </w:r>
      <w:r>
        <w:rPr>
          <w:rFonts w:ascii="仿宋" w:hAnsi="仿宋" w:eastAsia="仿宋" w:cs="仿宋"/>
          <w:b/>
          <w:bCs/>
          <w:sz w:val="24"/>
        </w:rPr>
        <w:t>应按原国家食品药品监督管理</w:t>
      </w:r>
      <w:r>
        <w:rPr>
          <w:rFonts w:hint="eastAsia" w:ascii="仿宋" w:hAnsi="仿宋" w:eastAsia="仿宋" w:cs="仿宋"/>
          <w:b/>
          <w:bCs/>
          <w:sz w:val="24"/>
        </w:rPr>
        <w:t>总</w:t>
      </w:r>
      <w:r>
        <w:rPr>
          <w:rFonts w:ascii="仿宋" w:hAnsi="仿宋" w:eastAsia="仿宋" w:cs="仿宋"/>
          <w:b/>
          <w:bCs/>
          <w:sz w:val="24"/>
        </w:rPr>
        <w:t>局颁发的</w:t>
      </w:r>
      <w:r>
        <w:rPr>
          <w:rFonts w:hint="eastAsia" w:ascii="仿宋" w:hAnsi="仿宋" w:eastAsia="仿宋" w:cs="仿宋"/>
          <w:b/>
          <w:bCs/>
          <w:sz w:val="24"/>
        </w:rPr>
        <w:t>《医疗器械生产监督管理办法》</w:t>
      </w:r>
      <w:r>
        <w:rPr>
          <w:rFonts w:ascii="仿宋" w:hAnsi="仿宋" w:eastAsia="仿宋" w:cs="仿宋"/>
          <w:b/>
          <w:bCs/>
          <w:sz w:val="24"/>
        </w:rPr>
        <w:t>，办理医疗器械</w:t>
      </w:r>
      <w:r>
        <w:rPr>
          <w:rFonts w:hint="eastAsia" w:ascii="仿宋" w:hAnsi="仿宋" w:eastAsia="仿宋" w:cs="仿宋"/>
          <w:b/>
          <w:bCs/>
          <w:sz w:val="24"/>
        </w:rPr>
        <w:t>生产许可证</w:t>
      </w:r>
      <w:r>
        <w:rPr>
          <w:rFonts w:ascii="仿宋" w:hAnsi="仿宋" w:eastAsia="仿宋" w:cs="仿宋"/>
          <w:b/>
          <w:bCs/>
          <w:sz w:val="24"/>
        </w:rPr>
        <w:t>或者办理备案，</w:t>
      </w:r>
      <w:r>
        <w:rPr>
          <w:rFonts w:hint="eastAsia" w:ascii="仿宋" w:hAnsi="仿宋" w:eastAsia="仿宋" w:cs="仿宋"/>
          <w:b/>
          <w:bCs/>
          <w:sz w:val="24"/>
        </w:rPr>
        <w:t>投标人</w:t>
      </w:r>
      <w:r>
        <w:rPr>
          <w:rFonts w:ascii="仿宋" w:hAnsi="仿宋" w:eastAsia="仿宋" w:cs="仿宋"/>
          <w:b/>
          <w:bCs/>
          <w:sz w:val="24"/>
        </w:rPr>
        <w:t>须提供医疗器械</w:t>
      </w:r>
      <w:r>
        <w:rPr>
          <w:rFonts w:hint="eastAsia" w:ascii="仿宋" w:hAnsi="仿宋" w:eastAsia="仿宋" w:cs="仿宋"/>
          <w:b/>
          <w:bCs/>
          <w:sz w:val="24"/>
        </w:rPr>
        <w:t>生产许可证</w:t>
      </w:r>
      <w:r>
        <w:rPr>
          <w:rFonts w:ascii="仿宋" w:hAnsi="仿宋" w:eastAsia="仿宋" w:cs="仿宋"/>
          <w:b/>
          <w:bCs/>
          <w:sz w:val="24"/>
        </w:rPr>
        <w:t>复印件</w:t>
      </w:r>
      <w:r>
        <w:rPr>
          <w:rFonts w:hint="eastAsia" w:ascii="仿宋" w:hAnsi="仿宋" w:eastAsia="仿宋" w:cs="仿宋"/>
          <w:b/>
          <w:bCs/>
          <w:sz w:val="24"/>
        </w:rPr>
        <w:t>或</w:t>
      </w:r>
      <w:r>
        <w:rPr>
          <w:rFonts w:ascii="仿宋" w:hAnsi="仿宋" w:eastAsia="仿宋" w:cs="仿宋"/>
          <w:b/>
          <w:bCs/>
          <w:sz w:val="24"/>
        </w:rPr>
        <w:t>备案凭证</w:t>
      </w:r>
      <w:r>
        <w:rPr>
          <w:rFonts w:hint="eastAsia" w:ascii="仿宋" w:hAnsi="仿宋" w:eastAsia="仿宋" w:cs="仿宋"/>
          <w:b/>
          <w:bCs/>
          <w:sz w:val="24"/>
        </w:rPr>
        <w:t>。</w:t>
      </w:r>
    </w:p>
    <w:p w14:paraId="5E4471A2">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2.3、</w:t>
      </w:r>
      <w:r>
        <w:rPr>
          <w:rFonts w:ascii="仿宋" w:hAnsi="仿宋" w:eastAsia="仿宋" w:cs="仿宋"/>
          <w:b/>
          <w:bCs/>
          <w:sz w:val="24"/>
        </w:rPr>
        <w:t>投标产品属于</w:t>
      </w:r>
      <w:r>
        <w:rPr>
          <w:rFonts w:hint="eastAsia" w:ascii="仿宋" w:hAnsi="仿宋" w:eastAsia="仿宋" w:cs="仿宋"/>
          <w:b/>
          <w:bCs/>
          <w:sz w:val="24"/>
        </w:rPr>
        <w:t>辐射或射线类的设备或材料的，需提供投标人及投标产品制造商的辐射安全许可证</w:t>
      </w:r>
      <w:r>
        <w:rPr>
          <w:rFonts w:ascii="仿宋" w:hAnsi="仿宋" w:eastAsia="仿宋" w:cs="仿宋"/>
          <w:b/>
          <w:bCs/>
          <w:sz w:val="24"/>
        </w:rPr>
        <w:t>复印件</w:t>
      </w:r>
      <w:r>
        <w:rPr>
          <w:rFonts w:hint="eastAsia" w:ascii="仿宋" w:hAnsi="仿宋" w:eastAsia="仿宋" w:cs="仿宋"/>
          <w:b/>
          <w:bCs/>
          <w:sz w:val="24"/>
        </w:rPr>
        <w:t>（不适用的情况除外）。投标产品属于压力容器的，投标人需要根据国家特种设备制造相关管理规定，提供投标产品制造商的特种设备制造许可证（压力容器）。</w:t>
      </w:r>
    </w:p>
    <w:p w14:paraId="25B883E2">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hAnsi="仿宋" w:eastAsia="仿宋" w:cs="仿宋"/>
          <w:b/>
          <w:bCs/>
          <w:sz w:val="24"/>
        </w:rPr>
        <w:t>相关证明文件的复印件</w:t>
      </w:r>
      <w:r>
        <w:rPr>
          <w:rFonts w:hint="eastAsia" w:ascii="仿宋" w:hAnsi="仿宋" w:eastAsia="仿宋" w:cs="仿宋"/>
          <w:b/>
          <w:bCs/>
          <w:sz w:val="24"/>
        </w:rPr>
        <w:t>。</w:t>
      </w:r>
    </w:p>
    <w:p w14:paraId="7F4A1362">
      <w:pPr>
        <w:pStyle w:val="2"/>
        <w:rPr>
          <w:rFonts w:ascii="仿宋" w:hAnsi="仿宋" w:eastAsia="仿宋"/>
        </w:rPr>
      </w:pPr>
    </w:p>
    <w:p w14:paraId="5BECE69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（二）服务内容及要求/货物技术要求</w:t>
      </w:r>
    </w:p>
    <w:p w14:paraId="765EB86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01AFBE87">
      <w:pPr>
        <w:snapToGrid w:val="0"/>
        <w:spacing w:line="360" w:lineRule="auto"/>
        <w:ind w:firstLine="482" w:firstLineChars="200"/>
        <w:jc w:val="center"/>
        <w:rPr>
          <w:rFonts w:ascii="仿宋" w:hAnsi="仿宋" w:eastAsia="仿宋" w:cs="仿宋"/>
          <w:b/>
          <w:bCs/>
          <w:sz w:val="24"/>
        </w:rPr>
      </w:pPr>
      <w:r>
        <w:rPr>
          <w:rFonts w:ascii="仿宋" w:hAnsi="仿宋" w:eastAsia="仿宋" w:cs="仿宋"/>
          <w:b/>
          <w:bCs/>
          <w:sz w:val="24"/>
        </w:rPr>
        <w:t>第</w:t>
      </w:r>
      <w:r>
        <w:rPr>
          <w:rFonts w:hint="eastAsia" w:ascii="仿宋" w:hAnsi="仿宋" w:eastAsia="仿宋" w:cs="仿宋"/>
          <w:b/>
          <w:bCs/>
          <w:sz w:val="24"/>
        </w:rPr>
        <w:t xml:space="preserve">1包 </w:t>
      </w:r>
      <w:r>
        <w:rPr>
          <w:rFonts w:ascii="仿宋" w:hAnsi="仿宋" w:eastAsia="仿宋" w:cs="仿宋"/>
          <w:b/>
          <w:bCs/>
          <w:sz w:val="24"/>
        </w:rPr>
        <w:t>品目</w:t>
      </w:r>
      <w:r>
        <w:rPr>
          <w:rFonts w:hint="eastAsia" w:ascii="仿宋" w:hAnsi="仿宋" w:eastAsia="仿宋" w:cs="仿宋"/>
          <w:b/>
          <w:bCs/>
          <w:sz w:val="24"/>
        </w:rPr>
        <w:t>1-1良性阵发性位置性眩晕诊疗系仪</w:t>
      </w:r>
    </w:p>
    <w:p w14:paraId="646A0DE0">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1.1、尺寸：≤240cm×240cm×240cm</w:t>
      </w:r>
    </w:p>
    <w:p w14:paraId="0083FAF1">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1.2、工作条件：电源3N～380V、50Hz；额定输入功率≤4000VA 1.3</w:t>
      </w:r>
      <w:r>
        <w:rPr>
          <w:rFonts w:hint="eastAsia" w:ascii="仿宋" w:hAnsi="仿宋" w:eastAsia="仿宋" w:cs="仿宋"/>
          <w:bCs/>
          <w:sz w:val="24"/>
        </w:rPr>
        <w:tab/>
      </w:r>
      <w:r>
        <w:rPr>
          <w:rFonts w:hint="eastAsia" w:ascii="仿宋" w:hAnsi="仿宋" w:eastAsia="仿宋" w:cs="仿宋"/>
          <w:bCs/>
          <w:sz w:val="24"/>
        </w:rPr>
        <w:t>视频眼罩</w:t>
      </w:r>
    </w:p>
    <w:p w14:paraId="6AE347D9">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1.3、图像通道数：≥6(左侧水平+垂直+旋转眼震描记、右侧水平+垂直+旋转眼震描记)</w:t>
      </w:r>
    </w:p>
    <w:p w14:paraId="7F31505B">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1.4、眼罩可以观察左、右眼的眼震视频</w:t>
      </w:r>
    </w:p>
    <w:p w14:paraId="3F38E790">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#1.5、3D眼震，描记并分析水平、垂直、旋转眼震曲线</w:t>
      </w:r>
    </w:p>
    <w:p w14:paraId="784BF489">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1.7、图像分辨率：≥1920×1080像素</w:t>
      </w:r>
    </w:p>
    <w:p w14:paraId="2900FE02">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1.8、瞳孔定标：可自动追踪瞳孔位置</w:t>
      </w:r>
    </w:p>
    <w:p w14:paraId="44F76852">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1.9、眼球追踪：可实时追踪眼球动态，高清传输每一帧画面</w:t>
      </w:r>
    </w:p>
    <w:p w14:paraId="3779093E">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2、主轴</w:t>
      </w:r>
    </w:p>
    <w:p w14:paraId="208529FE">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2.1、转动角度：任意角度，误差≤±2°</w:t>
      </w:r>
    </w:p>
    <w:p w14:paraId="39A55D26">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2.2、最大转速：≥30r/min(即180°/s),误差≤±5%</w:t>
      </w:r>
    </w:p>
    <w:p w14:paraId="754DA762">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#2.3、角加速度：0°～360°/s</w:t>
      </w:r>
      <w:r>
        <w:rPr>
          <w:rFonts w:hint="eastAsia" w:ascii="宋体" w:hAnsi="宋体" w:cs="宋体"/>
          <w:bCs/>
          <w:sz w:val="24"/>
        </w:rPr>
        <w:t>²</w:t>
      </w:r>
      <w:r>
        <w:rPr>
          <w:rFonts w:hint="eastAsia" w:ascii="仿宋" w:hAnsi="仿宋" w:eastAsia="仿宋" w:cs="仿宋"/>
          <w:bCs/>
          <w:sz w:val="24"/>
        </w:rPr>
        <w:t>,误差≤±20%</w:t>
      </w:r>
    </w:p>
    <w:p w14:paraId="7366D671">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2.4、具备主轴编程控制功能</w:t>
      </w:r>
    </w:p>
    <w:p w14:paraId="082FB528">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3、辅轴</w:t>
      </w:r>
    </w:p>
    <w:p w14:paraId="7D63A685">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3.1、转动角度：任意角度，误差≤±2°</w:t>
      </w:r>
    </w:p>
    <w:p w14:paraId="6BC8C5DC">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#3.2、最大转速：≥60r/min(即360°/s),误差≤±5%</w:t>
      </w:r>
    </w:p>
    <w:p w14:paraId="5A29BDDF">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#3.3、角加速度：0°～360°/s</w:t>
      </w:r>
      <w:r>
        <w:rPr>
          <w:rFonts w:hint="eastAsia" w:ascii="宋体" w:hAnsi="宋体" w:cs="宋体"/>
          <w:bCs/>
          <w:sz w:val="24"/>
        </w:rPr>
        <w:t>²</w:t>
      </w:r>
      <w:r>
        <w:rPr>
          <w:rFonts w:hint="eastAsia" w:ascii="仿宋" w:hAnsi="仿宋" w:eastAsia="仿宋" w:cs="仿宋"/>
          <w:bCs/>
          <w:sz w:val="24"/>
        </w:rPr>
        <w:t>(包含),误差≤±20%</w:t>
      </w:r>
    </w:p>
    <w:p w14:paraId="0961D195">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3.4、具备辅轴编程控制功能</w:t>
      </w:r>
    </w:p>
    <w:p w14:paraId="327C7FEB">
      <w:pPr>
        <w:snapToGrid w:val="0"/>
        <w:spacing w:line="360" w:lineRule="auto"/>
        <w:ind w:firstLine="482" w:firstLineChars="200"/>
        <w:jc w:val="left"/>
        <w:rPr>
          <w:rFonts w:hint="eastAsia" w:ascii="仿宋" w:hAnsi="仿宋" w:eastAsia="仿宋" w:cs="仿宋"/>
          <w:b/>
          <w:bCs/>
          <w:sz w:val="24"/>
          <w:lang w:eastAsia="zh-CN"/>
        </w:rPr>
      </w:pPr>
      <w:r>
        <w:rPr>
          <w:rFonts w:hint="eastAsia" w:ascii="仿宋" w:hAnsi="仿宋" w:eastAsia="仿宋" w:cs="仿宋"/>
          <w:b/>
          <w:bCs/>
          <w:sz w:val="24"/>
        </w:rPr>
        <w:t>★4、具备偏移轴：位移距离范围至少包含-80mm～+80mm,误差≤±4mm</w:t>
      </w:r>
      <w:r>
        <w:rPr>
          <w:rFonts w:hint="eastAsia" w:ascii="仿宋" w:hAnsi="仿宋" w:eastAsia="仿宋" w:cs="仿宋"/>
          <w:b/>
          <w:bCs/>
          <w:sz w:val="24"/>
          <w:lang w:eastAsia="zh-CN"/>
        </w:rPr>
        <w:t>（</w:t>
      </w:r>
      <w:r>
        <w:rPr>
          <w:rFonts w:hint="eastAsia" w:ascii="仿宋" w:hAnsi="仿宋" w:eastAsia="仿宋" w:cs="仿宋"/>
          <w:b/>
          <w:bCs/>
          <w:sz w:val="24"/>
          <w:lang w:val="en-US" w:eastAsia="zh-CN"/>
        </w:rPr>
        <w:t>需提供技术白皮书并加盖制造商和投标人的公章</w:t>
      </w:r>
      <w:r>
        <w:rPr>
          <w:rFonts w:hint="eastAsia" w:ascii="仿宋" w:hAnsi="仿宋" w:eastAsia="仿宋" w:cs="仿宋"/>
          <w:b/>
          <w:bCs/>
          <w:sz w:val="24"/>
          <w:lang w:eastAsia="zh-CN"/>
        </w:rPr>
        <w:t>）</w:t>
      </w:r>
    </w:p>
    <w:p w14:paraId="5091DFDA">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5、运行噪音：≤70dB</w:t>
      </w:r>
    </w:p>
    <w:p w14:paraId="6AFE3415">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6、最大负荷：≥130Kg</w:t>
      </w:r>
    </w:p>
    <w:p w14:paraId="5743EB46">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7、患者座椅：</w:t>
      </w:r>
    </w:p>
    <w:p w14:paraId="556574A7">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w:t>
      </w:r>
      <w:r>
        <w:rPr>
          <w:rFonts w:hint="eastAsia" w:ascii="仿宋" w:hAnsi="仿宋" w:eastAsia="仿宋" w:cs="仿宋"/>
          <w:bCs/>
          <w:sz w:val="24"/>
        </w:rPr>
        <w:t>7.1、头部固定装置，可升降，调整角度</w:t>
      </w:r>
    </w:p>
    <w:p w14:paraId="0E8600B3">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w:t>
      </w:r>
      <w:r>
        <w:rPr>
          <w:rFonts w:hint="eastAsia" w:ascii="仿宋" w:hAnsi="仿宋" w:eastAsia="仿宋" w:cs="仿宋"/>
          <w:bCs/>
          <w:sz w:val="24"/>
        </w:rPr>
        <w:t>7.2、安全座椅配有四点式安全带、膝部安全带、腿部安全带等</w:t>
      </w:r>
    </w:p>
    <w:p w14:paraId="4D7C322F">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w:t>
      </w:r>
      <w:r>
        <w:rPr>
          <w:rFonts w:hint="eastAsia" w:ascii="仿宋" w:hAnsi="仿宋" w:eastAsia="仿宋" w:cs="仿宋"/>
          <w:bCs/>
          <w:sz w:val="24"/>
        </w:rPr>
        <w:t>7.3、安全带可以固定人体颈、肩、腹、大腿、小腿等</w:t>
      </w:r>
    </w:p>
    <w:p w14:paraId="08A158E5">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w:t>
      </w:r>
      <w:r>
        <w:rPr>
          <w:rFonts w:hint="eastAsia" w:ascii="仿宋" w:hAnsi="仿宋" w:eastAsia="仿宋" w:cs="仿宋"/>
          <w:bCs/>
          <w:sz w:val="24"/>
        </w:rPr>
        <w:t>7.4、座椅对于病人的包裹性高，安全性强</w:t>
      </w:r>
    </w:p>
    <w:p w14:paraId="67902E77">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8、急停装置：≥3个，按下急停，仪器转椅可以随时停止在当前运动的位置</w:t>
      </w:r>
    </w:p>
    <w:p w14:paraId="0558CE27">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9、软件</w:t>
      </w:r>
    </w:p>
    <w:p w14:paraId="1D0A16FB">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9.1、诊疗软件，包含视频储存回放功能，并有眼震图、SPV值显示用于辅助诊断。</w:t>
      </w:r>
    </w:p>
    <w:p w14:paraId="5E76F50A">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9.2、可手动编程调节速度、角度和加速度。</w:t>
      </w:r>
    </w:p>
    <w:p w14:paraId="58ACAD07">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9.3、实时显示，或病例查询时显示，与运动轨迹（速度）、体位、耳蜗位置同步显示；可显示打印对比图及各项数据、结论。</w:t>
      </w:r>
    </w:p>
    <w:p w14:paraId="4EB5DE1F">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9.4、软件可持续免费升级</w:t>
      </w:r>
    </w:p>
    <w:p w14:paraId="79D7227E">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10、可控制主轴和辅轴运动；可描记眼震图形，分析眼震方向、慢相角速度值；至少包含：校准、自发性眼震、静态位置试验、动态位置试验、 BPPV的自动诊断与复位治疗（内置Dix-Hallpike、Roll、Sidelying、Semont、Epley、BBQ等检查和复位方法）；</w:t>
      </w:r>
    </w:p>
    <w:p w14:paraId="710A590D">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11、正弦谐波模式（SHA）：正弦、正弦谐波试验；阶跃模式（VST）：脉冲加速（急停）、恒定加速；单侧离心测试（偏轴旋转）、VVOR、VORS试验模块等</w:t>
      </w:r>
    </w:p>
    <w:p w14:paraId="47981024">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12、电脑工作站：处理器≥i5、内存≥8G、固态硬盘≥256G、显示器≥32英寸、系统≥windows 10 系统。</w:t>
      </w:r>
    </w:p>
    <w:p w14:paraId="34CC0699">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13、配置要求：高清红外摄像眼罩1个、眼罩视频线1根、系统主机1套（包含：安全座椅及安全带1套、伺服器系统1套、电控系统1套、地毯1张）、医生工作站1套（包含：台式电脑1台、32寸显示器1个、55寸显示器1个，品牌打印机1台、控制盒1套）等</w:t>
      </w:r>
    </w:p>
    <w:p w14:paraId="35E6F544">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14、网络连接需求</w:t>
      </w:r>
    </w:p>
    <w:p w14:paraId="05B31E84">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14.1、设备需支持与医院HIS、PACS、LIS、RIS等系统数据交互</w:t>
      </w:r>
    </w:p>
    <w:p w14:paraId="10E7B697">
      <w:pPr>
        <w:snapToGri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14.2、免费提供与医院HIS、PACS、LIS、RIS等系统的对接服务，支持包括但不限于以下接口：患者信息获取、医嘱项目获取、结构化结果回传、图片结果回传、附件报告回传、视频输出接口等（含免费接口开发）。同时，也支持其他经医院认可的对接方式（响应内容需要列明具体的数据接口实现方案）</w:t>
      </w:r>
    </w:p>
    <w:p w14:paraId="7723F8C8">
      <w:pPr>
        <w:pStyle w:val="2"/>
        <w:rPr>
          <w:rFonts w:hint="default" w:eastAsia="仿宋"/>
          <w:lang w:val="en-US" w:eastAsia="zh-CN"/>
        </w:rPr>
      </w:pPr>
      <w:r>
        <w:rPr>
          <w:rFonts w:hint="eastAsia" w:eastAsia="仿宋"/>
          <w:lang w:val="en-US" w:eastAsia="zh-CN"/>
        </w:rPr>
        <w:t>14.3 可与我院现有第三方耳鼻喉诊断系统连接，提供接口</w:t>
      </w:r>
    </w:p>
    <w:p w14:paraId="4B473754">
      <w:pPr>
        <w:snapToGrid w:val="0"/>
        <w:spacing w:line="360" w:lineRule="auto"/>
        <w:ind w:firstLine="482" w:firstLineChars="200"/>
        <w:jc w:val="center"/>
        <w:rPr>
          <w:rFonts w:ascii="仿宋" w:hAnsi="仿宋" w:eastAsia="仿宋" w:cs="仿宋"/>
          <w:b/>
          <w:bCs/>
          <w:sz w:val="24"/>
        </w:rPr>
      </w:pPr>
    </w:p>
    <w:p w14:paraId="44CD2FA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0DD4F57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投标人应有能力做好售后服务工作和提供技术保障。投标人或投标产品制造商应设有专业的售后服务维修机构，有充足的零件储备和能力相当的技术服务人员，并保证投标产品停产后5年的备件供应。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1AAF085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67B3D1E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中型或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B81BB8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435166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195DF0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5D7694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4B8A97B">
      <w:pPr>
        <w:snapToGrid w:val="0"/>
        <w:spacing w:line="360" w:lineRule="auto"/>
        <w:ind w:firstLine="480" w:firstLineChars="200"/>
        <w:rPr>
          <w:rFonts w:ascii="仿宋" w:hAnsi="仿宋" w:eastAsia="仿宋" w:cs="仿宋"/>
          <w:bCs/>
          <w:sz w:val="24"/>
        </w:rPr>
      </w:pPr>
      <w:bookmarkStart w:id="2"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6"/>
      <w:bookmarkStart w:id="4" w:name="OLE_LINK55"/>
      <w:r>
        <w:rPr>
          <w:rFonts w:hint="eastAsia" w:ascii="仿宋" w:hAnsi="仿宋" w:eastAsia="仿宋" w:cs="仿宋"/>
          <w:b/>
          <w:bCs/>
          <w:sz w:val="24"/>
        </w:rPr>
        <w:t>投标人</w:t>
      </w:r>
      <w:bookmarkEnd w:id="3"/>
      <w:bookmarkEnd w:id="4"/>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
    </w:p>
    <w:p w14:paraId="4279873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21688A3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4.1、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587D98C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4.2、投标人所提供的部件之间及设备之间的连线或接插件均视为设备内部部件，应包含在相应的配置中。</w:t>
      </w:r>
    </w:p>
    <w:p w14:paraId="3E16127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4.3、工作条件：除了在技术规格中另有规定外，投标人提供的一切仪器、设备和系统，应符合下列条件：</w:t>
      </w:r>
    </w:p>
    <w:p w14:paraId="2CBC50F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4.3.1、仪器设备的插头要符合中国电工标准。如不符合，则应提供适合仪器插头的插座，必须要有接地。</w:t>
      </w:r>
    </w:p>
    <w:p w14:paraId="6AC279E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4.3.2如果仪器设备需特殊的工作条件（如：水、电源、磁场强度、特殊温度、湿度、震动强度等），投标人应在有关投标文件中加以说明。</w:t>
      </w:r>
    </w:p>
    <w:p w14:paraId="5FA188C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4.4、培训要求：</w:t>
      </w:r>
    </w:p>
    <w:p w14:paraId="1983C3BB">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4.4.1、装机完成，厂商需配合院方安排，免费指导使用人员进行操作训练，直至完全熟练掌握操作流程及日常保养流程。</w:t>
      </w:r>
    </w:p>
    <w:p w14:paraId="7FF87F95">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4.4.</w:t>
      </w:r>
      <w:r>
        <w:rPr>
          <w:rFonts w:ascii="仿宋" w:hAnsi="仿宋" w:eastAsia="仿宋" w:cs="仿宋"/>
          <w:bCs/>
          <w:sz w:val="24"/>
        </w:rPr>
        <w:t>2</w:t>
      </w:r>
      <w:r>
        <w:rPr>
          <w:rFonts w:hint="eastAsia" w:ascii="仿宋" w:hAnsi="仿宋" w:eastAsia="仿宋" w:cs="仿宋"/>
          <w:bCs/>
          <w:sz w:val="24"/>
        </w:rPr>
        <w:t>、操作手册,2份中文或英文原版手册。</w:t>
      </w:r>
    </w:p>
    <w:p w14:paraId="49B21E50">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4.4.3、维修手册,2份中文或英文原版手册；内容需包含：</w:t>
      </w:r>
    </w:p>
    <w:p w14:paraId="057FF271">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4.4.3.1电子控制线路图。</w:t>
      </w:r>
    </w:p>
    <w:p w14:paraId="2D569938">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4.4.3.2电子控制线路解说。</w:t>
      </w:r>
    </w:p>
    <w:p w14:paraId="60596ED0">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4.4.3.3功能测试步骤与调整校正说明。</w:t>
      </w:r>
    </w:p>
    <w:p w14:paraId="55AA9ABA">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4.4.3.4零件分布图。</w:t>
      </w:r>
    </w:p>
    <w:p w14:paraId="144BC01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606C852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01A4A189">
      <w:pPr>
        <w:pStyle w:val="2"/>
        <w:rPr>
          <w:rFonts w:ascii="仿宋" w:hAnsi="仿宋" w:eastAsia="仿宋"/>
        </w:rPr>
      </w:pPr>
    </w:p>
    <w:p w14:paraId="7E4D02C9">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14:paraId="5D488C2A">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1、中标人负责场地规划、搬运、安装、调试，包括设备到货至安装期间之搬运及保险，保险需包括人员及设备之全额保险。</w:t>
      </w:r>
    </w:p>
    <w:p w14:paraId="04FEF6FA">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2、安装完成需提交安装报告书与质量报告书。</w:t>
      </w:r>
    </w:p>
    <w:p w14:paraId="150A1F0B">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3、规格书经厂商填报后，为合约之一部分，验收时依规格书逐项比对。</w:t>
      </w:r>
    </w:p>
    <w:p w14:paraId="38A58960">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4、安装完成经检点各项配件，功能及实际使用测试各项软件一个月无异常，且完整提供各项文件经审查通过，为验收完成。</w:t>
      </w:r>
    </w:p>
    <w:p w14:paraId="4C144678">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5、维修软件须免费提供至设备报废。</w:t>
      </w:r>
    </w:p>
    <w:p w14:paraId="00E3C01B">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6、中标人需负责清理安装所产生的废弃物。</w:t>
      </w:r>
    </w:p>
    <w:p w14:paraId="017A2A4E">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7、中标人需负责安装现场整洁; 若有损坏需负责恢复原状。</w:t>
      </w:r>
    </w:p>
    <w:p w14:paraId="10316F84">
      <w:pPr>
        <w:pStyle w:val="2"/>
      </w:pPr>
    </w:p>
    <w:p w14:paraId="299829F7">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5DE98EDD">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6494BA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5D5C5A"/>
    <w:rsid w:val="36781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5338</Words>
  <Characters>5782</Characters>
  <Lines>0</Lines>
  <Paragraphs>0</Paragraphs>
  <TotalTime>0</TotalTime>
  <ScaleCrop>false</ScaleCrop>
  <LinksUpToDate>false</LinksUpToDate>
  <CharactersWithSpaces>5792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2026-10-19T04:55:00Z</dcterms:created>
  <dc:creator>zhang</dc:creator>
  <cp:lastModifiedBy>zhang</cp:lastModifiedBy>
  <dcterms:modified xsi:type="dcterms:W3CDTF">2026-10-19T05:08:45Z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3155E2598A5846A6BB12C1C392D68163_12</vt:lpwstr>
  </property>
</Properties>
</file>