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F0BC2">
      <w:pPr>
        <w:pStyle w:val="2"/>
        <w:keepNext/>
        <w:keepLines/>
        <w:pageBreakBefore w:val="0"/>
        <w:widowControl w:val="0"/>
        <w:tabs>
          <w:tab w:val="left" w:pos="0"/>
          <w:tab w:val="left" w:pos="3165"/>
          <w:tab w:val="center" w:pos="4153"/>
        </w:tabs>
        <w:kinsoku/>
        <w:wordWrap/>
        <w:overflowPunct/>
        <w:topLinePunct w:val="0"/>
        <w:autoSpaceDE w:val="0"/>
        <w:autoSpaceDN w:val="0"/>
        <w:bidi w:val="0"/>
        <w:adjustRightInd w:val="0"/>
        <w:snapToGrid/>
        <w:spacing w:before="0" w:after="0" w:line="360" w:lineRule="auto"/>
        <w:jc w:val="center"/>
        <w:textAlignment w:val="auto"/>
        <w:rPr>
          <w:rFonts w:ascii="华文中宋" w:hAnsi="华文中宋" w:eastAsia="华文中宋"/>
        </w:rPr>
      </w:pPr>
      <w:bookmarkStart w:id="0" w:name="_Toc28359001"/>
      <w:bookmarkStart w:id="1" w:name="_Toc35393789"/>
      <w:r>
        <w:rPr>
          <w:rFonts w:hint="eastAsia" w:ascii="华文中宋" w:hAnsi="华文中宋" w:eastAsia="华文中宋"/>
          <w:lang w:eastAsia="zh-CN"/>
        </w:rPr>
        <w:t>北京市属医院2026年医用设备集中带量采购项目体征监测维持组</w:t>
      </w:r>
      <w:r>
        <w:rPr>
          <w:rFonts w:hint="eastAsia" w:ascii="华文中宋" w:hAnsi="华文中宋" w:eastAsia="华文中宋"/>
        </w:rPr>
        <w:t>-招标公告</w:t>
      </w:r>
      <w:bookmarkEnd w:id="0"/>
      <w:bookmarkEnd w:id="1"/>
    </w:p>
    <w:p w14:paraId="06A6BF42">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70E1319">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北京市属医院2026年医用设备集中带量采购项目体征监测维持组</w:t>
      </w:r>
      <w:r>
        <w:rPr>
          <w:rFonts w:hint="eastAsia" w:ascii="仿宋" w:hAnsi="仿宋" w:eastAsia="仿宋"/>
          <w:sz w:val="28"/>
          <w:szCs w:val="28"/>
        </w:rPr>
        <w:t>的潜在投标人应在</w:t>
      </w:r>
      <w:r>
        <w:rPr>
          <w:rFonts w:hint="eastAsia" w:ascii="仿宋" w:hAnsi="仿宋" w:eastAsia="仿宋"/>
          <w:kern w:val="0"/>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w:t>
      </w:r>
      <w:r>
        <w:rPr>
          <w:rFonts w:hint="eastAsia" w:ascii="仿宋" w:hAnsi="仿宋" w:eastAsia="仿宋"/>
          <w:sz w:val="28"/>
          <w:szCs w:val="28"/>
          <w:u w:val="single"/>
          <w:lang w:val="en-US" w:eastAsia="zh-CN"/>
        </w:rPr>
        <w:t>11</w:t>
      </w:r>
      <w:r>
        <w:rPr>
          <w:rFonts w:hint="eastAsia" w:ascii="仿宋" w:hAnsi="仿宋" w:eastAsia="仿宋"/>
          <w:sz w:val="28"/>
          <w:szCs w:val="28"/>
          <w:u w:val="single"/>
        </w:rPr>
        <w:t>月</w:t>
      </w:r>
      <w:r>
        <w:rPr>
          <w:rFonts w:hint="eastAsia" w:ascii="仿宋" w:hAnsi="仿宋" w:eastAsia="仿宋"/>
          <w:sz w:val="28"/>
          <w:szCs w:val="28"/>
          <w:u w:val="single"/>
          <w:lang w:val="en-US" w:eastAsia="zh-CN"/>
        </w:rPr>
        <w:t>13</w:t>
      </w:r>
      <w:r>
        <w:rPr>
          <w:rFonts w:hint="eastAsia" w:ascii="仿宋" w:hAnsi="仿宋" w:eastAsia="仿宋"/>
          <w:sz w:val="28"/>
          <w:szCs w:val="28"/>
          <w:u w:val="single"/>
        </w:rPr>
        <w:t>日8时</w:t>
      </w:r>
      <w:r>
        <w:rPr>
          <w:rFonts w:hint="eastAsia" w:ascii="仿宋" w:hAnsi="仿宋" w:eastAsia="仿宋"/>
          <w:sz w:val="28"/>
          <w:szCs w:val="28"/>
          <w:u w:val="single"/>
          <w:lang w:val="en-US" w:eastAsia="zh-CN"/>
        </w:rPr>
        <w:t>0</w:t>
      </w:r>
      <w:r>
        <w:rPr>
          <w:rFonts w:hint="eastAsia" w:ascii="仿宋" w:hAnsi="仿宋" w:eastAsia="仿宋"/>
          <w:sz w:val="28"/>
          <w:szCs w:val="28"/>
          <w:u w:val="single"/>
        </w:rPr>
        <w:t>0分整</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33454ACE">
      <w:pPr>
        <w:pStyle w:val="3"/>
        <w:snapToGrid w:val="0"/>
        <w:spacing w:before="0" w:line="360" w:lineRule="auto"/>
        <w:jc w:val="left"/>
        <w:rPr>
          <w:rFonts w:ascii="仿宋" w:hAnsi="仿宋" w:eastAsia="仿宋" w:cs="仿宋"/>
          <w:color w:val="auto"/>
          <w:sz w:val="24"/>
          <w:szCs w:val="24"/>
          <w:highlight w:val="none"/>
        </w:rPr>
      </w:pPr>
      <w:bookmarkStart w:id="2" w:name="_Toc28359079"/>
      <w:bookmarkStart w:id="3" w:name="_Toc35393790"/>
      <w:bookmarkStart w:id="4" w:name="_Toc35393621"/>
      <w:bookmarkStart w:id="5" w:name="_Toc28359002"/>
      <w:bookmarkStart w:id="6" w:name="_Hlk24379207"/>
      <w:r>
        <w:rPr>
          <w:rFonts w:hint="eastAsia" w:ascii="仿宋" w:hAnsi="仿宋" w:eastAsia="仿宋" w:cs="仿宋"/>
          <w:color w:val="auto"/>
          <w:sz w:val="24"/>
          <w:szCs w:val="24"/>
          <w:highlight w:val="none"/>
        </w:rPr>
        <w:t>一、项目基本情况</w:t>
      </w:r>
      <w:bookmarkEnd w:id="2"/>
      <w:bookmarkEnd w:id="3"/>
      <w:bookmarkEnd w:id="4"/>
      <w:bookmarkEnd w:id="5"/>
    </w:p>
    <w:p w14:paraId="3384875F">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HYPERLINK "http://219.232.204.193:8080/frontend/plan/project_detail.html?projectUuid=de6a92ad-c642-4ed9-84b6-ada7bbdb57d7" </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20260624</w:t>
      </w:r>
      <w:r>
        <w:rPr>
          <w:rFonts w:hint="eastAsia" w:ascii="仿宋" w:hAnsi="仿宋" w:eastAsia="仿宋" w:cs="仿宋"/>
          <w:color w:val="auto"/>
          <w:sz w:val="24"/>
          <w:highlight w:val="none"/>
        </w:rPr>
        <w:fldChar w:fldCharType="end"/>
      </w:r>
    </w:p>
    <w:p w14:paraId="47FA54D3">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lang w:eastAsia="zh-CN"/>
        </w:rPr>
        <w:t>0701-264106030157</w:t>
      </w:r>
    </w:p>
    <w:bookmarkEnd w:id="6"/>
    <w:p w14:paraId="44D1DCFC">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北京市属医院2026年医用设备集中带量采购项目体征监测维持组</w:t>
      </w:r>
    </w:p>
    <w:p w14:paraId="2F492A1E">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lang w:val="en-US" w:eastAsia="zh-CN"/>
        </w:rPr>
        <w:t>1841.9</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lang w:val="en-US" w:eastAsia="zh-CN"/>
        </w:rPr>
        <w:t>1757.6</w:t>
      </w:r>
      <w:r>
        <w:rPr>
          <w:rFonts w:hint="eastAsia" w:ascii="仿宋" w:hAnsi="仿宋" w:eastAsia="仿宋" w:cs="仿宋"/>
          <w:color w:val="auto"/>
          <w:sz w:val="24"/>
          <w:highlight w:val="none"/>
        </w:rPr>
        <w:t>万元</w:t>
      </w:r>
    </w:p>
    <w:p w14:paraId="0EC3D8CB">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5.采购需求：</w:t>
      </w:r>
    </w:p>
    <w:tbl>
      <w:tblPr>
        <w:tblStyle w:val="1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
        <w:gridCol w:w="765"/>
        <w:gridCol w:w="1342"/>
        <w:gridCol w:w="902"/>
        <w:gridCol w:w="1099"/>
        <w:gridCol w:w="1031"/>
        <w:gridCol w:w="1031"/>
        <w:gridCol w:w="1252"/>
        <w:gridCol w:w="1258"/>
      </w:tblGrid>
      <w:tr w14:paraId="7219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287" w:type="pct"/>
            <w:vAlign w:val="center"/>
          </w:tcPr>
          <w:p w14:paraId="33A39DD9">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包号</w:t>
            </w:r>
          </w:p>
        </w:tc>
        <w:tc>
          <w:tcPr>
            <w:tcW w:w="415" w:type="pct"/>
            <w:vAlign w:val="center"/>
          </w:tcPr>
          <w:p w14:paraId="74C1E4C7">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品目号</w:t>
            </w:r>
          </w:p>
        </w:tc>
        <w:tc>
          <w:tcPr>
            <w:tcW w:w="728" w:type="pct"/>
            <w:tcBorders>
              <w:bottom w:val="single" w:color="auto" w:sz="4" w:space="0"/>
            </w:tcBorders>
            <w:vAlign w:val="center"/>
          </w:tcPr>
          <w:p w14:paraId="7D479E55">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标的名称</w:t>
            </w:r>
          </w:p>
        </w:tc>
        <w:tc>
          <w:tcPr>
            <w:tcW w:w="489" w:type="pct"/>
            <w:vAlign w:val="center"/>
          </w:tcPr>
          <w:p w14:paraId="5908DF1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数量</w:t>
            </w:r>
          </w:p>
          <w:p w14:paraId="747A9F8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（台/套）</w:t>
            </w:r>
          </w:p>
        </w:tc>
        <w:tc>
          <w:tcPr>
            <w:tcW w:w="596" w:type="pct"/>
            <w:vAlign w:val="center"/>
          </w:tcPr>
          <w:p w14:paraId="3D9A9ADF">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分品目预算金额（万元）</w:t>
            </w:r>
          </w:p>
        </w:tc>
        <w:tc>
          <w:tcPr>
            <w:tcW w:w="559" w:type="pct"/>
            <w:vAlign w:val="center"/>
          </w:tcPr>
          <w:p w14:paraId="0615CEC5">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分品目</w:t>
            </w:r>
            <w:r>
              <w:rPr>
                <w:rFonts w:hint="eastAsia" w:ascii="仿宋" w:hAnsi="仿宋" w:eastAsia="仿宋" w:cs="仿宋"/>
                <w:color w:val="auto"/>
                <w:kern w:val="0"/>
                <w:sz w:val="24"/>
                <w:szCs w:val="24"/>
                <w:highlight w:val="none"/>
                <w:lang w:val="en-US" w:eastAsia="zh-CN"/>
              </w:rPr>
              <w:t>最高限价</w:t>
            </w:r>
            <w:r>
              <w:rPr>
                <w:rFonts w:hint="eastAsia" w:ascii="仿宋" w:hAnsi="仿宋" w:eastAsia="仿宋" w:cs="仿宋"/>
                <w:color w:val="auto"/>
                <w:kern w:val="0"/>
                <w:sz w:val="24"/>
                <w:szCs w:val="24"/>
                <w:highlight w:val="none"/>
              </w:rPr>
              <w:t>（万元）</w:t>
            </w:r>
          </w:p>
        </w:tc>
        <w:tc>
          <w:tcPr>
            <w:tcW w:w="559" w:type="pct"/>
            <w:vAlign w:val="center"/>
          </w:tcPr>
          <w:p w14:paraId="4B6B0FBD">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采购包预算金额（万元）</w:t>
            </w:r>
          </w:p>
        </w:tc>
        <w:tc>
          <w:tcPr>
            <w:tcW w:w="679" w:type="pct"/>
            <w:vAlign w:val="center"/>
          </w:tcPr>
          <w:p w14:paraId="1F0FB85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采购包</w:t>
            </w:r>
            <w:r>
              <w:rPr>
                <w:rFonts w:hint="eastAsia" w:ascii="仿宋" w:hAnsi="仿宋" w:eastAsia="仿宋" w:cs="仿宋"/>
                <w:color w:val="auto"/>
                <w:kern w:val="0"/>
                <w:sz w:val="24"/>
                <w:szCs w:val="24"/>
                <w:highlight w:val="none"/>
                <w:lang w:val="en-US" w:eastAsia="zh-CN"/>
              </w:rPr>
              <w:t>最高限价</w:t>
            </w:r>
            <w:r>
              <w:rPr>
                <w:rFonts w:hint="eastAsia" w:ascii="仿宋" w:hAnsi="仿宋" w:eastAsia="仿宋" w:cs="仿宋"/>
                <w:color w:val="auto"/>
                <w:kern w:val="0"/>
                <w:sz w:val="24"/>
                <w:szCs w:val="24"/>
                <w:highlight w:val="none"/>
              </w:rPr>
              <w:t>（万元）</w:t>
            </w:r>
          </w:p>
        </w:tc>
        <w:tc>
          <w:tcPr>
            <w:tcW w:w="682" w:type="pct"/>
            <w:vAlign w:val="center"/>
          </w:tcPr>
          <w:p w14:paraId="260420D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简要技术需求或服务要求</w:t>
            </w:r>
          </w:p>
        </w:tc>
      </w:tr>
      <w:tr w14:paraId="06E78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533" w:type="dxa"/>
            <w:vMerge w:val="restart"/>
            <w:vAlign w:val="center"/>
          </w:tcPr>
          <w:p w14:paraId="7796744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22</w:t>
            </w:r>
          </w:p>
          <w:p w14:paraId="48DF8D74">
            <w:pPr>
              <w:widowControl/>
              <w:spacing w:before="120"/>
              <w:contextualSpacing/>
              <w:jc w:val="center"/>
              <w:rPr>
                <w:rFonts w:hint="eastAsia" w:ascii="仿宋" w:hAnsi="仿宋" w:eastAsia="仿宋" w:cs="仿宋"/>
                <w:color w:val="auto"/>
                <w:kern w:val="0"/>
                <w:sz w:val="24"/>
                <w:szCs w:val="24"/>
                <w:highlight w:val="none"/>
              </w:rPr>
            </w:pPr>
          </w:p>
        </w:tc>
        <w:tc>
          <w:tcPr>
            <w:tcW w:w="771" w:type="dxa"/>
            <w:vAlign w:val="center"/>
          </w:tcPr>
          <w:p w14:paraId="761F717E">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22-1</w:t>
            </w:r>
          </w:p>
        </w:tc>
        <w:tc>
          <w:tcPr>
            <w:tcW w:w="1353" w:type="dxa"/>
            <w:tcBorders>
              <w:bottom w:val="single" w:color="auto" w:sz="4" w:space="0"/>
            </w:tcBorders>
            <w:vAlign w:val="center"/>
          </w:tcPr>
          <w:p w14:paraId="07714C3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转运监护仪</w:t>
            </w:r>
          </w:p>
        </w:tc>
        <w:tc>
          <w:tcPr>
            <w:tcW w:w="909" w:type="dxa"/>
            <w:vAlign w:val="center"/>
          </w:tcPr>
          <w:p w14:paraId="1CBC516F">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27</w:t>
            </w:r>
          </w:p>
        </w:tc>
        <w:tc>
          <w:tcPr>
            <w:tcW w:w="1108" w:type="dxa"/>
            <w:vAlign w:val="center"/>
          </w:tcPr>
          <w:p w14:paraId="1802BD92">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67.5</w:t>
            </w:r>
          </w:p>
        </w:tc>
        <w:tc>
          <w:tcPr>
            <w:tcW w:w="1039" w:type="dxa"/>
            <w:vAlign w:val="center"/>
          </w:tcPr>
          <w:p w14:paraId="6F26DFAD">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67.5</w:t>
            </w:r>
          </w:p>
        </w:tc>
        <w:tc>
          <w:tcPr>
            <w:tcW w:w="1039" w:type="dxa"/>
            <w:vMerge w:val="restart"/>
            <w:vAlign w:val="center"/>
          </w:tcPr>
          <w:p w14:paraId="6156F641">
            <w:pPr>
              <w:widowControl/>
              <w:spacing w:before="120"/>
              <w:contextualSpacing/>
              <w:jc w:val="center"/>
              <w:rPr>
                <w:rFonts w:hint="eastAsia" w:ascii="仿宋" w:hAnsi="仿宋" w:eastAsia="仿宋" w:cs="仿宋"/>
                <w:color w:val="auto"/>
                <w:kern w:val="0"/>
                <w:sz w:val="24"/>
                <w:szCs w:val="24"/>
                <w:highlight w:val="none"/>
              </w:rPr>
            </w:pPr>
            <w:r>
              <w:rPr>
                <w:rFonts w:hint="default" w:ascii="仿宋" w:hAnsi="仿宋" w:eastAsia="仿宋" w:cs="仿宋"/>
                <w:color w:val="auto"/>
                <w:kern w:val="0"/>
                <w:sz w:val="24"/>
                <w:szCs w:val="24"/>
                <w:highlight w:val="none"/>
                <w:lang w:val="en-US" w:eastAsia="zh-CN"/>
              </w:rPr>
              <w:t>970.9</w:t>
            </w:r>
          </w:p>
        </w:tc>
        <w:tc>
          <w:tcPr>
            <w:tcW w:w="1262" w:type="dxa"/>
            <w:vMerge w:val="restart"/>
            <w:vAlign w:val="center"/>
          </w:tcPr>
          <w:p w14:paraId="233AAD0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886.6</w:t>
            </w:r>
          </w:p>
        </w:tc>
        <w:tc>
          <w:tcPr>
            <w:tcW w:w="1267" w:type="dxa"/>
            <w:vAlign w:val="center"/>
          </w:tcPr>
          <w:p w14:paraId="708E892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0116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533" w:type="dxa"/>
            <w:vMerge w:val="continue"/>
            <w:vAlign w:val="center"/>
          </w:tcPr>
          <w:p w14:paraId="645BD93C">
            <w:pPr>
              <w:widowControl/>
              <w:spacing w:before="120"/>
              <w:contextualSpacing/>
              <w:jc w:val="center"/>
              <w:rPr>
                <w:rFonts w:hint="eastAsia" w:ascii="仿宋" w:hAnsi="仿宋" w:eastAsia="仿宋" w:cs="仿宋"/>
                <w:color w:val="auto"/>
                <w:kern w:val="0"/>
                <w:sz w:val="24"/>
                <w:szCs w:val="24"/>
                <w:highlight w:val="none"/>
              </w:rPr>
            </w:pPr>
          </w:p>
        </w:tc>
        <w:tc>
          <w:tcPr>
            <w:tcW w:w="771" w:type="dxa"/>
            <w:vAlign w:val="center"/>
          </w:tcPr>
          <w:p w14:paraId="5CE6AFE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22-2</w:t>
            </w:r>
          </w:p>
        </w:tc>
        <w:tc>
          <w:tcPr>
            <w:tcW w:w="1353" w:type="dxa"/>
            <w:tcBorders>
              <w:bottom w:val="single" w:color="auto" w:sz="4" w:space="0"/>
            </w:tcBorders>
            <w:vAlign w:val="center"/>
          </w:tcPr>
          <w:p w14:paraId="2E75E23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监护仪1</w:t>
            </w:r>
          </w:p>
        </w:tc>
        <w:tc>
          <w:tcPr>
            <w:tcW w:w="909" w:type="dxa"/>
            <w:vAlign w:val="center"/>
          </w:tcPr>
          <w:p w14:paraId="461B36DB">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65</w:t>
            </w:r>
          </w:p>
        </w:tc>
        <w:tc>
          <w:tcPr>
            <w:tcW w:w="1108" w:type="dxa"/>
            <w:vAlign w:val="center"/>
          </w:tcPr>
          <w:p w14:paraId="1F0E3B5B">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175.9</w:t>
            </w:r>
          </w:p>
        </w:tc>
        <w:tc>
          <w:tcPr>
            <w:tcW w:w="1039" w:type="dxa"/>
            <w:vAlign w:val="center"/>
          </w:tcPr>
          <w:p w14:paraId="56CD1329">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175.5</w:t>
            </w:r>
          </w:p>
        </w:tc>
        <w:tc>
          <w:tcPr>
            <w:tcW w:w="1039" w:type="dxa"/>
            <w:vMerge w:val="continue"/>
            <w:vAlign w:val="center"/>
          </w:tcPr>
          <w:p w14:paraId="69D26B52">
            <w:pPr>
              <w:widowControl/>
              <w:spacing w:before="120"/>
              <w:contextualSpacing/>
              <w:jc w:val="center"/>
              <w:rPr>
                <w:rFonts w:hint="eastAsia" w:ascii="仿宋" w:hAnsi="仿宋" w:eastAsia="仿宋" w:cs="仿宋"/>
                <w:color w:val="auto"/>
                <w:kern w:val="0"/>
                <w:sz w:val="24"/>
                <w:szCs w:val="24"/>
                <w:highlight w:val="none"/>
              </w:rPr>
            </w:pPr>
          </w:p>
        </w:tc>
        <w:tc>
          <w:tcPr>
            <w:tcW w:w="1262" w:type="dxa"/>
            <w:vMerge w:val="continue"/>
            <w:vAlign w:val="center"/>
          </w:tcPr>
          <w:p w14:paraId="4397129E">
            <w:pPr>
              <w:widowControl/>
              <w:spacing w:before="120"/>
              <w:contextualSpacing/>
              <w:jc w:val="center"/>
              <w:rPr>
                <w:rFonts w:hint="eastAsia" w:ascii="仿宋" w:hAnsi="仿宋" w:eastAsia="仿宋" w:cs="仿宋"/>
                <w:color w:val="auto"/>
                <w:kern w:val="0"/>
                <w:sz w:val="24"/>
                <w:szCs w:val="24"/>
                <w:highlight w:val="none"/>
              </w:rPr>
            </w:pPr>
          </w:p>
        </w:tc>
        <w:tc>
          <w:tcPr>
            <w:tcW w:w="1267" w:type="dxa"/>
            <w:vAlign w:val="center"/>
          </w:tcPr>
          <w:p w14:paraId="5ADCFFF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7C428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533" w:type="dxa"/>
            <w:vMerge w:val="continue"/>
            <w:vAlign w:val="center"/>
          </w:tcPr>
          <w:p w14:paraId="40D7847D">
            <w:pPr>
              <w:widowControl/>
              <w:spacing w:before="120"/>
              <w:contextualSpacing/>
              <w:jc w:val="center"/>
              <w:rPr>
                <w:rFonts w:hint="eastAsia" w:ascii="仿宋" w:hAnsi="仿宋" w:eastAsia="仿宋" w:cs="仿宋"/>
                <w:color w:val="auto"/>
                <w:kern w:val="0"/>
                <w:sz w:val="24"/>
                <w:szCs w:val="24"/>
                <w:highlight w:val="none"/>
              </w:rPr>
            </w:pPr>
          </w:p>
        </w:tc>
        <w:tc>
          <w:tcPr>
            <w:tcW w:w="771" w:type="dxa"/>
            <w:vAlign w:val="center"/>
          </w:tcPr>
          <w:p w14:paraId="4D66C36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22-3</w:t>
            </w:r>
          </w:p>
        </w:tc>
        <w:tc>
          <w:tcPr>
            <w:tcW w:w="1353" w:type="dxa"/>
            <w:tcBorders>
              <w:bottom w:val="single" w:color="auto" w:sz="4" w:space="0"/>
            </w:tcBorders>
            <w:vAlign w:val="center"/>
          </w:tcPr>
          <w:p w14:paraId="7112604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除颤监护仪</w:t>
            </w:r>
          </w:p>
        </w:tc>
        <w:tc>
          <w:tcPr>
            <w:tcW w:w="909" w:type="dxa"/>
            <w:vAlign w:val="center"/>
          </w:tcPr>
          <w:p w14:paraId="6C5954F1">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1108" w:type="dxa"/>
            <w:vAlign w:val="center"/>
          </w:tcPr>
          <w:p w14:paraId="1A30F0EF">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5.4</w:t>
            </w:r>
          </w:p>
        </w:tc>
        <w:tc>
          <w:tcPr>
            <w:tcW w:w="1039" w:type="dxa"/>
            <w:vAlign w:val="center"/>
          </w:tcPr>
          <w:p w14:paraId="464F7289">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5.4</w:t>
            </w:r>
          </w:p>
        </w:tc>
        <w:tc>
          <w:tcPr>
            <w:tcW w:w="1039" w:type="dxa"/>
            <w:vMerge w:val="continue"/>
            <w:vAlign w:val="center"/>
          </w:tcPr>
          <w:p w14:paraId="11894775">
            <w:pPr>
              <w:widowControl/>
              <w:spacing w:before="120"/>
              <w:contextualSpacing/>
              <w:jc w:val="center"/>
              <w:rPr>
                <w:rFonts w:hint="eastAsia" w:ascii="仿宋" w:hAnsi="仿宋" w:eastAsia="仿宋" w:cs="仿宋"/>
                <w:color w:val="auto"/>
                <w:kern w:val="0"/>
                <w:sz w:val="24"/>
                <w:szCs w:val="24"/>
                <w:highlight w:val="none"/>
              </w:rPr>
            </w:pPr>
          </w:p>
        </w:tc>
        <w:tc>
          <w:tcPr>
            <w:tcW w:w="1262" w:type="dxa"/>
            <w:vMerge w:val="continue"/>
            <w:vAlign w:val="center"/>
          </w:tcPr>
          <w:p w14:paraId="5922CADD">
            <w:pPr>
              <w:widowControl/>
              <w:spacing w:before="120"/>
              <w:contextualSpacing/>
              <w:jc w:val="center"/>
              <w:rPr>
                <w:rFonts w:hint="eastAsia" w:ascii="仿宋" w:hAnsi="仿宋" w:eastAsia="仿宋" w:cs="仿宋"/>
                <w:color w:val="auto"/>
                <w:kern w:val="0"/>
                <w:sz w:val="24"/>
                <w:szCs w:val="24"/>
                <w:highlight w:val="none"/>
              </w:rPr>
            </w:pPr>
          </w:p>
        </w:tc>
        <w:tc>
          <w:tcPr>
            <w:tcW w:w="1267" w:type="dxa"/>
            <w:vAlign w:val="center"/>
          </w:tcPr>
          <w:p w14:paraId="6436504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0E75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533" w:type="dxa"/>
            <w:vMerge w:val="continue"/>
            <w:vAlign w:val="center"/>
          </w:tcPr>
          <w:p w14:paraId="2AC1F67B">
            <w:pPr>
              <w:widowControl/>
              <w:spacing w:before="120"/>
              <w:contextualSpacing/>
              <w:jc w:val="center"/>
              <w:rPr>
                <w:rFonts w:hint="eastAsia" w:ascii="仿宋" w:hAnsi="仿宋" w:eastAsia="仿宋" w:cs="仿宋"/>
                <w:color w:val="auto"/>
                <w:kern w:val="0"/>
                <w:sz w:val="24"/>
                <w:szCs w:val="24"/>
                <w:highlight w:val="none"/>
              </w:rPr>
            </w:pPr>
          </w:p>
        </w:tc>
        <w:tc>
          <w:tcPr>
            <w:tcW w:w="771" w:type="dxa"/>
            <w:vAlign w:val="center"/>
          </w:tcPr>
          <w:p w14:paraId="13FEAFC8">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22-4</w:t>
            </w:r>
          </w:p>
        </w:tc>
        <w:tc>
          <w:tcPr>
            <w:tcW w:w="1353" w:type="dxa"/>
            <w:tcBorders>
              <w:bottom w:val="single" w:color="auto" w:sz="4" w:space="0"/>
            </w:tcBorders>
            <w:vAlign w:val="center"/>
          </w:tcPr>
          <w:p w14:paraId="2A53059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遥测监护仪</w:t>
            </w:r>
          </w:p>
        </w:tc>
        <w:tc>
          <w:tcPr>
            <w:tcW w:w="909" w:type="dxa"/>
            <w:vAlign w:val="center"/>
          </w:tcPr>
          <w:p w14:paraId="69E1B0DD">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4</w:t>
            </w:r>
          </w:p>
        </w:tc>
        <w:tc>
          <w:tcPr>
            <w:tcW w:w="1108" w:type="dxa"/>
            <w:vAlign w:val="center"/>
          </w:tcPr>
          <w:p w14:paraId="5E08B73D">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12</w:t>
            </w:r>
          </w:p>
        </w:tc>
        <w:tc>
          <w:tcPr>
            <w:tcW w:w="1039" w:type="dxa"/>
            <w:vAlign w:val="center"/>
          </w:tcPr>
          <w:p w14:paraId="5174F591">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12</w:t>
            </w:r>
          </w:p>
        </w:tc>
        <w:tc>
          <w:tcPr>
            <w:tcW w:w="1039" w:type="dxa"/>
            <w:vMerge w:val="continue"/>
            <w:vAlign w:val="center"/>
          </w:tcPr>
          <w:p w14:paraId="3E54FE53">
            <w:pPr>
              <w:widowControl/>
              <w:spacing w:before="120"/>
              <w:contextualSpacing/>
              <w:jc w:val="center"/>
              <w:rPr>
                <w:rFonts w:hint="eastAsia" w:ascii="仿宋" w:hAnsi="仿宋" w:eastAsia="仿宋" w:cs="仿宋"/>
                <w:color w:val="auto"/>
                <w:kern w:val="0"/>
                <w:sz w:val="24"/>
                <w:szCs w:val="24"/>
                <w:highlight w:val="none"/>
              </w:rPr>
            </w:pPr>
          </w:p>
        </w:tc>
        <w:tc>
          <w:tcPr>
            <w:tcW w:w="1262" w:type="dxa"/>
            <w:vMerge w:val="continue"/>
            <w:vAlign w:val="center"/>
          </w:tcPr>
          <w:p w14:paraId="64A43D86">
            <w:pPr>
              <w:widowControl/>
              <w:spacing w:before="120"/>
              <w:contextualSpacing/>
              <w:jc w:val="center"/>
              <w:rPr>
                <w:rFonts w:hint="eastAsia" w:ascii="仿宋" w:hAnsi="仿宋" w:eastAsia="仿宋" w:cs="仿宋"/>
                <w:color w:val="auto"/>
                <w:kern w:val="0"/>
                <w:sz w:val="24"/>
                <w:szCs w:val="24"/>
                <w:highlight w:val="none"/>
              </w:rPr>
            </w:pPr>
          </w:p>
        </w:tc>
        <w:tc>
          <w:tcPr>
            <w:tcW w:w="1267" w:type="dxa"/>
            <w:vAlign w:val="center"/>
          </w:tcPr>
          <w:p w14:paraId="401AB1E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61A61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533" w:type="dxa"/>
            <w:vMerge w:val="continue"/>
            <w:vAlign w:val="center"/>
          </w:tcPr>
          <w:p w14:paraId="4E020B45">
            <w:pPr>
              <w:widowControl/>
              <w:spacing w:before="120"/>
              <w:contextualSpacing/>
              <w:jc w:val="center"/>
              <w:rPr>
                <w:rFonts w:hint="eastAsia" w:ascii="仿宋" w:hAnsi="仿宋" w:eastAsia="仿宋" w:cs="仿宋"/>
                <w:color w:val="auto"/>
                <w:kern w:val="0"/>
                <w:sz w:val="24"/>
                <w:szCs w:val="24"/>
                <w:highlight w:val="none"/>
              </w:rPr>
            </w:pPr>
          </w:p>
        </w:tc>
        <w:tc>
          <w:tcPr>
            <w:tcW w:w="771" w:type="dxa"/>
            <w:vAlign w:val="center"/>
          </w:tcPr>
          <w:p w14:paraId="6822F203">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22-5</w:t>
            </w:r>
          </w:p>
        </w:tc>
        <w:tc>
          <w:tcPr>
            <w:tcW w:w="1353" w:type="dxa"/>
            <w:tcBorders>
              <w:bottom w:val="single" w:color="auto" w:sz="4" w:space="0"/>
            </w:tcBorders>
            <w:vAlign w:val="center"/>
          </w:tcPr>
          <w:p w14:paraId="37E16DF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监护仪2</w:t>
            </w:r>
          </w:p>
        </w:tc>
        <w:tc>
          <w:tcPr>
            <w:tcW w:w="909" w:type="dxa"/>
            <w:vAlign w:val="center"/>
          </w:tcPr>
          <w:p w14:paraId="718C169D">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88</w:t>
            </w:r>
          </w:p>
        </w:tc>
        <w:tc>
          <w:tcPr>
            <w:tcW w:w="1108" w:type="dxa"/>
            <w:vAlign w:val="center"/>
          </w:tcPr>
          <w:p w14:paraId="0D4BD847">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324.1</w:t>
            </w:r>
          </w:p>
        </w:tc>
        <w:tc>
          <w:tcPr>
            <w:tcW w:w="1039" w:type="dxa"/>
            <w:vAlign w:val="center"/>
          </w:tcPr>
          <w:p w14:paraId="23672F4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299.2</w:t>
            </w:r>
          </w:p>
        </w:tc>
        <w:tc>
          <w:tcPr>
            <w:tcW w:w="1039" w:type="dxa"/>
            <w:vMerge w:val="continue"/>
            <w:vAlign w:val="center"/>
          </w:tcPr>
          <w:p w14:paraId="7A362352">
            <w:pPr>
              <w:widowControl/>
              <w:spacing w:before="120"/>
              <w:contextualSpacing/>
              <w:jc w:val="center"/>
              <w:rPr>
                <w:rFonts w:hint="eastAsia" w:ascii="仿宋" w:hAnsi="仿宋" w:eastAsia="仿宋" w:cs="仿宋"/>
                <w:color w:val="auto"/>
                <w:kern w:val="0"/>
                <w:sz w:val="24"/>
                <w:szCs w:val="24"/>
                <w:highlight w:val="none"/>
              </w:rPr>
            </w:pPr>
          </w:p>
        </w:tc>
        <w:tc>
          <w:tcPr>
            <w:tcW w:w="1262" w:type="dxa"/>
            <w:vMerge w:val="continue"/>
            <w:vAlign w:val="center"/>
          </w:tcPr>
          <w:p w14:paraId="55E3789D">
            <w:pPr>
              <w:widowControl/>
              <w:spacing w:before="120"/>
              <w:contextualSpacing/>
              <w:jc w:val="center"/>
              <w:rPr>
                <w:rFonts w:hint="eastAsia" w:ascii="仿宋" w:hAnsi="仿宋" w:eastAsia="仿宋" w:cs="仿宋"/>
                <w:color w:val="auto"/>
                <w:kern w:val="0"/>
                <w:sz w:val="24"/>
                <w:szCs w:val="24"/>
                <w:highlight w:val="none"/>
              </w:rPr>
            </w:pPr>
          </w:p>
        </w:tc>
        <w:tc>
          <w:tcPr>
            <w:tcW w:w="1267" w:type="dxa"/>
            <w:vAlign w:val="center"/>
          </w:tcPr>
          <w:p w14:paraId="1878285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43E1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533" w:type="dxa"/>
            <w:vMerge w:val="continue"/>
            <w:vAlign w:val="center"/>
          </w:tcPr>
          <w:p w14:paraId="773E3095">
            <w:pPr>
              <w:widowControl/>
              <w:spacing w:before="120"/>
              <w:contextualSpacing/>
              <w:jc w:val="center"/>
              <w:rPr>
                <w:rFonts w:hint="eastAsia" w:ascii="仿宋" w:hAnsi="仿宋" w:eastAsia="仿宋" w:cs="仿宋"/>
                <w:color w:val="auto"/>
                <w:kern w:val="0"/>
                <w:sz w:val="24"/>
                <w:szCs w:val="24"/>
                <w:highlight w:val="none"/>
              </w:rPr>
            </w:pPr>
          </w:p>
        </w:tc>
        <w:tc>
          <w:tcPr>
            <w:tcW w:w="771" w:type="dxa"/>
            <w:vAlign w:val="center"/>
          </w:tcPr>
          <w:p w14:paraId="58A0BF49">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22-6</w:t>
            </w:r>
          </w:p>
        </w:tc>
        <w:tc>
          <w:tcPr>
            <w:tcW w:w="1353" w:type="dxa"/>
            <w:tcBorders>
              <w:bottom w:val="single" w:color="auto" w:sz="4" w:space="0"/>
            </w:tcBorders>
            <w:vAlign w:val="center"/>
          </w:tcPr>
          <w:p w14:paraId="22BD4801">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除颤监护仪</w:t>
            </w:r>
            <w:r>
              <w:rPr>
                <w:rFonts w:hint="eastAsia" w:ascii="仿宋" w:hAnsi="仿宋" w:eastAsia="仿宋" w:cs="仿宋"/>
                <w:color w:val="auto"/>
                <w:kern w:val="0"/>
                <w:sz w:val="24"/>
                <w:szCs w:val="24"/>
                <w:highlight w:val="none"/>
                <w:lang w:val="en-US" w:eastAsia="zh-CN"/>
              </w:rPr>
              <w:t>2</w:t>
            </w:r>
          </w:p>
        </w:tc>
        <w:tc>
          <w:tcPr>
            <w:tcW w:w="909" w:type="dxa"/>
            <w:vAlign w:val="center"/>
          </w:tcPr>
          <w:p w14:paraId="388FF136">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1108" w:type="dxa"/>
            <w:vAlign w:val="center"/>
          </w:tcPr>
          <w:p w14:paraId="075EA5BC">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8.5</w:t>
            </w:r>
          </w:p>
        </w:tc>
        <w:tc>
          <w:tcPr>
            <w:tcW w:w="1039" w:type="dxa"/>
            <w:vAlign w:val="center"/>
          </w:tcPr>
          <w:p w14:paraId="7CF656E8">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8</w:t>
            </w:r>
          </w:p>
        </w:tc>
        <w:tc>
          <w:tcPr>
            <w:tcW w:w="1039" w:type="dxa"/>
            <w:vMerge w:val="continue"/>
            <w:vAlign w:val="center"/>
          </w:tcPr>
          <w:p w14:paraId="00DD7374">
            <w:pPr>
              <w:widowControl/>
              <w:spacing w:before="120"/>
              <w:contextualSpacing/>
              <w:jc w:val="center"/>
              <w:rPr>
                <w:rFonts w:hint="eastAsia" w:ascii="仿宋" w:hAnsi="仿宋" w:eastAsia="仿宋" w:cs="仿宋"/>
                <w:color w:val="auto"/>
                <w:kern w:val="0"/>
                <w:sz w:val="24"/>
                <w:szCs w:val="24"/>
                <w:highlight w:val="none"/>
              </w:rPr>
            </w:pPr>
          </w:p>
        </w:tc>
        <w:tc>
          <w:tcPr>
            <w:tcW w:w="1262" w:type="dxa"/>
            <w:vMerge w:val="continue"/>
            <w:vAlign w:val="center"/>
          </w:tcPr>
          <w:p w14:paraId="6AC249E4">
            <w:pPr>
              <w:widowControl/>
              <w:spacing w:before="120"/>
              <w:contextualSpacing/>
              <w:jc w:val="center"/>
              <w:rPr>
                <w:rFonts w:hint="eastAsia" w:ascii="仿宋" w:hAnsi="仿宋" w:eastAsia="仿宋" w:cs="仿宋"/>
                <w:color w:val="auto"/>
                <w:kern w:val="0"/>
                <w:sz w:val="24"/>
                <w:szCs w:val="24"/>
                <w:highlight w:val="none"/>
              </w:rPr>
            </w:pPr>
          </w:p>
        </w:tc>
        <w:tc>
          <w:tcPr>
            <w:tcW w:w="1267" w:type="dxa"/>
            <w:vAlign w:val="center"/>
          </w:tcPr>
          <w:p w14:paraId="6B7A273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7083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533" w:type="dxa"/>
            <w:vMerge w:val="continue"/>
            <w:vAlign w:val="center"/>
          </w:tcPr>
          <w:p w14:paraId="6D8E4FDE">
            <w:pPr>
              <w:widowControl/>
              <w:spacing w:before="120"/>
              <w:contextualSpacing/>
              <w:jc w:val="center"/>
              <w:rPr>
                <w:rFonts w:hint="eastAsia" w:ascii="仿宋" w:hAnsi="仿宋" w:eastAsia="仿宋" w:cs="仿宋"/>
                <w:color w:val="auto"/>
                <w:kern w:val="0"/>
                <w:sz w:val="24"/>
                <w:szCs w:val="24"/>
                <w:highlight w:val="none"/>
              </w:rPr>
            </w:pPr>
          </w:p>
        </w:tc>
        <w:tc>
          <w:tcPr>
            <w:tcW w:w="771" w:type="dxa"/>
            <w:vAlign w:val="center"/>
          </w:tcPr>
          <w:p w14:paraId="325408E1">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22-7</w:t>
            </w:r>
          </w:p>
        </w:tc>
        <w:tc>
          <w:tcPr>
            <w:tcW w:w="1353" w:type="dxa"/>
            <w:tcBorders>
              <w:bottom w:val="single" w:color="auto" w:sz="4" w:space="0"/>
            </w:tcBorders>
            <w:vAlign w:val="center"/>
          </w:tcPr>
          <w:p w14:paraId="4ACC87A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床旁监护仪</w:t>
            </w:r>
          </w:p>
        </w:tc>
        <w:tc>
          <w:tcPr>
            <w:tcW w:w="909" w:type="dxa"/>
            <w:vAlign w:val="center"/>
          </w:tcPr>
          <w:p w14:paraId="466897D1">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11</w:t>
            </w:r>
          </w:p>
        </w:tc>
        <w:tc>
          <w:tcPr>
            <w:tcW w:w="1108" w:type="dxa"/>
            <w:vAlign w:val="center"/>
          </w:tcPr>
          <w:p w14:paraId="0F765EA3">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53.5</w:t>
            </w:r>
          </w:p>
        </w:tc>
        <w:tc>
          <w:tcPr>
            <w:tcW w:w="1039" w:type="dxa"/>
            <w:vAlign w:val="center"/>
          </w:tcPr>
          <w:p w14:paraId="33B5650E">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44</w:t>
            </w:r>
          </w:p>
        </w:tc>
        <w:tc>
          <w:tcPr>
            <w:tcW w:w="1039" w:type="dxa"/>
            <w:vMerge w:val="continue"/>
            <w:vAlign w:val="center"/>
          </w:tcPr>
          <w:p w14:paraId="3D56EF6F">
            <w:pPr>
              <w:widowControl/>
              <w:spacing w:before="120"/>
              <w:contextualSpacing/>
              <w:jc w:val="center"/>
              <w:rPr>
                <w:rFonts w:hint="eastAsia" w:ascii="仿宋" w:hAnsi="仿宋" w:eastAsia="仿宋" w:cs="仿宋"/>
                <w:color w:val="auto"/>
                <w:kern w:val="0"/>
                <w:sz w:val="24"/>
                <w:szCs w:val="24"/>
                <w:highlight w:val="none"/>
              </w:rPr>
            </w:pPr>
          </w:p>
        </w:tc>
        <w:tc>
          <w:tcPr>
            <w:tcW w:w="1262" w:type="dxa"/>
            <w:vMerge w:val="continue"/>
            <w:vAlign w:val="center"/>
          </w:tcPr>
          <w:p w14:paraId="7C8509ED">
            <w:pPr>
              <w:widowControl/>
              <w:spacing w:before="120"/>
              <w:contextualSpacing/>
              <w:jc w:val="center"/>
              <w:rPr>
                <w:rFonts w:hint="eastAsia" w:ascii="仿宋" w:hAnsi="仿宋" w:eastAsia="仿宋" w:cs="仿宋"/>
                <w:color w:val="auto"/>
                <w:kern w:val="0"/>
                <w:sz w:val="24"/>
                <w:szCs w:val="24"/>
                <w:highlight w:val="none"/>
              </w:rPr>
            </w:pPr>
          </w:p>
        </w:tc>
        <w:tc>
          <w:tcPr>
            <w:tcW w:w="1267" w:type="dxa"/>
            <w:vAlign w:val="center"/>
          </w:tcPr>
          <w:p w14:paraId="308F48DD">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40DA9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533" w:type="dxa"/>
            <w:vMerge w:val="continue"/>
            <w:vAlign w:val="center"/>
          </w:tcPr>
          <w:p w14:paraId="07BEE87D">
            <w:pPr>
              <w:widowControl/>
              <w:spacing w:before="120"/>
              <w:contextualSpacing/>
              <w:jc w:val="center"/>
              <w:rPr>
                <w:rFonts w:hint="eastAsia" w:ascii="仿宋" w:hAnsi="仿宋" w:eastAsia="仿宋" w:cs="仿宋"/>
                <w:color w:val="auto"/>
                <w:kern w:val="0"/>
                <w:sz w:val="24"/>
                <w:szCs w:val="24"/>
                <w:highlight w:val="none"/>
              </w:rPr>
            </w:pPr>
          </w:p>
        </w:tc>
        <w:tc>
          <w:tcPr>
            <w:tcW w:w="771" w:type="dxa"/>
            <w:vAlign w:val="center"/>
          </w:tcPr>
          <w:p w14:paraId="5BD47FD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22-8</w:t>
            </w:r>
          </w:p>
        </w:tc>
        <w:tc>
          <w:tcPr>
            <w:tcW w:w="1353" w:type="dxa"/>
            <w:tcBorders>
              <w:bottom w:val="single" w:color="auto" w:sz="4" w:space="0"/>
            </w:tcBorders>
            <w:vAlign w:val="center"/>
          </w:tcPr>
          <w:p w14:paraId="1393B77E">
            <w:pPr>
              <w:widowControl/>
              <w:spacing w:before="120"/>
              <w:contextualSpacing/>
              <w:jc w:val="center"/>
              <w:rPr>
                <w:rFonts w:hint="eastAsia" w:ascii="仿宋" w:hAnsi="仿宋" w:eastAsia="仿宋" w:cs="仿宋"/>
                <w:color w:val="auto"/>
                <w:kern w:val="0"/>
                <w:sz w:val="24"/>
                <w:szCs w:val="24"/>
                <w:highlight w:val="none"/>
              </w:rPr>
            </w:pPr>
            <w:r>
              <w:rPr>
                <w:rFonts w:hint="default" w:ascii="仿宋" w:hAnsi="仿宋" w:eastAsia="仿宋" w:cs="仿宋"/>
                <w:color w:val="auto"/>
                <w:kern w:val="0"/>
                <w:sz w:val="24"/>
                <w:szCs w:val="24"/>
                <w:highlight w:val="none"/>
                <w:lang w:val="en-US" w:eastAsia="zh-CN"/>
              </w:rPr>
              <w:t>心电监护仪</w:t>
            </w:r>
          </w:p>
        </w:tc>
        <w:tc>
          <w:tcPr>
            <w:tcW w:w="909" w:type="dxa"/>
            <w:vAlign w:val="center"/>
          </w:tcPr>
          <w:p w14:paraId="6BC99F5D">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55</w:t>
            </w:r>
          </w:p>
        </w:tc>
        <w:tc>
          <w:tcPr>
            <w:tcW w:w="1108" w:type="dxa"/>
            <w:vAlign w:val="center"/>
          </w:tcPr>
          <w:p w14:paraId="42FA799C">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324</w:t>
            </w:r>
          </w:p>
        </w:tc>
        <w:tc>
          <w:tcPr>
            <w:tcW w:w="1039" w:type="dxa"/>
            <w:vAlign w:val="center"/>
          </w:tcPr>
          <w:p w14:paraId="6989DDA1">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275</w:t>
            </w:r>
          </w:p>
        </w:tc>
        <w:tc>
          <w:tcPr>
            <w:tcW w:w="1039" w:type="dxa"/>
            <w:vMerge w:val="continue"/>
            <w:vAlign w:val="center"/>
          </w:tcPr>
          <w:p w14:paraId="407A1D6C">
            <w:pPr>
              <w:widowControl/>
              <w:spacing w:before="120"/>
              <w:contextualSpacing/>
              <w:jc w:val="center"/>
              <w:rPr>
                <w:rFonts w:hint="eastAsia" w:ascii="仿宋" w:hAnsi="仿宋" w:eastAsia="仿宋" w:cs="仿宋"/>
                <w:color w:val="auto"/>
                <w:kern w:val="0"/>
                <w:sz w:val="24"/>
                <w:szCs w:val="24"/>
                <w:highlight w:val="none"/>
              </w:rPr>
            </w:pPr>
          </w:p>
        </w:tc>
        <w:tc>
          <w:tcPr>
            <w:tcW w:w="1262" w:type="dxa"/>
            <w:vMerge w:val="continue"/>
            <w:vAlign w:val="center"/>
          </w:tcPr>
          <w:p w14:paraId="59498EAC">
            <w:pPr>
              <w:widowControl/>
              <w:spacing w:before="120"/>
              <w:contextualSpacing/>
              <w:jc w:val="center"/>
              <w:rPr>
                <w:rFonts w:hint="eastAsia" w:ascii="仿宋" w:hAnsi="仿宋" w:eastAsia="仿宋" w:cs="仿宋"/>
                <w:color w:val="auto"/>
                <w:kern w:val="0"/>
                <w:sz w:val="24"/>
                <w:szCs w:val="24"/>
                <w:highlight w:val="none"/>
              </w:rPr>
            </w:pPr>
          </w:p>
        </w:tc>
        <w:tc>
          <w:tcPr>
            <w:tcW w:w="1267" w:type="dxa"/>
            <w:vAlign w:val="center"/>
          </w:tcPr>
          <w:p w14:paraId="30FAAA0C">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1B66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restart"/>
            <w:vAlign w:val="center"/>
          </w:tcPr>
          <w:p w14:paraId="7525921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w:t>
            </w:r>
          </w:p>
        </w:tc>
        <w:tc>
          <w:tcPr>
            <w:tcW w:w="415" w:type="pct"/>
            <w:vAlign w:val="center"/>
          </w:tcPr>
          <w:p w14:paraId="586C798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26-1</w:t>
            </w:r>
          </w:p>
        </w:tc>
        <w:tc>
          <w:tcPr>
            <w:tcW w:w="728" w:type="pct"/>
            <w:vAlign w:val="center"/>
          </w:tcPr>
          <w:p w14:paraId="00BAA7C2">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4</w:t>
            </w:r>
          </w:p>
        </w:tc>
        <w:tc>
          <w:tcPr>
            <w:tcW w:w="489" w:type="pct"/>
            <w:vAlign w:val="center"/>
          </w:tcPr>
          <w:p w14:paraId="4032AB6C">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w:t>
            </w:r>
          </w:p>
        </w:tc>
        <w:tc>
          <w:tcPr>
            <w:tcW w:w="596" w:type="pct"/>
            <w:vAlign w:val="center"/>
          </w:tcPr>
          <w:p w14:paraId="3B7C12D2">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666</w:t>
            </w:r>
          </w:p>
        </w:tc>
        <w:tc>
          <w:tcPr>
            <w:tcW w:w="559" w:type="pct"/>
            <w:vAlign w:val="center"/>
          </w:tcPr>
          <w:p w14:paraId="5FAD80D1">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666</w:t>
            </w:r>
          </w:p>
        </w:tc>
        <w:tc>
          <w:tcPr>
            <w:tcW w:w="559" w:type="pct"/>
            <w:vMerge w:val="restart"/>
            <w:vAlign w:val="center"/>
          </w:tcPr>
          <w:p w14:paraId="6BBF608E">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871</w:t>
            </w:r>
          </w:p>
        </w:tc>
        <w:tc>
          <w:tcPr>
            <w:tcW w:w="679" w:type="pct"/>
            <w:vMerge w:val="restart"/>
            <w:shd w:val="clear" w:color="auto" w:fill="auto"/>
            <w:vAlign w:val="center"/>
          </w:tcPr>
          <w:p w14:paraId="1A097D2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871</w:t>
            </w:r>
          </w:p>
        </w:tc>
        <w:tc>
          <w:tcPr>
            <w:tcW w:w="682" w:type="pct"/>
            <w:shd w:val="clear" w:color="auto" w:fill="auto"/>
            <w:vAlign w:val="center"/>
          </w:tcPr>
          <w:p w14:paraId="0EAB9BD0">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7E38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vAlign w:val="center"/>
          </w:tcPr>
          <w:p w14:paraId="180C1A23">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6A665F8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26-2</w:t>
            </w:r>
          </w:p>
        </w:tc>
        <w:tc>
          <w:tcPr>
            <w:tcW w:w="728" w:type="pct"/>
            <w:vAlign w:val="center"/>
          </w:tcPr>
          <w:p w14:paraId="6CF2B8A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5</w:t>
            </w:r>
          </w:p>
        </w:tc>
        <w:tc>
          <w:tcPr>
            <w:tcW w:w="489" w:type="pct"/>
            <w:vAlign w:val="center"/>
          </w:tcPr>
          <w:p w14:paraId="39CC5D2F">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596" w:type="pct"/>
            <w:vAlign w:val="center"/>
          </w:tcPr>
          <w:p w14:paraId="6DA8890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97</w:t>
            </w:r>
          </w:p>
        </w:tc>
        <w:tc>
          <w:tcPr>
            <w:tcW w:w="559" w:type="pct"/>
            <w:vAlign w:val="center"/>
          </w:tcPr>
          <w:p w14:paraId="12F6F494">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97</w:t>
            </w:r>
          </w:p>
        </w:tc>
        <w:tc>
          <w:tcPr>
            <w:tcW w:w="559" w:type="pct"/>
            <w:vMerge w:val="continue"/>
            <w:vAlign w:val="center"/>
          </w:tcPr>
          <w:p w14:paraId="3FA80AF7">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229E65BB">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2E510CA3">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5578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87" w:type="pct"/>
            <w:vMerge w:val="continue"/>
            <w:vAlign w:val="center"/>
          </w:tcPr>
          <w:p w14:paraId="269BB626">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415" w:type="pct"/>
            <w:vAlign w:val="center"/>
          </w:tcPr>
          <w:p w14:paraId="6917CFA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26-3</w:t>
            </w:r>
          </w:p>
        </w:tc>
        <w:tc>
          <w:tcPr>
            <w:tcW w:w="728" w:type="pct"/>
            <w:vAlign w:val="center"/>
          </w:tcPr>
          <w:p w14:paraId="5B28D415">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中央监护系统</w:t>
            </w:r>
            <w:r>
              <w:rPr>
                <w:rFonts w:hint="eastAsia" w:ascii="仿宋" w:hAnsi="仿宋" w:eastAsia="仿宋" w:cs="仿宋"/>
                <w:color w:val="auto"/>
                <w:kern w:val="0"/>
                <w:sz w:val="24"/>
                <w:szCs w:val="24"/>
                <w:highlight w:val="none"/>
                <w:lang w:val="en-US" w:eastAsia="zh-CN"/>
              </w:rPr>
              <w:t>6</w:t>
            </w:r>
          </w:p>
        </w:tc>
        <w:tc>
          <w:tcPr>
            <w:tcW w:w="489" w:type="pct"/>
            <w:vAlign w:val="center"/>
          </w:tcPr>
          <w:p w14:paraId="0B110E7D">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c>
          <w:tcPr>
            <w:tcW w:w="596" w:type="pct"/>
            <w:vAlign w:val="center"/>
          </w:tcPr>
          <w:p w14:paraId="1E059EF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108</w:t>
            </w:r>
          </w:p>
        </w:tc>
        <w:tc>
          <w:tcPr>
            <w:tcW w:w="559" w:type="pct"/>
            <w:vAlign w:val="center"/>
          </w:tcPr>
          <w:p w14:paraId="6575C4EC">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108</w:t>
            </w:r>
          </w:p>
        </w:tc>
        <w:tc>
          <w:tcPr>
            <w:tcW w:w="559" w:type="pct"/>
            <w:vMerge w:val="continue"/>
            <w:vAlign w:val="center"/>
          </w:tcPr>
          <w:p w14:paraId="6D1EED0A">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679" w:type="pct"/>
            <w:vMerge w:val="continue"/>
            <w:shd w:val="clear" w:color="auto" w:fill="auto"/>
            <w:vAlign w:val="center"/>
          </w:tcPr>
          <w:p w14:paraId="61B6794E">
            <w:pPr>
              <w:widowControl/>
              <w:spacing w:before="120"/>
              <w:contextualSpacing/>
              <w:jc w:val="center"/>
              <w:rPr>
                <w:rFonts w:hint="eastAsia" w:ascii="仿宋" w:hAnsi="仿宋" w:eastAsia="仿宋" w:cs="仿宋"/>
                <w:color w:val="auto"/>
                <w:kern w:val="0"/>
                <w:sz w:val="24"/>
                <w:szCs w:val="24"/>
                <w:highlight w:val="none"/>
              </w:rPr>
            </w:pPr>
          </w:p>
        </w:tc>
        <w:tc>
          <w:tcPr>
            <w:tcW w:w="682" w:type="pct"/>
            <w:shd w:val="clear" w:color="auto" w:fill="auto"/>
            <w:vAlign w:val="center"/>
          </w:tcPr>
          <w:p w14:paraId="3D9CCF9F">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bl>
    <w:p w14:paraId="69ED1C29">
      <w:pPr>
        <w:snapToGrid w:val="0"/>
        <w:spacing w:line="360" w:lineRule="auto"/>
        <w:rPr>
          <w:rFonts w:hint="default" w:ascii="仿宋" w:hAnsi="仿宋" w:eastAsia="宋体"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注：第26包（品目26-1）分品目各台/套预算金额（万元）/最高限价（万元）具体明细详见第五章《采购需求》。</w:t>
      </w:r>
    </w:p>
    <w:p w14:paraId="2CF8B8AC">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6.合同履行期限：</w:t>
      </w:r>
      <w:bookmarkStart w:id="7" w:name="OLE_LINK141"/>
      <w:bookmarkStart w:id="8" w:name="OLE_LINK142"/>
      <w:r>
        <w:rPr>
          <w:rFonts w:hint="eastAsia" w:ascii="仿宋" w:hAnsi="仿宋" w:eastAsia="仿宋" w:cs="仿宋"/>
          <w:color w:val="auto"/>
          <w:sz w:val="24"/>
          <w:highlight w:val="none"/>
          <w:u w:val="single"/>
        </w:rPr>
        <w:t>详见第五章《采购需求》</w:t>
      </w:r>
      <w:bookmarkEnd w:id="7"/>
      <w:bookmarkEnd w:id="8"/>
      <w:r>
        <w:rPr>
          <w:rFonts w:hint="eastAsia" w:ascii="仿宋" w:hAnsi="仿宋" w:eastAsia="仿宋" w:cs="仿宋"/>
          <w:color w:val="auto"/>
          <w:sz w:val="24"/>
          <w:highlight w:val="none"/>
          <w:u w:val="single"/>
        </w:rPr>
        <w:t>。</w:t>
      </w:r>
    </w:p>
    <w:p w14:paraId="1829E69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7.本项目是否接受联合体投标：□是  ■否。</w:t>
      </w:r>
    </w:p>
    <w:p w14:paraId="5E7E9208">
      <w:pPr>
        <w:pStyle w:val="3"/>
        <w:snapToGrid w:val="0"/>
        <w:spacing w:before="0" w:line="360" w:lineRule="auto"/>
        <w:jc w:val="left"/>
        <w:rPr>
          <w:rFonts w:ascii="仿宋" w:hAnsi="仿宋" w:eastAsia="仿宋" w:cs="仿宋"/>
          <w:color w:val="auto"/>
          <w:sz w:val="24"/>
          <w:szCs w:val="24"/>
          <w:highlight w:val="none"/>
        </w:rPr>
      </w:pPr>
      <w:bookmarkStart w:id="9" w:name="_Toc28359003"/>
      <w:bookmarkStart w:id="10" w:name="_Toc35393622"/>
      <w:bookmarkStart w:id="11" w:name="_Toc28359080"/>
      <w:bookmarkStart w:id="12" w:name="_Toc35393791"/>
      <w:r>
        <w:rPr>
          <w:rFonts w:hint="eastAsia" w:ascii="仿宋" w:hAnsi="仿宋" w:eastAsia="仿宋" w:cs="仿宋"/>
          <w:color w:val="auto"/>
          <w:sz w:val="24"/>
          <w:szCs w:val="24"/>
          <w:highlight w:val="none"/>
        </w:rPr>
        <w:t>二、申请人的资格要求（须同时满足）</w:t>
      </w:r>
      <w:bookmarkEnd w:id="9"/>
      <w:bookmarkEnd w:id="10"/>
      <w:bookmarkEnd w:id="11"/>
      <w:bookmarkEnd w:id="12"/>
    </w:p>
    <w:p w14:paraId="6FF4E15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6D2333DB">
      <w:pPr>
        <w:snapToGrid w:val="0"/>
        <w:spacing w:line="360" w:lineRule="auto"/>
        <w:ind w:firstLine="480" w:firstLineChars="200"/>
        <w:rPr>
          <w:rFonts w:ascii="仿宋" w:hAnsi="仿宋" w:eastAsia="仿宋" w:cs="仿宋"/>
          <w:color w:val="auto"/>
          <w:sz w:val="24"/>
          <w:highlight w:val="none"/>
        </w:rPr>
      </w:pPr>
      <w:bookmarkStart w:id="13" w:name="_Toc28359081"/>
      <w:bookmarkStart w:id="14" w:name="_Toc28359004"/>
      <w:r>
        <w:rPr>
          <w:rFonts w:hint="eastAsia" w:ascii="仿宋" w:hAnsi="仿宋" w:eastAsia="仿宋" w:cs="仿宋"/>
          <w:color w:val="auto"/>
          <w:sz w:val="24"/>
          <w:highlight w:val="none"/>
        </w:rPr>
        <w:t>2.落实政府采购政策需满足的资格要求：</w:t>
      </w:r>
    </w:p>
    <w:p w14:paraId="3252725D">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中小企业政策</w:t>
      </w:r>
    </w:p>
    <w:p w14:paraId="0AEF66EB">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■本项目不专门面向中小企业预留采购份额。</w:t>
      </w:r>
    </w:p>
    <w:p w14:paraId="7EFA44C1">
      <w:pPr>
        <w:snapToGrid w:val="0"/>
        <w:spacing w:line="360" w:lineRule="auto"/>
        <w:ind w:firstLine="480" w:firstLineChars="200"/>
        <w:rPr>
          <w:rFonts w:ascii="仿宋" w:hAnsi="仿宋" w:eastAsia="仿宋" w:cs="仿宋"/>
          <w:color w:val="auto"/>
          <w:sz w:val="24"/>
          <w:highlight w:val="none"/>
        </w:rPr>
      </w:pPr>
      <w:bookmarkStart w:id="15" w:name="OLE_LINK140"/>
      <w:r>
        <w:rPr>
          <w:rFonts w:hint="eastAsia" w:ascii="仿宋" w:hAnsi="仿宋" w:eastAsia="仿宋" w:cs="仿宋"/>
          <w:color w:val="auto"/>
          <w:sz w:val="24"/>
          <w:highlight w:val="none"/>
        </w:rPr>
        <w:t>□</w:t>
      </w:r>
      <w:bookmarkEnd w:id="15"/>
      <w:r>
        <w:rPr>
          <w:rFonts w:hint="eastAsia" w:ascii="仿宋" w:hAnsi="仿宋" w:eastAsia="仿宋" w:cs="仿宋"/>
          <w:color w:val="auto"/>
          <w:sz w:val="24"/>
          <w:highlight w:val="none"/>
        </w:rPr>
        <w:t>本项目专门面向  □中小 □小微企业  采购。即：提供的货物全部由符合政策要求的中小/小微企业制造、服务全部由符合政策要求的中小/小微企业承接。</w:t>
      </w:r>
    </w:p>
    <w:p w14:paraId="4A38A36C">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3555E0E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3B99A88E">
      <w:pPr>
        <w:snapToGrid w:val="0"/>
        <w:spacing w:line="360" w:lineRule="auto"/>
        <w:ind w:firstLine="480" w:firstLineChars="200"/>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p w14:paraId="7B4021D0">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3.1本项目是否属于政府购买服务：</w:t>
      </w:r>
    </w:p>
    <w:p w14:paraId="2E7F0B79">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■否</w:t>
      </w:r>
    </w:p>
    <w:p w14:paraId="5364FFB5">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□是，公益一类事业单位、使用事业编制且由财政拨款保障的群团组织，不得作为承接主体；</w:t>
      </w:r>
    </w:p>
    <w:p w14:paraId="327739FB">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3.2其他特定资格要求：</w:t>
      </w:r>
    </w:p>
    <w:p w14:paraId="6DE30185">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投标产品属于医疗器械的，投标人应具有合法的医疗器械经营资格，须提供书面声明和证明材料，其中：</w:t>
      </w:r>
    </w:p>
    <w:p w14:paraId="4CDEAF0F">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投标人如为代理商，所投产品属第二类医疗器械的应具有《医疗器械经营备案凭证》，属第三类医疗器械的应具有《医疗器械经营许可证》，须提供相关证明文件复印件；</w:t>
      </w:r>
    </w:p>
    <w:p w14:paraId="43BE74AD">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3"/>
      <w:bookmarkEnd w:id="14"/>
      <w:bookmarkStart w:id="16" w:name="_Toc35393623"/>
      <w:bookmarkStart w:id="17" w:name="_Toc35393792"/>
    </w:p>
    <w:p w14:paraId="6518319D">
      <w:pPr>
        <w:pStyle w:val="3"/>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16"/>
      <w:bookmarkEnd w:id="17"/>
    </w:p>
    <w:p w14:paraId="417D002C">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1.时间：2026年</w:t>
      </w:r>
      <w:r>
        <w:rPr>
          <w:rFonts w:hint="eastAsia" w:ascii="仿宋" w:hAnsi="仿宋" w:eastAsia="仿宋" w:cs="仿宋"/>
          <w:color w:val="auto"/>
          <w:sz w:val="24"/>
          <w:highlight w:val="none"/>
          <w:lang w:val="en-US" w:eastAsia="zh-CN" w:bidi="ar"/>
        </w:rPr>
        <w:t>10</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23</w:t>
      </w:r>
      <w:r>
        <w:rPr>
          <w:rFonts w:hint="eastAsia" w:ascii="仿宋" w:hAnsi="仿宋" w:eastAsia="仿宋" w:cs="仿宋"/>
          <w:color w:val="auto"/>
          <w:sz w:val="24"/>
          <w:highlight w:val="none"/>
          <w:lang w:bidi="ar"/>
        </w:rPr>
        <w:t>至2026年</w:t>
      </w:r>
      <w:r>
        <w:rPr>
          <w:rFonts w:hint="eastAsia" w:ascii="仿宋" w:hAnsi="仿宋" w:eastAsia="仿宋" w:cs="仿宋"/>
          <w:color w:val="auto"/>
          <w:sz w:val="24"/>
          <w:highlight w:val="none"/>
          <w:lang w:val="en-US" w:eastAsia="zh-CN" w:bidi="ar"/>
        </w:rPr>
        <w:t>10</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30</w:t>
      </w:r>
      <w:r>
        <w:rPr>
          <w:rFonts w:hint="eastAsia" w:ascii="仿宋" w:hAnsi="仿宋" w:eastAsia="仿宋" w:cs="仿宋"/>
          <w:color w:val="auto"/>
          <w:sz w:val="24"/>
          <w:highlight w:val="none"/>
          <w:lang w:bidi="ar"/>
        </w:rPr>
        <w:t>日，每天上午9:00至11:30，下午13:30至17:00（北京时间，法定节假日除外）。</w:t>
      </w:r>
    </w:p>
    <w:p w14:paraId="51A4439D">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2.地点：北京市政府采购电子交易平台</w:t>
      </w:r>
    </w:p>
    <w:p w14:paraId="38A849F6">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3.方式：供应商使用CA数字证书或电子营业执照登录北京市政府采购电子交易平台（http://zbcg-bjzc.zhongcy.com/bjczj-portal-site/index.html#/home）获取电子版招标文件。</w:t>
      </w:r>
    </w:p>
    <w:p w14:paraId="7AFB2AA8">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4.售价：0元。</w:t>
      </w:r>
    </w:p>
    <w:p w14:paraId="0B47A548">
      <w:pPr>
        <w:pStyle w:val="3"/>
        <w:widowControl/>
        <w:snapToGrid w:val="0"/>
        <w:spacing w:before="0" w:line="360" w:lineRule="auto"/>
        <w:jc w:val="left"/>
        <w:rPr>
          <w:rFonts w:ascii="仿宋" w:hAnsi="仿宋" w:eastAsia="仿宋" w:cs="仿宋"/>
          <w:color w:val="auto"/>
          <w:sz w:val="24"/>
          <w:szCs w:val="24"/>
          <w:highlight w:val="none"/>
        </w:rPr>
      </w:pPr>
      <w:bookmarkStart w:id="18" w:name="_Toc28359005"/>
      <w:bookmarkStart w:id="19" w:name="_Toc28359082"/>
      <w:bookmarkStart w:id="20" w:name="_Toc35393624"/>
      <w:bookmarkStart w:id="21" w:name="_Toc35393793"/>
      <w:r>
        <w:rPr>
          <w:rFonts w:hint="eastAsia" w:ascii="仿宋" w:hAnsi="仿宋" w:eastAsia="仿宋" w:cs="仿宋"/>
          <w:color w:val="auto"/>
          <w:sz w:val="24"/>
          <w:szCs w:val="24"/>
          <w:highlight w:val="none"/>
        </w:rPr>
        <w:t>四、提交投标文件</w:t>
      </w:r>
      <w:bookmarkEnd w:id="18"/>
      <w:bookmarkEnd w:id="19"/>
      <w:r>
        <w:rPr>
          <w:rFonts w:hint="eastAsia" w:ascii="仿宋" w:hAnsi="仿宋" w:eastAsia="仿宋" w:cs="仿宋"/>
          <w:color w:val="auto"/>
          <w:sz w:val="24"/>
          <w:szCs w:val="24"/>
          <w:highlight w:val="none"/>
        </w:rPr>
        <w:t>截止时间、开标时间和地点</w:t>
      </w:r>
      <w:bookmarkEnd w:id="20"/>
      <w:bookmarkEnd w:id="21"/>
    </w:p>
    <w:p w14:paraId="4160AD1D">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lang w:bidi="ar"/>
        </w:rPr>
        <w:t>投标截止时间、开标时间：</w:t>
      </w:r>
      <w:r>
        <w:rPr>
          <w:rFonts w:hint="eastAsia" w:ascii="仿宋" w:hAnsi="仿宋" w:eastAsia="仿宋" w:cs="仿宋"/>
          <w:color w:val="auto"/>
          <w:sz w:val="24"/>
          <w:highlight w:val="none"/>
          <w:lang w:eastAsia="zh-CN" w:bidi="ar"/>
        </w:rPr>
        <w:t>2026年11月13日</w:t>
      </w:r>
      <w:r>
        <w:rPr>
          <w:rFonts w:hint="eastAsia" w:ascii="仿宋" w:hAnsi="仿宋" w:eastAsia="仿宋" w:cs="仿宋"/>
          <w:color w:val="auto"/>
          <w:sz w:val="24"/>
          <w:highlight w:val="none"/>
          <w:lang w:bidi="ar"/>
        </w:rPr>
        <w:t>0</w:t>
      </w:r>
      <w:r>
        <w:rPr>
          <w:rFonts w:hint="eastAsia" w:ascii="仿宋" w:hAnsi="仿宋" w:eastAsia="仿宋" w:cs="仿宋"/>
          <w:color w:val="auto"/>
          <w:sz w:val="24"/>
          <w:highlight w:val="none"/>
          <w:lang w:val="en-US" w:eastAsia="zh-CN" w:bidi="ar"/>
        </w:rPr>
        <w:t>8</w:t>
      </w:r>
      <w:r>
        <w:rPr>
          <w:rFonts w:hint="eastAsia" w:ascii="仿宋" w:hAnsi="仿宋" w:eastAsia="仿宋" w:cs="仿宋"/>
          <w:color w:val="auto"/>
          <w:sz w:val="24"/>
          <w:highlight w:val="none"/>
          <w:lang w:bidi="ar"/>
        </w:rPr>
        <w:t>点00分</w:t>
      </w:r>
      <w:r>
        <w:rPr>
          <w:rFonts w:hint="eastAsia" w:ascii="仿宋" w:hAnsi="仿宋" w:eastAsia="仿宋" w:cs="仿宋"/>
          <w:bCs/>
          <w:color w:val="auto"/>
          <w:sz w:val="24"/>
          <w:highlight w:val="none"/>
          <w:lang w:bidi="ar"/>
        </w:rPr>
        <w:t>（北京时间）</w:t>
      </w:r>
      <w:r>
        <w:rPr>
          <w:rFonts w:hint="eastAsia" w:ascii="仿宋" w:hAnsi="仿宋" w:eastAsia="仿宋" w:cs="仿宋"/>
          <w:iCs/>
          <w:color w:val="auto"/>
          <w:sz w:val="24"/>
          <w:highlight w:val="none"/>
          <w:lang w:bidi="ar"/>
        </w:rPr>
        <w:t>。</w:t>
      </w:r>
    </w:p>
    <w:p w14:paraId="0609F4D8">
      <w:pPr>
        <w:snapToGrid w:val="0"/>
        <w:spacing w:line="360" w:lineRule="auto"/>
        <w:ind w:firstLine="480" w:firstLineChars="200"/>
        <w:rPr>
          <w:rFonts w:ascii="仿宋" w:hAnsi="仿宋" w:eastAsia="仿宋" w:cs="仿宋"/>
          <w:bCs/>
          <w:color w:val="auto"/>
          <w:sz w:val="24"/>
          <w:highlight w:val="none"/>
          <w:u w:val="single"/>
        </w:rPr>
      </w:pPr>
      <w:r>
        <w:rPr>
          <w:rFonts w:hint="eastAsia" w:ascii="仿宋" w:hAnsi="仿宋" w:eastAsia="仿宋" w:cs="仿宋"/>
          <w:color w:val="auto"/>
          <w:sz w:val="24"/>
          <w:highlight w:val="none"/>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bidi="ar"/>
        </w:rPr>
        <w:t>。</w:t>
      </w:r>
    </w:p>
    <w:p w14:paraId="5B78C8C9">
      <w:pPr>
        <w:pStyle w:val="3"/>
        <w:snapToGrid w:val="0"/>
        <w:spacing w:before="0" w:line="360" w:lineRule="auto"/>
        <w:jc w:val="left"/>
        <w:rPr>
          <w:rFonts w:ascii="仿宋" w:hAnsi="仿宋" w:eastAsia="仿宋" w:cs="仿宋"/>
          <w:color w:val="auto"/>
          <w:sz w:val="24"/>
          <w:szCs w:val="24"/>
          <w:highlight w:val="none"/>
        </w:rPr>
      </w:pPr>
      <w:bookmarkStart w:id="22" w:name="_Toc28359084"/>
      <w:bookmarkStart w:id="23" w:name="_Toc35393794"/>
      <w:bookmarkStart w:id="24" w:name="_Toc35393625"/>
      <w:bookmarkStart w:id="25" w:name="_Toc28359007"/>
      <w:r>
        <w:rPr>
          <w:rFonts w:hint="eastAsia" w:ascii="仿宋" w:hAnsi="仿宋" w:eastAsia="仿宋" w:cs="仿宋"/>
          <w:color w:val="auto"/>
          <w:sz w:val="24"/>
          <w:szCs w:val="24"/>
          <w:highlight w:val="none"/>
        </w:rPr>
        <w:t>五、公告期限</w:t>
      </w:r>
      <w:bookmarkEnd w:id="22"/>
      <w:bookmarkEnd w:id="23"/>
      <w:bookmarkEnd w:id="24"/>
      <w:bookmarkEnd w:id="25"/>
    </w:p>
    <w:p w14:paraId="11F9485C">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01475068">
      <w:pPr>
        <w:pStyle w:val="3"/>
        <w:snapToGrid w:val="0"/>
        <w:spacing w:before="0" w:line="360" w:lineRule="auto"/>
        <w:jc w:val="left"/>
        <w:rPr>
          <w:rFonts w:ascii="仿宋" w:hAnsi="仿宋" w:eastAsia="仿宋" w:cs="仿宋"/>
          <w:color w:val="auto"/>
          <w:sz w:val="24"/>
          <w:szCs w:val="24"/>
          <w:highlight w:val="none"/>
        </w:rPr>
      </w:pPr>
      <w:bookmarkStart w:id="26" w:name="_Toc35393795"/>
      <w:bookmarkStart w:id="27" w:name="_Toc35393626"/>
      <w:r>
        <w:rPr>
          <w:rFonts w:hint="eastAsia" w:ascii="仿宋" w:hAnsi="仿宋" w:eastAsia="仿宋" w:cs="仿宋"/>
          <w:color w:val="auto"/>
          <w:sz w:val="24"/>
          <w:szCs w:val="24"/>
          <w:highlight w:val="none"/>
        </w:rPr>
        <w:t>六、其他补充事宜</w:t>
      </w:r>
      <w:bookmarkEnd w:id="26"/>
      <w:bookmarkEnd w:id="27"/>
    </w:p>
    <w:p w14:paraId="5CA4C9E4">
      <w:pPr>
        <w:snapToGrid w:val="0"/>
        <w:spacing w:line="360" w:lineRule="auto"/>
        <w:ind w:firstLine="480" w:firstLineChars="200"/>
        <w:rPr>
          <w:rFonts w:ascii="仿宋" w:hAnsi="仿宋" w:eastAsia="仿宋" w:cs="仿宋"/>
          <w:color w:val="auto"/>
          <w:kern w:val="0"/>
          <w:sz w:val="24"/>
          <w:highlight w:val="none"/>
        </w:rPr>
      </w:pPr>
      <w:bookmarkStart w:id="38" w:name="_GoBack"/>
      <w:r>
        <w:rPr>
          <w:rFonts w:hint="eastAsia" w:ascii="仿宋" w:hAnsi="仿宋" w:eastAsia="仿宋" w:cs="仿宋"/>
          <w:color w:val="auto"/>
          <w:kern w:val="0"/>
          <w:sz w:val="24"/>
          <w:highlight w:val="none"/>
        </w:rPr>
        <w:t>1.本项目需要落实的政府采购政策：</w:t>
      </w:r>
      <w:r>
        <w:rPr>
          <w:rFonts w:ascii="仿宋" w:hAnsi="仿宋" w:eastAsia="仿宋" w:cs="仿宋"/>
          <w:color w:val="auto"/>
          <w:kern w:val="0"/>
          <w:sz w:val="24"/>
          <w:highlight w:val="none"/>
        </w:rPr>
        <w:t xml:space="preserve"> </w:t>
      </w:r>
    </w:p>
    <w:p w14:paraId="4611044C">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
          <w:color w:val="auto"/>
          <w:kern w:val="0"/>
          <w:sz w:val="24"/>
          <w:highlight w:val="none"/>
        </w:rPr>
        <w:t>鼓励节能、环保政策：</w:t>
      </w: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6053DF28">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扶持中小企业政策：</w:t>
      </w:r>
      <w:r>
        <w:rPr>
          <w:rFonts w:hint="eastAsia" w:ascii="仿宋_GB2312" w:hAnsi="仿宋_GB2312" w:eastAsia="仿宋_GB2312" w:cs="仿宋_GB2312"/>
          <w:color w:val="auto"/>
          <w:kern w:val="0"/>
          <w:sz w:val="24"/>
          <w:highlight w:val="none"/>
        </w:rPr>
        <w:t>本项目评审时小型和微型企业产品享受10%的价格折扣。监狱企业视同小型、微型企业。残疾人福利性单位视同小型、微型企业。不重复享受政策。</w:t>
      </w:r>
    </w:p>
    <w:p w14:paraId="64627AD4">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bookmarkStart w:id="28" w:name="OLE_LINK63"/>
      <w:bookmarkStart w:id="29" w:name="OLE_LINK62"/>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14:paraId="7CEBA072">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7359364B">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5379C74E">
      <w:pPr>
        <w:widowControl/>
        <w:adjustRightInd w:val="0"/>
        <w:snapToGrid w:val="0"/>
        <w:spacing w:line="360" w:lineRule="auto"/>
        <w:ind w:firstLine="480" w:firstLineChars="200"/>
        <w:jc w:val="left"/>
        <w:rPr>
          <w:rFonts w:ascii="仿宋" w:hAnsi="仿宋" w:eastAsia="仿宋" w:cs="仿宋"/>
          <w:bCs/>
          <w:color w:val="auto"/>
          <w:sz w:val="24"/>
          <w:highlight w:val="none"/>
          <w:lang w:bidi="ar"/>
        </w:rPr>
      </w:pPr>
      <w:r>
        <w:rPr>
          <w:rFonts w:hint="eastAsia" w:ascii="仿宋" w:hAnsi="仿宋" w:eastAsia="仿宋" w:cs="仿宋"/>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lang w:bidi="ar"/>
        </w:rPr>
        <w:t>CA数字证书</w:t>
      </w:r>
      <w:r>
        <w:rPr>
          <w:rFonts w:hint="eastAsia" w:ascii="仿宋" w:hAnsi="仿宋" w:eastAsia="仿宋" w:cs="仿宋"/>
          <w:color w:val="auto"/>
          <w:sz w:val="24"/>
          <w:highlight w:val="none"/>
          <w:lang w:bidi="ar"/>
        </w:rPr>
        <w:t>或电子营业执照</w:t>
      </w:r>
      <w:r>
        <w:rPr>
          <w:rFonts w:hint="eastAsia" w:ascii="仿宋" w:hAnsi="仿宋" w:eastAsia="仿宋" w:cs="仿宋"/>
          <w:bCs/>
          <w:color w:val="auto"/>
          <w:sz w:val="24"/>
          <w:highlight w:val="none"/>
          <w:lang w:bidi="ar"/>
        </w:rPr>
        <w:t>情况确认是否符合本项目电子化采购流程要求。</w:t>
      </w:r>
    </w:p>
    <w:p w14:paraId="533BCDF8">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CA数字证书服务热线 010-58511086</w:t>
      </w:r>
    </w:p>
    <w:p w14:paraId="044B2CCC">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电子营业执照服务热线 400-699-7000</w:t>
      </w:r>
    </w:p>
    <w:p w14:paraId="5D9E117B">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技术支持服务热线    010-86483801</w:t>
      </w:r>
    </w:p>
    <w:p w14:paraId="175E6483">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3.1办理CA数字证书或电子营业执照</w:t>
      </w:r>
    </w:p>
    <w:p w14:paraId="02268D84">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供应商登录北京市政府采购电子交易平台查阅 “用户指南”—“操作指南”—“市场主体CA办理操作流程指引”/“电子营业执照使用指南”，按照程序要求办理。</w:t>
      </w:r>
    </w:p>
    <w:p w14:paraId="7A1F412D">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3.2注册</w:t>
      </w:r>
    </w:p>
    <w:p w14:paraId="631368F3">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供应商登录北京市政府采购电子交易平台“用户指南”—“操作指南”—“市场主体注册入库操作流程指引”进行自助注册绑定。</w:t>
      </w:r>
    </w:p>
    <w:p w14:paraId="5743E08E">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3.3驱动、客户端下载</w:t>
      </w:r>
    </w:p>
    <w:p w14:paraId="6C669264">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供应商登录北京市政府采购电子交易平台“用户指南”—“工具下载”—“招标采购系统文件驱动安装包”下载相关驱动。</w:t>
      </w:r>
    </w:p>
    <w:p w14:paraId="1E7DAF1E">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供应商登录北京市政府采购电子交易平台“用户指南”—“工具下载”—“投标文件编制工具”下载相关客户端。</w:t>
      </w:r>
    </w:p>
    <w:p w14:paraId="313EBBBA">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3.4 获取电子招标文件</w:t>
      </w:r>
    </w:p>
    <w:p w14:paraId="149EB38D">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供应商使用CA数字证书或电子营业执照登录北京市政府采购电子交易平台获取电子招标文件。</w:t>
      </w:r>
    </w:p>
    <w:p w14:paraId="642F8412">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CEBD22E">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3.5编制电子投标文件</w:t>
      </w:r>
    </w:p>
    <w:p w14:paraId="07D7FA68">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供应商应使用电子投标客户端编制电子投标文件并进行线上投标，供应商电子投标文件需要加密并加盖电子签章</w:t>
      </w:r>
      <w:r>
        <w:rPr>
          <w:rFonts w:hint="eastAsia" w:ascii="仿宋" w:hAnsi="仿宋" w:eastAsia="仿宋" w:cs="仿宋"/>
          <w:bCs/>
          <w:color w:val="auto"/>
          <w:sz w:val="24"/>
          <w:highlight w:val="none"/>
          <w:lang w:bidi="ar"/>
        </w:rPr>
        <w:t>，如无法按照要求在电子投标文件中加盖电子签章和加密，请及时通过技术支持服务热线联系技术人员</w:t>
      </w:r>
      <w:r>
        <w:rPr>
          <w:rFonts w:hint="eastAsia" w:ascii="仿宋" w:hAnsi="仿宋" w:eastAsia="仿宋" w:cs="仿宋"/>
          <w:color w:val="auto"/>
          <w:sz w:val="24"/>
          <w:highlight w:val="none"/>
          <w:lang w:bidi="ar"/>
        </w:rPr>
        <w:t>。</w:t>
      </w:r>
    </w:p>
    <w:p w14:paraId="13FD50DF">
      <w:pPr>
        <w:widowControl/>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eastAsia="zh-TW" w:bidi="ar"/>
        </w:rPr>
        <w:t>3.6</w:t>
      </w:r>
      <w:r>
        <w:rPr>
          <w:rFonts w:hint="eastAsia" w:ascii="仿宋" w:hAnsi="仿宋" w:eastAsia="仿宋" w:cs="仿宋"/>
          <w:color w:val="auto"/>
          <w:sz w:val="24"/>
          <w:highlight w:val="none"/>
          <w:lang w:val="zh-TW" w:bidi="ar"/>
        </w:rPr>
        <w:t>提交电子投标文件</w:t>
      </w:r>
    </w:p>
    <w:p w14:paraId="26C5E99A">
      <w:pPr>
        <w:widowControl/>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供应商应于投标截止时间前在北京市政府采购电子交易平台提交电子投标文件，上传电子投标文件过程中请保持与互联网的连接畅通。</w:t>
      </w:r>
    </w:p>
    <w:p w14:paraId="2AF52101">
      <w:pPr>
        <w:widowControl/>
        <w:snapToGrid w:val="0"/>
        <w:spacing w:line="360" w:lineRule="auto"/>
        <w:ind w:firstLine="480" w:firstLineChars="200"/>
        <w:jc w:val="left"/>
        <w:rPr>
          <w:rFonts w:ascii="仿宋" w:hAnsi="仿宋" w:eastAsia="仿宋" w:cs="仿宋"/>
          <w:color w:val="auto"/>
          <w:sz w:val="24"/>
          <w:highlight w:val="none"/>
          <w:lang w:eastAsia="zh-TW" w:bidi="ar"/>
        </w:rPr>
      </w:pPr>
      <w:r>
        <w:rPr>
          <w:rFonts w:hint="eastAsia" w:ascii="仿宋" w:hAnsi="仿宋" w:eastAsia="仿宋" w:cs="仿宋"/>
          <w:color w:val="auto"/>
          <w:sz w:val="24"/>
          <w:highlight w:val="none"/>
          <w:lang w:val="zh-TW" w:bidi="ar"/>
        </w:rPr>
        <w:t>3.</w:t>
      </w:r>
      <w:r>
        <w:rPr>
          <w:rFonts w:hint="eastAsia" w:ascii="仿宋" w:hAnsi="仿宋" w:eastAsia="仿宋" w:cs="仿宋"/>
          <w:color w:val="auto"/>
          <w:sz w:val="24"/>
          <w:highlight w:val="none"/>
          <w:lang w:val="zh-TW" w:eastAsia="zh-TW" w:bidi="ar"/>
        </w:rPr>
        <w:t>7</w:t>
      </w:r>
      <w:r>
        <w:rPr>
          <w:rFonts w:hint="eastAsia" w:ascii="仿宋" w:hAnsi="仿宋" w:eastAsia="仿宋" w:cs="仿宋"/>
          <w:color w:val="auto"/>
          <w:sz w:val="24"/>
          <w:highlight w:val="none"/>
          <w:lang w:val="zh-TW" w:bidi="ar"/>
        </w:rPr>
        <w:t>电子开标</w:t>
      </w:r>
    </w:p>
    <w:p w14:paraId="213FE5E2">
      <w:pPr>
        <w:snapToGrid w:val="0"/>
        <w:spacing w:line="360" w:lineRule="auto"/>
        <w:ind w:firstLine="480" w:firstLineChars="200"/>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bidi="ar"/>
        </w:rPr>
        <w:t>供应商在开标地点使用</w:t>
      </w:r>
      <w:r>
        <w:rPr>
          <w:rFonts w:hint="eastAsia" w:ascii="仿宋" w:hAnsi="仿宋" w:eastAsia="仿宋" w:cs="仿宋"/>
          <w:color w:val="auto"/>
          <w:sz w:val="24"/>
          <w:highlight w:val="none"/>
          <w:lang w:bidi="ar"/>
        </w:rPr>
        <w:t>CA数字证书或电子营业执照</w:t>
      </w:r>
      <w:r>
        <w:rPr>
          <w:rFonts w:hint="eastAsia" w:ascii="仿宋" w:hAnsi="仿宋" w:eastAsia="仿宋" w:cs="仿宋"/>
          <w:color w:val="auto"/>
          <w:sz w:val="24"/>
          <w:highlight w:val="none"/>
          <w:lang w:val="zh-TW" w:bidi="ar"/>
        </w:rPr>
        <w:t>登录</w:t>
      </w:r>
      <w:r>
        <w:rPr>
          <w:rFonts w:hint="eastAsia" w:ascii="仿宋" w:hAnsi="仿宋" w:eastAsia="仿宋" w:cs="仿宋"/>
          <w:color w:val="auto"/>
          <w:sz w:val="24"/>
          <w:highlight w:val="none"/>
          <w:lang w:bidi="ar"/>
        </w:rPr>
        <w:t>北京市政府采购电子交易平台进行电子开标</w:t>
      </w:r>
      <w:r>
        <w:rPr>
          <w:rFonts w:hint="eastAsia" w:ascii="仿宋" w:hAnsi="仿宋" w:eastAsia="仿宋" w:cs="仿宋"/>
          <w:color w:val="auto"/>
          <w:sz w:val="24"/>
          <w:highlight w:val="none"/>
          <w:lang w:val="zh-TW" w:bidi="ar"/>
        </w:rPr>
        <w:t>。</w:t>
      </w:r>
    </w:p>
    <w:p w14:paraId="137822EC">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4. 本项目资金情况:财政</w:t>
      </w:r>
      <w:r>
        <w:rPr>
          <w:rFonts w:hint="eastAsia" w:ascii="仿宋" w:hAnsi="仿宋" w:eastAsia="仿宋" w:cs="仿宋"/>
          <w:color w:val="auto"/>
          <w:sz w:val="24"/>
          <w:highlight w:val="none"/>
          <w:lang w:val="en-US" w:eastAsia="zh-CN" w:bidi="ar"/>
        </w:rPr>
        <w:t>性</w:t>
      </w:r>
      <w:r>
        <w:rPr>
          <w:rFonts w:hint="eastAsia" w:ascii="仿宋" w:hAnsi="仿宋" w:eastAsia="仿宋" w:cs="仿宋"/>
          <w:color w:val="auto"/>
          <w:sz w:val="24"/>
          <w:highlight w:val="none"/>
          <w:lang w:bidi="ar"/>
        </w:rPr>
        <w:t>资金，资金已落实。</w:t>
      </w:r>
    </w:p>
    <w:bookmarkEnd w:id="38"/>
    <w:p w14:paraId="4EE622D5">
      <w:pPr>
        <w:pStyle w:val="3"/>
        <w:snapToGrid w:val="0"/>
        <w:spacing w:before="0" w:line="360" w:lineRule="auto"/>
        <w:jc w:val="left"/>
        <w:rPr>
          <w:rFonts w:ascii="仿宋" w:hAnsi="仿宋" w:eastAsia="仿宋" w:cs="仿宋"/>
          <w:color w:val="auto"/>
          <w:sz w:val="24"/>
          <w:szCs w:val="24"/>
          <w:highlight w:val="none"/>
        </w:rPr>
      </w:pPr>
      <w:bookmarkStart w:id="30" w:name="_Toc35393627"/>
      <w:bookmarkStart w:id="31" w:name="_Toc28359008"/>
      <w:bookmarkStart w:id="32" w:name="_Toc28359085"/>
      <w:bookmarkStart w:id="33" w:name="_Toc35393796"/>
      <w:r>
        <w:rPr>
          <w:rFonts w:hint="eastAsia" w:ascii="仿宋" w:hAnsi="仿宋" w:eastAsia="仿宋" w:cs="仿宋"/>
          <w:color w:val="auto"/>
          <w:sz w:val="24"/>
          <w:szCs w:val="24"/>
          <w:highlight w:val="none"/>
        </w:rPr>
        <w:t>七、对本次招标提出询问，请按以下方式联系。</w:t>
      </w:r>
      <w:bookmarkEnd w:id="30"/>
      <w:bookmarkEnd w:id="31"/>
      <w:bookmarkEnd w:id="32"/>
      <w:bookmarkEnd w:id="33"/>
    </w:p>
    <w:p w14:paraId="262AEA97">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333F1642">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bookmarkStart w:id="34" w:name="_Toc28359086"/>
      <w:bookmarkStart w:id="35" w:name="_Toc28359009"/>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首都医科大学附属首都儿童医学中心</w:t>
      </w:r>
    </w:p>
    <w:p w14:paraId="51D7F242">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lang w:eastAsia="zh-CN"/>
        </w:rPr>
        <w:t>北京市朝阳区雅宝路2号</w:t>
      </w:r>
    </w:p>
    <w:p w14:paraId="44F14257">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010-85695224</w:t>
      </w:r>
    </w:p>
    <w:p w14:paraId="66FE4556">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34"/>
      <w:bookmarkEnd w:id="35"/>
    </w:p>
    <w:p w14:paraId="0636FB56">
      <w:pPr>
        <w:snapToGrid w:val="0"/>
        <w:spacing w:line="360" w:lineRule="auto"/>
        <w:ind w:left="1079" w:leftChars="371" w:hanging="300" w:hangingChars="125"/>
        <w:jc w:val="left"/>
        <w:rPr>
          <w:rFonts w:ascii="仿宋" w:hAnsi="仿宋" w:eastAsia="仿宋" w:cs="仿宋"/>
          <w:color w:val="auto"/>
          <w:sz w:val="24"/>
          <w:highlight w:val="none"/>
        </w:rPr>
      </w:pPr>
      <w:bookmarkStart w:id="36" w:name="_Toc28359010"/>
      <w:bookmarkStart w:id="37" w:name="_Toc28359087"/>
      <w:r>
        <w:rPr>
          <w:rFonts w:hint="eastAsia" w:ascii="仿宋" w:hAnsi="仿宋" w:eastAsia="仿宋" w:cs="仿宋"/>
          <w:color w:val="auto"/>
          <w:sz w:val="24"/>
          <w:highlight w:val="none"/>
        </w:rPr>
        <w:t>名    称：中技国际招标有限公司</w:t>
      </w:r>
    </w:p>
    <w:p w14:paraId="203DCB58">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址：北京市丰台区西营街1号院通用时代中心C座9层</w:t>
      </w:r>
    </w:p>
    <w:p w14:paraId="040F60E7">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010-81168541、010-81168492</w:t>
      </w:r>
    </w:p>
    <w:p w14:paraId="6D45EEBD">
      <w:pPr>
        <w:snapToGrid w:val="0"/>
        <w:spacing w:line="360" w:lineRule="auto"/>
        <w:ind w:left="1080" w:leftChars="371" w:hanging="301" w:hangingChars="125"/>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rPr>
        <w:t>3.项目联系方式</w:t>
      </w:r>
      <w:bookmarkEnd w:id="36"/>
      <w:bookmarkEnd w:id="37"/>
    </w:p>
    <w:p w14:paraId="0BE6BE84">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项目联系人：</w:t>
      </w:r>
      <w:r>
        <w:rPr>
          <w:rFonts w:hint="eastAsia" w:ascii="仿宋" w:hAnsi="仿宋" w:eastAsia="仿宋" w:cs="仿宋"/>
          <w:color w:val="auto"/>
          <w:sz w:val="24"/>
          <w:highlight w:val="none"/>
          <w:lang w:val="en-US" w:eastAsia="zh-CN"/>
        </w:rPr>
        <w:t>强文晓、姚玮</w:t>
      </w:r>
      <w:r>
        <w:rPr>
          <w:rFonts w:hint="eastAsia" w:ascii="仿宋" w:hAnsi="仿宋" w:eastAsia="仿宋" w:cs="仿宋"/>
          <w:color w:val="auto"/>
          <w:sz w:val="24"/>
          <w:highlight w:val="none"/>
        </w:rPr>
        <w:t>、孙薇</w:t>
      </w:r>
    </w:p>
    <w:p w14:paraId="491313A6">
      <w:pPr>
        <w:snapToGrid w:val="0"/>
        <w:spacing w:line="360" w:lineRule="auto"/>
        <w:ind w:left="1079" w:leftChars="371" w:hanging="300" w:hangingChars="125"/>
        <w:jc w:val="left"/>
        <w:rPr>
          <w:rFonts w:ascii="仿宋" w:hAnsi="仿宋" w:eastAsia="仿宋"/>
          <w:sz w:val="28"/>
          <w:szCs w:val="28"/>
          <w:u w:val="single"/>
        </w:rPr>
      </w:pPr>
      <w:r>
        <w:rPr>
          <w:rFonts w:hint="eastAsia" w:ascii="仿宋" w:hAnsi="仿宋" w:eastAsia="仿宋" w:cs="仿宋"/>
          <w:color w:val="auto"/>
          <w:sz w:val="24"/>
          <w:highlight w:val="none"/>
        </w:rPr>
        <w:t>电      话：</w:t>
      </w:r>
      <w:r>
        <w:rPr>
          <w:rFonts w:hint="eastAsia" w:ascii="仿宋" w:hAnsi="仿宋" w:eastAsia="仿宋" w:cs="仿宋"/>
          <w:color w:val="auto"/>
          <w:sz w:val="24"/>
          <w:highlight w:val="none"/>
          <w:lang w:eastAsia="zh-CN"/>
        </w:rPr>
        <w:t>010-81168541、010-81168492</w:t>
      </w: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311D3"/>
    <w:rsid w:val="00032DC5"/>
    <w:rsid w:val="000624A3"/>
    <w:rsid w:val="00076717"/>
    <w:rsid w:val="000A4257"/>
    <w:rsid w:val="000B11FC"/>
    <w:rsid w:val="000B6018"/>
    <w:rsid w:val="000E7342"/>
    <w:rsid w:val="00105C88"/>
    <w:rsid w:val="00143E1D"/>
    <w:rsid w:val="001654CD"/>
    <w:rsid w:val="001A4787"/>
    <w:rsid w:val="001D3F1A"/>
    <w:rsid w:val="002009FD"/>
    <w:rsid w:val="002043A6"/>
    <w:rsid w:val="00220E57"/>
    <w:rsid w:val="00231CD8"/>
    <w:rsid w:val="00273EBF"/>
    <w:rsid w:val="00275F00"/>
    <w:rsid w:val="00297138"/>
    <w:rsid w:val="002A6F49"/>
    <w:rsid w:val="002E5600"/>
    <w:rsid w:val="003344D7"/>
    <w:rsid w:val="00345B7C"/>
    <w:rsid w:val="00355944"/>
    <w:rsid w:val="00377F54"/>
    <w:rsid w:val="00401ABE"/>
    <w:rsid w:val="0044551A"/>
    <w:rsid w:val="004547A2"/>
    <w:rsid w:val="0048702C"/>
    <w:rsid w:val="00496F16"/>
    <w:rsid w:val="004B076C"/>
    <w:rsid w:val="004D01E5"/>
    <w:rsid w:val="004E14F0"/>
    <w:rsid w:val="004E338F"/>
    <w:rsid w:val="004F3195"/>
    <w:rsid w:val="004F644E"/>
    <w:rsid w:val="00515BAC"/>
    <w:rsid w:val="005161BC"/>
    <w:rsid w:val="00516DB7"/>
    <w:rsid w:val="00521CAC"/>
    <w:rsid w:val="00542C98"/>
    <w:rsid w:val="00552093"/>
    <w:rsid w:val="005652E9"/>
    <w:rsid w:val="00591E77"/>
    <w:rsid w:val="005A2B97"/>
    <w:rsid w:val="005A378F"/>
    <w:rsid w:val="005A47F4"/>
    <w:rsid w:val="005C7498"/>
    <w:rsid w:val="005E39FE"/>
    <w:rsid w:val="006330E4"/>
    <w:rsid w:val="00644105"/>
    <w:rsid w:val="0066078F"/>
    <w:rsid w:val="006A6D8F"/>
    <w:rsid w:val="006C23C0"/>
    <w:rsid w:val="006C3924"/>
    <w:rsid w:val="00700264"/>
    <w:rsid w:val="007818CF"/>
    <w:rsid w:val="00783493"/>
    <w:rsid w:val="00793890"/>
    <w:rsid w:val="00796726"/>
    <w:rsid w:val="007968CA"/>
    <w:rsid w:val="007E7663"/>
    <w:rsid w:val="007F49B2"/>
    <w:rsid w:val="008012A1"/>
    <w:rsid w:val="00801B6D"/>
    <w:rsid w:val="00814682"/>
    <w:rsid w:val="00814C39"/>
    <w:rsid w:val="00840C43"/>
    <w:rsid w:val="008508B0"/>
    <w:rsid w:val="00853E34"/>
    <w:rsid w:val="008679E3"/>
    <w:rsid w:val="00876C0E"/>
    <w:rsid w:val="0088264A"/>
    <w:rsid w:val="008B64DB"/>
    <w:rsid w:val="008C2D6B"/>
    <w:rsid w:val="008D0094"/>
    <w:rsid w:val="008D7F90"/>
    <w:rsid w:val="008E66E8"/>
    <w:rsid w:val="008F3AEC"/>
    <w:rsid w:val="009C2594"/>
    <w:rsid w:val="00A03514"/>
    <w:rsid w:val="00A14D6B"/>
    <w:rsid w:val="00A42A55"/>
    <w:rsid w:val="00A53C21"/>
    <w:rsid w:val="00AF4799"/>
    <w:rsid w:val="00B024BE"/>
    <w:rsid w:val="00B766D9"/>
    <w:rsid w:val="00B80AB1"/>
    <w:rsid w:val="00B8469D"/>
    <w:rsid w:val="00BD456F"/>
    <w:rsid w:val="00BE5268"/>
    <w:rsid w:val="00BF3C48"/>
    <w:rsid w:val="00C22236"/>
    <w:rsid w:val="00C343C6"/>
    <w:rsid w:val="00C51463"/>
    <w:rsid w:val="00C8408C"/>
    <w:rsid w:val="00CB4C81"/>
    <w:rsid w:val="00CB7D02"/>
    <w:rsid w:val="00CF7A98"/>
    <w:rsid w:val="00D40ECA"/>
    <w:rsid w:val="00D65B77"/>
    <w:rsid w:val="00D7568C"/>
    <w:rsid w:val="00DA3282"/>
    <w:rsid w:val="00DC2E81"/>
    <w:rsid w:val="00DD7AB0"/>
    <w:rsid w:val="00DF2C0C"/>
    <w:rsid w:val="00E0502E"/>
    <w:rsid w:val="00E2087D"/>
    <w:rsid w:val="00E227F9"/>
    <w:rsid w:val="00E31B90"/>
    <w:rsid w:val="00E83C17"/>
    <w:rsid w:val="00E902C0"/>
    <w:rsid w:val="00EB6ABA"/>
    <w:rsid w:val="00F0059A"/>
    <w:rsid w:val="00F8765F"/>
    <w:rsid w:val="00F94FDB"/>
    <w:rsid w:val="00FB5E9F"/>
    <w:rsid w:val="00FC34CC"/>
    <w:rsid w:val="00FD5C4E"/>
    <w:rsid w:val="00FE69C3"/>
    <w:rsid w:val="082B24D4"/>
    <w:rsid w:val="092601C7"/>
    <w:rsid w:val="14DD52F6"/>
    <w:rsid w:val="22F12968"/>
    <w:rsid w:val="31D339A7"/>
    <w:rsid w:val="3C463806"/>
    <w:rsid w:val="4745035A"/>
    <w:rsid w:val="54397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9"/>
    <w:pPr>
      <w:keepNext/>
      <w:keepLines/>
      <w:spacing w:before="260" w:after="260" w:line="415" w:lineRule="auto"/>
      <w:outlineLvl w:val="1"/>
    </w:pPr>
    <w:rPr>
      <w:rFonts w:ascii="Arial" w:hAnsi="Arial" w:eastAsia="黑体" w:cs="Arial"/>
      <w:b/>
      <w:bCs/>
      <w:sz w:val="32"/>
      <w:szCs w:val="32"/>
    </w:rPr>
  </w:style>
  <w:style w:type="paragraph" w:styleId="4">
    <w:name w:val="heading 5"/>
    <w:basedOn w:val="1"/>
    <w:next w:val="1"/>
    <w:link w:val="24"/>
    <w:semiHidden/>
    <w:unhideWhenUsed/>
    <w:qFormat/>
    <w:uiPriority w:val="9"/>
    <w:pPr>
      <w:keepNext/>
      <w:keepLines/>
      <w:spacing w:before="280" w:after="290" w:line="376" w:lineRule="auto"/>
      <w:outlineLvl w:val="4"/>
    </w:pPr>
    <w:rPr>
      <w:b/>
      <w:bCs/>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semiHidden/>
    <w:unhideWhenUsed/>
    <w:qFormat/>
    <w:uiPriority w:val="99"/>
    <w:pPr>
      <w:ind w:firstLine="420" w:firstLineChars="200"/>
    </w:pPr>
    <w:rPr>
      <w:rFonts w:ascii="Calibri" w:hAnsi="Calibri"/>
      <w:szCs w:val="24"/>
    </w:rPr>
  </w:style>
  <w:style w:type="paragraph" w:styleId="6">
    <w:name w:val="caption"/>
    <w:basedOn w:val="1"/>
    <w:next w:val="1"/>
    <w:link w:val="25"/>
    <w:qFormat/>
    <w:uiPriority w:val="35"/>
    <w:pPr>
      <w:spacing w:line="480" w:lineRule="auto"/>
    </w:pPr>
    <w:rPr>
      <w:rFonts w:ascii="华文中宋" w:hAnsi="华文中宋" w:eastAsia="华文中宋"/>
      <w:sz w:val="36"/>
      <w:szCs w:val="20"/>
    </w:rPr>
  </w:style>
  <w:style w:type="paragraph" w:styleId="7">
    <w:name w:val="annotation text"/>
    <w:basedOn w:val="1"/>
    <w:link w:val="23"/>
    <w:autoRedefine/>
    <w:qFormat/>
    <w:uiPriority w:val="99"/>
    <w:pPr>
      <w:jc w:val="left"/>
    </w:pPr>
    <w:rPr>
      <w:rFonts w:ascii="Calibri" w:hAnsi="Calibri"/>
      <w:szCs w:val="24"/>
    </w:rPr>
  </w:style>
  <w:style w:type="paragraph" w:styleId="8">
    <w:name w:val="Body Text"/>
    <w:basedOn w:val="1"/>
    <w:link w:val="20"/>
    <w:qFormat/>
    <w:uiPriority w:val="99"/>
    <w:pPr>
      <w:tabs>
        <w:tab w:val="left" w:pos="567"/>
      </w:tabs>
      <w:spacing w:before="120" w:line="22" w:lineRule="atLeast"/>
    </w:pPr>
    <w:rPr>
      <w:rFonts w:ascii="宋体" w:hAnsi="宋体"/>
      <w:sz w:val="24"/>
      <w:szCs w:val="24"/>
    </w:rPr>
  </w:style>
  <w:style w:type="paragraph" w:styleId="9">
    <w:name w:val="Plain Text"/>
    <w:basedOn w:val="1"/>
    <w:link w:val="18"/>
    <w:qFormat/>
    <w:uiPriority w:val="0"/>
    <w:rPr>
      <w:rFonts w:ascii="宋体" w:hAnsi="Courier New"/>
      <w:szCs w:val="22"/>
    </w:rPr>
  </w:style>
  <w:style w:type="paragraph" w:styleId="10">
    <w:name w:val="footer"/>
    <w:basedOn w:val="1"/>
    <w:link w:val="15"/>
    <w:unhideWhenUsed/>
    <w:qFormat/>
    <w:uiPriority w:val="99"/>
    <w:pPr>
      <w:tabs>
        <w:tab w:val="center" w:pos="4153"/>
        <w:tab w:val="right" w:pos="8306"/>
      </w:tabs>
      <w:snapToGrid w:val="0"/>
      <w:jc w:val="left"/>
    </w:pPr>
    <w:rPr>
      <w:sz w:val="18"/>
      <w:szCs w:val="18"/>
    </w:rPr>
  </w:style>
  <w:style w:type="paragraph" w:styleId="11">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4">
    <w:name w:val="页眉 Char"/>
    <w:basedOn w:val="13"/>
    <w:link w:val="11"/>
    <w:qFormat/>
    <w:uiPriority w:val="99"/>
    <w:rPr>
      <w:sz w:val="18"/>
      <w:szCs w:val="18"/>
    </w:rPr>
  </w:style>
  <w:style w:type="character" w:customStyle="1" w:styleId="15">
    <w:name w:val="页脚 Char"/>
    <w:basedOn w:val="13"/>
    <w:link w:val="10"/>
    <w:qFormat/>
    <w:uiPriority w:val="99"/>
    <w:rPr>
      <w:sz w:val="18"/>
      <w:szCs w:val="18"/>
    </w:rPr>
  </w:style>
  <w:style w:type="character" w:customStyle="1" w:styleId="16">
    <w:name w:val="标题 1 Char"/>
    <w:basedOn w:val="13"/>
    <w:link w:val="2"/>
    <w:qFormat/>
    <w:uiPriority w:val="0"/>
    <w:rPr>
      <w:rFonts w:ascii="Times New Roman" w:hAnsi="Times New Roman" w:eastAsia="宋体" w:cs="Times New Roman"/>
      <w:b/>
      <w:bCs/>
      <w:kern w:val="44"/>
      <w:sz w:val="44"/>
      <w:szCs w:val="44"/>
    </w:rPr>
  </w:style>
  <w:style w:type="character" w:customStyle="1" w:styleId="17">
    <w:name w:val="标题 2 Char"/>
    <w:basedOn w:val="13"/>
    <w:link w:val="3"/>
    <w:qFormat/>
    <w:uiPriority w:val="0"/>
    <w:rPr>
      <w:rFonts w:ascii="Arial" w:hAnsi="Arial" w:eastAsia="黑体" w:cs="Arial"/>
      <w:b/>
      <w:bCs/>
      <w:sz w:val="32"/>
      <w:szCs w:val="32"/>
    </w:rPr>
  </w:style>
  <w:style w:type="character" w:customStyle="1" w:styleId="18">
    <w:name w:val="纯文本 Char"/>
    <w:basedOn w:val="13"/>
    <w:link w:val="9"/>
    <w:qFormat/>
    <w:uiPriority w:val="0"/>
    <w:rPr>
      <w:rFonts w:ascii="宋体" w:hAnsi="Courier New" w:eastAsia="宋体" w:cs="Times New Roman"/>
    </w:rPr>
  </w:style>
  <w:style w:type="character" w:customStyle="1" w:styleId="19">
    <w:name w:val="NormalCharacter"/>
    <w:semiHidden/>
    <w:qFormat/>
    <w:uiPriority w:val="0"/>
  </w:style>
  <w:style w:type="character" w:customStyle="1" w:styleId="20">
    <w:name w:val="正文文本 Char"/>
    <w:basedOn w:val="13"/>
    <w:link w:val="8"/>
    <w:qFormat/>
    <w:uiPriority w:val="99"/>
    <w:rPr>
      <w:rFonts w:ascii="宋体" w:hAnsi="宋体" w:eastAsia="宋体" w:cs="Times New Roman"/>
      <w:sz w:val="24"/>
      <w:szCs w:val="24"/>
    </w:rPr>
  </w:style>
  <w:style w:type="character" w:customStyle="1" w:styleId="21">
    <w:name w:val="标题 3 Char"/>
    <w:basedOn w:val="13"/>
    <w:qFormat/>
    <w:uiPriority w:val="0"/>
    <w:rPr>
      <w:rFonts w:ascii="Calibri" w:hAnsi="Calibri" w:eastAsia="宋体" w:cs="Times New Roman"/>
      <w:b/>
      <w:bCs/>
      <w:sz w:val="32"/>
      <w:szCs w:val="32"/>
    </w:rPr>
  </w:style>
  <w:style w:type="character" w:customStyle="1" w:styleId="22">
    <w:name w:val="批注文字 Char"/>
    <w:basedOn w:val="13"/>
    <w:semiHidden/>
    <w:qFormat/>
    <w:uiPriority w:val="99"/>
    <w:rPr>
      <w:rFonts w:ascii="Times New Roman" w:hAnsi="Times New Roman" w:eastAsia="宋体" w:cs="Times New Roman"/>
      <w:szCs w:val="21"/>
    </w:rPr>
  </w:style>
  <w:style w:type="character" w:customStyle="1" w:styleId="23">
    <w:name w:val="批注文字 Char1"/>
    <w:link w:val="7"/>
    <w:autoRedefine/>
    <w:qFormat/>
    <w:uiPriority w:val="99"/>
    <w:rPr>
      <w:rFonts w:ascii="Calibri" w:hAnsi="Calibri" w:eastAsia="宋体" w:cs="Times New Roman"/>
      <w:szCs w:val="24"/>
    </w:rPr>
  </w:style>
  <w:style w:type="character" w:customStyle="1" w:styleId="24">
    <w:name w:val="标题 5 Char"/>
    <w:basedOn w:val="13"/>
    <w:link w:val="4"/>
    <w:qFormat/>
    <w:uiPriority w:val="0"/>
    <w:rPr>
      <w:rFonts w:ascii="Times New Roman" w:hAnsi="Times New Roman" w:eastAsia="宋体" w:cs="Times New Roman"/>
      <w:b/>
      <w:bCs/>
      <w:sz w:val="28"/>
      <w:szCs w:val="28"/>
    </w:rPr>
  </w:style>
  <w:style w:type="character" w:customStyle="1" w:styleId="25">
    <w:name w:val="题注 Char"/>
    <w:link w:val="6"/>
    <w:qFormat/>
    <w:locked/>
    <w:uiPriority w:val="35"/>
    <w:rPr>
      <w:rFonts w:ascii="华文中宋" w:hAnsi="华文中宋" w:eastAsia="华文中宋" w:cs="Times New Roman"/>
      <w:sz w:val="36"/>
      <w:szCs w:val="20"/>
    </w:rPr>
  </w:style>
  <w:style w:type="character" w:customStyle="1" w:styleId="26">
    <w:name w:val="标题 2 Char1"/>
    <w:semiHidden/>
    <w:qFormat/>
    <w:locked/>
    <w:uiPriority w:val="9"/>
    <w:rPr>
      <w:rFonts w:ascii="Arial" w:hAnsi="Arial" w:eastAsia="黑体" w:cs="Times New Roman"/>
      <w:b/>
      <w:kern w:val="0"/>
      <w:sz w:val="3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435</Words>
  <Characters>566</Characters>
  <Lines>25</Lines>
  <Paragraphs>7</Paragraphs>
  <TotalTime>6</TotalTime>
  <ScaleCrop>false</ScaleCrop>
  <LinksUpToDate>false</LinksUpToDate>
  <CharactersWithSpaces>566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2026-10-23T02:01:22Z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2052-12.1.0.29161</vt:lpwstr>
  </property>
  <property fmtid="{D5CDD505-2E9C-101B-9397-08002B2CF9AE}" pid="4" name="ICV">
    <vt:lpwstr>E8ACCD881C8B488EBB26C58DA6192E30_12</vt:lpwstr>
  </property>
</Properties>
</file>