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E7968">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 xml:space="preserve">  </w:t>
      </w:r>
      <w:bookmarkStart w:id="0" w:name="OLE_LINK34"/>
      <w:bookmarkStart w:id="1" w:name="OLE_LINK33"/>
      <w:r>
        <w:rPr>
          <w:rFonts w:hint="eastAsia" w:ascii="仿宋" w:hAnsi="仿宋" w:eastAsia="仿宋" w:cs="仿宋"/>
          <w:b/>
          <w:sz w:val="40"/>
          <w:szCs w:val="40"/>
        </w:rPr>
        <w:t>采购需求</w:t>
      </w:r>
    </w:p>
    <w:p w14:paraId="18FC15F2">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0E8F1BA3">
      <w:pPr>
        <w:snapToGrid w:val="0"/>
        <w:spacing w:line="360" w:lineRule="auto"/>
        <w:contextualSpacing/>
        <w:rPr>
          <w:rFonts w:ascii="仿宋" w:hAnsi="仿宋" w:eastAsia="仿宋" w:cs="仿宋"/>
          <w:sz w:val="28"/>
          <w:szCs w:val="28"/>
        </w:rPr>
      </w:pPr>
      <w:bookmarkStart w:id="2"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3A93A65B">
      <w:pPr>
        <w:snapToGrid w:val="0"/>
        <w:spacing w:line="360" w:lineRule="auto"/>
        <w:contextualSpacing/>
        <w:rPr>
          <w:rFonts w:ascii="仿宋" w:hAnsi="仿宋" w:eastAsia="仿宋" w:cs="仿宋"/>
          <w:sz w:val="28"/>
          <w:szCs w:val="28"/>
        </w:rPr>
      </w:pPr>
      <w:bookmarkStart w:id="3"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74CC3E73">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6AD41A11">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1D7D287D">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39851AA5">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2E7AAA63">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3F16B0C8">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0F1109B3">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5905C554">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5DF4A4B0">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025D262A">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69CA29CC">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3152BD2F">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2"/>
      <w:bookmarkEnd w:id="3"/>
    </w:p>
    <w:p w14:paraId="77C7090F">
      <w:pPr>
        <w:snapToGrid w:val="0"/>
        <w:spacing w:line="360" w:lineRule="auto"/>
        <w:rPr>
          <w:rFonts w:ascii="仿宋" w:hAnsi="仿宋" w:eastAsia="仿宋" w:cs="仿宋"/>
          <w:b/>
          <w:sz w:val="24"/>
        </w:rPr>
      </w:pPr>
      <w:r>
        <w:rPr>
          <w:rFonts w:hint="eastAsia" w:ascii="仿宋" w:hAnsi="仿宋" w:eastAsia="仿宋" w:cs="仿宋"/>
          <w:b/>
          <w:sz w:val="24"/>
        </w:rPr>
        <w:t>一、采购标的</w:t>
      </w:r>
    </w:p>
    <w:p w14:paraId="4802633D">
      <w:pPr>
        <w:snapToGrid w:val="0"/>
        <w:spacing w:line="360" w:lineRule="auto"/>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6"/>
        <w:tblW w:w="45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078"/>
        <w:gridCol w:w="2731"/>
        <w:gridCol w:w="1275"/>
        <w:gridCol w:w="1703"/>
      </w:tblGrid>
      <w:tr w14:paraId="662C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629" w:type="pct"/>
            <w:vAlign w:val="center"/>
          </w:tcPr>
          <w:p w14:paraId="6C88D228">
            <w:pPr>
              <w:widowControl/>
              <w:spacing w:line="360" w:lineRule="auto"/>
              <w:jc w:val="center"/>
              <w:rPr>
                <w:rFonts w:ascii="仿宋" w:hAnsi="仿宋" w:eastAsia="仿宋" w:cs="仿宋"/>
                <w:b/>
                <w:bCs/>
                <w:sz w:val="24"/>
              </w:rPr>
            </w:pPr>
            <w:r>
              <w:rPr>
                <w:rFonts w:hint="eastAsia" w:ascii="仿宋" w:hAnsi="仿宋" w:eastAsia="仿宋" w:cs="仿宋"/>
                <w:b/>
                <w:bCs/>
                <w:sz w:val="24"/>
              </w:rPr>
              <w:t>包号</w:t>
            </w:r>
          </w:p>
        </w:tc>
        <w:tc>
          <w:tcPr>
            <w:tcW w:w="694" w:type="pct"/>
            <w:vAlign w:val="center"/>
          </w:tcPr>
          <w:p w14:paraId="4DAAC897">
            <w:pPr>
              <w:widowControl/>
              <w:spacing w:line="360" w:lineRule="auto"/>
              <w:jc w:val="center"/>
              <w:rPr>
                <w:rFonts w:ascii="仿宋" w:hAnsi="仿宋" w:eastAsia="仿宋" w:cs="仿宋"/>
                <w:b/>
                <w:bCs/>
                <w:sz w:val="24"/>
              </w:rPr>
            </w:pPr>
            <w:r>
              <w:rPr>
                <w:rFonts w:hint="eastAsia" w:ascii="仿宋" w:hAnsi="仿宋" w:eastAsia="仿宋" w:cs="仿宋"/>
                <w:b/>
                <w:bCs/>
                <w:sz w:val="24"/>
              </w:rPr>
              <w:t>品目号</w:t>
            </w:r>
          </w:p>
        </w:tc>
        <w:tc>
          <w:tcPr>
            <w:tcW w:w="1758" w:type="pct"/>
            <w:shd w:val="clear" w:color="000000" w:fill="FFFFFF"/>
            <w:vAlign w:val="center"/>
          </w:tcPr>
          <w:p w14:paraId="60CAF549">
            <w:pPr>
              <w:widowControl/>
              <w:spacing w:line="360" w:lineRule="auto"/>
              <w:jc w:val="center"/>
              <w:rPr>
                <w:rFonts w:ascii="仿宋" w:hAnsi="仿宋" w:eastAsia="仿宋" w:cs="仿宋"/>
                <w:b/>
                <w:bCs/>
                <w:sz w:val="24"/>
              </w:rPr>
            </w:pPr>
            <w:r>
              <w:rPr>
                <w:rFonts w:hint="eastAsia" w:ascii="仿宋" w:hAnsi="仿宋" w:eastAsia="仿宋" w:cs="仿宋"/>
                <w:b/>
                <w:bCs/>
                <w:sz w:val="24"/>
              </w:rPr>
              <w:t>标的名称</w:t>
            </w:r>
          </w:p>
        </w:tc>
        <w:tc>
          <w:tcPr>
            <w:tcW w:w="821" w:type="pct"/>
            <w:shd w:val="clear" w:color="000000" w:fill="FFFFFF"/>
            <w:vAlign w:val="center"/>
          </w:tcPr>
          <w:p w14:paraId="70E4AABB">
            <w:pPr>
              <w:widowControl/>
              <w:spacing w:line="360" w:lineRule="auto"/>
              <w:jc w:val="center"/>
              <w:rPr>
                <w:rFonts w:ascii="仿宋" w:hAnsi="仿宋" w:eastAsia="仿宋" w:cs="仿宋"/>
                <w:b/>
                <w:bCs/>
                <w:sz w:val="24"/>
              </w:rPr>
            </w:pPr>
            <w:r>
              <w:rPr>
                <w:rFonts w:ascii="仿宋" w:hAnsi="仿宋" w:eastAsia="仿宋" w:cs="仿宋"/>
                <w:b/>
                <w:bCs/>
                <w:sz w:val="24"/>
              </w:rPr>
              <w:t>数量</w:t>
            </w:r>
          </w:p>
          <w:p w14:paraId="345D5129">
            <w:pPr>
              <w:widowControl/>
              <w:spacing w:line="360" w:lineRule="auto"/>
              <w:jc w:val="center"/>
              <w:rPr>
                <w:rFonts w:ascii="仿宋" w:hAnsi="仿宋" w:eastAsia="仿宋" w:cs="仿宋"/>
                <w:b/>
                <w:bCs/>
                <w:sz w:val="24"/>
              </w:rPr>
            </w:pPr>
            <w:r>
              <w:rPr>
                <w:rFonts w:ascii="仿宋" w:hAnsi="仿宋" w:eastAsia="仿宋" w:cs="仿宋"/>
                <w:b/>
                <w:bCs/>
                <w:sz w:val="24"/>
              </w:rPr>
              <w:t>（台</w:t>
            </w:r>
            <w:r>
              <w:rPr>
                <w:rFonts w:hint="eastAsia" w:ascii="仿宋" w:hAnsi="仿宋" w:eastAsia="仿宋" w:cs="仿宋"/>
                <w:b/>
                <w:bCs/>
                <w:sz w:val="24"/>
              </w:rPr>
              <w:t>/套</w:t>
            </w:r>
            <w:r>
              <w:rPr>
                <w:rFonts w:ascii="仿宋" w:hAnsi="仿宋" w:eastAsia="仿宋" w:cs="仿宋"/>
                <w:b/>
                <w:bCs/>
                <w:sz w:val="24"/>
              </w:rPr>
              <w:t>）</w:t>
            </w:r>
          </w:p>
        </w:tc>
        <w:tc>
          <w:tcPr>
            <w:tcW w:w="1096" w:type="pct"/>
            <w:shd w:val="clear" w:color="000000" w:fill="FFFFFF"/>
            <w:vAlign w:val="center"/>
          </w:tcPr>
          <w:p w14:paraId="75EFE76F">
            <w:pPr>
              <w:widowControl/>
              <w:spacing w:line="360" w:lineRule="auto"/>
              <w:jc w:val="center"/>
              <w:rPr>
                <w:rFonts w:ascii="仿宋" w:hAnsi="仿宋" w:eastAsia="仿宋" w:cs="仿宋"/>
                <w:b/>
                <w:bCs/>
                <w:sz w:val="24"/>
              </w:rPr>
            </w:pPr>
            <w:r>
              <w:rPr>
                <w:rFonts w:hint="eastAsia" w:ascii="仿宋" w:hAnsi="仿宋" w:eastAsia="仿宋" w:cs="仿宋"/>
                <w:b/>
                <w:bCs/>
                <w:sz w:val="24"/>
              </w:rPr>
              <w:t>是否接受进口产品</w:t>
            </w:r>
          </w:p>
        </w:tc>
      </w:tr>
      <w:tr w14:paraId="2D41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29" w:type="pct"/>
            <w:vAlign w:val="center"/>
          </w:tcPr>
          <w:p w14:paraId="5EC8E840">
            <w:pPr>
              <w:widowControl/>
              <w:contextualSpacing/>
              <w:jc w:val="center"/>
              <w:rPr>
                <w:rFonts w:ascii="仿宋" w:hAnsi="仿宋" w:eastAsia="仿宋" w:cs="仿宋"/>
                <w:bCs/>
                <w:sz w:val="24"/>
              </w:rPr>
            </w:pPr>
            <w:bookmarkStart w:id="4" w:name="_Hlk229472062"/>
            <w:r>
              <w:rPr>
                <w:rFonts w:hint="eastAsia" w:ascii="仿宋" w:hAnsi="仿宋" w:eastAsia="仿宋" w:cs="宋体"/>
                <w:kern w:val="0"/>
                <w:sz w:val="24"/>
                <w:lang w:val="en-US" w:eastAsia="zh-CN"/>
              </w:rPr>
              <w:t>1</w:t>
            </w:r>
          </w:p>
        </w:tc>
        <w:tc>
          <w:tcPr>
            <w:tcW w:w="694" w:type="pct"/>
            <w:vAlign w:val="center"/>
          </w:tcPr>
          <w:p w14:paraId="7B2D02BD">
            <w:pPr>
              <w:widowControl/>
              <w:contextualSpacing/>
              <w:jc w:val="center"/>
              <w:rPr>
                <w:rFonts w:ascii="仿宋" w:hAnsi="仿宋" w:eastAsia="仿宋" w:cs="仿宋"/>
                <w:bCs/>
                <w:sz w:val="24"/>
              </w:rPr>
            </w:pPr>
            <w:r>
              <w:rPr>
                <w:rFonts w:hint="eastAsia" w:ascii="仿宋" w:hAnsi="仿宋" w:eastAsia="仿宋" w:cs="宋体"/>
                <w:kern w:val="0"/>
                <w:sz w:val="24"/>
                <w:lang w:val="en-US" w:eastAsia="zh-CN"/>
              </w:rPr>
              <w:t>1</w:t>
            </w:r>
            <w:r>
              <w:rPr>
                <w:rFonts w:hint="eastAsia" w:ascii="仿宋" w:hAnsi="仿宋" w:eastAsia="仿宋" w:cs="宋体"/>
                <w:kern w:val="0"/>
                <w:sz w:val="24"/>
              </w:rPr>
              <w:t>-1</w:t>
            </w:r>
          </w:p>
        </w:tc>
        <w:tc>
          <w:tcPr>
            <w:tcW w:w="1758" w:type="pct"/>
            <w:shd w:val="clear" w:color="000000" w:fill="FFFFFF"/>
            <w:vAlign w:val="center"/>
          </w:tcPr>
          <w:p w14:paraId="45A85204">
            <w:pPr>
              <w:keepNext w:val="0"/>
              <w:keepLines w:val="0"/>
              <w:widowControl/>
              <w:suppressLineNumbers w:val="0"/>
              <w:jc w:val="center"/>
              <w:textAlignment w:val="center"/>
              <w:rPr>
                <w:rFonts w:ascii="仿宋" w:hAnsi="仿宋" w:eastAsia="仿宋" w:cs="仿宋"/>
                <w:bCs/>
                <w:sz w:val="24"/>
              </w:rPr>
            </w:pPr>
            <w:r>
              <w:rPr>
                <w:rFonts w:hint="eastAsia" w:ascii="仿宋" w:hAnsi="仿宋" w:eastAsia="仿宋" w:cs="仿宋"/>
                <w:i w:val="0"/>
                <w:iCs w:val="0"/>
                <w:color w:val="000000"/>
                <w:kern w:val="0"/>
                <w:sz w:val="21"/>
                <w:szCs w:val="21"/>
                <w:u w:val="none"/>
                <w:lang w:val="en-US" w:eastAsia="zh-CN" w:bidi="ar"/>
              </w:rPr>
              <w:t>角膜交联机</w:t>
            </w:r>
          </w:p>
        </w:tc>
        <w:tc>
          <w:tcPr>
            <w:tcW w:w="821" w:type="pct"/>
            <w:shd w:val="clear" w:color="000000" w:fill="FFFFFF"/>
            <w:vAlign w:val="center"/>
          </w:tcPr>
          <w:p w14:paraId="4D9EDEC6">
            <w:pPr>
              <w:jc w:val="center"/>
              <w:rPr>
                <w:rFonts w:ascii="仿宋" w:hAnsi="仿宋" w:eastAsia="仿宋" w:cs="仿宋"/>
                <w:bCs/>
                <w:sz w:val="24"/>
              </w:rPr>
            </w:pPr>
            <w:r>
              <w:rPr>
                <w:rFonts w:hint="eastAsia" w:ascii="仿宋" w:hAnsi="仿宋" w:eastAsia="仿宋" w:cs="仿宋"/>
                <w:bCs/>
                <w:sz w:val="24"/>
              </w:rPr>
              <w:t>1</w:t>
            </w:r>
          </w:p>
        </w:tc>
        <w:tc>
          <w:tcPr>
            <w:tcW w:w="1096" w:type="pct"/>
            <w:shd w:val="clear" w:color="000000" w:fill="FFFFFF"/>
            <w:vAlign w:val="center"/>
          </w:tcPr>
          <w:p w14:paraId="7638F04B">
            <w:pPr>
              <w:jc w:val="center"/>
              <w:rPr>
                <w:rFonts w:hint="eastAsia" w:ascii="仿宋" w:hAnsi="仿宋" w:eastAsia="仿宋" w:cs="仿宋"/>
                <w:bCs/>
                <w:sz w:val="24"/>
                <w:lang w:eastAsia="zh-CN"/>
              </w:rPr>
            </w:pPr>
            <w:r>
              <w:rPr>
                <w:rFonts w:hint="eastAsia" w:ascii="仿宋" w:hAnsi="仿宋" w:eastAsia="仿宋" w:cs="仿宋"/>
                <w:bCs/>
                <w:sz w:val="24"/>
                <w:lang w:val="en-US" w:eastAsia="zh-CN"/>
              </w:rPr>
              <w:t>是</w:t>
            </w:r>
          </w:p>
        </w:tc>
      </w:tr>
      <w:bookmarkEnd w:id="4"/>
    </w:tbl>
    <w:p w14:paraId="2D035DC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w:t>
      </w:r>
    </w:p>
    <w:p w14:paraId="40E2DEA2">
      <w:pPr>
        <w:spacing w:line="360" w:lineRule="auto"/>
        <w:ind w:firstLine="480" w:firstLineChars="200"/>
        <w:rPr>
          <w:rFonts w:ascii="仿宋" w:hAnsi="仿宋" w:eastAsia="仿宋"/>
          <w:sz w:val="24"/>
        </w:rPr>
      </w:pPr>
      <w:bookmarkStart w:id="5" w:name="OLE_LINK179"/>
      <w:bookmarkStart w:id="6" w:name="OLE_LINK178"/>
      <w:r>
        <w:rPr>
          <w:rFonts w:hint="eastAsia" w:ascii="仿宋" w:hAnsi="仿宋" w:eastAsia="仿宋"/>
          <w:sz w:val="24"/>
        </w:rPr>
        <w:t>本次招标采购项目为</w:t>
      </w:r>
      <w:r>
        <w:rPr>
          <w:rFonts w:hint="eastAsia" w:ascii="仿宋" w:hAnsi="仿宋" w:eastAsia="仿宋"/>
          <w:sz w:val="24"/>
          <w:lang w:eastAsia="zh-CN"/>
        </w:rPr>
        <w:t>2026年北京同仁医院医用设备购置项目（一）</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bookmarkEnd w:id="6"/>
    </w:p>
    <w:p w14:paraId="17F59B12">
      <w:pPr>
        <w:tabs>
          <w:tab w:val="left" w:pos="5456"/>
        </w:tabs>
        <w:snapToGrid w:val="0"/>
        <w:spacing w:line="360" w:lineRule="auto"/>
        <w:ind w:firstLine="482" w:firstLineChars="200"/>
        <w:rPr>
          <w:rFonts w:ascii="仿宋" w:hAnsi="仿宋" w:eastAsia="仿宋" w:cs="仿宋"/>
          <w:b/>
          <w:bCs/>
          <w:sz w:val="24"/>
        </w:rPr>
      </w:pPr>
      <w:bookmarkStart w:id="7" w:name="OLE_LINK368"/>
      <w:r>
        <w:rPr>
          <w:rFonts w:hint="eastAsia" w:ascii="仿宋" w:hAnsi="仿宋" w:eastAsia="仿宋" w:cs="仿宋"/>
          <w:b/>
          <w:bCs/>
          <w:sz w:val="24"/>
        </w:rPr>
        <w:t>二、商务要求</w:t>
      </w:r>
      <w:bookmarkEnd w:id="7"/>
      <w:r>
        <w:rPr>
          <w:rFonts w:ascii="仿宋" w:hAnsi="仿宋" w:eastAsia="仿宋" w:cs="仿宋"/>
          <w:b/>
          <w:bCs/>
          <w:sz w:val="24"/>
        </w:rPr>
        <w:tab/>
      </w:r>
    </w:p>
    <w:p w14:paraId="5F3F034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73BE067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自合同签订后3个月内</w:t>
      </w:r>
      <w:r>
        <w:rPr>
          <w:rFonts w:hint="eastAsia" w:ascii="仿宋" w:hAnsi="仿宋" w:eastAsia="仿宋"/>
          <w:sz w:val="24"/>
        </w:rPr>
        <w:t>。</w:t>
      </w:r>
    </w:p>
    <w:p w14:paraId="25DAF62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首都医科大学附属北京同仁医院指定地点。</w:t>
      </w:r>
    </w:p>
    <w:p w14:paraId="0BE477A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7B7B39DA">
      <w:pPr>
        <w:snapToGrid w:val="0"/>
        <w:spacing w:line="360" w:lineRule="auto"/>
        <w:ind w:firstLine="480" w:firstLineChars="200"/>
        <w:rPr>
          <w:rFonts w:ascii="仿宋" w:hAnsi="仿宋" w:eastAsia="仿宋" w:cs="宋体"/>
          <w:sz w:val="24"/>
        </w:rPr>
      </w:pPr>
      <w:r>
        <w:rPr>
          <w:rFonts w:hint="eastAsia" w:ascii="仿宋" w:hAnsi="仿宋" w:eastAsia="仿宋" w:cs="宋体"/>
          <w:sz w:val="24"/>
        </w:rPr>
        <w:t>详见第六章拟签订的合同文本</w:t>
      </w:r>
    </w:p>
    <w:p w14:paraId="4F34B5C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5A02C4E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3106B650">
      <w:pPr>
        <w:snapToGrid w:val="0"/>
        <w:spacing w:line="360" w:lineRule="auto"/>
        <w:ind w:firstLine="480" w:firstLineChars="200"/>
        <w:rPr>
          <w:rFonts w:ascii="仿宋" w:hAnsi="仿宋" w:eastAsia="仿宋" w:cs="仿宋"/>
          <w:bCs/>
          <w:sz w:val="24"/>
        </w:rPr>
      </w:pPr>
      <w:bookmarkStart w:id="8" w:name="OLE_LINK369"/>
      <w:bookmarkStart w:id="9" w:name="OLE_LINK370"/>
      <w:r>
        <w:rPr>
          <w:rFonts w:hint="eastAsia" w:ascii="仿宋" w:hAnsi="仿宋" w:eastAsia="仿宋" w:cs="仿宋"/>
          <w:bCs/>
          <w:sz w:val="24"/>
        </w:rPr>
        <w:t>（四）</w:t>
      </w:r>
      <w:bookmarkEnd w:id="8"/>
      <w:bookmarkEnd w:id="9"/>
      <w:bookmarkStart w:id="10" w:name="OLE_LINK367"/>
      <w:r>
        <w:rPr>
          <w:rFonts w:hint="eastAsia" w:ascii="仿宋" w:hAnsi="仿宋" w:eastAsia="仿宋" w:cs="仿宋"/>
          <w:bCs/>
          <w:sz w:val="24"/>
        </w:rPr>
        <w:t>售后服务（质保期）</w:t>
      </w:r>
      <w:bookmarkEnd w:id="10"/>
    </w:p>
    <w:p w14:paraId="021907CC">
      <w:pPr>
        <w:pStyle w:val="3"/>
        <w:spacing w:before="50" w:line="360" w:lineRule="auto"/>
        <w:rPr>
          <w:rFonts w:hint="default" w:ascii="仿宋" w:hAnsi="仿宋" w:eastAsia="仿宋"/>
          <w:sz w:val="24"/>
          <w:szCs w:val="24"/>
        </w:rPr>
      </w:pPr>
      <w:r>
        <w:rPr>
          <w:rFonts w:ascii="仿宋" w:hAnsi="仿宋" w:eastAsia="仿宋"/>
          <w:sz w:val="24"/>
          <w:szCs w:val="24"/>
        </w:rPr>
        <w:t>1.质量保证期（保修期）及服务要求：详见下表。过保修期后如续保则维保费率原则上不超过设备原值的5%；如不续保则免收配件费以外的其他费用。在设备使用期间，投标人负责每年至少提供两次免费维护。投标人和制造商需要同时提供包含上述质量保证期（保修期）及服务要求的承诺函并加盖单位公章。</w:t>
      </w:r>
    </w:p>
    <w:tbl>
      <w:tblPr>
        <w:tblStyle w:val="6"/>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142"/>
        <w:gridCol w:w="2409"/>
        <w:gridCol w:w="3828"/>
      </w:tblGrid>
      <w:tr w14:paraId="6F4D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1" w:type="dxa"/>
            <w:vAlign w:val="center"/>
          </w:tcPr>
          <w:p w14:paraId="62F700AD">
            <w:pPr>
              <w:snapToGrid w:val="0"/>
              <w:spacing w:line="540" w:lineRule="exact"/>
              <w:jc w:val="center"/>
              <w:rPr>
                <w:rFonts w:ascii="仿宋" w:hAnsi="仿宋" w:eastAsia="仿宋"/>
                <w:sz w:val="24"/>
              </w:rPr>
            </w:pPr>
            <w:r>
              <w:rPr>
                <w:rFonts w:hint="eastAsia" w:ascii="仿宋" w:hAnsi="仿宋" w:eastAsia="仿宋"/>
                <w:sz w:val="24"/>
              </w:rPr>
              <w:t>包号</w:t>
            </w:r>
          </w:p>
        </w:tc>
        <w:tc>
          <w:tcPr>
            <w:tcW w:w="1142" w:type="dxa"/>
            <w:vAlign w:val="center"/>
          </w:tcPr>
          <w:p w14:paraId="23C87588">
            <w:pPr>
              <w:snapToGrid w:val="0"/>
              <w:spacing w:line="540" w:lineRule="exact"/>
              <w:jc w:val="center"/>
              <w:rPr>
                <w:rFonts w:ascii="仿宋" w:hAnsi="仿宋" w:eastAsia="仿宋"/>
                <w:sz w:val="24"/>
              </w:rPr>
            </w:pPr>
            <w:r>
              <w:rPr>
                <w:rFonts w:hint="eastAsia" w:ascii="仿宋" w:hAnsi="仿宋" w:eastAsia="仿宋"/>
                <w:sz w:val="24"/>
              </w:rPr>
              <w:t>品目号</w:t>
            </w:r>
          </w:p>
        </w:tc>
        <w:tc>
          <w:tcPr>
            <w:tcW w:w="2409" w:type="dxa"/>
            <w:vAlign w:val="center"/>
          </w:tcPr>
          <w:p w14:paraId="3EA4AFF2">
            <w:pPr>
              <w:snapToGrid w:val="0"/>
              <w:jc w:val="center"/>
              <w:rPr>
                <w:rFonts w:ascii="仿宋" w:hAnsi="仿宋" w:eastAsia="仿宋"/>
                <w:sz w:val="24"/>
              </w:rPr>
            </w:pPr>
            <w:r>
              <w:rPr>
                <w:rFonts w:hint="eastAsia" w:ascii="仿宋" w:hAnsi="仿宋" w:eastAsia="仿宋"/>
                <w:sz w:val="24"/>
              </w:rPr>
              <w:t>标的名称</w:t>
            </w:r>
          </w:p>
        </w:tc>
        <w:tc>
          <w:tcPr>
            <w:tcW w:w="3828" w:type="dxa"/>
            <w:vAlign w:val="center"/>
          </w:tcPr>
          <w:p w14:paraId="2BF4C791">
            <w:pPr>
              <w:snapToGrid w:val="0"/>
              <w:jc w:val="center"/>
              <w:rPr>
                <w:rFonts w:ascii="仿宋" w:hAnsi="仿宋" w:eastAsia="仿宋"/>
                <w:sz w:val="24"/>
              </w:rPr>
            </w:pPr>
            <w:r>
              <w:rPr>
                <w:rFonts w:hint="eastAsia" w:ascii="仿宋" w:hAnsi="仿宋" w:eastAsia="仿宋"/>
                <w:sz w:val="24"/>
              </w:rPr>
              <w:t>保修</w:t>
            </w:r>
          </w:p>
        </w:tc>
      </w:tr>
      <w:tr w14:paraId="4898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41" w:type="dxa"/>
            <w:vAlign w:val="center"/>
          </w:tcPr>
          <w:p w14:paraId="7A360FA5">
            <w:pPr>
              <w:spacing w:before="120" w:line="360" w:lineRule="auto"/>
              <w:contextualSpacing/>
              <w:jc w:val="center"/>
              <w:rPr>
                <w:rFonts w:hint="eastAsia" w:ascii="仿宋" w:hAnsi="仿宋" w:eastAsia="仿宋" w:cs="仿宋"/>
                <w:bCs/>
                <w:sz w:val="24"/>
                <w:lang w:eastAsia="zh-CN"/>
              </w:rPr>
            </w:pPr>
            <w:r>
              <w:rPr>
                <w:rFonts w:hint="eastAsia" w:ascii="仿宋" w:hAnsi="仿宋" w:eastAsia="仿宋" w:cs="仿宋"/>
                <w:bCs/>
                <w:sz w:val="24"/>
                <w:lang w:val="en-US" w:eastAsia="zh-CN"/>
              </w:rPr>
              <w:t>1</w:t>
            </w:r>
          </w:p>
        </w:tc>
        <w:tc>
          <w:tcPr>
            <w:tcW w:w="1142" w:type="dxa"/>
            <w:vAlign w:val="center"/>
          </w:tcPr>
          <w:p w14:paraId="29FE1B4D">
            <w:pPr>
              <w:widowControl/>
              <w:spacing w:before="120" w:line="360" w:lineRule="auto"/>
              <w:contextualSpacing/>
              <w:jc w:val="center"/>
              <w:rPr>
                <w:rFonts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w:t>
            </w:r>
          </w:p>
        </w:tc>
        <w:tc>
          <w:tcPr>
            <w:tcW w:w="2409" w:type="dxa"/>
            <w:vAlign w:val="center"/>
          </w:tcPr>
          <w:p w14:paraId="7E53E692">
            <w:pPr>
              <w:keepNext w:val="0"/>
              <w:keepLines w:val="0"/>
              <w:widowControl/>
              <w:suppressLineNumbers w:val="0"/>
              <w:jc w:val="center"/>
              <w:textAlignment w:val="center"/>
              <w:rPr>
                <w:rFonts w:ascii="仿宋" w:hAnsi="仿宋" w:eastAsia="仿宋" w:cs="仿宋"/>
                <w:bCs/>
                <w:sz w:val="24"/>
                <w:szCs w:val="24"/>
              </w:rPr>
            </w:pPr>
            <w:r>
              <w:rPr>
                <w:rFonts w:hint="eastAsia" w:ascii="仿宋" w:hAnsi="仿宋" w:eastAsia="仿宋" w:cs="仿宋"/>
                <w:i w:val="0"/>
                <w:iCs w:val="0"/>
                <w:color w:val="000000"/>
                <w:kern w:val="0"/>
                <w:sz w:val="24"/>
                <w:szCs w:val="24"/>
                <w:u w:val="none"/>
                <w:lang w:val="en-US" w:eastAsia="zh-CN" w:bidi="ar"/>
              </w:rPr>
              <w:t>角膜交联机</w:t>
            </w:r>
          </w:p>
        </w:tc>
        <w:tc>
          <w:tcPr>
            <w:tcW w:w="3828" w:type="dxa"/>
          </w:tcPr>
          <w:p w14:paraId="3FF53F9A">
            <w:pPr>
              <w:rPr>
                <w:rFonts w:ascii="仿宋" w:hAnsi="仿宋" w:eastAsia="仿宋" w:cs="宋体"/>
                <w:kern w:val="0"/>
                <w:sz w:val="24"/>
              </w:rPr>
            </w:pPr>
            <w:r>
              <w:rPr>
                <w:rFonts w:hint="eastAsia" w:ascii="仿宋" w:hAnsi="仿宋" w:eastAsia="仿宋" w:cs="宋体"/>
                <w:kern w:val="0"/>
                <w:sz w:val="24"/>
              </w:rPr>
              <w:t>原厂保修，自设备验收合格之日后全保</w:t>
            </w:r>
            <w:r>
              <w:rPr>
                <w:rFonts w:hint="eastAsia" w:ascii="仿宋" w:hAnsi="仿宋" w:eastAsia="仿宋" w:cs="宋体"/>
                <w:kern w:val="0"/>
                <w:sz w:val="24"/>
                <w:lang w:val="en-US" w:eastAsia="zh-CN"/>
              </w:rPr>
              <w:t>5</w:t>
            </w:r>
            <w:r>
              <w:rPr>
                <w:rFonts w:hint="eastAsia" w:ascii="仿宋" w:hAnsi="仿宋" w:eastAsia="仿宋" w:cs="宋体"/>
                <w:kern w:val="0"/>
                <w:sz w:val="24"/>
              </w:rPr>
              <w:t>年。</w:t>
            </w:r>
          </w:p>
        </w:tc>
      </w:tr>
    </w:tbl>
    <w:p w14:paraId="0C77D66B">
      <w:pPr>
        <w:pStyle w:val="3"/>
        <w:numPr>
          <w:ilvl w:val="0"/>
          <w:numId w:val="1"/>
        </w:numPr>
        <w:spacing w:before="50" w:line="360" w:lineRule="auto"/>
        <w:rPr>
          <w:rFonts w:hint="default" w:ascii="仿宋" w:hAnsi="仿宋" w:eastAsia="仿宋"/>
          <w:sz w:val="24"/>
          <w:szCs w:val="24"/>
        </w:rPr>
      </w:pPr>
      <w:r>
        <w:rPr>
          <w:rFonts w:ascii="仿宋" w:hAnsi="仿宋" w:eastAsia="仿宋"/>
          <w:sz w:val="24"/>
          <w:szCs w:val="24"/>
        </w:rPr>
        <w:t>投标人应负责投标货物质量保证期内的免费维修和配件供应，投标人售后服务维修机构应备有所购货物及时维修所需的关键零部件。</w:t>
      </w:r>
    </w:p>
    <w:p w14:paraId="72EE4DF7">
      <w:pPr>
        <w:pStyle w:val="3"/>
        <w:numPr>
          <w:ilvl w:val="0"/>
          <w:numId w:val="1"/>
        </w:numPr>
        <w:spacing w:before="50" w:line="360" w:lineRule="auto"/>
        <w:rPr>
          <w:rFonts w:hint="default" w:ascii="仿宋" w:hAnsi="仿宋" w:eastAsia="仿宋"/>
          <w:sz w:val="24"/>
          <w:szCs w:val="24"/>
        </w:rPr>
      </w:pPr>
      <w:r>
        <w:rPr>
          <w:rFonts w:ascii="仿宋" w:hAnsi="仿宋" w:eastAsia="仿宋"/>
          <w:sz w:val="24"/>
          <w:szCs w:val="24"/>
        </w:rPr>
        <w:t>投标人应保证在质量保证期内提供投标货物专用的软件和相应数据库资料的免费升级服务。（如果有）</w:t>
      </w:r>
    </w:p>
    <w:p w14:paraId="357180D9">
      <w:pPr>
        <w:pStyle w:val="3"/>
        <w:numPr>
          <w:ilvl w:val="0"/>
          <w:numId w:val="1"/>
        </w:numPr>
        <w:spacing w:before="50" w:line="360" w:lineRule="auto"/>
        <w:rPr>
          <w:rFonts w:hint="default" w:ascii="仿宋" w:hAnsi="仿宋" w:eastAsia="仿宋"/>
          <w:sz w:val="24"/>
          <w:szCs w:val="24"/>
        </w:rPr>
      </w:pPr>
      <w:r>
        <w:rPr>
          <w:rFonts w:ascii="仿宋" w:hAnsi="仿宋" w:eastAsia="仿宋"/>
          <w:sz w:val="24"/>
          <w:szCs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2E150895">
      <w:pPr>
        <w:pStyle w:val="3"/>
        <w:numPr>
          <w:ilvl w:val="0"/>
          <w:numId w:val="1"/>
        </w:numPr>
        <w:tabs>
          <w:tab w:val="left" w:pos="900"/>
        </w:tabs>
        <w:spacing w:line="360" w:lineRule="auto"/>
        <w:contextualSpacing/>
        <w:rPr>
          <w:rFonts w:hint="default" w:ascii="仿宋" w:hAnsi="仿宋" w:eastAsia="仿宋"/>
          <w:sz w:val="24"/>
          <w:szCs w:val="24"/>
        </w:rPr>
      </w:pPr>
      <w:r>
        <w:rPr>
          <w:rFonts w:ascii="仿宋" w:hAnsi="仿宋" w:eastAsia="仿宋"/>
          <w:sz w:val="24"/>
          <w:szCs w:val="24"/>
        </w:rPr>
        <w:t>投标时须提供有关其投标产品专业的售后服务（</w:t>
      </w:r>
      <w:bookmarkStart w:id="11" w:name="OLE_LINK19"/>
      <w:bookmarkStart w:id="12" w:name="OLE_LINK16"/>
      <w:r>
        <w:rPr>
          <w:rFonts w:ascii="仿宋" w:hAnsi="仿宋" w:eastAsia="仿宋"/>
          <w:sz w:val="24"/>
          <w:szCs w:val="24"/>
        </w:rPr>
        <w:t>维修站</w:t>
      </w:r>
      <w:bookmarkEnd w:id="11"/>
      <w:bookmarkEnd w:id="12"/>
      <w:r>
        <w:rPr>
          <w:rFonts w:ascii="仿宋" w:hAnsi="仿宋" w:eastAsia="仿宋"/>
          <w:sz w:val="24"/>
          <w:szCs w:val="24"/>
        </w:rPr>
        <w:t>）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73016DC5">
      <w:pPr>
        <w:snapToGrid w:val="0"/>
        <w:spacing w:line="360" w:lineRule="auto"/>
        <w:ind w:firstLine="482" w:firstLineChars="200"/>
        <w:rPr>
          <w:rFonts w:ascii="仿宋" w:hAnsi="仿宋" w:eastAsia="仿宋" w:cs="仿宋"/>
          <w:b/>
          <w:bCs/>
          <w:sz w:val="24"/>
        </w:rPr>
      </w:pPr>
      <w:bookmarkStart w:id="13" w:name="OLE_LINK71"/>
      <w:bookmarkStart w:id="14" w:name="OLE_LINK72"/>
      <w:r>
        <w:rPr>
          <w:rFonts w:hint="eastAsia" w:ascii="仿宋" w:hAnsi="仿宋" w:eastAsia="仿宋" w:cs="仿宋"/>
          <w:b/>
          <w:bCs/>
          <w:sz w:val="24"/>
        </w:rPr>
        <w:t>三、技术要求</w:t>
      </w:r>
    </w:p>
    <w:bookmarkEnd w:id="13"/>
    <w:bookmarkEnd w:id="14"/>
    <w:p w14:paraId="228B1FEE">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（一）基本要求</w:t>
      </w:r>
    </w:p>
    <w:p w14:paraId="46E65C3F">
      <w:pPr>
        <w:spacing w:line="360" w:lineRule="auto"/>
        <w:ind w:firstLine="480" w:firstLineChars="200"/>
        <w:rPr>
          <w:rFonts w:ascii="仿宋" w:hAnsi="仿宋" w:eastAsia="仿宋" w:cs="仿宋"/>
          <w:bCs/>
          <w:sz w:val="24"/>
        </w:rPr>
      </w:pPr>
      <w:r>
        <w:rPr>
          <w:rFonts w:hint="eastAsia" w:ascii="仿宋" w:hAnsi="仿宋" w:eastAsia="仿宋" w:cs="仿宋"/>
          <w:bCs/>
          <w:sz w:val="24"/>
        </w:rPr>
        <w:t>1、需执行的国家相关标准、行业标准、地方标准或者其他标准、规范</w:t>
      </w:r>
    </w:p>
    <w:p w14:paraId="049F289E">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1.</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29C043D7">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1671EE0C">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6F762AA5">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5B7B0A8">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3FD32D9F">
      <w:pPr>
        <w:snapToGrid w:val="0"/>
        <w:spacing w:line="360" w:lineRule="auto"/>
        <w:ind w:firstLine="482" w:firstLineChars="200"/>
        <w:rPr>
          <w:rFonts w:ascii="仿宋" w:hAnsi="仿宋" w:eastAsia="仿宋" w:cs="仿宋"/>
          <w:b/>
          <w:bCs/>
          <w:sz w:val="24"/>
        </w:rPr>
      </w:pPr>
      <w:bookmarkStart w:id="15" w:name="OLE_LINK73"/>
      <w:bookmarkStart w:id="16" w:name="OLE_LINK64"/>
      <w:r>
        <w:rPr>
          <w:rFonts w:hint="eastAsia" w:ascii="仿宋" w:hAnsi="仿宋" w:eastAsia="仿宋" w:cs="仿宋"/>
          <w:b/>
          <w:bCs/>
          <w:sz w:val="24"/>
        </w:rPr>
        <w:t>（二）服务内容及要求/货物技术要求</w:t>
      </w:r>
    </w:p>
    <w:bookmarkEnd w:id="15"/>
    <w:bookmarkEnd w:id="16"/>
    <w:p w14:paraId="5C02947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36E21C88">
      <w:pPr>
        <w:widowControl/>
        <w:spacing w:line="360" w:lineRule="auto"/>
        <w:jc w:val="left"/>
        <w:rPr>
          <w:rFonts w:ascii="仿宋" w:hAnsi="仿宋" w:eastAsia="仿宋"/>
          <w:b/>
          <w:sz w:val="24"/>
        </w:rPr>
      </w:pPr>
      <w:bookmarkStart w:id="17" w:name="OLE_LINK53"/>
      <w:r>
        <w:rPr>
          <w:rFonts w:ascii="仿宋" w:hAnsi="仿宋" w:eastAsia="仿宋"/>
          <w:b/>
          <w:sz w:val="24"/>
        </w:rPr>
        <w:br w:type="page"/>
      </w:r>
      <w:bookmarkStart w:id="18" w:name="OLE_LINK297"/>
      <w:bookmarkStart w:id="19" w:name="OLE_LINK298"/>
    </w:p>
    <w:bookmarkEnd w:id="18"/>
    <w:bookmarkEnd w:id="19"/>
    <w:p w14:paraId="2C8D982D">
      <w:pPr>
        <w:spacing w:line="360" w:lineRule="auto"/>
        <w:jc w:val="left"/>
        <w:rPr>
          <w:rFonts w:hint="eastAsia" w:ascii="仿宋" w:hAnsi="仿宋" w:eastAsia="仿宋"/>
          <w:b/>
          <w:sz w:val="24"/>
          <w:lang w:eastAsia="zh-CN"/>
        </w:rPr>
      </w:pPr>
      <w:r>
        <w:rPr>
          <w:rFonts w:ascii="仿宋" w:hAnsi="仿宋" w:eastAsia="仿宋"/>
          <w:b/>
          <w:sz w:val="24"/>
        </w:rPr>
        <w:t>第</w:t>
      </w:r>
      <w:r>
        <w:rPr>
          <w:rFonts w:hint="eastAsia" w:ascii="仿宋" w:hAnsi="仿宋" w:eastAsia="仿宋"/>
          <w:b/>
          <w:sz w:val="24"/>
          <w:lang w:val="en-US" w:eastAsia="zh-CN"/>
        </w:rPr>
        <w:t>1</w:t>
      </w:r>
      <w:r>
        <w:rPr>
          <w:rFonts w:hint="eastAsia" w:ascii="仿宋" w:hAnsi="仿宋" w:eastAsia="仿宋"/>
          <w:b/>
          <w:sz w:val="24"/>
        </w:rPr>
        <w:t>包 品目</w:t>
      </w:r>
      <w:bookmarkStart w:id="20" w:name="OLE_LINK28"/>
      <w:bookmarkStart w:id="21" w:name="OLE_LINK31"/>
      <w:r>
        <w:rPr>
          <w:rFonts w:hint="eastAsia" w:ascii="仿宋" w:hAnsi="仿宋" w:eastAsia="仿宋"/>
          <w:b/>
          <w:sz w:val="24"/>
          <w:lang w:val="en-US" w:eastAsia="zh-CN"/>
        </w:rPr>
        <w:t>1-</w:t>
      </w:r>
      <w:r>
        <w:rPr>
          <w:rFonts w:hint="eastAsia" w:ascii="仿宋" w:hAnsi="仿宋" w:eastAsia="仿宋"/>
          <w:b/>
          <w:sz w:val="24"/>
        </w:rPr>
        <w:t>1</w:t>
      </w:r>
      <w:bookmarkEnd w:id="20"/>
      <w:bookmarkEnd w:id="21"/>
      <w:r>
        <w:rPr>
          <w:rFonts w:hint="eastAsia" w:ascii="仿宋" w:hAnsi="仿宋" w:eastAsia="仿宋"/>
          <w:b/>
          <w:sz w:val="24"/>
          <w:lang w:eastAsia="zh-CN"/>
        </w:rPr>
        <w:t>角膜交联机</w:t>
      </w:r>
    </w:p>
    <w:p w14:paraId="5EF053E8">
      <w:pPr>
        <w:widowControl/>
        <w:spacing w:line="360" w:lineRule="auto"/>
        <w:jc w:val="left"/>
        <w:rPr>
          <w:rFonts w:ascii="仿宋" w:hAnsi="仿宋" w:eastAsia="仿宋"/>
          <w:b/>
          <w:sz w:val="24"/>
        </w:rPr>
      </w:pPr>
      <w:r>
        <w:rPr>
          <w:rFonts w:hint="eastAsia" w:ascii="仿宋" w:hAnsi="仿宋" w:eastAsia="仿宋"/>
          <w:b/>
          <w:sz w:val="24"/>
        </w:rPr>
        <w:t>数量：1套，每套技术参数如下</w:t>
      </w:r>
    </w:p>
    <w:bookmarkEnd w:id="17"/>
    <w:p w14:paraId="19C6EC0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sz w:val="24"/>
          <w:szCs w:val="24"/>
        </w:rPr>
      </w:pPr>
      <w:bookmarkStart w:id="22" w:name="OLE_LINK371"/>
      <w:bookmarkStart w:id="23" w:name="OLE_LINK372"/>
      <w:r>
        <w:rPr>
          <w:rFonts w:hint="eastAsia" w:ascii="仿宋" w:hAnsi="仿宋" w:eastAsia="仿宋" w:cs="仿宋"/>
          <w:b w:val="0"/>
          <w:bCs/>
          <w:sz w:val="24"/>
          <w:szCs w:val="24"/>
          <w:lang w:val="en-US" w:eastAsia="zh-CN"/>
        </w:rPr>
        <w:t>一</w:t>
      </w:r>
      <w:r>
        <w:rPr>
          <w:rFonts w:hint="eastAsia" w:ascii="仿宋" w:hAnsi="仿宋" w:eastAsia="仿宋" w:cs="仿宋"/>
          <w:b w:val="0"/>
          <w:bCs/>
          <w:sz w:val="24"/>
          <w:szCs w:val="24"/>
        </w:rPr>
        <w:t>、技术参数</w:t>
      </w:r>
    </w:p>
    <w:p w14:paraId="171C1A64">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rPr>
      </w:pPr>
      <w:r>
        <w:rPr>
          <w:rFonts w:hint="eastAsia" w:ascii="仿宋" w:hAnsi="仿宋" w:eastAsia="仿宋" w:cs="仿宋"/>
          <w:sz w:val="24"/>
          <w:szCs w:val="24"/>
        </w:rPr>
        <w:t>（一）、主机：</w:t>
      </w:r>
    </w:p>
    <w:p w14:paraId="1E374AB3">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治疗</w:t>
      </w:r>
      <w:r>
        <w:rPr>
          <w:rFonts w:hint="eastAsia" w:ascii="仿宋" w:hAnsi="仿宋" w:eastAsia="仿宋" w:cs="仿宋"/>
          <w:sz w:val="24"/>
          <w:szCs w:val="24"/>
        </w:rPr>
        <w:t>光源：</w:t>
      </w:r>
      <w:r>
        <w:rPr>
          <w:rFonts w:hint="eastAsia" w:ascii="仿宋" w:hAnsi="仿宋" w:eastAsia="仿宋" w:cs="仿宋"/>
          <w:sz w:val="24"/>
          <w:szCs w:val="24"/>
          <w:lang w:val="en-US" w:eastAsia="zh-CN"/>
        </w:rPr>
        <w:t>UVA</w:t>
      </w:r>
    </w:p>
    <w:p w14:paraId="25C3F58C">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rPr>
      </w:pPr>
      <w:r>
        <w:rPr>
          <w:rFonts w:hint="eastAsia" w:ascii="仿宋" w:hAnsi="仿宋" w:eastAsia="仿宋" w:cs="仿宋"/>
          <w:b/>
          <w:bCs/>
          <w:sz w:val="24"/>
          <w:szCs w:val="24"/>
          <w:lang w:val="en-US"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波长≥365nm</w:t>
      </w:r>
    </w:p>
    <w:p w14:paraId="3DE1380F">
      <w:pPr>
        <w:tabs>
          <w:tab w:val="left" w:pos="2216"/>
          <w:tab w:val="left" w:pos="5387"/>
          <w:tab w:val="left" w:pos="7230"/>
        </w:tabs>
        <w:spacing w:line="360" w:lineRule="auto"/>
        <w:jc w:val="left"/>
        <w:rPr>
          <w:rFonts w:hint="eastAsia" w:ascii="仿宋" w:hAnsi="仿宋" w:eastAsia="仿宋" w:cs="仿宋"/>
          <w:sz w:val="24"/>
          <w:szCs w:val="24"/>
        </w:rPr>
      </w:pPr>
      <w:r>
        <w:rPr>
          <w:rFonts w:hint="eastAsia" w:ascii="仿宋" w:hAnsi="仿宋" w:eastAsia="仿宋" w:cs="仿宋"/>
          <w:b/>
          <w:bCs/>
          <w:sz w:val="24"/>
          <w:szCs w:val="24"/>
          <w:lang w:val="en-US"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、工作模式：连续</w:t>
      </w:r>
      <w:r>
        <w:rPr>
          <w:rFonts w:hint="eastAsia" w:ascii="仿宋" w:hAnsi="仿宋" w:eastAsia="仿宋" w:cs="仿宋"/>
          <w:sz w:val="24"/>
          <w:szCs w:val="24"/>
          <w:lang w:val="en-US" w:eastAsia="zh-CN"/>
        </w:rPr>
        <w:t>或</w:t>
      </w:r>
      <w:r>
        <w:rPr>
          <w:rFonts w:hint="eastAsia" w:ascii="仿宋" w:hAnsi="仿宋" w:eastAsia="仿宋" w:cs="仿宋"/>
          <w:sz w:val="24"/>
          <w:szCs w:val="24"/>
        </w:rPr>
        <w:t>脉冲</w:t>
      </w:r>
    </w:p>
    <w:p w14:paraId="1713EC2D">
      <w:pPr>
        <w:widowControl w:val="0"/>
        <w:tabs>
          <w:tab w:val="left" w:pos="2216"/>
          <w:tab w:val="left" w:pos="5387"/>
          <w:tab w:val="left" w:pos="7230"/>
        </w:tabs>
        <w:spacing w:line="360" w:lineRule="auto"/>
        <w:ind w:left="0" w:leftChars="0" w:firstLine="0" w:firstLineChars="0"/>
        <w:jc w:val="left"/>
        <w:rPr>
          <w:rFonts w:hint="eastAsia" w:ascii="仿宋" w:hAnsi="仿宋" w:eastAsia="仿宋" w:cs="仿宋"/>
          <w:color w:val="auto"/>
          <w:kern w:val="2"/>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kern w:val="2"/>
          <w:sz w:val="24"/>
          <w:szCs w:val="24"/>
        </w:rPr>
        <w:t>照射强度：1</w:t>
      </w:r>
      <w:r>
        <w:rPr>
          <w:rFonts w:hint="eastAsia" w:ascii="仿宋" w:hAnsi="仿宋" w:eastAsia="仿宋" w:cs="仿宋"/>
          <w:color w:val="auto"/>
          <w:kern w:val="2"/>
          <w:sz w:val="24"/>
          <w:szCs w:val="24"/>
          <w:lang w:val="en-US" w:eastAsia="zh-CN"/>
        </w:rPr>
        <w:t>-</w:t>
      </w:r>
      <w:r>
        <w:rPr>
          <w:rFonts w:hint="eastAsia" w:ascii="仿宋" w:hAnsi="仿宋" w:eastAsia="仿宋" w:cs="仿宋"/>
          <w:color w:val="auto"/>
          <w:kern w:val="2"/>
          <w:sz w:val="24"/>
          <w:szCs w:val="24"/>
        </w:rPr>
        <w:t>30mW/cm²</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可调</w:t>
      </w:r>
      <w:r>
        <w:rPr>
          <w:rFonts w:hint="eastAsia" w:ascii="仿宋" w:hAnsi="仿宋" w:eastAsia="仿宋" w:cs="仿宋"/>
          <w:sz w:val="24"/>
          <w:szCs w:val="24"/>
        </w:rPr>
        <w:t>。</w:t>
      </w:r>
    </w:p>
    <w:p w14:paraId="7ADF1A47">
      <w:pPr>
        <w:widowControl w:val="0"/>
        <w:tabs>
          <w:tab w:val="left" w:pos="2216"/>
          <w:tab w:val="left" w:pos="5387"/>
          <w:tab w:val="left" w:pos="7230"/>
        </w:tabs>
        <w:spacing w:line="360" w:lineRule="auto"/>
        <w:ind w:left="0" w:leftChars="0"/>
        <w:jc w:val="left"/>
        <w:rPr>
          <w:rFonts w:hint="eastAsia" w:ascii="仿宋" w:hAnsi="仿宋" w:eastAsia="仿宋" w:cs="仿宋"/>
          <w:color w:val="auto"/>
          <w:kern w:val="2"/>
          <w:sz w:val="24"/>
          <w:szCs w:val="24"/>
        </w:rPr>
      </w:pPr>
      <w:r>
        <w:rPr>
          <w:rFonts w:hint="eastAsia" w:ascii="仿宋" w:hAnsi="仿宋" w:eastAsia="仿宋" w:cs="仿宋"/>
          <w:sz w:val="24"/>
          <w:szCs w:val="24"/>
          <w:lang w:val="en-US" w:eastAsia="zh-CN"/>
        </w:rPr>
        <w:t>▲</w:t>
      </w:r>
      <w:r>
        <w:rPr>
          <w:rFonts w:hint="eastAsia" w:ascii="仿宋" w:hAnsi="仿宋" w:eastAsia="仿宋" w:cs="仿宋"/>
          <w:color w:val="auto"/>
          <w:kern w:val="2"/>
          <w:sz w:val="24"/>
          <w:szCs w:val="24"/>
          <w:lang w:val="en-US" w:eastAsia="zh-CN"/>
        </w:rPr>
        <w:t>5</w:t>
      </w:r>
      <w:r>
        <w:rPr>
          <w:rFonts w:hint="eastAsia" w:ascii="仿宋" w:hAnsi="仿宋" w:eastAsia="仿宋" w:cs="仿宋"/>
          <w:sz w:val="24"/>
          <w:szCs w:val="24"/>
        </w:rPr>
        <w:t>、光斑</w:t>
      </w:r>
      <w:r>
        <w:rPr>
          <w:rFonts w:hint="eastAsia" w:ascii="仿宋" w:hAnsi="仿宋" w:eastAsia="仿宋" w:cs="仿宋"/>
          <w:color w:val="auto"/>
          <w:kern w:val="2"/>
          <w:sz w:val="24"/>
          <w:szCs w:val="24"/>
        </w:rPr>
        <w:t>直径</w:t>
      </w:r>
      <w:r>
        <w:rPr>
          <w:rFonts w:hint="eastAsia" w:ascii="仿宋" w:hAnsi="仿宋" w:eastAsia="仿宋" w:cs="仿宋"/>
          <w:sz w:val="24"/>
          <w:szCs w:val="24"/>
        </w:rPr>
        <w:t>调节范围</w:t>
      </w:r>
      <w:r>
        <w:rPr>
          <w:rFonts w:hint="eastAsia" w:ascii="仿宋" w:hAnsi="仿宋" w:eastAsia="仿宋" w:cs="仿宋"/>
          <w:color w:val="auto"/>
          <w:kern w:val="2"/>
          <w:sz w:val="24"/>
          <w:szCs w:val="24"/>
        </w:rPr>
        <w:t>：3</w:t>
      </w:r>
      <w:r>
        <w:rPr>
          <w:rFonts w:hint="eastAsia" w:ascii="仿宋" w:hAnsi="仿宋" w:eastAsia="仿宋" w:cs="仿宋"/>
          <w:color w:val="auto"/>
          <w:kern w:val="2"/>
          <w:sz w:val="24"/>
          <w:szCs w:val="24"/>
          <w:lang w:val="en-US" w:eastAsia="zh-CN"/>
        </w:rPr>
        <w:t>-</w:t>
      </w:r>
      <w:r>
        <w:rPr>
          <w:rFonts w:hint="eastAsia" w:ascii="仿宋" w:hAnsi="仿宋" w:eastAsia="仿宋" w:cs="仿宋"/>
          <w:color w:val="auto"/>
          <w:kern w:val="2"/>
          <w:sz w:val="24"/>
          <w:szCs w:val="24"/>
        </w:rPr>
        <w:t>12mm</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可调</w:t>
      </w:r>
      <w:r>
        <w:rPr>
          <w:rFonts w:hint="eastAsia" w:ascii="仿宋" w:hAnsi="仿宋" w:eastAsia="仿宋" w:cs="仿宋"/>
          <w:sz w:val="24"/>
          <w:szCs w:val="24"/>
        </w:rPr>
        <w:t>。</w:t>
      </w:r>
    </w:p>
    <w:p w14:paraId="730C9D58">
      <w:pPr>
        <w:widowControl w:val="0"/>
        <w:tabs>
          <w:tab w:val="left" w:pos="2216"/>
          <w:tab w:val="left" w:pos="5387"/>
          <w:tab w:val="left" w:pos="7230"/>
        </w:tabs>
        <w:spacing w:line="360" w:lineRule="auto"/>
        <w:ind w:left="0" w:leftChars="0"/>
        <w:jc w:val="left"/>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6</w:t>
      </w:r>
      <w:r>
        <w:rPr>
          <w:rFonts w:hint="eastAsia" w:ascii="仿宋" w:hAnsi="仿宋" w:eastAsia="仿宋" w:cs="仿宋"/>
          <w:sz w:val="24"/>
          <w:szCs w:val="24"/>
        </w:rPr>
        <w:t>、控制系统：</w:t>
      </w:r>
    </w:p>
    <w:p w14:paraId="62C6CB97">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rPr>
      </w:pPr>
      <w:r>
        <w:rPr>
          <w:rFonts w:hint="eastAsia" w:ascii="仿宋" w:hAnsi="仿宋" w:eastAsia="仿宋" w:cs="仿宋"/>
          <w:color w:val="auto"/>
          <w:kern w:val="2"/>
          <w:sz w:val="24"/>
          <w:szCs w:val="24"/>
          <w:lang w:val="en-US" w:eastAsia="zh-CN"/>
        </w:rPr>
        <w:t>6</w:t>
      </w:r>
      <w:r>
        <w:rPr>
          <w:rFonts w:hint="eastAsia" w:ascii="仿宋" w:hAnsi="仿宋" w:eastAsia="仿宋" w:cs="仿宋"/>
          <w:sz w:val="24"/>
          <w:szCs w:val="24"/>
        </w:rPr>
        <w:t>.1、彩色液晶触摸显示屏≥10 英寸</w:t>
      </w:r>
    </w:p>
    <w:p w14:paraId="76255EAF">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6.2、</w:t>
      </w:r>
      <w:r>
        <w:rPr>
          <w:rFonts w:hint="eastAsia" w:ascii="仿宋" w:hAnsi="仿宋" w:eastAsia="仿宋" w:cs="仿宋"/>
          <w:sz w:val="24"/>
          <w:szCs w:val="24"/>
        </w:rPr>
        <w:t>分辨率≥1920×1200</w:t>
      </w:r>
      <w:r>
        <w:rPr>
          <w:rFonts w:hint="eastAsia" w:ascii="仿宋" w:hAnsi="仿宋" w:eastAsia="仿宋" w:cs="仿宋"/>
          <w:sz w:val="24"/>
          <w:szCs w:val="24"/>
          <w:lang w:eastAsia="zh-CN"/>
        </w:rPr>
        <w:t>。</w:t>
      </w:r>
    </w:p>
    <w:p w14:paraId="154446FE">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▲6.3、含</w:t>
      </w:r>
      <w:r>
        <w:rPr>
          <w:rFonts w:hint="eastAsia" w:ascii="仿宋" w:hAnsi="仿宋" w:eastAsia="仿宋" w:cs="仿宋"/>
          <w:sz w:val="24"/>
          <w:szCs w:val="24"/>
        </w:rPr>
        <w:t>中文操作界面</w:t>
      </w:r>
      <w:r>
        <w:rPr>
          <w:rFonts w:hint="eastAsia" w:ascii="仿宋" w:hAnsi="仿宋" w:eastAsia="仿宋" w:cs="仿宋"/>
          <w:sz w:val="24"/>
          <w:szCs w:val="24"/>
          <w:lang w:eastAsia="zh-CN"/>
        </w:rPr>
        <w:t>。</w:t>
      </w:r>
    </w:p>
    <w:p w14:paraId="3F8FD4FD">
      <w:pPr>
        <w:widowControl w:val="0"/>
        <w:tabs>
          <w:tab w:val="left" w:pos="2216"/>
          <w:tab w:val="left" w:pos="5387"/>
          <w:tab w:val="left" w:pos="7230"/>
        </w:tabs>
        <w:spacing w:line="360" w:lineRule="auto"/>
        <w:ind w:left="0" w:leftChars="0"/>
        <w:jc w:val="left"/>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6</w:t>
      </w: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、具备</w:t>
      </w:r>
      <w:r>
        <w:rPr>
          <w:rFonts w:hint="eastAsia" w:ascii="仿宋" w:hAnsi="仿宋" w:eastAsia="仿宋" w:cs="仿宋"/>
          <w:color w:val="auto"/>
          <w:kern w:val="2"/>
          <w:sz w:val="24"/>
          <w:szCs w:val="24"/>
        </w:rPr>
        <w:t>USB</w:t>
      </w:r>
      <w:r>
        <w:rPr>
          <w:rFonts w:hint="eastAsia" w:ascii="仿宋" w:hAnsi="仿宋" w:eastAsia="仿宋" w:cs="仿宋"/>
          <w:sz w:val="24"/>
          <w:szCs w:val="24"/>
        </w:rPr>
        <w:t>接口，</w:t>
      </w:r>
      <w:r>
        <w:rPr>
          <w:rFonts w:hint="eastAsia" w:ascii="仿宋" w:hAnsi="仿宋" w:eastAsia="仿宋" w:cs="仿宋"/>
          <w:color w:val="auto"/>
          <w:kern w:val="2"/>
          <w:sz w:val="24"/>
          <w:szCs w:val="24"/>
        </w:rPr>
        <w:t>可实时储存、导出、打印治疗报告。</w:t>
      </w:r>
    </w:p>
    <w:p w14:paraId="11CEB53D">
      <w:pPr>
        <w:tabs>
          <w:tab w:val="left" w:pos="2216"/>
          <w:tab w:val="left" w:pos="5387"/>
          <w:tab w:val="left" w:pos="7230"/>
        </w:tabs>
        <w:spacing w:line="360" w:lineRule="auto"/>
        <w:jc w:val="left"/>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、内置摄像系统，可通过触摸屏实时观测治疗状态。</w:t>
      </w:r>
    </w:p>
    <w:p w14:paraId="6E21B4AA">
      <w:pPr>
        <w:tabs>
          <w:tab w:val="left" w:pos="2216"/>
          <w:tab w:val="left" w:pos="5387"/>
          <w:tab w:val="left" w:pos="7230"/>
        </w:tabs>
        <w:spacing w:line="360" w:lineRule="auto"/>
        <w:jc w:val="left"/>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、带滑轮可移动。</w:t>
      </w:r>
    </w:p>
    <w:p w14:paraId="4FCC3A4B">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、基座直径：≥60cm；</w:t>
      </w:r>
    </w:p>
    <w:p w14:paraId="2A51E2E2">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高度≤1</w:t>
      </w:r>
      <w:r>
        <w:rPr>
          <w:rFonts w:hint="eastAsia" w:ascii="仿宋" w:hAnsi="仿宋" w:eastAsia="仿宋" w:cs="仿宋"/>
          <w:sz w:val="24"/>
          <w:szCs w:val="24"/>
          <w:lang w:val="en-US" w:eastAsia="zh-CN"/>
        </w:rPr>
        <w:t>2</w:t>
      </w:r>
      <w:r>
        <w:rPr>
          <w:rFonts w:hint="eastAsia" w:ascii="仿宋" w:hAnsi="仿宋" w:eastAsia="仿宋" w:cs="仿宋"/>
          <w:sz w:val="24"/>
          <w:szCs w:val="24"/>
        </w:rPr>
        <w:t>0cm。</w:t>
      </w:r>
    </w:p>
    <w:p w14:paraId="339CAED3">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color w:val="auto"/>
          <w:kern w:val="2"/>
          <w:sz w:val="24"/>
          <w:szCs w:val="24"/>
        </w:rPr>
        <w:t>治疗关节臂</w:t>
      </w:r>
      <w:r>
        <w:rPr>
          <w:rFonts w:hint="eastAsia" w:ascii="仿宋" w:hAnsi="仿宋" w:eastAsia="仿宋" w:cs="仿宋"/>
          <w:sz w:val="24"/>
          <w:szCs w:val="24"/>
        </w:rPr>
        <w:t>：</w:t>
      </w:r>
    </w:p>
    <w:p w14:paraId="76D96A75">
      <w:pPr>
        <w:widowControl w:val="0"/>
        <w:tabs>
          <w:tab w:val="left" w:pos="2216"/>
          <w:tab w:val="left" w:pos="5387"/>
          <w:tab w:val="left" w:pos="7230"/>
        </w:tabs>
        <w:spacing w:line="360" w:lineRule="auto"/>
        <w:ind w:left="0" w:leftChars="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延伸最大高度</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lang w:val="en-US" w:eastAsia="zh-CN"/>
        </w:rPr>
        <w:t>130</w:t>
      </w:r>
      <w:r>
        <w:rPr>
          <w:rFonts w:hint="eastAsia" w:ascii="仿宋" w:hAnsi="仿宋" w:eastAsia="仿宋" w:cs="仿宋"/>
          <w:color w:val="auto"/>
          <w:kern w:val="2"/>
          <w:sz w:val="24"/>
          <w:szCs w:val="24"/>
          <w:highlight w:val="none"/>
        </w:rPr>
        <w:t>cm</w:t>
      </w:r>
      <w:r>
        <w:rPr>
          <w:rFonts w:hint="eastAsia" w:ascii="仿宋" w:hAnsi="仿宋" w:eastAsia="仿宋" w:cs="仿宋"/>
          <w:sz w:val="24"/>
          <w:szCs w:val="24"/>
          <w:highlight w:val="none"/>
        </w:rPr>
        <w:t>。</w:t>
      </w:r>
    </w:p>
    <w:p w14:paraId="1EDE2B1E">
      <w:pPr>
        <w:widowControl w:val="0"/>
        <w:tabs>
          <w:tab w:val="left" w:pos="2216"/>
          <w:tab w:val="left" w:pos="5387"/>
          <w:tab w:val="left" w:pos="7230"/>
        </w:tabs>
        <w:spacing w:line="360" w:lineRule="auto"/>
        <w:ind w:left="0" w:leftChars="0"/>
        <w:jc w:val="left"/>
        <w:rPr>
          <w:rFonts w:hint="eastAsia" w:ascii="仿宋" w:hAnsi="仿宋" w:eastAsia="仿宋" w:cs="仿宋"/>
          <w:color w:val="auto"/>
          <w:kern w:val="2"/>
          <w:sz w:val="24"/>
          <w:szCs w:val="24"/>
        </w:rPr>
      </w:pPr>
      <w:r>
        <w:rPr>
          <w:rFonts w:hint="eastAsia" w:ascii="仿宋" w:hAnsi="仿宋" w:eastAsia="仿宋" w:cs="仿宋"/>
          <w:sz w:val="24"/>
          <w:szCs w:val="24"/>
        </w:rPr>
        <w:t>2、</w:t>
      </w:r>
      <w:r>
        <w:rPr>
          <w:rFonts w:hint="eastAsia" w:ascii="仿宋" w:hAnsi="仿宋" w:eastAsia="仿宋" w:cs="仿宋"/>
          <w:color w:val="auto"/>
          <w:kern w:val="2"/>
          <w:sz w:val="24"/>
          <w:szCs w:val="24"/>
        </w:rPr>
        <w:t>最长伸展距离</w:t>
      </w:r>
      <w:r>
        <w:rPr>
          <w:rFonts w:hint="eastAsia" w:ascii="仿宋" w:hAnsi="仿宋" w:eastAsia="仿宋" w:cs="仿宋"/>
          <w:sz w:val="24"/>
          <w:szCs w:val="24"/>
        </w:rPr>
        <w:t>：</w:t>
      </w:r>
      <w:r>
        <w:rPr>
          <w:rFonts w:hint="eastAsia" w:ascii="仿宋" w:hAnsi="仿宋" w:eastAsia="仿宋" w:cs="仿宋"/>
          <w:color w:val="auto"/>
          <w:kern w:val="2"/>
          <w:sz w:val="24"/>
          <w:szCs w:val="24"/>
        </w:rPr>
        <w:t>≥90cm</w:t>
      </w:r>
      <w:r>
        <w:rPr>
          <w:rFonts w:hint="eastAsia" w:ascii="仿宋" w:hAnsi="仿宋" w:eastAsia="仿宋" w:cs="仿宋"/>
          <w:sz w:val="24"/>
          <w:szCs w:val="24"/>
        </w:rPr>
        <w:t>。</w:t>
      </w:r>
    </w:p>
    <w:p w14:paraId="51BE6E8A">
      <w:pPr>
        <w:tabs>
          <w:tab w:val="left" w:pos="2216"/>
          <w:tab w:val="left" w:pos="5387"/>
          <w:tab w:val="left" w:pos="7230"/>
        </w:tabs>
        <w:spacing w:line="360" w:lineRule="auto"/>
        <w:jc w:val="left"/>
        <w:rPr>
          <w:rFonts w:hint="eastAsia" w:ascii="仿宋" w:hAnsi="仿宋" w:eastAsia="仿宋" w:cs="仿宋"/>
          <w:sz w:val="24"/>
          <w:szCs w:val="24"/>
        </w:rPr>
      </w:pPr>
    </w:p>
    <w:p w14:paraId="6098DEE6">
      <w:pPr>
        <w:rPr>
          <w:rFonts w:hint="eastAsia" w:ascii="仿宋" w:hAnsi="仿宋" w:eastAsia="仿宋" w:cs="仿宋"/>
          <w:bCs/>
          <w:sz w:val="24"/>
        </w:rPr>
      </w:pPr>
      <w:r>
        <w:rPr>
          <w:rFonts w:hint="eastAsia" w:ascii="仿宋" w:hAnsi="仿宋" w:eastAsia="仿宋" w:cs="仿宋"/>
          <w:bCs/>
          <w:sz w:val="24"/>
        </w:rPr>
        <w:br w:type="page"/>
      </w:r>
    </w:p>
    <w:p w14:paraId="63F8BFB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bookmarkEnd w:id="22"/>
    <w:bookmarkEnd w:id="23"/>
    <w:p w14:paraId="0BF25D90">
      <w:pPr>
        <w:pStyle w:val="3"/>
        <w:tabs>
          <w:tab w:val="left" w:pos="420"/>
          <w:tab w:val="left" w:pos="900"/>
        </w:tabs>
        <w:spacing w:line="360" w:lineRule="auto"/>
        <w:ind w:left="420" w:leftChars="200"/>
        <w:contextualSpacing/>
        <w:rPr>
          <w:rFonts w:hint="default" w:ascii="仿宋" w:hAnsi="仿宋" w:eastAsia="仿宋" w:cs="仿宋"/>
          <w:bCs/>
          <w:sz w:val="24"/>
          <w:szCs w:val="24"/>
        </w:rPr>
      </w:pPr>
      <w:r>
        <w:rPr>
          <w:rFonts w:ascii="仿宋" w:hAnsi="仿宋" w:eastAsia="仿宋" w:cs="仿宋"/>
          <w:bCs/>
          <w:sz w:val="24"/>
          <w:szCs w:val="24"/>
        </w:rPr>
        <w:t>2.1、投标人应有能力做好售后服务工作和提供技术保障。投标人或投标产品制造商应设有专业的售后服务维修机构，有充足的零件储备和能力相当的技术服务人员，并保证投标产品停产后8年的备件供应。</w:t>
      </w:r>
    </w:p>
    <w:p w14:paraId="323DA7B2">
      <w:pPr>
        <w:pStyle w:val="2"/>
      </w:pPr>
    </w:p>
    <w:p w14:paraId="4BA55FF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63434BE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CD1548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C4E127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2624DE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408882B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3EAD649">
      <w:pPr>
        <w:snapToGrid w:val="0"/>
        <w:spacing w:line="360" w:lineRule="auto"/>
        <w:ind w:firstLine="480" w:firstLineChars="200"/>
        <w:rPr>
          <w:rFonts w:ascii="仿宋" w:hAnsi="仿宋" w:eastAsia="仿宋" w:cs="仿宋"/>
          <w:bCs/>
          <w:sz w:val="24"/>
        </w:rPr>
      </w:pPr>
      <w:bookmarkStart w:id="24"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5" w:name="OLE_LINK56"/>
      <w:bookmarkStart w:id="26" w:name="OLE_LINK55"/>
      <w:r>
        <w:rPr>
          <w:rFonts w:hint="eastAsia" w:ascii="仿宋" w:hAnsi="仿宋" w:eastAsia="仿宋" w:cs="仿宋"/>
          <w:b/>
          <w:bCs/>
          <w:sz w:val="24"/>
        </w:rPr>
        <w:t>投标人</w:t>
      </w:r>
      <w:bookmarkEnd w:id="25"/>
      <w:bookmarkEnd w:id="26"/>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4"/>
    </w:p>
    <w:p w14:paraId="13F9DC61">
      <w:pPr>
        <w:pStyle w:val="2"/>
      </w:pPr>
    </w:p>
    <w:p w14:paraId="70EB740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587BF071">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4.1、技术证明支持材料</w:t>
      </w:r>
    </w:p>
    <w:p w14:paraId="5562E8C9">
      <w:pPr>
        <w:snapToGrid w:val="0"/>
        <w:spacing w:line="360" w:lineRule="auto"/>
        <w:ind w:firstLine="480" w:firstLineChars="200"/>
        <w:rPr>
          <w:rFonts w:ascii="仿宋" w:hAnsi="仿宋" w:eastAsia="仿宋" w:cs="仿宋"/>
          <w:bCs/>
          <w:sz w:val="24"/>
        </w:rPr>
      </w:pPr>
      <w:bookmarkStart w:id="27" w:name="OLE_LINK201"/>
      <w:bookmarkStart w:id="28" w:name="OLE_LINK200"/>
      <w:r>
        <w:rPr>
          <w:rFonts w:hint="eastAsia" w:ascii="仿宋" w:hAnsi="仿宋" w:eastAsia="仿宋" w:cs="仿宋"/>
          <w:bCs/>
          <w:sz w:val="24"/>
        </w:rPr>
        <w:t>4.1.</w:t>
      </w:r>
      <w:bookmarkEnd w:id="27"/>
      <w:bookmarkEnd w:id="28"/>
      <w:r>
        <w:rPr>
          <w:rFonts w:hint="eastAsia" w:ascii="仿宋" w:hAnsi="仿宋" w:eastAsia="仿宋" w:cs="仿宋"/>
          <w:bCs/>
          <w:sz w:val="24"/>
        </w:rPr>
        <w:t>1、对于技术规格中标注“★”号的技术参数代表实质性指标，不满足该指标项将直接导致投标被拒绝。</w:t>
      </w:r>
    </w:p>
    <w:p w14:paraId="6C9BF38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427A95C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4.2、供货及安装要求</w:t>
      </w:r>
      <w:r>
        <w:rPr>
          <w:rFonts w:hint="eastAsia" w:ascii="仿宋" w:hAnsi="仿宋" w:eastAsia="仿宋" w:cs="仿宋"/>
          <w:b/>
          <w:bCs/>
          <w:sz w:val="24"/>
        </w:rPr>
        <w:tab/>
      </w:r>
    </w:p>
    <w:p w14:paraId="47FC59C2">
      <w:pPr>
        <w:snapToGrid w:val="0"/>
        <w:spacing w:line="360" w:lineRule="auto"/>
        <w:ind w:firstLine="480" w:firstLineChars="200"/>
        <w:rPr>
          <w:rFonts w:ascii="仿宋" w:hAnsi="仿宋" w:eastAsia="仿宋" w:cs="仿宋"/>
          <w:bCs/>
          <w:sz w:val="24"/>
        </w:rPr>
      </w:pPr>
      <w:bookmarkStart w:id="29" w:name="OLE_LINK202"/>
      <w:bookmarkStart w:id="30" w:name="OLE_LINK203"/>
      <w:r>
        <w:rPr>
          <w:rFonts w:hint="eastAsia" w:ascii="仿宋" w:hAnsi="仿宋" w:eastAsia="仿宋" w:cs="仿宋"/>
          <w:bCs/>
          <w:sz w:val="24"/>
        </w:rPr>
        <w:t>4.2.1、</w:t>
      </w:r>
      <w:bookmarkEnd w:id="29"/>
      <w:bookmarkEnd w:id="30"/>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318024E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5BF8B1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4.2.3、投标人所提供的部件之间及设备之间的连线或接插件均视为设备内部部件，应包含在相应的配置中。</w:t>
      </w:r>
    </w:p>
    <w:p w14:paraId="0555658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4.2.4、工作条件：除了在技术规格中另有规定外，投标人提供的一切仪器、设备和系统，应符合下列条件：</w:t>
      </w:r>
    </w:p>
    <w:p w14:paraId="31FFA67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4D1591C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0CE0550D">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4.3、</w:t>
      </w:r>
      <w:bookmarkStart w:id="31" w:name="OLE_LINK65"/>
      <w:r>
        <w:rPr>
          <w:rFonts w:hint="eastAsia" w:ascii="仿宋" w:hAnsi="仿宋" w:eastAsia="仿宋" w:cs="仿宋"/>
          <w:b/>
          <w:bCs/>
          <w:sz w:val="24"/>
        </w:rPr>
        <w:t>培训要求</w:t>
      </w:r>
      <w:bookmarkEnd w:id="31"/>
      <w:r>
        <w:rPr>
          <w:rFonts w:hint="eastAsia" w:ascii="仿宋" w:hAnsi="仿宋" w:eastAsia="仿宋" w:cs="仿宋"/>
          <w:b/>
          <w:bCs/>
          <w:sz w:val="24"/>
        </w:rPr>
        <w:t>：</w:t>
      </w:r>
    </w:p>
    <w:p w14:paraId="6249E327">
      <w:pPr>
        <w:tabs>
          <w:tab w:val="left" w:pos="900"/>
        </w:tabs>
        <w:spacing w:line="360" w:lineRule="auto"/>
        <w:ind w:firstLine="480" w:firstLineChars="200"/>
        <w:rPr>
          <w:rFonts w:ascii="仿宋" w:hAnsi="仿宋" w:eastAsia="仿宋"/>
          <w:sz w:val="24"/>
        </w:rPr>
      </w:pPr>
      <w:r>
        <w:rPr>
          <w:rFonts w:hint="eastAsia" w:ascii="仿宋" w:hAnsi="仿宋" w:eastAsia="仿宋"/>
          <w:sz w:val="24"/>
        </w:rPr>
        <w:t>培训是指涉及产品基本原理、安装、调试、操作使用和保养维修等有关内容的学习</w:t>
      </w:r>
      <w:r>
        <w:rPr>
          <w:rFonts w:hint="eastAsia" w:ascii="仿宋" w:hAnsi="仿宋" w:eastAsia="仿宋"/>
          <w:b/>
          <w:sz w:val="24"/>
        </w:rPr>
        <w:t>。</w:t>
      </w:r>
      <w:r>
        <w:rPr>
          <w:rFonts w:hint="eastAsia" w:ascii="仿宋" w:hAnsi="仿宋" w:eastAsia="仿宋"/>
          <w:sz w:val="24"/>
        </w:rPr>
        <w:t>投标人应保证在采购人指定交货地点对每包（品目）最终用户设备操作人员提供不少于1天的免费培训。投标人投标时应提供详细的培训方案（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340134CA">
      <w:pPr>
        <w:pStyle w:val="2"/>
      </w:pPr>
    </w:p>
    <w:p w14:paraId="076A659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66E71F4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24338CE7">
      <w:pPr>
        <w:pStyle w:val="2"/>
        <w:rPr>
          <w:rFonts w:ascii="仿宋" w:hAnsi="仿宋" w:eastAsia="仿宋"/>
        </w:rPr>
      </w:pPr>
    </w:p>
    <w:p w14:paraId="13356039">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21020D1B">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F8E0F5A">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2、货物运抵采购项目（标的）交付的地点后，采购人将在</w:t>
      </w:r>
      <w:r>
        <w:rPr>
          <w:rFonts w:hint="eastAsia" w:ascii="仿宋" w:hAnsi="仿宋" w:eastAsia="仿宋" w:cs="仿宋"/>
          <w:bCs/>
          <w:sz w:val="24"/>
          <w:u w:val="single"/>
        </w:rPr>
        <w:t>30个工作日</w:t>
      </w:r>
      <w:r>
        <w:rPr>
          <w:rFonts w:hint="eastAsia" w:ascii="仿宋" w:hAnsi="仿宋" w:eastAsia="仿宋" w:cs="仿宋"/>
          <w:bCs/>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14:paraId="07EB4146">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3、投标人应负责使所供计量仪器通过计量部门的验收，并承担相关费用（包括运费）。若需要，应在检测期间提供备用仪器，以便不影响采购人的使用。</w:t>
      </w:r>
    </w:p>
    <w:p w14:paraId="05027E1D">
      <w:pPr>
        <w:pStyle w:val="2"/>
        <w:rPr>
          <w:rFonts w:ascii="仿宋" w:hAnsi="仿宋" w:eastAsia="仿宋" w:cs="仿宋"/>
          <w:bCs/>
        </w:rPr>
      </w:pPr>
      <w:r>
        <w:rPr>
          <w:rFonts w:hint="eastAsia" w:ascii="仿宋" w:hAnsi="仿宋" w:eastAsia="仿宋" w:cs="仿宋"/>
          <w:bCs/>
        </w:rPr>
        <w:t>4. 货物验收时，如投标产品为进口产品，投标人须提供相应的进口产品报关单。</w:t>
      </w:r>
    </w:p>
    <w:p w14:paraId="184F84F2">
      <w:pPr>
        <w:pStyle w:val="2"/>
        <w:rPr>
          <w:rFonts w:ascii="仿宋" w:hAnsi="仿宋" w:eastAsia="仿宋" w:cs="仿宋"/>
          <w:bCs/>
        </w:rPr>
      </w:pPr>
    </w:p>
    <w:p w14:paraId="586A5231">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7DD07E40">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bookmarkEnd w:id="0"/>
    <w:bookmarkEnd w:id="1"/>
    <w:p w14:paraId="16AA42CD">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32" w:name="_GoBack"/>
      <w:bookmarkEnd w:id="32"/>
    </w:p>
    <w:p w14:paraId="17B85F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60129E"/>
    <w:multiLevelType w:val="multilevel"/>
    <w:tmpl w:val="1260129E"/>
    <w:lvl w:ilvl="0" w:tentative="0">
      <w:start w:val="2"/>
      <w:numFmt w:val="decimal"/>
      <w:lvlText w:val="%1."/>
      <w:lvlJc w:val="left"/>
      <w:pPr>
        <w:tabs>
          <w:tab w:val="left" w:pos="420"/>
        </w:tabs>
        <w:ind w:left="420" w:hanging="420"/>
      </w:pPr>
      <w:rPr>
        <w:rFonts w:hint="eastAsia" w:cs="Times New Roman"/>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AB9"/>
    <w:rsid w:val="0082178C"/>
    <w:rsid w:val="00C50CD4"/>
    <w:rsid w:val="00D31AB9"/>
    <w:rsid w:val="00DE7788"/>
    <w:rsid w:val="18E55645"/>
    <w:rsid w:val="474B5F6B"/>
    <w:rsid w:val="79B73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autoSpaceDE w:val="0"/>
      <w:autoSpaceDN w:val="0"/>
      <w:adjustRightInd w:val="0"/>
      <w:ind w:firstLine="420"/>
      <w:jc w:val="left"/>
    </w:pPr>
    <w:rPr>
      <w:rFonts w:ascii="宋体"/>
      <w:sz w:val="24"/>
    </w:rPr>
  </w:style>
  <w:style w:type="paragraph" w:styleId="3">
    <w:name w:val="Plain Text"/>
    <w:basedOn w:val="1"/>
    <w:link w:val="10"/>
    <w:qFormat/>
    <w:uiPriority w:val="0"/>
    <w:rPr>
      <w:rFonts w:hint="eastAsia" w:ascii="宋体" w:hAnsi="Courier New"/>
      <w:szCs w:val="20"/>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纯文本 Char"/>
    <w:basedOn w:val="7"/>
    <w:link w:val="3"/>
    <w:qFormat/>
    <w:uiPriority w:val="0"/>
    <w:rPr>
      <w:rFonts w:ascii="宋体" w:hAnsi="Courier New" w:eastAsia="宋体" w:cs="Times New Roman"/>
      <w:szCs w:val="20"/>
    </w:rPr>
  </w:style>
  <w:style w:type="character" w:customStyle="1" w:styleId="11">
    <w:name w:val="正文缩进 Char1"/>
    <w:link w:val="2"/>
    <w:qFormat/>
    <w:uiPriority w:val="0"/>
    <w:rPr>
      <w:rFonts w:ascii="宋体" w:hAnsi="Times New Roman" w:eastAsia="宋体" w:cs="Times New Roman"/>
      <w:sz w:val="24"/>
      <w:szCs w:val="24"/>
    </w:rPr>
  </w:style>
  <w:style w:type="paragraph" w:customStyle="1" w:styleId="12">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6922</Words>
  <Characters>7489</Characters>
  <Lines>73</Lines>
  <Paragraphs>20</Paragraphs>
  <TotalTime>0</TotalTime>
  <ScaleCrop>false</ScaleCrop>
  <LinksUpToDate>false</LinksUpToDate>
  <CharactersWithSpaces>7515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2026-05-13T03:12:00Z</dcterms:created>
  <dc:creator>Lenovo</dc:creator>
  <cp:lastModifiedBy>赵雨辰</cp:lastModifiedBy>
  <dcterms:modified xsi:type="dcterms:W3CDTF">2026-10-29T08:05:01Z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BDDC598492FB4E79B6DB55D2390A6F43_12</vt:lpwstr>
  </property>
</Properties>
</file>