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D5BC3A">
      <w:pPr>
        <w:spacing w:after="160" w:line="360" w:lineRule="auto"/>
        <w:jc w:val="center"/>
        <w:outlineLvl w:val="0"/>
        <w:rPr>
          <w:rFonts w:ascii="Times New Roman" w:hAnsi="Times New Roman" w:eastAsia="宋体" w:cs="Times New Roman"/>
          <w:b/>
          <w:color w:val="auto"/>
          <w:sz w:val="36"/>
          <w:szCs w:val="36"/>
          <w:highlight w:val="none"/>
        </w:rPr>
      </w:pPr>
      <w:bookmarkStart w:id="1" w:name="_GoBack"/>
      <w:r>
        <w:rPr>
          <w:rFonts w:ascii="Times New Roman" w:hAnsi="Times New Roman" w:eastAsia="宋体" w:cs="Times New Roman"/>
          <w:b/>
          <w:color w:val="auto"/>
          <w:sz w:val="36"/>
          <w:szCs w:val="36"/>
          <w:highlight w:val="none"/>
        </w:rPr>
        <w:t>采购需求</w:t>
      </w:r>
    </w:p>
    <w:p w14:paraId="7A86AF14">
      <w:pPr>
        <w:spacing w:after="160" w:line="278" w:lineRule="auto"/>
        <w:jc w:val="center"/>
        <w:rPr>
          <w:rFonts w:ascii="Calibri" w:hAnsi="Calibri" w:eastAsia="宋体" w:cs="Times New Roman"/>
          <w:color w:val="auto"/>
          <w:highlight w:val="none"/>
        </w:rPr>
      </w:pPr>
    </w:p>
    <w:p w14:paraId="1BF78B6D">
      <w:pPr>
        <w:numPr>
          <w:ilvl w:val="0"/>
          <w:numId w:val="1"/>
        </w:numPr>
        <w:adjustRightInd w:val="0"/>
        <w:spacing w:after="160" w:line="360" w:lineRule="auto"/>
        <w:jc w:val="left"/>
        <w:textAlignment w:val="baseline"/>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采购标的</w:t>
      </w:r>
    </w:p>
    <w:p w14:paraId="02ACA380">
      <w:pPr>
        <w:autoSpaceDE w:val="0"/>
        <w:autoSpaceDN w:val="0"/>
        <w:adjustRightInd w:val="0"/>
        <w:spacing w:after="160" w:line="278" w:lineRule="auto"/>
        <w:ind w:firstLine="420"/>
        <w:jc w:val="left"/>
        <w:rPr>
          <w:rFonts w:ascii="宋体" w:hAnsi="Calibri" w:eastAsia="宋体" w:cs="Times New Roman"/>
          <w:color w:val="auto"/>
          <w:kern w:val="0"/>
          <w:sz w:val="24"/>
          <w:szCs w:val="20"/>
          <w:highlight w:val="none"/>
        </w:rPr>
      </w:pPr>
      <w:r>
        <w:rPr>
          <w:rFonts w:ascii="宋体" w:hAnsi="Calibri" w:eastAsia="宋体" w:cs="Times New Roman"/>
          <w:bCs/>
          <w:color w:val="auto"/>
          <w:kern w:val="0"/>
          <w:sz w:val="24"/>
          <w:szCs w:val="20"/>
          <w:highlight w:val="none"/>
        </w:rPr>
        <w:t>1. 采购标的</w:t>
      </w:r>
    </w:p>
    <w:tbl>
      <w:tblPr>
        <w:tblStyle w:val="2"/>
        <w:tblW w:w="86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0"/>
        <w:gridCol w:w="2386"/>
        <w:gridCol w:w="1723"/>
        <w:gridCol w:w="1488"/>
        <w:gridCol w:w="1960"/>
      </w:tblGrid>
      <w:tr w14:paraId="5F49A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060" w:type="dxa"/>
            <w:tcBorders>
              <w:top w:val="single" w:color="auto" w:sz="4" w:space="0"/>
              <w:left w:val="single" w:color="auto" w:sz="4" w:space="0"/>
              <w:bottom w:val="single" w:color="auto" w:sz="4" w:space="0"/>
              <w:right w:val="single" w:color="auto" w:sz="4" w:space="0"/>
            </w:tcBorders>
            <w:vAlign w:val="center"/>
          </w:tcPr>
          <w:p w14:paraId="3409233E">
            <w:pPr>
              <w:adjustRightInd w:val="0"/>
              <w:spacing w:after="160" w:line="360" w:lineRule="auto"/>
              <w:jc w:val="center"/>
              <w:textAlignment w:val="baseline"/>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序号</w:t>
            </w:r>
          </w:p>
        </w:tc>
        <w:tc>
          <w:tcPr>
            <w:tcW w:w="2386" w:type="dxa"/>
            <w:tcBorders>
              <w:top w:val="single" w:color="auto" w:sz="4" w:space="0"/>
              <w:left w:val="single" w:color="auto" w:sz="4" w:space="0"/>
              <w:bottom w:val="single" w:color="auto" w:sz="4" w:space="0"/>
              <w:right w:val="single" w:color="auto" w:sz="4" w:space="0"/>
            </w:tcBorders>
            <w:vAlign w:val="center"/>
          </w:tcPr>
          <w:p w14:paraId="5D99CEC6">
            <w:pPr>
              <w:adjustRightInd w:val="0"/>
              <w:spacing w:after="160" w:line="360" w:lineRule="auto"/>
              <w:jc w:val="center"/>
              <w:textAlignment w:val="baseline"/>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服务名称</w:t>
            </w:r>
          </w:p>
        </w:tc>
        <w:tc>
          <w:tcPr>
            <w:tcW w:w="1723" w:type="dxa"/>
            <w:tcBorders>
              <w:top w:val="single" w:color="auto" w:sz="4" w:space="0"/>
              <w:left w:val="single" w:color="auto" w:sz="4" w:space="0"/>
              <w:bottom w:val="single" w:color="auto" w:sz="4" w:space="0"/>
              <w:right w:val="single" w:color="auto" w:sz="4" w:space="0"/>
            </w:tcBorders>
            <w:vAlign w:val="center"/>
          </w:tcPr>
          <w:p w14:paraId="709E7D2F">
            <w:pPr>
              <w:adjustRightInd w:val="0"/>
              <w:spacing w:after="160" w:line="360" w:lineRule="auto"/>
              <w:jc w:val="center"/>
              <w:textAlignment w:val="baseline"/>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数量</w:t>
            </w:r>
          </w:p>
        </w:tc>
        <w:tc>
          <w:tcPr>
            <w:tcW w:w="1488" w:type="dxa"/>
            <w:tcBorders>
              <w:top w:val="single" w:color="auto" w:sz="4" w:space="0"/>
              <w:left w:val="single" w:color="auto" w:sz="4" w:space="0"/>
              <w:bottom w:val="single" w:color="auto" w:sz="4" w:space="0"/>
              <w:right w:val="single" w:color="auto" w:sz="4" w:space="0"/>
            </w:tcBorders>
            <w:vAlign w:val="center"/>
          </w:tcPr>
          <w:p w14:paraId="0B356C90">
            <w:pPr>
              <w:adjustRightInd w:val="0"/>
              <w:spacing w:after="160" w:line="360" w:lineRule="auto"/>
              <w:jc w:val="center"/>
              <w:textAlignment w:val="baseline"/>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单位</w:t>
            </w:r>
          </w:p>
        </w:tc>
        <w:tc>
          <w:tcPr>
            <w:tcW w:w="1960" w:type="dxa"/>
            <w:tcBorders>
              <w:top w:val="single" w:color="auto" w:sz="4" w:space="0"/>
              <w:left w:val="single" w:color="auto" w:sz="4" w:space="0"/>
              <w:bottom w:val="single" w:color="auto" w:sz="4" w:space="0"/>
              <w:right w:val="single" w:color="auto" w:sz="4" w:space="0"/>
            </w:tcBorders>
            <w:vAlign w:val="center"/>
          </w:tcPr>
          <w:p w14:paraId="1B9286CA">
            <w:pPr>
              <w:adjustRightInd w:val="0"/>
              <w:spacing w:after="160" w:line="360" w:lineRule="auto"/>
              <w:jc w:val="center"/>
              <w:textAlignment w:val="baseline"/>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备注</w:t>
            </w:r>
          </w:p>
        </w:tc>
      </w:tr>
      <w:tr w14:paraId="3B5CA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1060" w:type="dxa"/>
            <w:tcBorders>
              <w:top w:val="single" w:color="auto" w:sz="4" w:space="0"/>
              <w:left w:val="single" w:color="auto" w:sz="4" w:space="0"/>
              <w:bottom w:val="single" w:color="auto" w:sz="4" w:space="0"/>
              <w:right w:val="single" w:color="auto" w:sz="4" w:space="0"/>
            </w:tcBorders>
            <w:vAlign w:val="center"/>
          </w:tcPr>
          <w:p w14:paraId="27E0B41B">
            <w:pPr>
              <w:adjustRightInd w:val="0"/>
              <w:spacing w:after="160" w:line="360" w:lineRule="auto"/>
              <w:jc w:val="center"/>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386" w:type="dxa"/>
            <w:tcBorders>
              <w:top w:val="single" w:color="auto" w:sz="4" w:space="0"/>
              <w:left w:val="single" w:color="auto" w:sz="4" w:space="0"/>
              <w:bottom w:val="single" w:color="auto" w:sz="4" w:space="0"/>
              <w:right w:val="single" w:color="auto" w:sz="4" w:space="0"/>
            </w:tcBorders>
            <w:vAlign w:val="center"/>
          </w:tcPr>
          <w:p w14:paraId="726A26A7">
            <w:pPr>
              <w:adjustRightInd w:val="0"/>
              <w:spacing w:after="160" w:line="360" w:lineRule="auto"/>
              <w:jc w:val="center"/>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物业管理服务</w:t>
            </w:r>
          </w:p>
        </w:tc>
        <w:tc>
          <w:tcPr>
            <w:tcW w:w="1723" w:type="dxa"/>
            <w:tcBorders>
              <w:top w:val="single" w:color="auto" w:sz="4" w:space="0"/>
              <w:left w:val="single" w:color="auto" w:sz="4" w:space="0"/>
              <w:bottom w:val="single" w:color="auto" w:sz="4" w:space="0"/>
              <w:right w:val="single" w:color="auto" w:sz="4" w:space="0"/>
            </w:tcBorders>
            <w:vAlign w:val="center"/>
          </w:tcPr>
          <w:p w14:paraId="6D59D35F">
            <w:pPr>
              <w:adjustRightInd w:val="0"/>
              <w:spacing w:after="160" w:line="360" w:lineRule="auto"/>
              <w:jc w:val="center"/>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1488" w:type="dxa"/>
            <w:tcBorders>
              <w:top w:val="single" w:color="auto" w:sz="4" w:space="0"/>
              <w:left w:val="single" w:color="auto" w:sz="4" w:space="0"/>
              <w:bottom w:val="single" w:color="auto" w:sz="4" w:space="0"/>
              <w:right w:val="single" w:color="auto" w:sz="4" w:space="0"/>
            </w:tcBorders>
            <w:vAlign w:val="center"/>
          </w:tcPr>
          <w:p w14:paraId="2A0EC359">
            <w:pPr>
              <w:adjustRightInd w:val="0"/>
              <w:spacing w:after="160" w:line="360" w:lineRule="auto"/>
              <w:jc w:val="center"/>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项</w:t>
            </w:r>
          </w:p>
        </w:tc>
        <w:tc>
          <w:tcPr>
            <w:tcW w:w="1960" w:type="dxa"/>
            <w:tcBorders>
              <w:top w:val="single" w:color="auto" w:sz="4" w:space="0"/>
              <w:left w:val="single" w:color="auto" w:sz="4" w:space="0"/>
              <w:bottom w:val="single" w:color="auto" w:sz="4" w:space="0"/>
              <w:right w:val="single" w:color="auto" w:sz="4" w:space="0"/>
            </w:tcBorders>
            <w:vAlign w:val="center"/>
          </w:tcPr>
          <w:p w14:paraId="1368ED19">
            <w:pPr>
              <w:adjustRightInd w:val="0"/>
              <w:spacing w:after="160" w:line="360" w:lineRule="auto"/>
              <w:jc w:val="center"/>
              <w:textAlignment w:val="baseline"/>
              <w:rPr>
                <w:rFonts w:hint="eastAsia" w:ascii="宋体" w:hAnsi="宋体" w:eastAsia="宋体" w:cs="宋体"/>
                <w:color w:val="auto"/>
                <w:kern w:val="0"/>
                <w:sz w:val="24"/>
                <w:highlight w:val="none"/>
              </w:rPr>
            </w:pPr>
          </w:p>
        </w:tc>
      </w:tr>
    </w:tbl>
    <w:p w14:paraId="6BB2B878">
      <w:pPr>
        <w:numPr>
          <w:ilvl w:val="0"/>
          <w:numId w:val="2"/>
        </w:numPr>
        <w:adjustRightInd w:val="0"/>
        <w:spacing w:after="160" w:line="360" w:lineRule="auto"/>
        <w:ind w:left="420"/>
        <w:jc w:val="left"/>
        <w:textAlignment w:val="baseline"/>
        <w:rPr>
          <w:rFonts w:ascii="Calibri" w:hAnsi="Calibri" w:eastAsia="宋体" w:cs="Times New Roman"/>
          <w:bCs/>
          <w:color w:val="auto"/>
          <w:kern w:val="0"/>
          <w:sz w:val="24"/>
          <w:szCs w:val="22"/>
          <w:highlight w:val="none"/>
        </w:rPr>
      </w:pPr>
      <w:r>
        <w:rPr>
          <w:rFonts w:ascii="Calibri" w:hAnsi="Calibri" w:eastAsia="宋体" w:cs="Times New Roman"/>
          <w:bCs/>
          <w:color w:val="auto"/>
          <w:kern w:val="0"/>
          <w:sz w:val="24"/>
          <w:szCs w:val="22"/>
          <w:highlight w:val="none"/>
        </w:rPr>
        <w:t>项目背景/项目概述</w:t>
      </w:r>
    </w:p>
    <w:p w14:paraId="425BB8E6">
      <w:pPr>
        <w:autoSpaceDE w:val="0"/>
        <w:autoSpaceDN w:val="0"/>
        <w:adjustRightInd w:val="0"/>
        <w:spacing w:after="160"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 w:val="24"/>
          <w:highlight w:val="none"/>
        </w:rPr>
        <w:t>北京市儿童福利院位于北京市海淀区清河镇三街52号，占地面积约35936.9平米，建筑面积24084.28平方米、绿化面积约为1.1万平方米、建筑物共有13栋。基础设施配套有电梯、高压配电室、太阳能热水系统、中央空调机组等设施设备</w:t>
      </w:r>
      <w:r>
        <w:rPr>
          <w:rFonts w:hint="eastAsia" w:ascii="宋体" w:hAnsi="宋体" w:eastAsia="宋体" w:cs="宋体"/>
          <w:color w:val="auto"/>
          <w:kern w:val="0"/>
          <w:szCs w:val="21"/>
          <w:highlight w:val="none"/>
        </w:rPr>
        <w:t>。</w:t>
      </w:r>
    </w:p>
    <w:p w14:paraId="53D11935">
      <w:pPr>
        <w:numPr>
          <w:ilvl w:val="0"/>
          <w:numId w:val="1"/>
        </w:numPr>
        <w:adjustRightInd w:val="0"/>
        <w:spacing w:after="160" w:line="360" w:lineRule="auto"/>
        <w:jc w:val="left"/>
        <w:textAlignment w:val="baseline"/>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商务要求</w:t>
      </w:r>
    </w:p>
    <w:p w14:paraId="17C0F54D">
      <w:pPr>
        <w:spacing w:after="160" w:line="360" w:lineRule="auto"/>
        <w:ind w:firstLine="480" w:firstLineChars="200"/>
        <w:contextualSpacing/>
        <w:rPr>
          <w:rFonts w:ascii="Calibri" w:hAnsi="Calibri" w:eastAsia="宋体" w:cs="Times New Roman"/>
          <w:i/>
          <w:color w:val="auto"/>
          <w:sz w:val="24"/>
          <w:highlight w:val="none"/>
        </w:rPr>
      </w:pPr>
      <w:r>
        <w:rPr>
          <w:rFonts w:ascii="Calibri" w:hAnsi="Calibri" w:eastAsia="宋体" w:cs="Times New Roman"/>
          <w:color w:val="auto"/>
          <w:sz w:val="24"/>
          <w:highlight w:val="none"/>
        </w:rPr>
        <w:t>1. 交付（实施）的时间（期限）和地点（范围）</w:t>
      </w:r>
    </w:p>
    <w:p w14:paraId="608F45CA">
      <w:pPr>
        <w:tabs>
          <w:tab w:val="left" w:pos="1220"/>
        </w:tabs>
        <w:autoSpaceDE w:val="0"/>
        <w:autoSpaceDN w:val="0"/>
        <w:adjustRightInd w:val="0"/>
        <w:spacing w:after="160" w:line="360" w:lineRule="auto"/>
        <w:ind w:right="-42"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服务期限：自合同生效之日起一年。</w:t>
      </w:r>
    </w:p>
    <w:p w14:paraId="737546C6">
      <w:pPr>
        <w:tabs>
          <w:tab w:val="left" w:pos="1220"/>
        </w:tabs>
        <w:autoSpaceDE w:val="0"/>
        <w:autoSpaceDN w:val="0"/>
        <w:adjustRightInd w:val="0"/>
        <w:spacing w:after="160" w:line="360" w:lineRule="auto"/>
        <w:ind w:right="-42"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服务地点：北京市儿童福利院内。</w:t>
      </w:r>
    </w:p>
    <w:p w14:paraId="75290573">
      <w:pPr>
        <w:spacing w:after="160" w:line="360" w:lineRule="auto"/>
        <w:ind w:firstLine="480" w:firstLineChars="200"/>
        <w:contextualSpacing/>
        <w:rPr>
          <w:rFonts w:ascii="Calibri" w:hAnsi="Calibri" w:eastAsia="宋体" w:cs="Times New Roman"/>
          <w:color w:val="auto"/>
          <w:sz w:val="24"/>
          <w:highlight w:val="none"/>
        </w:rPr>
      </w:pPr>
      <w:r>
        <w:rPr>
          <w:rFonts w:ascii="Calibri" w:hAnsi="Calibri" w:eastAsia="宋体" w:cs="Times New Roman"/>
          <w:color w:val="auto"/>
          <w:sz w:val="24"/>
          <w:highlight w:val="none"/>
        </w:rPr>
        <w:t>2. 付款条件（进度和方式）</w:t>
      </w:r>
    </w:p>
    <w:p w14:paraId="41C2FFCB">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2.1本项目物业服务费按季度支付。采购人在每次支付前需对当季服务进行验收，填写《服务类政府采购项目履约验收单》，采购人完成验收且收到中标人开具的等额法定税务发票后10个工作日内支付相关款项。</w:t>
      </w:r>
    </w:p>
    <w:p w14:paraId="70DBE1B0">
      <w:pPr>
        <w:adjustRightInd w:val="0"/>
        <w:spacing w:after="160" w:line="360" w:lineRule="auto"/>
        <w:ind w:firstLine="480" w:firstLineChars="200"/>
        <w:jc w:val="left"/>
        <w:textAlignment w:val="baseline"/>
        <w:rPr>
          <w:rFonts w:hint="eastAsia" w:ascii="宋体" w:hAnsi="宋体" w:eastAsia="宋体" w:cs="宋体"/>
          <w:color w:val="auto"/>
          <w:kern w:val="0"/>
          <w:szCs w:val="21"/>
          <w:highlight w:val="none"/>
        </w:rPr>
      </w:pPr>
      <w:r>
        <w:rPr>
          <w:rFonts w:hint="eastAsia" w:ascii="宋体" w:hAnsi="宋体" w:eastAsia="宋体" w:cs="宋体"/>
          <w:color w:val="auto"/>
          <w:kern w:val="0"/>
          <w:sz w:val="24"/>
          <w:highlight w:val="none"/>
        </w:rPr>
        <w:t>2.</w:t>
      </w:r>
      <w:r>
        <w:rPr>
          <w:rFonts w:ascii="宋体" w:hAnsi="宋体" w:eastAsia="宋体" w:cs="宋体"/>
          <w:color w:val="auto"/>
          <w:kern w:val="0"/>
          <w:sz w:val="24"/>
          <w:highlight w:val="none"/>
        </w:rPr>
        <w:t>2</w:t>
      </w:r>
      <w:r>
        <w:rPr>
          <w:rFonts w:hint="eastAsia" w:ascii="宋体" w:hAnsi="宋体" w:eastAsia="宋体" w:cs="宋体"/>
          <w:color w:val="auto"/>
          <w:kern w:val="0"/>
          <w:sz w:val="24"/>
          <w:highlight w:val="none"/>
        </w:rPr>
        <w:t>采购人每次付款前，中标人应向采购人开具等额税务发票。中标人不开具发票或开具的发票不符合要求的，采购人有权迟延付款，不承担任何违约责任，并且有权要求中标人承担相应的违约责任，但中标人的各项合同义务仍应按合同约定履行。</w:t>
      </w:r>
    </w:p>
    <w:p w14:paraId="3E6E2010">
      <w:pPr>
        <w:autoSpaceDE w:val="0"/>
        <w:autoSpaceDN w:val="0"/>
        <w:adjustRightInd w:val="0"/>
        <w:spacing w:after="160" w:line="360" w:lineRule="auto"/>
        <w:jc w:val="left"/>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三、技术要求</w:t>
      </w:r>
    </w:p>
    <w:p w14:paraId="21D0DADC">
      <w:pPr>
        <w:spacing w:after="160" w:line="360" w:lineRule="auto"/>
        <w:ind w:firstLine="480" w:firstLineChars="200"/>
        <w:contextualSpacing/>
        <w:rPr>
          <w:rFonts w:ascii="Calibri" w:hAnsi="Calibri" w:eastAsia="宋体" w:cs="Times New Roman"/>
          <w:color w:val="auto"/>
          <w:sz w:val="24"/>
          <w:highlight w:val="none"/>
        </w:rPr>
      </w:pPr>
      <w:r>
        <w:rPr>
          <w:rFonts w:ascii="Calibri" w:hAnsi="Calibri" w:eastAsia="宋体" w:cs="Times New Roman"/>
          <w:color w:val="auto"/>
          <w:sz w:val="24"/>
          <w:highlight w:val="none"/>
        </w:rPr>
        <w:t>1. 基本要求</w:t>
      </w:r>
    </w:p>
    <w:p w14:paraId="6468E39D">
      <w:pPr>
        <w:spacing w:after="160" w:line="360" w:lineRule="auto"/>
        <w:ind w:firstLine="480" w:firstLineChars="200"/>
        <w:contextualSpacing/>
        <w:rPr>
          <w:rFonts w:ascii="Calibri" w:hAnsi="Calibri" w:eastAsia="宋体" w:cs="Times New Roman"/>
          <w:color w:val="auto"/>
          <w:sz w:val="24"/>
          <w:highlight w:val="none"/>
        </w:rPr>
      </w:pPr>
      <w:r>
        <w:rPr>
          <w:rFonts w:ascii="Calibri" w:hAnsi="Calibri" w:eastAsia="宋体" w:cs="Times New Roman"/>
          <w:color w:val="auto"/>
          <w:sz w:val="24"/>
          <w:highlight w:val="none"/>
        </w:rPr>
        <w:t>1.1 采购标的需实现的功能或者目标</w:t>
      </w:r>
    </w:p>
    <w:p w14:paraId="26F0F8FF">
      <w:pPr>
        <w:adjustRightInd w:val="0"/>
        <w:spacing w:after="160" w:line="360" w:lineRule="auto"/>
        <w:ind w:firstLine="480" w:firstLineChars="200"/>
        <w:contextualSpacing/>
        <w:jc w:val="left"/>
        <w:textAlignment w:val="baseline"/>
        <w:rPr>
          <w:rFonts w:hint="eastAsia" w:ascii="宋体" w:hAnsi="宋体" w:eastAsia="宋体" w:cs="宋体"/>
          <w:b/>
          <w:bCs/>
          <w:color w:val="auto"/>
          <w:kern w:val="0"/>
          <w:szCs w:val="21"/>
          <w:highlight w:val="none"/>
        </w:rPr>
      </w:pPr>
      <w:r>
        <w:rPr>
          <w:rFonts w:hint="eastAsia" w:ascii="宋体" w:hAnsi="宋体" w:eastAsia="宋体" w:cs="宋体"/>
          <w:color w:val="auto"/>
          <w:kern w:val="0"/>
          <w:sz w:val="24"/>
          <w:highlight w:val="none"/>
        </w:rPr>
        <w:t>以包清工的方式为采购人提供物业管理服务，做好日常各项工作运行、检查、整改等记录资料归档工作，同时配合采购人做好上级及属地相关部门行政安全检查等工作需实现的功能，具体如下：</w:t>
      </w:r>
    </w:p>
    <w:p w14:paraId="058D04E4">
      <w:pPr>
        <w:autoSpaceDE w:val="0"/>
        <w:autoSpaceDN w:val="0"/>
        <w:adjustRightInd w:val="0"/>
        <w:spacing w:after="160"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（1）房屋外观：完好率95%以上；</w:t>
      </w:r>
    </w:p>
    <w:p w14:paraId="0E013F6D">
      <w:pPr>
        <w:autoSpaceDE w:val="0"/>
        <w:autoSpaceDN w:val="0"/>
        <w:adjustRightInd w:val="0"/>
        <w:spacing w:after="160"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（2）设备运行：设备运行率95%；</w:t>
      </w:r>
    </w:p>
    <w:p w14:paraId="60EAEC99">
      <w:pPr>
        <w:autoSpaceDE w:val="0"/>
        <w:autoSpaceDN w:val="0"/>
        <w:adjustRightInd w:val="0"/>
        <w:spacing w:after="160"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（3）房屋及设施、设备的维修、养护：及时到位，完好率95%以上；</w:t>
      </w:r>
    </w:p>
    <w:p w14:paraId="2F8385AC">
      <w:pPr>
        <w:autoSpaceDE w:val="0"/>
        <w:autoSpaceDN w:val="0"/>
        <w:adjustRightInd w:val="0"/>
        <w:spacing w:after="160"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（4）公共环境和绿化管理：达到北京市有关标准要求；</w:t>
      </w:r>
    </w:p>
    <w:p w14:paraId="63ABD406">
      <w:pPr>
        <w:autoSpaceDE w:val="0"/>
        <w:autoSpaceDN w:val="0"/>
        <w:adjustRightInd w:val="0"/>
        <w:spacing w:after="160"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（5）杜绝刑事案件、火灾事故、质量事故的发生；</w:t>
      </w:r>
    </w:p>
    <w:p w14:paraId="51F1E164">
      <w:pPr>
        <w:autoSpaceDE w:val="0"/>
        <w:autoSpaceDN w:val="0"/>
        <w:adjustRightInd w:val="0"/>
        <w:spacing w:after="160"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（6）小修、急修：及时率100%；</w:t>
      </w:r>
    </w:p>
    <w:p w14:paraId="476092CB">
      <w:pPr>
        <w:autoSpaceDE w:val="0"/>
        <w:autoSpaceDN w:val="0"/>
        <w:adjustRightInd w:val="0"/>
        <w:spacing w:after="160"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（7）解决投诉及时率和处理率为100%；</w:t>
      </w:r>
    </w:p>
    <w:p w14:paraId="5EEC4AF0">
      <w:pPr>
        <w:autoSpaceDE w:val="0"/>
        <w:autoSpaceDN w:val="0"/>
        <w:adjustRightInd w:val="0"/>
        <w:spacing w:after="160"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（8）满意度调查需达到100％。</w:t>
      </w:r>
    </w:p>
    <w:p w14:paraId="2A03C72F">
      <w:pPr>
        <w:autoSpaceDE w:val="0"/>
        <w:autoSpaceDN w:val="0"/>
        <w:adjustRightInd w:val="0"/>
        <w:spacing w:after="160"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（9）采购人交办的其他临时性工作。</w:t>
      </w:r>
    </w:p>
    <w:p w14:paraId="6DFD226C">
      <w:pPr>
        <w:spacing w:after="160" w:line="360" w:lineRule="auto"/>
        <w:ind w:firstLine="480" w:firstLineChars="200"/>
        <w:contextualSpacing/>
        <w:rPr>
          <w:rFonts w:ascii="Calibri" w:hAnsi="Calibri" w:eastAsia="宋体" w:cs="Times New Roman"/>
          <w:color w:val="auto"/>
          <w:sz w:val="24"/>
          <w:highlight w:val="none"/>
        </w:rPr>
      </w:pPr>
      <w:r>
        <w:rPr>
          <w:rFonts w:ascii="Calibri" w:hAnsi="Calibri" w:eastAsia="宋体" w:cs="Times New Roman"/>
          <w:color w:val="auto"/>
          <w:sz w:val="24"/>
          <w:highlight w:val="none"/>
        </w:rPr>
        <w:t>1.2 需执行的国家相关标准、行业标准、地方标准或者其他标准、规范</w:t>
      </w:r>
    </w:p>
    <w:p w14:paraId="231E8CF6">
      <w:pPr>
        <w:spacing w:after="160" w:line="360" w:lineRule="auto"/>
        <w:ind w:firstLine="480" w:firstLineChars="200"/>
        <w:contextualSpacing/>
        <w:rPr>
          <w:rFonts w:ascii="Calibri" w:hAnsi="Calibri" w:eastAsia="宋体" w:cs="Times New Roman"/>
          <w:color w:val="auto"/>
          <w:sz w:val="24"/>
          <w:highlight w:val="none"/>
        </w:rPr>
      </w:pPr>
      <w:r>
        <w:rPr>
          <w:rFonts w:ascii="Times New Roman" w:hAnsi="Times New Roman" w:eastAsia="宋体" w:cs="Times New Roman"/>
          <w:color w:val="auto"/>
          <w:sz w:val="24"/>
          <w:highlight w:val="none"/>
        </w:rPr>
        <w:t>《物业管理条例》</w:t>
      </w:r>
      <w:r>
        <w:rPr>
          <w:rFonts w:hint="eastAsia" w:ascii="Calibri" w:hAnsi="Calibri" w:eastAsia="宋体" w:cs="Times New Roman"/>
          <w:color w:val="auto"/>
          <w:sz w:val="24"/>
          <w:highlight w:val="none"/>
        </w:rPr>
        <w:t>（2018修正）</w:t>
      </w:r>
      <w:r>
        <w:rPr>
          <w:rFonts w:ascii="Times New Roman" w:hAnsi="Times New Roman" w:eastAsia="宋体" w:cs="Times New Roman"/>
          <w:color w:val="auto"/>
          <w:sz w:val="24"/>
          <w:highlight w:val="none"/>
        </w:rPr>
        <w:t>中华人民共和国国务院令第379号</w:t>
      </w:r>
      <w:r>
        <w:rPr>
          <w:rFonts w:ascii="Calibri" w:hAnsi="Calibri" w:eastAsia="宋体" w:cs="Times New Roman"/>
          <w:color w:val="auto"/>
          <w:sz w:val="24"/>
          <w:highlight w:val="none"/>
        </w:rPr>
        <w:t>、《北京市物业管理条例》（2024修正）</w:t>
      </w:r>
      <w:r>
        <w:rPr>
          <w:rFonts w:hint="eastAsia" w:ascii="Calibri" w:hAnsi="Calibri" w:eastAsia="宋体" w:cs="Times New Roman"/>
          <w:color w:val="auto"/>
          <w:sz w:val="24"/>
          <w:highlight w:val="none"/>
        </w:rPr>
        <w:t>、</w:t>
      </w:r>
      <w:r>
        <w:rPr>
          <w:rFonts w:ascii="Calibri" w:hAnsi="Calibri" w:eastAsia="宋体" w:cs="Times New Roman"/>
          <w:color w:val="auto"/>
          <w:sz w:val="24"/>
          <w:highlight w:val="none"/>
        </w:rPr>
        <w:t>北京市发展和改革委员会等12部门关于印发北京市进一步强化节能实施方案（2024年版）的通知[京发改〔2024〕182号]</w:t>
      </w:r>
      <w:r>
        <w:rPr>
          <w:rFonts w:hint="eastAsia" w:ascii="Calibri" w:hAnsi="Calibri" w:eastAsia="宋体" w:cs="Times New Roman"/>
          <w:color w:val="auto"/>
          <w:sz w:val="24"/>
          <w:highlight w:val="none"/>
        </w:rPr>
        <w:t>等。</w:t>
      </w:r>
    </w:p>
    <w:p w14:paraId="6612796E">
      <w:pPr>
        <w:spacing w:after="160" w:line="360" w:lineRule="auto"/>
        <w:ind w:firstLine="480" w:firstLineChars="200"/>
        <w:contextualSpacing/>
        <w:rPr>
          <w:rFonts w:ascii="Calibri" w:hAnsi="Calibri" w:eastAsia="宋体" w:cs="Times New Roman"/>
          <w:color w:val="auto"/>
          <w:sz w:val="24"/>
          <w:highlight w:val="none"/>
        </w:rPr>
      </w:pPr>
      <w:r>
        <w:rPr>
          <w:rFonts w:hint="eastAsia" w:ascii="Calibri" w:hAnsi="Calibri" w:eastAsia="宋体" w:cs="Times New Roman"/>
          <w:color w:val="auto"/>
          <w:sz w:val="24"/>
          <w:highlight w:val="none"/>
        </w:rPr>
        <w:t>2.服务内容及要求</w:t>
      </w:r>
    </w:p>
    <w:p w14:paraId="6DC95669">
      <w:pPr>
        <w:adjustRightInd w:val="0"/>
        <w:spacing w:after="160" w:line="360" w:lineRule="auto"/>
        <w:ind w:firstLine="360" w:firstLineChars="150"/>
        <w:jc w:val="left"/>
        <w:textAlignment w:val="baseline"/>
        <w:rPr>
          <w:rFonts w:hint="eastAsia" w:ascii="宋体" w:hAnsi="宋体" w:eastAsia="宋体" w:cs="宋体"/>
          <w:color w:val="auto"/>
          <w:kern w:val="0"/>
          <w:szCs w:val="21"/>
          <w:highlight w:val="none"/>
        </w:rPr>
      </w:pPr>
      <w:r>
        <w:rPr>
          <w:rFonts w:ascii="Calibri" w:hAnsi="Calibri" w:eastAsia="宋体" w:cs="Times New Roman"/>
          <w:color w:val="auto"/>
          <w:sz w:val="24"/>
          <w:highlight w:val="none"/>
        </w:rPr>
        <w:t>2.</w:t>
      </w:r>
      <w:r>
        <w:rPr>
          <w:rFonts w:hint="eastAsia" w:ascii="Calibri" w:hAnsi="Calibri" w:eastAsia="宋体" w:cs="Times New Roman"/>
          <w:color w:val="auto"/>
          <w:sz w:val="24"/>
          <w:highlight w:val="none"/>
        </w:rPr>
        <w:t>1</w:t>
      </w:r>
      <w:r>
        <w:rPr>
          <w:rFonts w:ascii="Calibri" w:hAnsi="Calibri" w:eastAsia="宋体" w:cs="Times New Roman"/>
          <w:color w:val="auto"/>
          <w:sz w:val="24"/>
          <w:highlight w:val="none"/>
        </w:rPr>
        <w:t>采购标的需满足的服务标准、期限、效率等要求</w:t>
      </w:r>
    </w:p>
    <w:p w14:paraId="6004F819">
      <w:pPr>
        <w:adjustRightInd w:val="0"/>
        <w:spacing w:after="160" w:line="360" w:lineRule="auto"/>
        <w:ind w:firstLine="360" w:firstLineChars="15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（一）服务内容</w:t>
      </w:r>
    </w:p>
    <w:p w14:paraId="39AEBDF6">
      <w:pPr>
        <w:adjustRightInd w:val="0"/>
        <w:spacing w:after="160" w:line="360" w:lineRule="auto"/>
        <w:ind w:firstLine="360" w:firstLineChars="15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（1）办公及儿童生活所需相关设施、设备日常维修、养护、运行： </w:t>
      </w:r>
    </w:p>
    <w:p w14:paraId="7FBA48E6">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电力系统：配电室运行值班；院内现有电力系统、供电线路、灯具、开关、插座、空开、电表、漏电保护器等所有供电设备的维修维护；配电柜、配电箱、变压器检修、清扫；院区内路灯及景观照明设备维修更换等；配合采购人完成家属院宿舍楼定期查抄电表工作，保证数字准确无误后报行政管理科。</w:t>
      </w:r>
    </w:p>
    <w:p w14:paraId="288BAB26">
      <w:pPr>
        <w:adjustRightInd w:val="0"/>
        <w:spacing w:after="160" w:line="360" w:lineRule="auto"/>
        <w:ind w:firstLine="360" w:firstLineChars="15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2）电梯系统：特种设备年检、维保、日常巡查、卫生保洁等。</w:t>
      </w:r>
    </w:p>
    <w:p w14:paraId="11319392">
      <w:pPr>
        <w:adjustRightInd w:val="0"/>
        <w:spacing w:after="160" w:line="360" w:lineRule="auto"/>
        <w:ind w:firstLine="360" w:firstLineChars="15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3）空调系统：中央空调、分体空调的日常巡查，电源及电源线路安全检查。</w:t>
      </w:r>
    </w:p>
    <w:p w14:paraId="35F6F572">
      <w:pPr>
        <w:adjustRightInd w:val="0"/>
        <w:spacing w:after="160" w:line="360" w:lineRule="auto"/>
        <w:ind w:firstLine="360" w:firstLineChars="15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4）内外线电话：电话线路的检修、调试。</w:t>
      </w:r>
    </w:p>
    <w:p w14:paraId="5E32F319">
      <w:pPr>
        <w:adjustRightInd w:val="0"/>
        <w:spacing w:after="160" w:line="360" w:lineRule="auto"/>
        <w:ind w:firstLine="360" w:firstLineChars="15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5）给、排水系统：负责院区内供排水系统检查维修，保障供水系统、排水管道、污水管道通畅，处理堵漏问题，包括上下水管道、阀门、水笼头开关、卫浴设施维修更换等。</w:t>
      </w:r>
    </w:p>
    <w:p w14:paraId="63A4FA5E">
      <w:pPr>
        <w:adjustRightInd w:val="0"/>
        <w:spacing w:after="160" w:line="360" w:lineRule="auto"/>
        <w:ind w:firstLine="360" w:firstLineChars="15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6）建筑物门、窗、墙面、顶面、地面等日常维修。</w:t>
      </w:r>
    </w:p>
    <w:p w14:paraId="4B25E4C1">
      <w:pPr>
        <w:adjustRightInd w:val="0"/>
        <w:spacing w:after="160" w:line="360" w:lineRule="auto"/>
        <w:ind w:firstLine="360" w:firstLineChars="15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7）办公及儿童生活所需的各类设备检修、维护（桌、椅、凳、床、轮椅等）。</w:t>
      </w:r>
    </w:p>
    <w:p w14:paraId="07C59C94">
      <w:pPr>
        <w:adjustRightInd w:val="0"/>
        <w:spacing w:after="160" w:line="360" w:lineRule="auto"/>
        <w:ind w:firstLine="360" w:firstLineChars="15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8）办公及儿童生活所需的各类电器检修、维护（电视、洗衣机、冰箱、消毒柜等）。</w:t>
      </w:r>
    </w:p>
    <w:p w14:paraId="431492C9">
      <w:pPr>
        <w:adjustRightInd w:val="0"/>
        <w:spacing w:after="160" w:line="360" w:lineRule="auto"/>
        <w:ind w:firstLine="360" w:firstLineChars="15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9）食堂机械设备检查、维护。</w:t>
      </w:r>
    </w:p>
    <w:p w14:paraId="07500BA1">
      <w:pPr>
        <w:adjustRightInd w:val="0"/>
        <w:spacing w:after="160" w:line="360" w:lineRule="auto"/>
        <w:ind w:firstLine="360" w:firstLineChars="15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10）太阳能热水系统：</w:t>
      </w:r>
      <w:r>
        <w:rPr>
          <w:rFonts w:hint="eastAsia" w:ascii="宋体" w:hAnsi="宋体" w:eastAsia="宋体" w:cs="宋体"/>
          <w:color w:val="auto"/>
          <w:kern w:val="0"/>
          <w:sz w:val="24"/>
          <w:highlight w:val="none"/>
        </w:rPr>
        <w:t>设备维保</w:t>
      </w:r>
      <w:r>
        <w:rPr>
          <w:rFonts w:hint="eastAsia" w:ascii="宋体" w:hAnsi="宋体" w:eastAsia="宋体" w:cs="宋体"/>
          <w:color w:val="auto"/>
          <w:kern w:val="0"/>
          <w:sz w:val="24"/>
          <w:highlight w:val="none"/>
        </w:rPr>
        <w:t>、日常巡查、卫生保洁等。</w:t>
      </w:r>
    </w:p>
    <w:p w14:paraId="24DAD477">
      <w:pPr>
        <w:adjustRightInd w:val="0"/>
        <w:spacing w:after="160" w:line="360" w:lineRule="auto"/>
        <w:ind w:firstLine="360" w:firstLineChars="15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11）根据相关规定，物业类零星维修维护项目实施[10万元（不含）以下且不改变主体结构、不影响外立面效果、不改变使用功能、不改变原有规划、消防、人防设计要求的维修、维护、零件或设备更新范畴内项目]。中标人可以包清工的方式为采购人提供维修维护项目，相关维修费用另行计算。</w:t>
      </w:r>
    </w:p>
    <w:p w14:paraId="7A159CD0">
      <w:pPr>
        <w:adjustRightInd w:val="0"/>
        <w:spacing w:after="160" w:line="360" w:lineRule="auto"/>
        <w:ind w:firstLine="360" w:firstLineChars="15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（2）环境卫生：</w:t>
      </w:r>
    </w:p>
    <w:p w14:paraId="2A2DD19F">
      <w:pPr>
        <w:adjustRightInd w:val="0"/>
        <w:spacing w:after="160" w:line="360" w:lineRule="auto"/>
        <w:ind w:firstLine="360" w:firstLineChars="15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1）中标人以包清工的方式为采购人提供保洁服务，采购人承担所需的保洁材料，包括工具、设备、清洁剂、光亮剂、保养剂等。</w:t>
      </w:r>
    </w:p>
    <w:p w14:paraId="3ACF968E">
      <w:pPr>
        <w:adjustRightInd w:val="0"/>
        <w:spacing w:after="160" w:line="360" w:lineRule="auto"/>
        <w:ind w:firstLine="360" w:firstLineChars="15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2）保洁范围包括建筑物内电梯、大厅、玻璃、走廊、天台、护栏、电梯间、卫生间、休闲大厅及建筑物内其它公共区域，院区道路、停车场、绿地、门前三包等公共场地。</w:t>
      </w:r>
    </w:p>
    <w:p w14:paraId="48CF9E9A">
      <w:pPr>
        <w:adjustRightInd w:val="0"/>
        <w:spacing w:after="160" w:line="360" w:lineRule="auto"/>
        <w:ind w:firstLine="360" w:firstLineChars="15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3）负责采购人的生活垃圾、厨余垃圾、大件垃圾清运和处理，化粪池及隔油池漂浮物的清掏工作。</w:t>
      </w:r>
    </w:p>
    <w:p w14:paraId="60044BB1">
      <w:pPr>
        <w:adjustRightInd w:val="0"/>
        <w:spacing w:after="160" w:line="360" w:lineRule="auto"/>
        <w:ind w:firstLine="360" w:firstLineChars="15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4）根据采购人要求，负责对公共区域的消毒工作，必要时配合采购人及有关单位做好疫情防控工作。</w:t>
      </w:r>
    </w:p>
    <w:p w14:paraId="1FD8A5A9">
      <w:pPr>
        <w:adjustRightInd w:val="0"/>
        <w:spacing w:after="160" w:line="360" w:lineRule="auto"/>
        <w:ind w:firstLine="360" w:firstLineChars="15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（3）绿化美化管理：</w:t>
      </w:r>
    </w:p>
    <w:p w14:paraId="55580E7F">
      <w:pPr>
        <w:adjustRightInd w:val="0"/>
        <w:spacing w:after="160" w:line="360" w:lineRule="auto"/>
        <w:ind w:firstLine="360" w:firstLineChars="15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中标人以包清工的方式为采购人提供包括院区树木、花草、绿地、景观等的日常维护和管理。</w:t>
      </w:r>
    </w:p>
    <w:p w14:paraId="2E3110A1">
      <w:pPr>
        <w:adjustRightInd w:val="0"/>
        <w:spacing w:after="160" w:line="360" w:lineRule="auto"/>
        <w:ind w:firstLine="360" w:firstLineChars="15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（4）司机服务：</w:t>
      </w:r>
    </w:p>
    <w:p w14:paraId="2B57B8F2">
      <w:pPr>
        <w:adjustRightInd w:val="0"/>
        <w:spacing w:after="160" w:line="360" w:lineRule="auto"/>
        <w:ind w:firstLine="360" w:firstLineChars="15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负责院内儿童外出就读、就医及公务用车服务。</w:t>
      </w:r>
    </w:p>
    <w:p w14:paraId="56FE7631">
      <w:pPr>
        <w:adjustRightInd w:val="0"/>
        <w:spacing w:after="160" w:line="360" w:lineRule="auto"/>
        <w:ind w:firstLine="360" w:firstLineChars="15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（5）其他服务：</w:t>
      </w:r>
    </w:p>
    <w:p w14:paraId="7B092032">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（1）配合采购人做好应急预案及突发事件的快速处理。</w:t>
      </w:r>
    </w:p>
    <w:p w14:paraId="28251BAC">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（2）完成采购人所需的其他临时性服务工作。</w:t>
      </w:r>
    </w:p>
    <w:p w14:paraId="32A3528D">
      <w:pPr>
        <w:adjustRightInd w:val="0"/>
        <w:spacing w:after="160" w:line="360" w:lineRule="auto"/>
        <w:ind w:firstLine="420"/>
        <w:contextualSpacing/>
        <w:jc w:val="left"/>
        <w:textAlignment w:val="baseline"/>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（二）服务标准</w:t>
      </w:r>
    </w:p>
    <w:p w14:paraId="3EA2C67C">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1、电力系统：</w:t>
      </w:r>
    </w:p>
    <w:p w14:paraId="05A56608">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（1）配电室运行值班：24小时值守；</w:t>
      </w:r>
    </w:p>
    <w:p w14:paraId="3547F25C">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（2）配电间、配电柜、配电箱、变压器等巡查检修：每周检查一次、日常维护保养；</w:t>
      </w:r>
    </w:p>
    <w:p w14:paraId="242988C4">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（3）电器设备、照明器具、插座、开关等：日常维修、更换。</w:t>
      </w:r>
    </w:p>
    <w:p w14:paraId="68709CC5">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2、电梯系统：</w:t>
      </w:r>
    </w:p>
    <w:p w14:paraId="433B1C0A">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（1）日常巡查：每日巡查一次，确保正常运行，发现问题及时安排专业人员维修；</w:t>
      </w:r>
    </w:p>
    <w:p w14:paraId="4DAF89BE">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（2）配合采购人完成日常检修、特种设备年检、及紧急事件处理、预案演练等。</w:t>
      </w:r>
    </w:p>
    <w:p w14:paraId="62441D41">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3、空调系统：</w:t>
      </w:r>
    </w:p>
    <w:p w14:paraId="6A2341A5">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对设备运行情况进行每日巡查，对电源及电源线路进行检修。</w:t>
      </w:r>
    </w:p>
    <w:p w14:paraId="659A3A85">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4、内外线电话：</w:t>
      </w:r>
    </w:p>
    <w:p w14:paraId="68C3E983">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对设备运行情况进行每日巡查；对外线电话、内线电话线路及控制系统进行维修、调试。</w:t>
      </w:r>
    </w:p>
    <w:p w14:paraId="3EE247B1">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5、排水系统：</w:t>
      </w:r>
    </w:p>
    <w:p w14:paraId="09E529DF">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（1）排水管道、化粪池和隔油池：每周检查一次排水管道、化粪池和隔油池；遇堵漏问题及时安排专业人员处理。</w:t>
      </w:r>
    </w:p>
    <w:p w14:paraId="3783F7F3">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（2）防汛设施：汛期前清理雨水井、屋面排水口；配合采购人完成汛期应急演练及抢险工作。</w:t>
      </w:r>
    </w:p>
    <w:p w14:paraId="5CCBF7FF">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（3）室内给排水设施：每日巡查及日常维修、更换零配件。</w:t>
      </w:r>
    </w:p>
    <w:p w14:paraId="17F5DFDC">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6、太阳能热水系统：</w:t>
      </w:r>
    </w:p>
    <w:p w14:paraId="4E99B5D1">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（1）日常运行：对设备运行情况进行每日巡查；</w:t>
      </w:r>
    </w:p>
    <w:p w14:paraId="79E0E3EC">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（2）巡查维护：管路维护，集热器清洗，水泵维护、控制系统检修。</w:t>
      </w:r>
    </w:p>
    <w:p w14:paraId="4394BC23">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7、零星维修维护：</w:t>
      </w:r>
    </w:p>
    <w:p w14:paraId="3C0257AB">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（1）24小时值班、及时进行维修，巡视、维修事项有记录。</w:t>
      </w:r>
    </w:p>
    <w:p w14:paraId="40EA0381">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（2）负责建筑物内门窗的检修、配玻璃、换纱窗；家具、电器、锁具、灯具等维修更换；房屋内墙面、顶面、地面的零星修补等。</w:t>
      </w:r>
    </w:p>
    <w:p w14:paraId="6C95312B">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（3）每月初对上月完成维修所用零配件数量进行汇总，经采购人确认后进行结算，费用单独支付，不包含在本项目中。</w:t>
      </w:r>
    </w:p>
    <w:p w14:paraId="328C3F80">
      <w:pPr>
        <w:adjustRightInd w:val="0"/>
        <w:spacing w:after="160" w:line="360" w:lineRule="auto"/>
        <w:ind w:firstLine="720" w:firstLineChars="3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8、园林绿化服务：</w:t>
      </w:r>
    </w:p>
    <w:p w14:paraId="496CD529">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（1）植物配置基本合理，达到黄土不露天。</w:t>
      </w:r>
    </w:p>
    <w:p w14:paraId="6F3A608E">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（2）园林植物达到：</w:t>
      </w:r>
    </w:p>
    <w:p w14:paraId="2D971F8C">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①生长势：正常。生长达到该树种该规格的平均生长量。</w:t>
      </w:r>
      <w:r>
        <w:rPr>
          <w:rFonts w:hint="eastAsia" w:ascii="宋体" w:hAnsi="宋体" w:eastAsia="宋体" w:cs="宋体"/>
          <w:color w:val="auto"/>
          <w:kern w:val="0"/>
          <w:sz w:val="24"/>
          <w:highlight w:val="none"/>
        </w:rPr>
        <w:br w:type="textWrapping"/>
      </w:r>
      <w:r>
        <w:rPr>
          <w:rFonts w:hint="eastAsia" w:ascii="宋体" w:hAnsi="宋体" w:eastAsia="宋体" w:cs="宋体"/>
          <w:color w:val="auto"/>
          <w:kern w:val="0"/>
          <w:sz w:val="24"/>
          <w:highlight w:val="none"/>
        </w:rPr>
        <w:t>  ②叶子正常：叶色、大小、薄厚正常；较严重黄叶、焦叶、卷叶、带虫尿虫网灰尘的株数在2％以下；被啃咬的叶片最严重的每株在10％以下。</w:t>
      </w:r>
      <w:r>
        <w:rPr>
          <w:rFonts w:hint="eastAsia" w:ascii="宋体" w:hAnsi="宋体" w:eastAsia="宋体" w:cs="宋体"/>
          <w:color w:val="auto"/>
          <w:kern w:val="0"/>
          <w:sz w:val="24"/>
          <w:highlight w:val="none"/>
        </w:rPr>
        <w:br w:type="textWrapping"/>
      </w:r>
      <w:r>
        <w:rPr>
          <w:rFonts w:hint="eastAsia" w:ascii="宋体" w:hAnsi="宋体" w:eastAsia="宋体" w:cs="宋体"/>
          <w:color w:val="auto"/>
          <w:kern w:val="0"/>
          <w:sz w:val="24"/>
          <w:highlight w:val="none"/>
        </w:rPr>
        <w:t>  ③枝、干正常：无明显枯枝、死树；有蛀干害虫的株数在2％以下(包括2％，以下同)；介壳虫最严重处主枝主干100平方厘米2头活虫以下，较细枝条每尺长一段上在10头活虫以下，株数都在4％以下；树冠基本完整：主侧枝分布均称，树冠通风透光。</w:t>
      </w:r>
    </w:p>
    <w:p w14:paraId="19A2105C">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④措施：按二级技术措施要求认真进行养护。</w:t>
      </w:r>
      <w:r>
        <w:rPr>
          <w:rFonts w:hint="eastAsia" w:ascii="宋体" w:hAnsi="宋体" w:eastAsia="宋体" w:cs="宋体"/>
          <w:color w:val="auto"/>
          <w:kern w:val="0"/>
          <w:sz w:val="24"/>
          <w:highlight w:val="none"/>
        </w:rPr>
        <w:br w:type="textWrapping"/>
      </w:r>
      <w:r>
        <w:rPr>
          <w:rFonts w:hint="eastAsia" w:ascii="宋体" w:hAnsi="宋体" w:eastAsia="宋体" w:cs="宋体"/>
          <w:color w:val="auto"/>
          <w:kern w:val="0"/>
          <w:sz w:val="24"/>
          <w:highlight w:val="none"/>
        </w:rPr>
        <w:t>  ⑤行道树缺株在l％以下。</w:t>
      </w:r>
      <w:r>
        <w:rPr>
          <w:rFonts w:hint="eastAsia" w:ascii="宋体" w:hAnsi="宋体" w:eastAsia="宋体" w:cs="宋体"/>
          <w:color w:val="auto"/>
          <w:kern w:val="0"/>
          <w:sz w:val="24"/>
          <w:highlight w:val="none"/>
        </w:rPr>
        <w:br w:type="textWrapping"/>
      </w:r>
      <w:r>
        <w:rPr>
          <w:rFonts w:hint="eastAsia" w:ascii="宋体" w:hAnsi="宋体" w:eastAsia="宋体" w:cs="宋体"/>
          <w:color w:val="auto"/>
          <w:kern w:val="0"/>
          <w:sz w:val="24"/>
          <w:highlight w:val="none"/>
        </w:rPr>
        <w:t>  ⑥草坪覆盖率达95％以上；草坪内杂草控制在20％以内；生长和颜色正常，不枯黄；每年修剪暖地型二次以上，冷地型10次以上；基本无病虫害。</w:t>
      </w:r>
    </w:p>
    <w:p w14:paraId="795A4C5F">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（3）行道树和绿地内无死树，树木修剪基本合理，树形美观，能较好地解决树木与电线、建筑物、交通等之间的矛盾。</w:t>
      </w:r>
    </w:p>
    <w:p w14:paraId="1830C622">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（4）绿化生产垃圾要做到日产日清，绿地内无明显的废弃物。</w:t>
      </w:r>
    </w:p>
    <w:p w14:paraId="222DD64D">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（5）室外公共区域栏杆、桌椅、井盖和标识牌等园林设施基本完整，做到及时维护和油饰。</w:t>
      </w:r>
    </w:p>
    <w:p w14:paraId="53831A8B">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（6）无人为损坏。</w:t>
      </w:r>
    </w:p>
    <w:p w14:paraId="679E26C7">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9、保洁服务：</w:t>
      </w:r>
    </w:p>
    <w:p w14:paraId="394289CB">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（1）楼内各层步行梯、扶手，每天清洁1次，达到无尘土，无杂物。</w:t>
      </w:r>
    </w:p>
    <w:p w14:paraId="48AD00FE">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（2）楼内各层楼道走廊地面每天墩擦，达到无尘土，无杂物，无水渍。</w:t>
      </w:r>
    </w:p>
    <w:p w14:paraId="300BFEB8">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（3）楼内会议室等公用房间内桌椅、地面每天清洁1次，达到无尘土，无污渍。</w:t>
      </w:r>
    </w:p>
    <w:p w14:paraId="5737A8A4">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（4）楼内公共区域墙踢脚、门头、门框、防火门、灭火器箱、指示牌每日清洁1次，达到无尘土。</w:t>
      </w:r>
    </w:p>
    <w:p w14:paraId="0D4D8694">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（5）楼内各层大理石墙面每周清洁1次。大厅门玻璃随时保洁，达到无尘土，无污渍。</w:t>
      </w:r>
    </w:p>
    <w:p w14:paraId="72309DED">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（6）楼内各层清洁间每天清洁2次，要求干净整洁。</w:t>
      </w:r>
    </w:p>
    <w:p w14:paraId="4E2775D9">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（7）卫生间每天至少清洁2次，墙壁、镜面、台面、水龙头、大便池、小便池等，无污渍、无尘、无水渍、光亮、干净、整洁。 </w:t>
      </w:r>
    </w:p>
    <w:p w14:paraId="5AE0DD46">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（8）电梯轿厢保持干净整洁。</w:t>
      </w:r>
    </w:p>
    <w:p w14:paraId="7F959F4B">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（9）公共区域内每天至少清扫2次，自行车棚每日清洁1次，达到干净无杂物。</w:t>
      </w:r>
    </w:p>
    <w:p w14:paraId="2A0CEA6C">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（10）门前三包每天清扫2次，并随时巡视，随时清理。</w:t>
      </w:r>
    </w:p>
    <w:p w14:paraId="4C89F38C">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（11）负责门前三包清洁及冬季门前、院内扫雪。</w:t>
      </w:r>
    </w:p>
    <w:p w14:paraId="6351122E">
      <w:pPr>
        <w:tabs>
          <w:tab w:val="left" w:pos="567"/>
        </w:tabs>
        <w:spacing w:before="120" w:after="160"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ab/>
      </w:r>
      <w:r>
        <w:rPr>
          <w:rFonts w:hint="eastAsia" w:ascii="宋体" w:hAnsi="宋体" w:eastAsia="宋体" w:cs="宋体"/>
          <w:color w:val="auto"/>
          <w:kern w:val="0"/>
          <w:sz w:val="24"/>
          <w:highlight w:val="none"/>
        </w:rPr>
        <w:t>（三）服务期限</w:t>
      </w:r>
    </w:p>
    <w:p w14:paraId="38336420">
      <w:pPr>
        <w:spacing w:after="160" w:line="360" w:lineRule="auto"/>
        <w:ind w:firstLine="420"/>
        <w:rPr>
          <w:rFonts w:hint="eastAsia" w:ascii="宋体" w:hAnsi="宋体" w:eastAsia="宋体" w:cs="宋体"/>
          <w:color w:val="auto"/>
          <w:sz w:val="24"/>
          <w:highlight w:val="none"/>
        </w:rPr>
      </w:pPr>
      <w:r>
        <w:rPr>
          <w:rFonts w:hint="eastAsia" w:ascii="宋体" w:hAnsi="宋体" w:eastAsia="宋体" w:cs="宋体"/>
          <w:color w:val="auto"/>
          <w:sz w:val="24"/>
          <w:highlight w:val="none"/>
        </w:rPr>
        <w:t>自合同生效之日起一年</w:t>
      </w:r>
    </w:p>
    <w:p w14:paraId="2694EB4E">
      <w:pPr>
        <w:tabs>
          <w:tab w:val="left" w:pos="567"/>
        </w:tabs>
        <w:spacing w:before="120" w:after="160" w:line="360" w:lineRule="auto"/>
        <w:rPr>
          <w:rFonts w:hint="eastAsia" w:ascii="宋体" w:hAnsi="宋体" w:eastAsia="宋体" w:cs="Times New Roman"/>
          <w:color w:val="auto"/>
          <w:sz w:val="24"/>
          <w:highlight w:val="none"/>
        </w:rPr>
      </w:pPr>
      <w:r>
        <w:rPr>
          <w:rFonts w:ascii="宋体" w:hAnsi="宋体" w:eastAsia="宋体" w:cs="Times New Roman"/>
          <w:color w:val="auto"/>
          <w:sz w:val="24"/>
          <w:highlight w:val="none"/>
        </w:rPr>
        <w:t>2.3采购标的的其他技术、服务等要求</w:t>
      </w:r>
    </w:p>
    <w:p w14:paraId="3A13D458">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1、本次物业管理服务要求配备人员包括：管理人员（包含项目经理）、配电室值班人员、维修服务人员、保洁服务人员、园林绿化服务人员。</w:t>
      </w:r>
    </w:p>
    <w:p w14:paraId="25C618F9">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2、院内提供办公场所、维修材料、设备基础资料等。</w:t>
      </w:r>
    </w:p>
    <w:p w14:paraId="3BB8DC9A">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人员配备：包括公司基本项目详细组织机构，拟派管理人员及专业人员资质标准、各类人员、数量和专业素质要求、同类物业工作经验；如遇突发卫生公共事件（如疫情防控封闭管理）需配备保证正常运转的人员数量。</w:t>
      </w:r>
    </w:p>
    <w:p w14:paraId="3DF3D91C">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保证重点岗位物业人员的相对稳定（管理人员、水电维修等重点岗位），承诺未经采购人许可不得随意更换。中标人招聘的所有人员必须政治可靠，家庭住址详细，个人资料齐全、留有备案，专业技术人员要有专业证书，特种作业人员应取得相应特种作业操作证。所有员工不得有“两劳”释放人员和流窜犯，需于入职前提供全部人员无犯罪记录证明，同时采购人有权在服务期内要求中标人定期提供服务人员无犯罪记录证明。</w:t>
      </w:r>
    </w:p>
    <w:p w14:paraId="4EDCE6DB">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5、人员培训：包括对各类人员的培训计划、方式、目标及言行规范、仪表仪容、职业技能等。</w:t>
      </w:r>
    </w:p>
    <w:p w14:paraId="0B9137AE">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6、人员管理：由中标人负责服务人员的管理，包括但不限于录用、考核、优化机制、协调关系、量化管理及标准运营等，采购人有全程监督及不定期检查的权利。</w:t>
      </w:r>
    </w:p>
    <w:p w14:paraId="5D11B2B3">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7、服务人员：</w:t>
      </w:r>
    </w:p>
    <w:p w14:paraId="0B01687A">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（1）管理人员：需具有同类项目管理经验5年</w:t>
      </w:r>
      <w:bookmarkStart w:id="0" w:name="OLE_LINK1"/>
      <w:r>
        <w:rPr>
          <w:rFonts w:hint="eastAsia" w:ascii="宋体" w:hAnsi="宋体" w:eastAsia="宋体" w:cs="宋体"/>
          <w:color w:val="auto"/>
          <w:kern w:val="0"/>
          <w:sz w:val="24"/>
          <w:highlight w:val="none"/>
        </w:rPr>
        <w:t>（含）</w:t>
      </w:r>
      <w:bookmarkEnd w:id="0"/>
      <w:r>
        <w:rPr>
          <w:rFonts w:hint="eastAsia" w:ascii="宋体" w:hAnsi="宋体" w:eastAsia="宋体" w:cs="宋体"/>
          <w:color w:val="auto"/>
          <w:kern w:val="0"/>
          <w:sz w:val="24"/>
          <w:highlight w:val="none"/>
        </w:rPr>
        <w:t>以上，熟知物业管理流程和物业管理专业知识；具备强烈的责任心和优秀的团队领导能力、管理能力、部门协调能力、工作执行力、应急处理能力，能够承受较大工作压力，熟悉相关物业法规，业务素质和市场意识强，谨慎敏锐，品行优良；能发扬以身作则的精神，在关键时刻可以出面有担当。</w:t>
      </w:r>
    </w:p>
    <w:p w14:paraId="5011D5EE">
      <w:pPr>
        <w:adjustRightInd w:val="0"/>
        <w:spacing w:after="160" w:line="360" w:lineRule="auto"/>
        <w:ind w:right="146" w:firstLine="240" w:firstLineChars="1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★项目经理须在投标文件中承诺保证每月至少26天24小时在院，保障院内物业管理服务人员以及各项工作有序开展。更换项目经理必须提前得到采购人认可，未经采购人许可，中标人不得进行该岗位的人事变动。</w:t>
      </w:r>
    </w:p>
    <w:p w14:paraId="5748DB7C">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配电室值班人员：需具有3年（含）以上物业管理供、配电岗位工作经验；持有高压电工作业特种作业操作证；熟悉高低压配电设备程序，能按要求完成巡回检查和维护保养工作。具备较高的维修电工专业知识，了解变、配电设施的管理。</w:t>
      </w:r>
    </w:p>
    <w:p w14:paraId="2118FD97">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维修维护人员：需具有3年（含）以上维修维护工作经验，且至少有1人为土建专业（如机电设备、给水排水、电气、暖通与空调等）并具备相应的工作经验，特种作业人员应取得电弧焊或氩弧焊或有限空间等相应的特种作业操作证；熟悉工程维修、设备维保、水电线路改造等工作流程及安全操作规程，具有规范操作及应急处理能力。</w:t>
      </w:r>
    </w:p>
    <w:p w14:paraId="6827D38A">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（5）园林绿化服务人员：需具有2年（含）及以上绿化养护服务经验。</w:t>
      </w:r>
    </w:p>
    <w:p w14:paraId="5AEB4839">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（6）保洁服务人员：需具有2年（含）及以上保洁服务经验。</w:t>
      </w:r>
    </w:p>
    <w:p w14:paraId="0F3E8C8D">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（7）司机：</w:t>
      </w:r>
      <w:r>
        <w:rPr>
          <w:rFonts w:hint="eastAsia" w:ascii="宋体" w:hAnsi="宋体" w:eastAsia="宋体" w:cs="宋体"/>
          <w:color w:val="auto"/>
          <w:kern w:val="0"/>
          <w:sz w:val="24"/>
          <w:highlight w:val="none"/>
        </w:rPr>
        <w:t>每周双休</w:t>
      </w:r>
      <w:r>
        <w:rPr>
          <w:rFonts w:ascii="宋体" w:hAnsi="宋体" w:eastAsia="宋体" w:cs="宋体"/>
          <w:color w:val="auto"/>
          <w:kern w:val="0"/>
          <w:sz w:val="24"/>
          <w:highlight w:val="none"/>
        </w:rPr>
        <w:t>，</w:t>
      </w:r>
      <w:r>
        <w:rPr>
          <w:rFonts w:hint="eastAsia" w:ascii="宋体" w:hAnsi="宋体" w:eastAsia="宋体" w:cs="宋体"/>
          <w:color w:val="auto"/>
          <w:kern w:val="0"/>
          <w:sz w:val="24"/>
          <w:highlight w:val="none"/>
        </w:rPr>
        <w:t>法定节假日正常休息，不</w:t>
      </w:r>
      <w:r>
        <w:rPr>
          <w:rFonts w:ascii="宋体" w:hAnsi="宋体" w:eastAsia="宋体" w:cs="宋体"/>
          <w:color w:val="auto"/>
          <w:kern w:val="0"/>
          <w:sz w:val="24"/>
          <w:highlight w:val="none"/>
        </w:rPr>
        <w:t>参加司机班正常轮岗值班及配班。</w:t>
      </w:r>
      <w:r>
        <w:rPr>
          <w:rFonts w:ascii="宋体" w:hAnsi="宋体" w:eastAsia="宋体" w:cs="宋体"/>
          <w:color w:val="auto"/>
          <w:kern w:val="0"/>
          <w:sz w:val="24"/>
          <w:highlight w:val="none"/>
        </w:rPr>
        <w:t>根据</w:t>
      </w:r>
      <w:r>
        <w:rPr>
          <w:rFonts w:hint="eastAsia" w:ascii="宋体" w:hAnsi="宋体" w:eastAsia="宋体" w:cs="宋体"/>
          <w:color w:val="auto"/>
          <w:kern w:val="0"/>
          <w:sz w:val="24"/>
          <w:highlight w:val="none"/>
        </w:rPr>
        <w:t>院内儿童</w:t>
      </w:r>
      <w:r>
        <w:rPr>
          <w:rFonts w:ascii="宋体" w:hAnsi="宋体" w:eastAsia="宋体" w:cs="宋体"/>
          <w:color w:val="auto"/>
          <w:kern w:val="0"/>
          <w:sz w:val="24"/>
          <w:highlight w:val="none"/>
        </w:rPr>
        <w:t>就医及公务用车使用情况，负责每日车辆的驾驶服务工作，包括</w:t>
      </w:r>
      <w:r>
        <w:rPr>
          <w:rFonts w:hint="eastAsia" w:ascii="宋体" w:hAnsi="宋体" w:eastAsia="宋体" w:cs="宋体"/>
          <w:color w:val="auto"/>
          <w:kern w:val="0"/>
          <w:sz w:val="24"/>
          <w:highlight w:val="none"/>
        </w:rPr>
        <w:t>配合院内处理使用</w:t>
      </w:r>
      <w:r>
        <w:rPr>
          <w:rFonts w:ascii="宋体" w:hAnsi="宋体" w:eastAsia="宋体" w:cs="宋体"/>
          <w:color w:val="auto"/>
          <w:kern w:val="0"/>
          <w:sz w:val="24"/>
          <w:highlight w:val="none"/>
        </w:rPr>
        <w:t>车辆的违章处理</w:t>
      </w:r>
      <w:r>
        <w:rPr>
          <w:rFonts w:hint="eastAsia" w:ascii="宋体" w:hAnsi="宋体" w:eastAsia="宋体" w:cs="宋体"/>
          <w:color w:val="auto"/>
          <w:kern w:val="0"/>
          <w:sz w:val="24"/>
          <w:highlight w:val="none"/>
        </w:rPr>
        <w:t>、</w:t>
      </w:r>
      <w:r>
        <w:rPr>
          <w:rFonts w:ascii="宋体" w:hAnsi="宋体" w:eastAsia="宋体" w:cs="宋体"/>
          <w:color w:val="auto"/>
          <w:kern w:val="0"/>
          <w:sz w:val="24"/>
          <w:highlight w:val="none"/>
        </w:rPr>
        <w:t>交通事故</w:t>
      </w:r>
      <w:r>
        <w:rPr>
          <w:rFonts w:hint="eastAsia" w:ascii="宋体" w:hAnsi="宋体" w:eastAsia="宋体" w:cs="宋体"/>
          <w:color w:val="auto"/>
          <w:kern w:val="0"/>
          <w:sz w:val="24"/>
          <w:highlight w:val="none"/>
        </w:rPr>
        <w:t>等</w:t>
      </w:r>
      <w:r>
        <w:rPr>
          <w:rFonts w:ascii="宋体" w:hAnsi="宋体" w:eastAsia="宋体" w:cs="宋体"/>
          <w:color w:val="auto"/>
          <w:kern w:val="0"/>
          <w:sz w:val="24"/>
          <w:highlight w:val="none"/>
        </w:rPr>
        <w:t>，</w:t>
      </w:r>
      <w:r>
        <w:rPr>
          <w:rFonts w:hint="eastAsia" w:ascii="宋体" w:hAnsi="宋体" w:eastAsia="宋体" w:cs="宋体"/>
          <w:color w:val="auto"/>
          <w:kern w:val="0"/>
          <w:sz w:val="24"/>
          <w:highlight w:val="none"/>
        </w:rPr>
        <w:t>检查使用</w:t>
      </w:r>
      <w:r>
        <w:rPr>
          <w:rFonts w:ascii="宋体" w:hAnsi="宋体" w:eastAsia="宋体" w:cs="宋体"/>
          <w:color w:val="auto"/>
          <w:kern w:val="0"/>
          <w:sz w:val="24"/>
          <w:highlight w:val="none"/>
        </w:rPr>
        <w:t>车辆</w:t>
      </w:r>
      <w:r>
        <w:rPr>
          <w:rFonts w:hint="eastAsia" w:ascii="宋体" w:hAnsi="宋体" w:eastAsia="宋体" w:cs="宋体"/>
          <w:color w:val="auto"/>
          <w:kern w:val="0"/>
          <w:sz w:val="24"/>
          <w:highlight w:val="none"/>
        </w:rPr>
        <w:t>基本情况，</w:t>
      </w:r>
      <w:r>
        <w:rPr>
          <w:rFonts w:ascii="宋体" w:hAnsi="宋体" w:eastAsia="宋体" w:cs="宋体"/>
          <w:color w:val="auto"/>
          <w:kern w:val="0"/>
          <w:sz w:val="24"/>
          <w:highlight w:val="none"/>
        </w:rPr>
        <w:t>保持车辆清洁</w:t>
      </w:r>
      <w:r>
        <w:rPr>
          <w:rFonts w:hint="eastAsia" w:ascii="宋体" w:hAnsi="宋体" w:eastAsia="宋体" w:cs="宋体"/>
          <w:color w:val="auto"/>
          <w:kern w:val="0"/>
          <w:sz w:val="24"/>
          <w:highlight w:val="none"/>
        </w:rPr>
        <w:t>，保障院内儿童及公务</w:t>
      </w:r>
      <w:r>
        <w:rPr>
          <w:rFonts w:ascii="宋体" w:hAnsi="宋体" w:eastAsia="宋体" w:cs="宋体"/>
          <w:color w:val="auto"/>
          <w:kern w:val="0"/>
          <w:sz w:val="24"/>
          <w:highlight w:val="none"/>
        </w:rPr>
        <w:t>用车</w:t>
      </w:r>
      <w:r>
        <w:rPr>
          <w:rFonts w:hint="eastAsia" w:ascii="宋体" w:hAnsi="宋体" w:eastAsia="宋体" w:cs="宋体"/>
          <w:color w:val="auto"/>
          <w:kern w:val="0"/>
          <w:sz w:val="24"/>
          <w:highlight w:val="none"/>
        </w:rPr>
        <w:t>正常安全出行，</w:t>
      </w:r>
      <w:r>
        <w:rPr>
          <w:rFonts w:ascii="宋体" w:hAnsi="宋体" w:eastAsia="宋体" w:cs="宋体"/>
          <w:color w:val="auto"/>
          <w:kern w:val="0"/>
          <w:sz w:val="24"/>
          <w:highlight w:val="none"/>
        </w:rPr>
        <w:t>无出车任务时在岗待命</w:t>
      </w:r>
      <w:r>
        <w:rPr>
          <w:rFonts w:hint="eastAsia" w:ascii="宋体" w:hAnsi="宋体" w:eastAsia="宋体" w:cs="宋体"/>
          <w:color w:val="auto"/>
          <w:kern w:val="0"/>
          <w:sz w:val="24"/>
          <w:highlight w:val="none"/>
        </w:rPr>
        <w:t>。</w:t>
      </w:r>
    </w:p>
    <w:p w14:paraId="6DA2A887">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ascii="宋体" w:hAnsi="宋体" w:eastAsia="宋体" w:cs="宋体"/>
          <w:color w:val="auto"/>
          <w:kern w:val="0"/>
          <w:sz w:val="24"/>
          <w:highlight w:val="none"/>
        </w:rPr>
        <w:t>注：</w:t>
      </w:r>
      <w:r>
        <w:rPr>
          <w:rFonts w:hint="eastAsia" w:ascii="宋体" w:hAnsi="宋体" w:eastAsia="宋体" w:cs="宋体"/>
          <w:color w:val="auto"/>
          <w:kern w:val="0"/>
          <w:sz w:val="24"/>
          <w:highlight w:val="none"/>
        </w:rPr>
        <w:t>★1.司机具备在有效期内</w:t>
      </w:r>
      <w:r>
        <w:rPr>
          <w:rFonts w:hint="eastAsia" w:ascii="宋体" w:hAnsi="宋体" w:eastAsia="宋体" w:cs="宋体"/>
          <w:color w:val="auto"/>
          <w:kern w:val="0"/>
          <w:sz w:val="24"/>
          <w:highlight w:val="none"/>
        </w:rPr>
        <w:t>C1</w:t>
      </w:r>
      <w:r>
        <w:rPr>
          <w:rFonts w:ascii="宋体" w:hAnsi="宋体" w:eastAsia="宋体" w:cs="宋体"/>
          <w:color w:val="auto"/>
          <w:kern w:val="0"/>
          <w:sz w:val="24"/>
          <w:highlight w:val="none"/>
        </w:rPr>
        <w:t>机动车驾驶证</w:t>
      </w:r>
      <w:r>
        <w:rPr>
          <w:rFonts w:hint="eastAsia" w:ascii="宋体" w:hAnsi="宋体" w:eastAsia="宋体" w:cs="宋体"/>
          <w:color w:val="auto"/>
          <w:kern w:val="0"/>
          <w:sz w:val="24"/>
          <w:highlight w:val="none"/>
        </w:rPr>
        <w:t>书</w:t>
      </w:r>
      <w:r>
        <w:rPr>
          <w:rFonts w:hint="eastAsia" w:ascii="宋体" w:hAnsi="宋体" w:eastAsia="宋体" w:cs="宋体"/>
          <w:color w:val="auto"/>
          <w:kern w:val="0"/>
          <w:sz w:val="24"/>
          <w:highlight w:val="none"/>
        </w:rPr>
        <w:t>，提供证书扫描件加盖单位公章；</w:t>
      </w:r>
    </w:p>
    <w:p w14:paraId="142842CC">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r>
        <w:rPr>
          <w:rFonts w:ascii="宋体" w:hAnsi="宋体" w:eastAsia="宋体" w:cs="宋体"/>
          <w:color w:val="auto"/>
          <w:kern w:val="0"/>
          <w:sz w:val="24"/>
          <w:highlight w:val="none"/>
        </w:rPr>
        <w:t>如遇特殊工作需延长劳动时间，投标人应积极配合，所需费用已包含在服务费中。</w:t>
      </w:r>
    </w:p>
    <w:p w14:paraId="347440DE">
      <w:pPr>
        <w:adjustRightInd w:val="0"/>
        <w:spacing w:after="160" w:line="360" w:lineRule="auto"/>
        <w:ind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8、中标人对该项目所涉及的各项服务，要有详实的服务方案：内容包括：人员情况、管理制度、工作计划、日常巡检情况、问题解决整改、突发应急事件的处理、人员考核情况及物业管理服务档案资料管理等。</w:t>
      </w:r>
    </w:p>
    <w:p w14:paraId="6AE94C81">
      <w:pPr>
        <w:tabs>
          <w:tab w:val="left" w:pos="1220"/>
        </w:tabs>
        <w:autoSpaceDE w:val="0"/>
        <w:autoSpaceDN w:val="0"/>
        <w:adjustRightInd w:val="0"/>
        <w:spacing w:after="160" w:line="360" w:lineRule="auto"/>
        <w:ind w:right="-42" w:firstLine="480" w:firstLineChars="200"/>
        <w:jc w:val="left"/>
        <w:textAlignment w:val="baseline"/>
        <w:rPr>
          <w:rFonts w:ascii="Calibri" w:hAnsi="Calibri" w:eastAsia="宋体" w:cs="Times New Roman"/>
          <w:color w:val="auto"/>
          <w:sz w:val="24"/>
          <w:highlight w:val="none"/>
        </w:rPr>
      </w:pPr>
      <w:r>
        <w:rPr>
          <w:rFonts w:ascii="Calibri" w:hAnsi="Calibri" w:eastAsia="宋体" w:cs="Times New Roman"/>
          <w:color w:val="auto"/>
          <w:sz w:val="24"/>
          <w:highlight w:val="none"/>
        </w:rPr>
        <w:t>3. 验收标准</w:t>
      </w:r>
    </w:p>
    <w:p w14:paraId="1328D220">
      <w:pPr>
        <w:tabs>
          <w:tab w:val="left" w:pos="1220"/>
        </w:tabs>
        <w:autoSpaceDE w:val="0"/>
        <w:autoSpaceDN w:val="0"/>
        <w:adjustRightInd w:val="0"/>
        <w:spacing w:after="160" w:line="360" w:lineRule="auto"/>
        <w:ind w:right="-42"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（一）所有物业人员上岗要整齐着装、佩戴公司胸牌，并对物业管理服务的各部位进行分门别类的登记、统计，合理安排服务人员具体工作范围及内容。    </w:t>
      </w:r>
    </w:p>
    <w:p w14:paraId="2011C069">
      <w:pPr>
        <w:tabs>
          <w:tab w:val="left" w:pos="1220"/>
        </w:tabs>
        <w:autoSpaceDE w:val="0"/>
        <w:autoSpaceDN w:val="0"/>
        <w:adjustRightInd w:val="0"/>
        <w:spacing w:after="160" w:line="360" w:lineRule="auto"/>
        <w:ind w:right="-42"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二）保证采购人全院区域内的工作和生活的正常用水、用电，对停供水、电，应提前一天通知，如遇突然停水、停电等现象应及时与有关部门取得联系，尽快找准故障部位，及时排故障，恢复供应。由于设备检修不及时、检修不好造成停水、停电，将追究服务人员的责任。    </w:t>
      </w:r>
    </w:p>
    <w:p w14:paraId="640F4B1E">
      <w:pPr>
        <w:tabs>
          <w:tab w:val="left" w:pos="1220"/>
        </w:tabs>
        <w:autoSpaceDE w:val="0"/>
        <w:autoSpaceDN w:val="0"/>
        <w:adjustRightInd w:val="0"/>
        <w:spacing w:after="160" w:line="360" w:lineRule="auto"/>
        <w:ind w:right="-42"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（三）维修要及时，自接到报修电话后5-10分钟内应到达现场，一般故障在不影响整体工作的前提下，边排除边向采购人主管部门报告，对故障难度大排除不了的，应及时向采购人主管部门报告并向说明原因。 </w:t>
      </w:r>
    </w:p>
    <w:p w14:paraId="39C1A8F9">
      <w:pPr>
        <w:tabs>
          <w:tab w:val="left" w:pos="1220"/>
        </w:tabs>
        <w:autoSpaceDE w:val="0"/>
        <w:autoSpaceDN w:val="0"/>
        <w:adjustRightInd w:val="0"/>
        <w:spacing w:after="160" w:line="360" w:lineRule="auto"/>
        <w:ind w:right="-42"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（四）对水、电气设备及土建房屋设施除接电报修要及时到位外，还要建立主动上门服务经常检查制度，每日巡查制度，发现问题及时解决。</w:t>
      </w:r>
    </w:p>
    <w:p w14:paraId="557C2196">
      <w:pPr>
        <w:tabs>
          <w:tab w:val="left" w:pos="1220"/>
        </w:tabs>
        <w:autoSpaceDE w:val="0"/>
        <w:autoSpaceDN w:val="0"/>
        <w:adjustRightInd w:val="0"/>
        <w:spacing w:after="160" w:line="360" w:lineRule="auto"/>
        <w:ind w:right="-42"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（五）对土建房屋需零星修补（墙面、墙砖、地砖损坏面积不超过1平方米）及时修理，对难度大的及时向采购人主管部门报告，提出修复建议方案。</w:t>
      </w:r>
    </w:p>
    <w:p w14:paraId="16215C20">
      <w:pPr>
        <w:tabs>
          <w:tab w:val="left" w:pos="1220"/>
        </w:tabs>
        <w:autoSpaceDE w:val="0"/>
        <w:autoSpaceDN w:val="0"/>
        <w:adjustRightInd w:val="0"/>
        <w:spacing w:after="160" w:line="360" w:lineRule="auto"/>
        <w:ind w:right="-42"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（六）保持热情良好的服务态度，进入修理部位时应主动打招呼，礼貌的说明来意，维修完毕后应及时将现场清扫干净，待使用部门满意后方可离开，并请相关的部门人员和领导在修理回单上签字。</w:t>
      </w:r>
    </w:p>
    <w:p w14:paraId="18D7E8EE">
      <w:pPr>
        <w:tabs>
          <w:tab w:val="left" w:pos="1220"/>
        </w:tabs>
        <w:autoSpaceDE w:val="0"/>
        <w:autoSpaceDN w:val="0"/>
        <w:adjustRightInd w:val="0"/>
        <w:spacing w:after="160" w:line="360" w:lineRule="auto"/>
        <w:ind w:right="-42" w:firstLine="480" w:firstLineChars="200"/>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（七）对采购人提出的相关意见立即整改，之后不得重复出现，对不适宜继续履行本合同约定服务的人员坚决调离。严格按安全操作规程操作，不得违章作业、违章指挥。</w:t>
      </w:r>
    </w:p>
    <w:p w14:paraId="3D008655">
      <w:pPr>
        <w:rPr>
          <w:color w:val="auto"/>
          <w:highlight w:val="none"/>
        </w:rPr>
      </w:pPr>
      <w:r>
        <w:rPr>
          <w:rFonts w:hint="eastAsia" w:ascii="宋体" w:hAnsi="宋体" w:eastAsia="宋体" w:cs="宋体"/>
          <w:color w:val="auto"/>
          <w:kern w:val="0"/>
          <w:sz w:val="24"/>
          <w:highlight w:val="none"/>
        </w:rPr>
        <w:t>（八）在服务期内，采购人对中标人每季度进行考核，如采购人对中标人配置物业服务人员的服务满意率低于90%或未能按照合同约定达到履约验收要求，中标人应在采购人规定时间内，按照采购人提出的具体整改要求进行整改或人员调整，如在规定期限内中标人未能及时整改并且对采购人造成了损失，采购人有权与中标人解除合同，由中标人承担解除合同所产生的一切后果。</w:t>
      </w:r>
    </w:p>
    <w:bookmarkEnd w:id="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57D84A"/>
    <w:multiLevelType w:val="singleLevel"/>
    <w:tmpl w:val="C457D84A"/>
    <w:lvl w:ilvl="0" w:tentative="0">
      <w:start w:val="2"/>
      <w:numFmt w:val="decimal"/>
      <w:suff w:val="space"/>
      <w:lvlText w:val="%1."/>
      <w:lvlJc w:val="left"/>
      <w:pPr>
        <w:ind w:left="420"/>
      </w:pPr>
    </w:lvl>
  </w:abstractNum>
  <w:abstractNum w:abstractNumId="1">
    <w:nsid w:val="3157F961"/>
    <w:multiLevelType w:val="singleLevel"/>
    <w:tmpl w:val="3157F961"/>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3CE29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2026-10-16T06:15:42Z</dcterms:created>
  <dc:creator>user</dc:creator>
  <cp:lastModifiedBy>HJT</cp:lastModifiedBy>
  <dcterms:modified xsi:type="dcterms:W3CDTF">2026-10-16T06:18:49Z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eyJoZGlkIjoiOTZmZmVhZGE5ZjRiMDJkNWI0MTIyMWU2ZjI3YTA2Y2IiLCJ1c2VySWQiOiI0MjM1NzMyNDgifQ==</vt:lpwstr>
  </property>
  <property fmtid="{D5CDD505-2E9C-101B-9397-08002B2CF9AE}" pid="4" name="ICV">
    <vt:lpwstr>150B01EC08A24B2C91DAEE5C4B5A4841_12</vt:lpwstr>
  </property>
</Properties>
</file>