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51D418">
      <w:pPr>
        <w:spacing w:line="360" w:lineRule="auto"/>
        <w:jc w:val="center"/>
        <w:outlineLvl w:val="0"/>
        <w:rPr>
          <w:b/>
          <w:sz w:val="36"/>
          <w:szCs w:val="36"/>
          <w:highlight w:val="none"/>
        </w:rPr>
      </w:pPr>
      <w:bookmarkStart w:id="0" w:name="_Toc99301424"/>
      <w:r>
        <w:rPr>
          <w:b/>
          <w:sz w:val="36"/>
          <w:szCs w:val="36"/>
          <w:highlight w:val="none"/>
        </w:rPr>
        <w:t>第五章   采购需求</w:t>
      </w:r>
      <w:bookmarkEnd w:id="0"/>
    </w:p>
    <w:p w14:paraId="616914DD">
      <w:pPr>
        <w:pStyle w:val="2"/>
        <w:spacing w:line="360" w:lineRule="auto"/>
        <w:contextualSpacing/>
        <w:rPr>
          <w:sz w:val="24"/>
          <w:highlight w:val="none"/>
        </w:rPr>
      </w:pPr>
      <w:r>
        <w:rPr>
          <w:rFonts w:hint="eastAsia"/>
          <w:bCs/>
          <w:sz w:val="24"/>
          <w:highlight w:val="none"/>
        </w:rPr>
        <w:t>第2包：</w:t>
      </w:r>
      <w:r>
        <w:rPr>
          <w:rFonts w:hint="eastAsia"/>
          <w:sz w:val="24"/>
          <w:highlight w:val="none"/>
        </w:rPr>
        <w:t>北京信息职业技术学院2027年互联网接入服务采购项目第2包-2027年互联网接入服务教学专线</w:t>
      </w:r>
    </w:p>
    <w:p w14:paraId="397224B0">
      <w:pPr>
        <w:pStyle w:val="9"/>
        <w:numPr>
          <w:ilvl w:val="0"/>
          <w:numId w:val="1"/>
        </w:numPr>
        <w:spacing w:line="360" w:lineRule="auto"/>
        <w:ind w:firstLineChars="0"/>
        <w:contextualSpacing/>
        <w:rPr>
          <w:rFonts w:ascii="Times New Roman" w:hAnsi="Times New Roman"/>
          <w:b/>
          <w:sz w:val="24"/>
          <w:szCs w:val="24"/>
          <w:highlight w:val="none"/>
        </w:rPr>
      </w:pPr>
      <w:r>
        <w:rPr>
          <w:rFonts w:ascii="Times New Roman" w:hAnsi="Times New Roman"/>
          <w:b/>
          <w:sz w:val="24"/>
          <w:szCs w:val="24"/>
          <w:highlight w:val="none"/>
        </w:rPr>
        <w:t>采购标的</w:t>
      </w:r>
    </w:p>
    <w:p w14:paraId="2DE8DB10">
      <w:pPr>
        <w:spacing w:line="360" w:lineRule="auto"/>
        <w:contextualSpacing/>
        <w:rPr>
          <w:bCs/>
          <w:sz w:val="24"/>
          <w:highlight w:val="none"/>
        </w:rPr>
      </w:pPr>
      <w:r>
        <w:rPr>
          <w:bCs/>
          <w:sz w:val="24"/>
          <w:highlight w:val="none"/>
        </w:rPr>
        <w:t>1. 采购标的</w:t>
      </w:r>
    </w:p>
    <w:tbl>
      <w:tblPr>
        <w:tblStyle w:val="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7"/>
        <w:gridCol w:w="2355"/>
        <w:gridCol w:w="1697"/>
        <w:gridCol w:w="1470"/>
        <w:gridCol w:w="1943"/>
      </w:tblGrid>
      <w:tr w14:paraId="60717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7" w:type="dxa"/>
            <w:noWrap w:val="0"/>
            <w:vAlign w:val="center"/>
          </w:tcPr>
          <w:p w14:paraId="05DAA78F">
            <w:pPr>
              <w:jc w:val="center"/>
              <w:rPr>
                <w:b/>
                <w:sz w:val="24"/>
                <w:highlight w:val="none"/>
              </w:rPr>
            </w:pPr>
            <w:r>
              <w:rPr>
                <w:rFonts w:hint="eastAsia"/>
                <w:b/>
                <w:sz w:val="24"/>
                <w:highlight w:val="none"/>
              </w:rPr>
              <w:t>序号</w:t>
            </w:r>
          </w:p>
        </w:tc>
        <w:tc>
          <w:tcPr>
            <w:tcW w:w="2355" w:type="dxa"/>
            <w:noWrap w:val="0"/>
            <w:vAlign w:val="center"/>
          </w:tcPr>
          <w:p w14:paraId="72A6AF95">
            <w:pPr>
              <w:jc w:val="center"/>
              <w:rPr>
                <w:b/>
                <w:sz w:val="24"/>
                <w:highlight w:val="none"/>
              </w:rPr>
            </w:pPr>
            <w:r>
              <w:rPr>
                <w:rFonts w:hint="eastAsia"/>
                <w:b/>
                <w:sz w:val="24"/>
                <w:highlight w:val="none"/>
              </w:rPr>
              <w:t>货物或服务名称</w:t>
            </w:r>
          </w:p>
        </w:tc>
        <w:tc>
          <w:tcPr>
            <w:tcW w:w="1697" w:type="dxa"/>
            <w:noWrap w:val="0"/>
            <w:vAlign w:val="center"/>
          </w:tcPr>
          <w:p w14:paraId="4153D0B8">
            <w:pPr>
              <w:jc w:val="center"/>
              <w:rPr>
                <w:b/>
                <w:sz w:val="24"/>
                <w:highlight w:val="none"/>
              </w:rPr>
            </w:pPr>
            <w:r>
              <w:rPr>
                <w:rFonts w:hint="eastAsia"/>
                <w:b/>
                <w:sz w:val="24"/>
                <w:highlight w:val="none"/>
              </w:rPr>
              <w:t>数量</w:t>
            </w:r>
          </w:p>
        </w:tc>
        <w:tc>
          <w:tcPr>
            <w:tcW w:w="1470" w:type="dxa"/>
            <w:noWrap w:val="0"/>
            <w:vAlign w:val="center"/>
          </w:tcPr>
          <w:p w14:paraId="6D987A31">
            <w:pPr>
              <w:jc w:val="center"/>
              <w:rPr>
                <w:b/>
                <w:sz w:val="24"/>
                <w:highlight w:val="none"/>
              </w:rPr>
            </w:pPr>
            <w:r>
              <w:rPr>
                <w:rFonts w:hint="eastAsia"/>
                <w:b/>
                <w:sz w:val="24"/>
                <w:highlight w:val="none"/>
              </w:rPr>
              <w:t>单位</w:t>
            </w:r>
          </w:p>
        </w:tc>
        <w:tc>
          <w:tcPr>
            <w:tcW w:w="1943" w:type="dxa"/>
            <w:noWrap w:val="0"/>
            <w:vAlign w:val="center"/>
          </w:tcPr>
          <w:p w14:paraId="2D60945A">
            <w:pPr>
              <w:jc w:val="center"/>
              <w:rPr>
                <w:b/>
                <w:sz w:val="24"/>
                <w:highlight w:val="none"/>
              </w:rPr>
            </w:pPr>
            <w:r>
              <w:rPr>
                <w:rFonts w:hint="eastAsia"/>
                <w:b/>
                <w:sz w:val="24"/>
                <w:highlight w:val="none"/>
              </w:rPr>
              <w:t>备注（核心产品）</w:t>
            </w:r>
          </w:p>
        </w:tc>
      </w:tr>
      <w:tr w14:paraId="3FA8A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7" w:type="dxa"/>
            <w:noWrap w:val="0"/>
            <w:vAlign w:val="center"/>
          </w:tcPr>
          <w:p w14:paraId="4837CE8A">
            <w:pPr>
              <w:jc w:val="center"/>
              <w:rPr>
                <w:sz w:val="24"/>
                <w:highlight w:val="none"/>
              </w:rPr>
            </w:pPr>
            <w:r>
              <w:rPr>
                <w:rFonts w:hint="eastAsia"/>
                <w:sz w:val="24"/>
                <w:highlight w:val="none"/>
              </w:rPr>
              <w:t>1</w:t>
            </w:r>
          </w:p>
        </w:tc>
        <w:tc>
          <w:tcPr>
            <w:tcW w:w="2355" w:type="dxa"/>
            <w:noWrap w:val="0"/>
            <w:vAlign w:val="top"/>
          </w:tcPr>
          <w:p w14:paraId="1C7ECF57">
            <w:pPr>
              <w:rPr>
                <w:sz w:val="24"/>
                <w:highlight w:val="none"/>
              </w:rPr>
            </w:pPr>
            <w:r>
              <w:rPr>
                <w:rFonts w:hint="eastAsia"/>
                <w:sz w:val="24"/>
                <w:highlight w:val="none"/>
              </w:rPr>
              <w:t>北京信息职业技术学院2027年互联网接入服务采购项目第2包-2027年互联网接入服务教学专线</w:t>
            </w:r>
          </w:p>
        </w:tc>
        <w:tc>
          <w:tcPr>
            <w:tcW w:w="1697" w:type="dxa"/>
            <w:noWrap w:val="0"/>
            <w:vAlign w:val="top"/>
          </w:tcPr>
          <w:p w14:paraId="15E7EEF8">
            <w:pPr>
              <w:rPr>
                <w:sz w:val="24"/>
                <w:highlight w:val="none"/>
              </w:rPr>
            </w:pPr>
            <w:r>
              <w:rPr>
                <w:rFonts w:hint="eastAsia"/>
                <w:sz w:val="24"/>
                <w:highlight w:val="none"/>
              </w:rPr>
              <w:t>1</w:t>
            </w:r>
          </w:p>
        </w:tc>
        <w:tc>
          <w:tcPr>
            <w:tcW w:w="1470" w:type="dxa"/>
            <w:noWrap w:val="0"/>
            <w:vAlign w:val="top"/>
          </w:tcPr>
          <w:p w14:paraId="51DC7176">
            <w:pPr>
              <w:rPr>
                <w:sz w:val="24"/>
                <w:highlight w:val="none"/>
              </w:rPr>
            </w:pPr>
            <w:r>
              <w:rPr>
                <w:rFonts w:hint="eastAsia"/>
                <w:sz w:val="24"/>
                <w:highlight w:val="none"/>
              </w:rPr>
              <w:t>项</w:t>
            </w:r>
          </w:p>
        </w:tc>
        <w:tc>
          <w:tcPr>
            <w:tcW w:w="1943" w:type="dxa"/>
            <w:noWrap w:val="0"/>
            <w:vAlign w:val="top"/>
          </w:tcPr>
          <w:p w14:paraId="10420097">
            <w:pPr>
              <w:rPr>
                <w:sz w:val="24"/>
                <w:highlight w:val="none"/>
              </w:rPr>
            </w:pPr>
          </w:p>
        </w:tc>
      </w:tr>
    </w:tbl>
    <w:p w14:paraId="105CA1F9">
      <w:pPr>
        <w:spacing w:line="360" w:lineRule="auto"/>
        <w:contextualSpacing/>
        <w:rPr>
          <w:bCs/>
          <w:sz w:val="24"/>
          <w:highlight w:val="none"/>
        </w:rPr>
      </w:pPr>
      <w:r>
        <w:rPr>
          <w:bCs/>
          <w:sz w:val="24"/>
          <w:highlight w:val="none"/>
        </w:rPr>
        <w:t>2. 项目背景/项目概述</w:t>
      </w:r>
    </w:p>
    <w:p w14:paraId="7AB11C9B">
      <w:pPr>
        <w:pStyle w:val="5"/>
        <w:tabs>
          <w:tab w:val="right" w:leader="middleDot" w:pos="8820"/>
        </w:tabs>
        <w:ind w:firstLine="480"/>
        <w:rPr>
          <w:bCs/>
          <w:szCs w:val="24"/>
          <w:highlight w:val="none"/>
        </w:rPr>
      </w:pPr>
      <w:r>
        <w:rPr>
          <w:rFonts w:hint="eastAsia"/>
          <w:bCs/>
          <w:szCs w:val="24"/>
          <w:highlight w:val="none"/>
        </w:rPr>
        <w:t>采购人</w:t>
      </w:r>
      <w:r>
        <w:rPr>
          <w:bCs/>
          <w:szCs w:val="24"/>
          <w:highlight w:val="none"/>
        </w:rPr>
        <w:t>现需</w:t>
      </w:r>
      <w:r>
        <w:rPr>
          <w:rFonts w:hint="eastAsia"/>
          <w:bCs/>
          <w:szCs w:val="24"/>
          <w:highlight w:val="none"/>
        </w:rPr>
        <w:t>租用两</w:t>
      </w:r>
      <w:r>
        <w:rPr>
          <w:bCs/>
          <w:szCs w:val="24"/>
          <w:highlight w:val="none"/>
        </w:rPr>
        <w:t>条</w:t>
      </w:r>
      <w:r>
        <w:rPr>
          <w:rFonts w:hint="eastAsia"/>
          <w:bCs/>
          <w:szCs w:val="24"/>
          <w:highlight w:val="none"/>
        </w:rPr>
        <w:t>互联网</w:t>
      </w:r>
      <w:r>
        <w:rPr>
          <w:bCs/>
          <w:szCs w:val="24"/>
          <w:highlight w:val="none"/>
        </w:rPr>
        <w:t>专用线路，</w:t>
      </w:r>
      <w:r>
        <w:rPr>
          <w:rFonts w:hint="eastAsia"/>
          <w:bCs/>
          <w:szCs w:val="24"/>
          <w:highlight w:val="none"/>
        </w:rPr>
        <w:t>租期一</w:t>
      </w:r>
      <w:r>
        <w:rPr>
          <w:bCs/>
          <w:szCs w:val="24"/>
          <w:highlight w:val="none"/>
        </w:rPr>
        <w:t>年。</w:t>
      </w:r>
      <w:r>
        <w:rPr>
          <w:rFonts w:hint="eastAsia"/>
          <w:bCs/>
          <w:szCs w:val="24"/>
          <w:highlight w:val="none"/>
        </w:rPr>
        <w:t>投标人需要提供东坝校区一条下行带宽≥10000M，上行带宽≥5000M的互联网专线，可额外提供上行带宽, 电子城校区一条≥500M上下行对等带宽互联网专线。</w:t>
      </w:r>
      <w:r>
        <w:rPr>
          <w:rFonts w:hAnsi="宋体"/>
          <w:highlight w:val="none"/>
        </w:rPr>
        <w:t>东</w:t>
      </w:r>
      <w:r>
        <w:rPr>
          <w:rFonts w:hint="eastAsia" w:hAnsi="宋体"/>
          <w:highlight w:val="none"/>
        </w:rPr>
        <w:t>坝</w:t>
      </w:r>
      <w:r>
        <w:rPr>
          <w:rFonts w:hAnsi="宋体"/>
          <w:highlight w:val="none"/>
        </w:rPr>
        <w:t>校区专线要求提供不少于256个IPV4地址及/56</w:t>
      </w:r>
      <w:r>
        <w:rPr>
          <w:rFonts w:hint="eastAsia" w:hAnsi="宋体"/>
          <w:highlight w:val="none"/>
        </w:rPr>
        <w:t>（56位掩码）个</w:t>
      </w:r>
      <w:r>
        <w:rPr>
          <w:rFonts w:hAnsi="宋体"/>
          <w:highlight w:val="none"/>
        </w:rPr>
        <w:t xml:space="preserve"> IPv6地址；酒仙桥校区专线要求提供不少于16个IPV4地址及/56 </w:t>
      </w:r>
      <w:r>
        <w:rPr>
          <w:rFonts w:hint="eastAsia" w:hAnsi="宋体"/>
          <w:highlight w:val="none"/>
        </w:rPr>
        <w:t>（56位掩码）个</w:t>
      </w:r>
      <w:r>
        <w:rPr>
          <w:rFonts w:hAnsi="宋体"/>
          <w:highlight w:val="none"/>
        </w:rPr>
        <w:t>IPv6地址。</w:t>
      </w:r>
      <w:r>
        <w:rPr>
          <w:rFonts w:hint="eastAsia"/>
          <w:bCs/>
          <w:szCs w:val="24"/>
          <w:highlight w:val="none"/>
        </w:rPr>
        <w:t>投标人</w:t>
      </w:r>
      <w:r>
        <w:rPr>
          <w:bCs/>
          <w:szCs w:val="24"/>
          <w:highlight w:val="none"/>
        </w:rPr>
        <w:t>需要提供电子城校区的无线WIFI网络接入服务，包括至少两个AC，10个AP，及配套网关、交换机、综合布线服务，</w:t>
      </w:r>
      <w:r>
        <w:rPr>
          <w:rFonts w:hint="eastAsia"/>
          <w:bCs/>
          <w:szCs w:val="24"/>
          <w:highlight w:val="none"/>
        </w:rPr>
        <w:t>投标人</w:t>
      </w:r>
      <w:r>
        <w:rPr>
          <w:bCs/>
          <w:szCs w:val="24"/>
          <w:highlight w:val="none"/>
        </w:rPr>
        <w:t>需负责现场勘察设计、设备安装调试、网络安全设备安装调试、网络监测、故障维修服务。</w:t>
      </w:r>
      <w:r>
        <w:rPr>
          <w:rFonts w:hint="eastAsia"/>
          <w:bCs/>
          <w:szCs w:val="24"/>
          <w:highlight w:val="none"/>
        </w:rPr>
        <w:t>投标人需要</w:t>
      </w:r>
      <w:r>
        <w:rPr>
          <w:bCs/>
          <w:szCs w:val="24"/>
          <w:highlight w:val="none"/>
        </w:rPr>
        <w:t>基于所提供线路，支持提供合规、安全、高效稳定的国际互联网学术访问加速增值服务，加速通道</w:t>
      </w:r>
      <w:r>
        <w:rPr>
          <w:rFonts w:hint="eastAsia"/>
          <w:bCs/>
          <w:szCs w:val="24"/>
          <w:highlight w:val="none"/>
        </w:rPr>
        <w:t>须</w:t>
      </w:r>
      <w:r>
        <w:rPr>
          <w:bCs/>
          <w:szCs w:val="24"/>
          <w:highlight w:val="none"/>
        </w:rPr>
        <w:t>经</w:t>
      </w:r>
      <w:r>
        <w:rPr>
          <w:rFonts w:hint="eastAsia"/>
          <w:bCs/>
          <w:szCs w:val="24"/>
          <w:highlight w:val="none"/>
        </w:rPr>
        <w:t>过</w:t>
      </w:r>
      <w:r>
        <w:rPr>
          <w:bCs/>
          <w:szCs w:val="24"/>
          <w:highlight w:val="none"/>
        </w:rPr>
        <w:t>中央网信办审核</w:t>
      </w:r>
      <w:r>
        <w:rPr>
          <w:rFonts w:hint="eastAsia"/>
          <w:bCs/>
          <w:szCs w:val="24"/>
          <w:highlight w:val="none"/>
        </w:rPr>
        <w:t>。</w:t>
      </w:r>
    </w:p>
    <w:p w14:paraId="1DCF8277">
      <w:pPr>
        <w:pStyle w:val="5"/>
        <w:tabs>
          <w:tab w:val="right" w:leader="middleDot" w:pos="8820"/>
        </w:tabs>
        <w:ind w:firstLine="480"/>
        <w:rPr>
          <w:rFonts w:hint="eastAsia"/>
          <w:highlight w:val="none"/>
        </w:rPr>
      </w:pPr>
      <w:r>
        <w:rPr>
          <w:rFonts w:hint="eastAsia"/>
          <w:highlight w:val="none"/>
        </w:rPr>
        <w:t>投标人服务团队成员不得少于5人。</w:t>
      </w:r>
      <w:r>
        <w:rPr>
          <w:rFonts w:hint="eastAsia" w:ascii="宋体" w:hAnsi="宋体" w:cs="宋体"/>
          <w:highlight w:val="none"/>
        </w:rPr>
        <w:t>投标人应配合采购人更改网络及服务器配置和所提交的各信息备案，保证采购人各类基于互联网的宽带</w:t>
      </w:r>
      <w:r>
        <w:rPr>
          <w:rFonts w:hint="eastAsia"/>
          <w:highlight w:val="none"/>
        </w:rPr>
        <w:t>服务能持续使用。</w:t>
      </w:r>
    </w:p>
    <w:p w14:paraId="1E0EB228">
      <w:pPr>
        <w:pStyle w:val="5"/>
        <w:tabs>
          <w:tab w:val="right" w:leader="middleDot" w:pos="8820"/>
        </w:tabs>
        <w:ind w:firstLine="480"/>
        <w:rPr>
          <w:rFonts w:hint="eastAsia"/>
          <w:highlight w:val="none"/>
        </w:rPr>
      </w:pPr>
      <w:r>
        <w:rPr>
          <w:rFonts w:hint="eastAsia"/>
          <w:highlight w:val="none"/>
        </w:rPr>
        <w:t>投标人需提供运维保障服务，包括设备配置调试、组网优化及上门巡检服务等。</w:t>
      </w:r>
    </w:p>
    <w:p w14:paraId="3B4C979B">
      <w:pPr>
        <w:pStyle w:val="9"/>
        <w:numPr>
          <w:ilvl w:val="0"/>
          <w:numId w:val="1"/>
        </w:numPr>
        <w:spacing w:line="360" w:lineRule="auto"/>
        <w:ind w:firstLineChars="0"/>
        <w:contextualSpacing/>
        <w:rPr>
          <w:rFonts w:ascii="Times New Roman" w:hAnsi="Times New Roman"/>
          <w:b/>
          <w:sz w:val="24"/>
          <w:szCs w:val="24"/>
          <w:highlight w:val="none"/>
        </w:rPr>
      </w:pPr>
      <w:r>
        <w:rPr>
          <w:rFonts w:ascii="Times New Roman" w:hAnsi="Times New Roman"/>
          <w:b/>
          <w:sz w:val="24"/>
          <w:szCs w:val="24"/>
          <w:highlight w:val="none"/>
        </w:rPr>
        <w:t>商务要求</w:t>
      </w:r>
    </w:p>
    <w:p w14:paraId="6872984C">
      <w:pPr>
        <w:spacing w:line="360" w:lineRule="auto"/>
        <w:contextualSpacing/>
        <w:rPr>
          <w:i/>
          <w:sz w:val="24"/>
          <w:highlight w:val="none"/>
        </w:rPr>
      </w:pPr>
      <w:r>
        <w:rPr>
          <w:sz w:val="24"/>
          <w:highlight w:val="none"/>
        </w:rPr>
        <w:t>1. 交付（实施）的时间（期限）和地点（范围）</w:t>
      </w:r>
    </w:p>
    <w:p w14:paraId="07B4AF27">
      <w:pPr>
        <w:pStyle w:val="5"/>
        <w:tabs>
          <w:tab w:val="right" w:leader="middleDot" w:pos="8820"/>
        </w:tabs>
        <w:ind w:firstLine="480"/>
        <w:rPr>
          <w:bCs/>
          <w:szCs w:val="24"/>
          <w:highlight w:val="none"/>
        </w:rPr>
      </w:pPr>
      <w:r>
        <w:rPr>
          <w:rFonts w:hint="eastAsia"/>
          <w:bCs/>
          <w:szCs w:val="24"/>
          <w:highlight w:val="none"/>
          <w:lang w:val="en-US" w:eastAsia="zh-CN"/>
        </w:rPr>
        <w:t>链路联通</w:t>
      </w:r>
      <w:r>
        <w:rPr>
          <w:rFonts w:hint="eastAsia"/>
          <w:bCs/>
          <w:szCs w:val="24"/>
          <w:highlight w:val="none"/>
        </w:rPr>
        <w:t>时间：2027年1月1日</w:t>
      </w:r>
    </w:p>
    <w:p w14:paraId="791AEC66">
      <w:pPr>
        <w:pStyle w:val="5"/>
        <w:tabs>
          <w:tab w:val="right" w:leader="middleDot" w:pos="8820"/>
        </w:tabs>
        <w:ind w:firstLine="480"/>
        <w:rPr>
          <w:bCs/>
          <w:szCs w:val="24"/>
          <w:highlight w:val="none"/>
        </w:rPr>
      </w:pPr>
      <w:r>
        <w:rPr>
          <w:rFonts w:hint="eastAsia"/>
          <w:bCs/>
          <w:szCs w:val="24"/>
          <w:highlight w:val="none"/>
          <w:lang w:val="en-US" w:eastAsia="zh-CN"/>
        </w:rPr>
        <w:t>链路联通</w:t>
      </w:r>
      <w:r>
        <w:rPr>
          <w:rFonts w:hint="eastAsia"/>
          <w:bCs/>
          <w:szCs w:val="24"/>
          <w:highlight w:val="none"/>
        </w:rPr>
        <w:t>地点：</w:t>
      </w:r>
    </w:p>
    <w:p w14:paraId="0BF9DB79">
      <w:pPr>
        <w:pStyle w:val="5"/>
        <w:tabs>
          <w:tab w:val="right" w:leader="middleDot" w:pos="8820"/>
        </w:tabs>
        <w:ind w:firstLine="480"/>
        <w:rPr>
          <w:rFonts w:hint="eastAsia"/>
          <w:bCs/>
          <w:szCs w:val="24"/>
          <w:highlight w:val="none"/>
        </w:rPr>
      </w:pPr>
      <w:r>
        <w:rPr>
          <w:rFonts w:hint="eastAsia"/>
          <w:bCs/>
          <w:szCs w:val="24"/>
          <w:highlight w:val="none"/>
        </w:rPr>
        <w:t>北京市朝阳区东坝红松园北里甲一号 北京信息职业技术学院东校区。北京市朝阳区酒仙桥北路甲十号201楼B座2层 北京信息职业技术学院电子城校区。</w:t>
      </w:r>
    </w:p>
    <w:p w14:paraId="6B4BF9B9">
      <w:pPr>
        <w:pStyle w:val="5"/>
        <w:tabs>
          <w:tab w:val="right" w:leader="middleDot" w:pos="8820"/>
        </w:tabs>
        <w:ind w:firstLine="480"/>
        <w:rPr>
          <w:highlight w:val="none"/>
        </w:rPr>
      </w:pPr>
      <w:r>
        <w:rPr>
          <w:sz w:val="24"/>
          <w:highlight w:val="none"/>
        </w:rPr>
        <w:t>合同履行期限：</w:t>
      </w:r>
      <w:r>
        <w:rPr>
          <w:rFonts w:hint="eastAsia"/>
          <w:sz w:val="24"/>
          <w:highlight w:val="none"/>
          <w:lang w:val="en-US" w:eastAsia="zh-CN"/>
        </w:rPr>
        <w:t>2027.1.1-2027.12.31</w:t>
      </w:r>
      <w:bookmarkStart w:id="1" w:name="_GoBack"/>
      <w:bookmarkEnd w:id="1"/>
    </w:p>
    <w:p w14:paraId="05E002CE">
      <w:pPr>
        <w:spacing w:line="360" w:lineRule="auto"/>
        <w:contextualSpacing/>
        <w:rPr>
          <w:sz w:val="24"/>
          <w:highlight w:val="none"/>
        </w:rPr>
      </w:pPr>
      <w:r>
        <w:rPr>
          <w:sz w:val="24"/>
          <w:highlight w:val="none"/>
        </w:rPr>
        <w:t>2. 付款条件（进度和方式）</w:t>
      </w:r>
    </w:p>
    <w:p w14:paraId="3CD4C52B">
      <w:pPr>
        <w:pStyle w:val="5"/>
        <w:tabs>
          <w:tab w:val="right" w:leader="middleDot" w:pos="8820"/>
        </w:tabs>
        <w:ind w:firstLine="480"/>
        <w:rPr>
          <w:bCs/>
          <w:szCs w:val="24"/>
          <w:highlight w:val="none"/>
        </w:rPr>
      </w:pPr>
      <w:r>
        <w:rPr>
          <w:rFonts w:hint="eastAsia"/>
          <w:bCs/>
          <w:szCs w:val="24"/>
          <w:highlight w:val="none"/>
        </w:rPr>
        <w:t>支付方式：转账</w:t>
      </w:r>
    </w:p>
    <w:p w14:paraId="2AC20CF9">
      <w:pPr>
        <w:pStyle w:val="5"/>
        <w:tabs>
          <w:tab w:val="right" w:leader="middleDot" w:pos="8820"/>
        </w:tabs>
        <w:ind w:firstLine="480"/>
        <w:rPr>
          <w:bCs/>
          <w:szCs w:val="24"/>
          <w:highlight w:val="none"/>
        </w:rPr>
      </w:pPr>
      <w:r>
        <w:rPr>
          <w:rFonts w:hint="eastAsia"/>
          <w:bCs/>
          <w:szCs w:val="24"/>
          <w:highlight w:val="none"/>
        </w:rPr>
        <w:t>本合同的付款方式为：采购人2</w:t>
      </w:r>
      <w:r>
        <w:rPr>
          <w:bCs/>
          <w:szCs w:val="24"/>
          <w:highlight w:val="none"/>
        </w:rPr>
        <w:t>02</w:t>
      </w:r>
      <w:r>
        <w:rPr>
          <w:rFonts w:hint="eastAsia"/>
          <w:bCs/>
          <w:szCs w:val="24"/>
          <w:highlight w:val="none"/>
        </w:rPr>
        <w:t>7年财政预资金算拨付到位后，2</w:t>
      </w:r>
      <w:r>
        <w:rPr>
          <w:bCs/>
          <w:szCs w:val="24"/>
          <w:highlight w:val="none"/>
        </w:rPr>
        <w:t>02</w:t>
      </w:r>
      <w:r>
        <w:rPr>
          <w:rFonts w:hint="eastAsia"/>
          <w:bCs/>
          <w:szCs w:val="24"/>
          <w:highlight w:val="none"/>
        </w:rPr>
        <w:t>7年4月3</w:t>
      </w:r>
      <w:r>
        <w:rPr>
          <w:bCs/>
          <w:szCs w:val="24"/>
          <w:highlight w:val="none"/>
        </w:rPr>
        <w:t>0</w:t>
      </w:r>
      <w:r>
        <w:rPr>
          <w:rFonts w:hint="eastAsia"/>
          <w:bCs/>
          <w:szCs w:val="24"/>
          <w:highlight w:val="none"/>
        </w:rPr>
        <w:t>日前投标人向采购人出具符合采购人财务要求的发票，采购人向投标人支付合同总价的</w:t>
      </w:r>
      <w:r>
        <w:rPr>
          <w:bCs/>
          <w:szCs w:val="24"/>
          <w:highlight w:val="none"/>
        </w:rPr>
        <w:t>6</w:t>
      </w:r>
      <w:r>
        <w:rPr>
          <w:rFonts w:hint="eastAsia"/>
          <w:bCs/>
          <w:szCs w:val="24"/>
          <w:highlight w:val="none"/>
        </w:rPr>
        <w:t>0%。2</w:t>
      </w:r>
      <w:r>
        <w:rPr>
          <w:bCs/>
          <w:szCs w:val="24"/>
          <w:highlight w:val="none"/>
        </w:rPr>
        <w:t>02</w:t>
      </w:r>
      <w:r>
        <w:rPr>
          <w:rFonts w:hint="eastAsia"/>
          <w:bCs/>
          <w:szCs w:val="24"/>
          <w:highlight w:val="none"/>
        </w:rPr>
        <w:t>7年9月3</w:t>
      </w:r>
      <w:r>
        <w:rPr>
          <w:bCs/>
          <w:szCs w:val="24"/>
          <w:highlight w:val="none"/>
        </w:rPr>
        <w:t>0</w:t>
      </w:r>
      <w:r>
        <w:rPr>
          <w:rFonts w:hint="eastAsia"/>
          <w:bCs/>
          <w:szCs w:val="24"/>
          <w:highlight w:val="none"/>
        </w:rPr>
        <w:t>日前投标人向采购人出具符合采购人财务要求的发票，采购人向投标人支付合同总价的40％。如采购人2</w:t>
      </w:r>
      <w:r>
        <w:rPr>
          <w:bCs/>
          <w:szCs w:val="24"/>
          <w:highlight w:val="none"/>
        </w:rPr>
        <w:t>02</w:t>
      </w:r>
      <w:r>
        <w:rPr>
          <w:rFonts w:hint="eastAsia"/>
          <w:bCs/>
          <w:szCs w:val="24"/>
          <w:highlight w:val="none"/>
        </w:rPr>
        <w:t>7年财政预算资金未能及时拨付到位，根据实际情况双方协商另行约定。</w:t>
      </w:r>
    </w:p>
    <w:p w14:paraId="401BA0EF">
      <w:pPr>
        <w:pStyle w:val="3"/>
        <w:rPr>
          <w:highlight w:val="none"/>
        </w:rPr>
      </w:pPr>
    </w:p>
    <w:p w14:paraId="361615B7">
      <w:pPr>
        <w:spacing w:line="360" w:lineRule="auto"/>
        <w:contextualSpacing/>
        <w:rPr>
          <w:sz w:val="24"/>
          <w:highlight w:val="none"/>
        </w:rPr>
      </w:pPr>
      <w:r>
        <w:rPr>
          <w:rFonts w:hint="eastAsia"/>
          <w:sz w:val="24"/>
          <w:highlight w:val="none"/>
        </w:rPr>
        <w:t>3</w:t>
      </w:r>
      <w:r>
        <w:rPr>
          <w:sz w:val="24"/>
          <w:highlight w:val="none"/>
        </w:rPr>
        <w:t>. 售后服务（质保期）</w:t>
      </w:r>
    </w:p>
    <w:p w14:paraId="70E64853">
      <w:pPr>
        <w:pStyle w:val="5"/>
        <w:tabs>
          <w:tab w:val="right" w:leader="middleDot" w:pos="8820"/>
        </w:tabs>
        <w:ind w:firstLine="480"/>
        <w:rPr>
          <w:bCs/>
          <w:szCs w:val="24"/>
          <w:highlight w:val="none"/>
        </w:rPr>
      </w:pPr>
      <w:r>
        <w:rPr>
          <w:rFonts w:hint="eastAsia"/>
          <w:highlight w:val="none"/>
        </w:rPr>
        <w:t>3</w:t>
      </w:r>
      <w:r>
        <w:rPr>
          <w:highlight w:val="none"/>
        </w:rPr>
        <w:t>.1</w:t>
      </w:r>
      <w:r>
        <w:rPr>
          <w:bCs/>
          <w:szCs w:val="24"/>
          <w:highlight w:val="none"/>
        </w:rPr>
        <w:t xml:space="preserve"> </w:t>
      </w:r>
      <w:r>
        <w:rPr>
          <w:rFonts w:hint="eastAsia"/>
          <w:bCs/>
          <w:szCs w:val="24"/>
          <w:highlight w:val="none"/>
        </w:rPr>
        <w:t>质量保证：</w:t>
      </w:r>
    </w:p>
    <w:p w14:paraId="58B2A022">
      <w:pPr>
        <w:pStyle w:val="5"/>
        <w:tabs>
          <w:tab w:val="right" w:leader="middleDot" w:pos="8820"/>
        </w:tabs>
        <w:ind w:firstLine="480"/>
        <w:rPr>
          <w:bCs/>
          <w:szCs w:val="24"/>
          <w:highlight w:val="none"/>
        </w:rPr>
      </w:pPr>
      <w:r>
        <w:rPr>
          <w:rFonts w:hint="eastAsia"/>
          <w:bCs/>
          <w:szCs w:val="24"/>
          <w:highlight w:val="none"/>
        </w:rPr>
        <w:t>投标人需提供7×24小时质保服务。 投标人提供的服务具体标准满足信息产业部颁布的《电信服务规范》，保证采购人使用通信业务安全畅通。重大活动期间；国庆节、春节等重要节假日；以及采购人指定的其他重点时期的业务连续性。投标人需要提供电子城校区（北京市朝阳区酒仙桥北路甲十号201楼B座2层）一条≥500M上下行对等带宽。带宽应为互联网独享宽带不能包含投标人的局域网网内带宽并至少提供≥16个公网IPv4地址。投标人需提供电子城校区的无线W</w:t>
      </w:r>
      <w:r>
        <w:rPr>
          <w:bCs/>
          <w:szCs w:val="24"/>
          <w:highlight w:val="none"/>
        </w:rPr>
        <w:t>IFI</w:t>
      </w:r>
      <w:r>
        <w:rPr>
          <w:rFonts w:hint="eastAsia"/>
          <w:bCs/>
          <w:szCs w:val="24"/>
          <w:highlight w:val="none"/>
        </w:rPr>
        <w:t>网络接入服务包括至少两个A</w:t>
      </w:r>
      <w:r>
        <w:rPr>
          <w:bCs/>
          <w:szCs w:val="24"/>
          <w:highlight w:val="none"/>
        </w:rPr>
        <w:t>C</w:t>
      </w:r>
      <w:r>
        <w:rPr>
          <w:rFonts w:hint="eastAsia"/>
          <w:bCs/>
          <w:szCs w:val="24"/>
          <w:highlight w:val="none"/>
        </w:rPr>
        <w:t>，≥10个A</w:t>
      </w:r>
      <w:r>
        <w:rPr>
          <w:bCs/>
          <w:szCs w:val="24"/>
          <w:highlight w:val="none"/>
        </w:rPr>
        <w:t>P</w:t>
      </w:r>
      <w:r>
        <w:rPr>
          <w:rFonts w:hint="eastAsia"/>
          <w:bCs/>
          <w:szCs w:val="24"/>
          <w:highlight w:val="none"/>
        </w:rPr>
        <w:t>，及配套网关、交换机、综合布线服务，投标人需负责现场勘察设计、设备安装调试、网络监测、故障维修服务。</w:t>
      </w:r>
    </w:p>
    <w:p w14:paraId="3908AE71">
      <w:pPr>
        <w:pStyle w:val="5"/>
        <w:tabs>
          <w:tab w:val="right" w:leader="middleDot" w:pos="8820"/>
        </w:tabs>
        <w:ind w:firstLine="480"/>
        <w:rPr>
          <w:bCs/>
          <w:szCs w:val="24"/>
          <w:highlight w:val="none"/>
        </w:rPr>
      </w:pPr>
      <w:r>
        <w:rPr>
          <w:rFonts w:hint="eastAsia"/>
          <w:bCs/>
          <w:szCs w:val="24"/>
          <w:highlight w:val="none"/>
        </w:rPr>
        <w:t>故障响应：保修期内，采购人的所有专线问题都可以通过投标人服务专线进行受理，投标人</w:t>
      </w:r>
      <w:r>
        <w:rPr>
          <w:bCs/>
          <w:szCs w:val="24"/>
          <w:highlight w:val="none"/>
        </w:rPr>
        <w:t>应</w:t>
      </w:r>
      <w:r>
        <w:rPr>
          <w:rFonts w:hint="eastAsia"/>
          <w:bCs/>
          <w:szCs w:val="24"/>
          <w:highlight w:val="none"/>
        </w:rPr>
        <w:t>7×24 小时提供故障受理。故障申报响应时间不超过15分钟，在1小时内现场实施维修故障，修复时间不超过3小时。如果是投标人原因造成故障，在故障后3个工作日内需提供故障报告给采购人，对于超时解决的故障，投标人应分析导致故障超时解决的原因，提出整改建议及措施，且有相应的制度和流程反馈采购人</w:t>
      </w:r>
      <w:r>
        <w:rPr>
          <w:bCs/>
          <w:szCs w:val="24"/>
          <w:highlight w:val="none"/>
        </w:rPr>
        <w:t>;</w:t>
      </w:r>
      <w:r>
        <w:rPr>
          <w:rFonts w:hint="eastAsia"/>
          <w:bCs/>
          <w:szCs w:val="24"/>
          <w:highlight w:val="none"/>
        </w:rPr>
        <w:t>如有网络调整及线路割接，应提前一周书面通知采购人，同意后实施。</w:t>
      </w:r>
    </w:p>
    <w:p w14:paraId="5C264B3A">
      <w:pPr>
        <w:pStyle w:val="5"/>
        <w:tabs>
          <w:tab w:val="right" w:leader="middleDot" w:pos="8820"/>
        </w:tabs>
        <w:ind w:firstLine="480"/>
        <w:rPr>
          <w:bCs/>
          <w:szCs w:val="24"/>
          <w:highlight w:val="none"/>
        </w:rPr>
      </w:pPr>
      <w:r>
        <w:rPr>
          <w:rFonts w:hint="eastAsia"/>
          <w:bCs/>
          <w:szCs w:val="24"/>
          <w:highlight w:val="none"/>
        </w:rPr>
        <w:t>实施人员：在合同期内项目要由专人负责技术支持，如人员替换需及时通知采购人并由采购人书面认可，所接替人员必须熟悉本项目的具体情况，并提供人员有效的通讯方式，人员要有备份，确保有事件发生时有人员及时响应。</w:t>
      </w:r>
    </w:p>
    <w:p w14:paraId="4FD14DE5">
      <w:pPr>
        <w:pStyle w:val="5"/>
        <w:tabs>
          <w:tab w:val="right" w:leader="middleDot" w:pos="8820"/>
        </w:tabs>
        <w:ind w:firstLine="480"/>
        <w:rPr>
          <w:bCs/>
          <w:szCs w:val="24"/>
          <w:highlight w:val="none"/>
        </w:rPr>
      </w:pPr>
      <w:r>
        <w:rPr>
          <w:rFonts w:hint="eastAsia"/>
          <w:bCs/>
          <w:szCs w:val="24"/>
          <w:highlight w:val="none"/>
        </w:rPr>
        <w:t>3.2培训要求</w:t>
      </w:r>
    </w:p>
    <w:p w14:paraId="5AB97C79">
      <w:pPr>
        <w:pStyle w:val="5"/>
        <w:tabs>
          <w:tab w:val="right" w:leader="middleDot" w:pos="8820"/>
        </w:tabs>
        <w:ind w:firstLine="480"/>
        <w:rPr>
          <w:bCs/>
          <w:szCs w:val="24"/>
          <w:highlight w:val="none"/>
        </w:rPr>
      </w:pPr>
      <w:r>
        <w:rPr>
          <w:rFonts w:hint="eastAsia"/>
          <w:bCs/>
          <w:szCs w:val="24"/>
          <w:highlight w:val="none"/>
        </w:rPr>
        <w:t>投标人应为采购人工作人员提供技术培训，以满足工作人员对通道的监视、统计的需求。</w:t>
      </w:r>
    </w:p>
    <w:p w14:paraId="23FA6D02">
      <w:pPr>
        <w:pStyle w:val="5"/>
        <w:tabs>
          <w:tab w:val="right" w:leader="middleDot" w:pos="8820"/>
        </w:tabs>
        <w:ind w:firstLine="480"/>
        <w:rPr>
          <w:bCs/>
          <w:szCs w:val="24"/>
          <w:highlight w:val="none"/>
        </w:rPr>
      </w:pPr>
      <w:r>
        <w:rPr>
          <w:rFonts w:hint="eastAsia"/>
          <w:bCs/>
          <w:szCs w:val="24"/>
          <w:highlight w:val="none"/>
        </w:rPr>
        <w:t>注：所有培训费用包括在投标价中。</w:t>
      </w:r>
    </w:p>
    <w:p w14:paraId="1811DEB0">
      <w:pPr>
        <w:pStyle w:val="5"/>
        <w:tabs>
          <w:tab w:val="right" w:leader="middleDot" w:pos="8820"/>
        </w:tabs>
        <w:ind w:firstLine="480"/>
        <w:rPr>
          <w:bCs/>
          <w:szCs w:val="24"/>
          <w:highlight w:val="none"/>
        </w:rPr>
      </w:pPr>
      <w:r>
        <w:rPr>
          <w:rFonts w:hint="eastAsia"/>
          <w:bCs/>
          <w:szCs w:val="24"/>
          <w:highlight w:val="none"/>
        </w:rPr>
        <w:t>1）投标人应具备完善的售后服务体系，明确团队成员并提供联系方式，具体内容自拟，但需确保可满足本次招标相关要求。</w:t>
      </w:r>
    </w:p>
    <w:p w14:paraId="0AB4FA0D">
      <w:pPr>
        <w:pStyle w:val="5"/>
        <w:tabs>
          <w:tab w:val="right" w:leader="middleDot" w:pos="8820"/>
        </w:tabs>
        <w:ind w:firstLine="480"/>
        <w:rPr>
          <w:bCs/>
          <w:szCs w:val="24"/>
          <w:highlight w:val="none"/>
        </w:rPr>
      </w:pPr>
      <w:r>
        <w:rPr>
          <w:rFonts w:hint="eastAsia"/>
          <w:bCs/>
          <w:szCs w:val="24"/>
          <w:highlight w:val="none"/>
          <w:lang w:val="en-US" w:eastAsia="zh-CN"/>
        </w:rPr>
        <w:t>2</w:t>
      </w:r>
      <w:r>
        <w:rPr>
          <w:rFonts w:hint="eastAsia"/>
          <w:bCs/>
          <w:szCs w:val="24"/>
          <w:highlight w:val="none"/>
        </w:rPr>
        <w:t>）投标人需有预警监控功能的网络管理平台，能够提供实时异常网络流量监控；</w:t>
      </w:r>
    </w:p>
    <w:p w14:paraId="416B5F35">
      <w:pPr>
        <w:pStyle w:val="5"/>
        <w:tabs>
          <w:tab w:val="right" w:leader="middleDot" w:pos="8820"/>
        </w:tabs>
        <w:ind w:firstLine="480"/>
        <w:rPr>
          <w:bCs/>
          <w:szCs w:val="24"/>
          <w:highlight w:val="none"/>
        </w:rPr>
      </w:pPr>
      <w:r>
        <w:rPr>
          <w:rFonts w:hint="eastAsia"/>
          <w:bCs/>
          <w:szCs w:val="24"/>
          <w:highlight w:val="none"/>
          <w:lang w:val="en-US" w:eastAsia="zh-CN"/>
        </w:rPr>
        <w:t>3</w:t>
      </w:r>
      <w:r>
        <w:rPr>
          <w:rFonts w:hint="eastAsia"/>
          <w:bCs/>
          <w:szCs w:val="24"/>
          <w:highlight w:val="none"/>
        </w:rPr>
        <w:t>）投标人具有有效的互联网运营商接入服务的证明；</w:t>
      </w:r>
    </w:p>
    <w:p w14:paraId="046CE6CD">
      <w:pPr>
        <w:pStyle w:val="5"/>
        <w:tabs>
          <w:tab w:val="right" w:leader="middleDot" w:pos="8820"/>
        </w:tabs>
        <w:ind w:firstLine="480"/>
        <w:rPr>
          <w:bCs/>
          <w:szCs w:val="24"/>
          <w:highlight w:val="none"/>
        </w:rPr>
      </w:pPr>
      <w:r>
        <w:rPr>
          <w:rFonts w:hint="eastAsia"/>
          <w:bCs/>
          <w:szCs w:val="24"/>
          <w:highlight w:val="none"/>
        </w:rPr>
        <w:t>3.3人员资质</w:t>
      </w:r>
    </w:p>
    <w:p w14:paraId="42BC5CCA">
      <w:pPr>
        <w:ind w:firstLine="840" w:firstLineChars="400"/>
        <w:rPr>
          <w:rFonts w:hint="eastAsia"/>
          <w:bCs/>
          <w:sz w:val="24"/>
          <w:highlight w:val="none"/>
        </w:rPr>
      </w:pPr>
      <w:r>
        <w:rPr>
          <w:rFonts w:hint="eastAsia" w:ascii="宋体" w:hAnsi="宋体" w:cs="宋体"/>
          <w:szCs w:val="21"/>
          <w:highlight w:val="none"/>
        </w:rPr>
        <w:t>项目团队成员不少于5人，</w:t>
      </w:r>
      <w:r>
        <w:rPr>
          <w:rFonts w:hint="eastAsia"/>
          <w:bCs/>
          <w:sz w:val="24"/>
          <w:highlight w:val="none"/>
        </w:rPr>
        <w:t>项目组成员可提供：</w:t>
      </w:r>
    </w:p>
    <w:p w14:paraId="5326110C">
      <w:pPr>
        <w:ind w:firstLine="960" w:firstLineChars="400"/>
        <w:rPr>
          <w:rFonts w:hint="eastAsia"/>
          <w:bCs/>
          <w:sz w:val="24"/>
          <w:highlight w:val="none"/>
        </w:rPr>
      </w:pPr>
    </w:p>
    <w:p w14:paraId="7442A4BA">
      <w:pPr>
        <w:ind w:firstLine="960" w:firstLineChars="400"/>
        <w:rPr>
          <w:rFonts w:hint="eastAsia"/>
          <w:bCs/>
          <w:sz w:val="24"/>
          <w:highlight w:val="none"/>
        </w:rPr>
      </w:pPr>
      <w:r>
        <w:rPr>
          <w:rFonts w:hint="eastAsia"/>
          <w:bCs/>
          <w:sz w:val="24"/>
          <w:highlight w:val="none"/>
        </w:rPr>
        <w:t>项目经理需提供信息系统项目管理师、通信专业高级工程师职称证书，</w:t>
      </w:r>
    </w:p>
    <w:p w14:paraId="19C83616">
      <w:pPr>
        <w:pStyle w:val="5"/>
        <w:tabs>
          <w:tab w:val="right" w:leader="middleDot" w:pos="8820"/>
        </w:tabs>
        <w:ind w:firstLine="480"/>
        <w:rPr>
          <w:rFonts w:hint="eastAsia"/>
          <w:bCs/>
          <w:szCs w:val="24"/>
          <w:highlight w:val="none"/>
        </w:rPr>
      </w:pPr>
      <w:r>
        <w:rPr>
          <w:rFonts w:hint="eastAsia"/>
          <w:bCs/>
          <w:szCs w:val="24"/>
          <w:highlight w:val="none"/>
        </w:rPr>
        <w:t>项目组成员需获得需提供通信专业方向的高级工程师认证，。</w:t>
      </w:r>
    </w:p>
    <w:p w14:paraId="03905F3D">
      <w:pPr>
        <w:rPr>
          <w:highlight w:val="none"/>
        </w:rPr>
      </w:pPr>
    </w:p>
    <w:p w14:paraId="7F4AEA38">
      <w:pPr>
        <w:pStyle w:val="9"/>
        <w:numPr>
          <w:ilvl w:val="0"/>
          <w:numId w:val="1"/>
        </w:numPr>
        <w:spacing w:line="360" w:lineRule="auto"/>
        <w:ind w:firstLineChars="0"/>
        <w:contextualSpacing/>
        <w:rPr>
          <w:rFonts w:ascii="Times New Roman" w:hAnsi="Times New Roman"/>
          <w:b/>
          <w:sz w:val="24"/>
          <w:szCs w:val="24"/>
          <w:highlight w:val="none"/>
        </w:rPr>
      </w:pPr>
      <w:r>
        <w:rPr>
          <w:rFonts w:ascii="Times New Roman" w:hAnsi="Times New Roman"/>
          <w:b/>
          <w:sz w:val="24"/>
          <w:szCs w:val="24"/>
          <w:highlight w:val="none"/>
        </w:rPr>
        <w:t>技术要求</w:t>
      </w:r>
    </w:p>
    <w:p w14:paraId="2A5044DD">
      <w:pPr>
        <w:spacing w:line="360" w:lineRule="auto"/>
        <w:contextualSpacing/>
        <w:rPr>
          <w:sz w:val="24"/>
          <w:highlight w:val="none"/>
        </w:rPr>
      </w:pPr>
      <w:r>
        <w:rPr>
          <w:sz w:val="24"/>
          <w:highlight w:val="none"/>
        </w:rPr>
        <w:t>1. 基本要求</w:t>
      </w:r>
    </w:p>
    <w:p w14:paraId="09ED1421">
      <w:pPr>
        <w:spacing w:line="360" w:lineRule="auto"/>
        <w:ind w:firstLine="480" w:firstLineChars="200"/>
        <w:contextualSpacing/>
        <w:rPr>
          <w:sz w:val="24"/>
          <w:highlight w:val="none"/>
        </w:rPr>
      </w:pPr>
      <w:r>
        <w:rPr>
          <w:rFonts w:hint="eastAsia"/>
          <w:bCs/>
          <w:sz w:val="24"/>
          <w:highlight w:val="none"/>
        </w:rPr>
        <w:t>采购标的为：两</w:t>
      </w:r>
      <w:r>
        <w:rPr>
          <w:bCs/>
          <w:sz w:val="24"/>
          <w:highlight w:val="none"/>
        </w:rPr>
        <w:t>条</w:t>
      </w:r>
      <w:r>
        <w:rPr>
          <w:rFonts w:hint="eastAsia"/>
          <w:bCs/>
          <w:sz w:val="24"/>
          <w:highlight w:val="none"/>
        </w:rPr>
        <w:t>互联网</w:t>
      </w:r>
      <w:r>
        <w:rPr>
          <w:bCs/>
          <w:sz w:val="24"/>
          <w:highlight w:val="none"/>
        </w:rPr>
        <w:t>专用线路，</w:t>
      </w:r>
      <w:r>
        <w:rPr>
          <w:rFonts w:hint="eastAsia"/>
          <w:bCs/>
          <w:sz w:val="24"/>
          <w:highlight w:val="none"/>
        </w:rPr>
        <w:t>租期一</w:t>
      </w:r>
      <w:r>
        <w:rPr>
          <w:bCs/>
          <w:sz w:val="24"/>
          <w:highlight w:val="none"/>
        </w:rPr>
        <w:t>年。</w:t>
      </w:r>
      <w:r>
        <w:rPr>
          <w:rFonts w:hint="eastAsia"/>
          <w:bCs/>
          <w:sz w:val="24"/>
          <w:highlight w:val="none"/>
        </w:rPr>
        <w:t>两条线路总下行带宽≥10.5G</w:t>
      </w:r>
      <w:r>
        <w:rPr>
          <w:bCs/>
          <w:sz w:val="24"/>
          <w:highlight w:val="none"/>
        </w:rPr>
        <w:t>bps</w:t>
      </w:r>
      <w:r>
        <w:rPr>
          <w:rFonts w:hint="eastAsia"/>
          <w:bCs/>
          <w:sz w:val="24"/>
          <w:highlight w:val="none"/>
        </w:rPr>
        <w:t>，总上行带宽≥5.5G</w:t>
      </w:r>
      <w:r>
        <w:rPr>
          <w:bCs/>
          <w:sz w:val="24"/>
          <w:highlight w:val="none"/>
        </w:rPr>
        <w:t>bps</w:t>
      </w:r>
      <w:r>
        <w:rPr>
          <w:rFonts w:hint="eastAsia"/>
          <w:bCs/>
          <w:sz w:val="24"/>
          <w:highlight w:val="none"/>
        </w:rPr>
        <w:t>，其中投标人需要提供电子城校区（北京市朝阳区酒仙桥北路甲十号201楼B座2层）一条≥500M上下行对等带宽。</w:t>
      </w:r>
    </w:p>
    <w:p w14:paraId="2E57E4A2">
      <w:pPr>
        <w:spacing w:line="360" w:lineRule="auto"/>
        <w:contextualSpacing/>
        <w:rPr>
          <w:sz w:val="24"/>
          <w:highlight w:val="none"/>
        </w:rPr>
      </w:pPr>
      <w:r>
        <w:rPr>
          <w:sz w:val="24"/>
          <w:highlight w:val="none"/>
        </w:rPr>
        <w:t>2. 服务内容及要求/货物技术要求</w:t>
      </w:r>
    </w:p>
    <w:tbl>
      <w:tblPr>
        <w:tblStyle w:val="6"/>
        <w:tblW w:w="90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76"/>
        <w:gridCol w:w="6652"/>
      </w:tblGrid>
      <w:tr w14:paraId="1E431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2376" w:type="dxa"/>
            <w:noWrap w:val="0"/>
            <w:vAlign w:val="center"/>
          </w:tcPr>
          <w:p w14:paraId="2AC509A5">
            <w:pPr>
              <w:pBdr>
                <w:top w:val="none" w:color="auto" w:sz="0" w:space="1"/>
                <w:left w:val="none" w:color="auto" w:sz="0" w:space="4"/>
                <w:bottom w:val="none" w:color="auto" w:sz="0" w:space="1"/>
                <w:right w:val="none" w:color="auto" w:sz="0" w:space="4"/>
              </w:pBdr>
              <w:jc w:val="center"/>
              <w:rPr>
                <w:rFonts w:ascii="宋体" w:hAnsi="宋体" w:cs="Arial"/>
                <w:b/>
                <w:highlight w:val="none"/>
              </w:rPr>
            </w:pPr>
            <w:r>
              <w:rPr>
                <w:rFonts w:ascii="宋体" w:hAnsi="宋体" w:cs="Arial"/>
                <w:b/>
                <w:highlight w:val="none"/>
              </w:rPr>
              <w:t>技术需求</w:t>
            </w:r>
          </w:p>
        </w:tc>
        <w:tc>
          <w:tcPr>
            <w:tcW w:w="6652" w:type="dxa"/>
            <w:noWrap w:val="0"/>
            <w:vAlign w:val="center"/>
          </w:tcPr>
          <w:p w14:paraId="1CE4E227">
            <w:pPr>
              <w:pBdr>
                <w:top w:val="none" w:color="auto" w:sz="0" w:space="1"/>
                <w:left w:val="none" w:color="auto" w:sz="0" w:space="4"/>
                <w:bottom w:val="none" w:color="auto" w:sz="0" w:space="1"/>
                <w:right w:val="none" w:color="auto" w:sz="0" w:space="4"/>
              </w:pBdr>
              <w:jc w:val="center"/>
              <w:rPr>
                <w:rFonts w:ascii="宋体" w:hAnsi="宋体" w:cs="Arial"/>
                <w:b/>
                <w:highlight w:val="none"/>
              </w:rPr>
            </w:pPr>
            <w:r>
              <w:rPr>
                <w:rFonts w:ascii="宋体" w:hAnsi="宋体" w:cs="Arial"/>
                <w:b/>
                <w:highlight w:val="none"/>
              </w:rPr>
              <w:t>技术要求</w:t>
            </w:r>
          </w:p>
        </w:tc>
      </w:tr>
      <w:tr w14:paraId="6163A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2376" w:type="dxa"/>
            <w:noWrap w:val="0"/>
            <w:vAlign w:val="center"/>
          </w:tcPr>
          <w:p w14:paraId="78E1062F">
            <w:pPr>
              <w:pBdr>
                <w:top w:val="none" w:color="auto" w:sz="0" w:space="1"/>
                <w:left w:val="none" w:color="auto" w:sz="0" w:space="4"/>
                <w:bottom w:val="none" w:color="auto" w:sz="0" w:space="1"/>
                <w:right w:val="none" w:color="auto" w:sz="0" w:space="4"/>
              </w:pBdr>
              <w:jc w:val="center"/>
              <w:rPr>
                <w:rFonts w:ascii="宋体" w:hAnsi="宋体"/>
                <w:szCs w:val="21"/>
                <w:highlight w:val="none"/>
              </w:rPr>
            </w:pPr>
            <w:r>
              <w:rPr>
                <w:rFonts w:hint="eastAsia" w:ascii="宋体" w:hAnsi="宋体"/>
                <w:szCs w:val="21"/>
                <w:highlight w:val="none"/>
              </w:rPr>
              <w:t>带宽</w:t>
            </w:r>
          </w:p>
        </w:tc>
        <w:tc>
          <w:tcPr>
            <w:tcW w:w="6652" w:type="dxa"/>
            <w:noWrap w:val="0"/>
            <w:vAlign w:val="center"/>
          </w:tcPr>
          <w:p w14:paraId="3FC993E5">
            <w:pPr>
              <w:pStyle w:val="5"/>
              <w:tabs>
                <w:tab w:val="right" w:leader="middleDot" w:pos="8820"/>
              </w:tabs>
              <w:ind w:left="0" w:leftChars="0" w:firstLine="0" w:firstLineChars="0"/>
              <w:rPr>
                <w:highlight w:val="none"/>
              </w:rPr>
            </w:pPr>
            <w:r>
              <w:rPr>
                <w:rFonts w:hint="eastAsia"/>
                <w:bCs/>
                <w:highlight w:val="none"/>
              </w:rPr>
              <w:t>两条线路总下行带宽≥10.5G</w:t>
            </w:r>
            <w:r>
              <w:rPr>
                <w:bCs/>
                <w:highlight w:val="none"/>
              </w:rPr>
              <w:t>bps</w:t>
            </w:r>
            <w:r>
              <w:rPr>
                <w:rFonts w:hint="eastAsia"/>
                <w:bCs/>
                <w:highlight w:val="none"/>
              </w:rPr>
              <w:t>，总上行带宽≥5.5G</w:t>
            </w:r>
            <w:r>
              <w:rPr>
                <w:bCs/>
                <w:highlight w:val="none"/>
              </w:rPr>
              <w:t>bps</w:t>
            </w:r>
            <w:r>
              <w:rPr>
                <w:rFonts w:hint="eastAsia"/>
                <w:bCs/>
                <w:highlight w:val="none"/>
              </w:rPr>
              <w:t>，</w:t>
            </w:r>
            <w:r>
              <w:rPr>
                <w:rFonts w:hint="eastAsia" w:ascii="宋体" w:hAnsi="宋体"/>
                <w:szCs w:val="21"/>
                <w:highlight w:val="none"/>
              </w:rPr>
              <w:t>且为独立链路独立带宽，链路速率不低于接口理论速率</w:t>
            </w:r>
            <w:r>
              <w:rPr>
                <w:rFonts w:ascii="宋体" w:hAnsi="宋体"/>
                <w:szCs w:val="21"/>
                <w:highlight w:val="none"/>
              </w:rPr>
              <w:t>90%</w:t>
            </w:r>
            <w:r>
              <w:rPr>
                <w:rFonts w:hint="eastAsia" w:ascii="宋体" w:hAnsi="宋体"/>
                <w:szCs w:val="21"/>
                <w:highlight w:val="none"/>
              </w:rPr>
              <w:t>，</w:t>
            </w:r>
            <w:r>
              <w:rPr>
                <w:rFonts w:hint="eastAsia" w:ascii="宋体" w:hAnsi="宋体" w:cs="宋体"/>
                <w:highlight w:val="none"/>
              </w:rPr>
              <w:t>其中</w:t>
            </w:r>
            <w:r>
              <w:rPr>
                <w:rFonts w:hint="eastAsia" w:ascii="宋体" w:hAnsi="宋体" w:cs="Arial"/>
                <w:szCs w:val="21"/>
                <w:highlight w:val="none"/>
              </w:rPr>
              <w:t>投标人需要提供电子城校区（北京市朝阳区酒仙桥北路甲十号201楼B座2层）一条</w:t>
            </w:r>
            <w:r>
              <w:rPr>
                <w:rFonts w:hint="eastAsia" w:ascii="宋体" w:hAnsi="宋体" w:cs="宋体"/>
                <w:highlight w:val="none"/>
              </w:rPr>
              <w:t>≥</w:t>
            </w:r>
            <w:r>
              <w:rPr>
                <w:rFonts w:hint="eastAsia" w:ascii="宋体" w:hAnsi="宋体" w:cs="Arial"/>
                <w:szCs w:val="21"/>
                <w:highlight w:val="none"/>
              </w:rPr>
              <w:t>500M上下行对等带宽以及网络安全、W</w:t>
            </w:r>
            <w:r>
              <w:rPr>
                <w:rFonts w:ascii="宋体" w:hAnsi="宋体" w:cs="Arial"/>
                <w:szCs w:val="21"/>
                <w:highlight w:val="none"/>
              </w:rPr>
              <w:t>IFI等服务。</w:t>
            </w:r>
          </w:p>
        </w:tc>
      </w:tr>
      <w:tr w14:paraId="5D6D3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2376" w:type="dxa"/>
            <w:noWrap w:val="0"/>
            <w:vAlign w:val="center"/>
          </w:tcPr>
          <w:p w14:paraId="24DCC142">
            <w:pPr>
              <w:pBdr>
                <w:top w:val="none" w:color="auto" w:sz="0" w:space="1"/>
                <w:left w:val="none" w:color="auto" w:sz="0" w:space="4"/>
                <w:bottom w:val="none" w:color="auto" w:sz="0" w:space="1"/>
                <w:right w:val="none" w:color="auto" w:sz="0" w:space="4"/>
              </w:pBdr>
              <w:jc w:val="center"/>
              <w:rPr>
                <w:rFonts w:ascii="宋体" w:hAnsi="宋体"/>
                <w:szCs w:val="21"/>
                <w:highlight w:val="none"/>
              </w:rPr>
            </w:pPr>
            <w:r>
              <w:rPr>
                <w:rFonts w:hint="eastAsia" w:ascii="宋体" w:hAnsi="宋体"/>
                <w:szCs w:val="21"/>
                <w:highlight w:val="none"/>
              </w:rPr>
              <w:t>公网</w:t>
            </w:r>
            <w:r>
              <w:rPr>
                <w:rFonts w:ascii="宋体" w:hAnsi="宋体"/>
                <w:szCs w:val="21"/>
                <w:highlight w:val="none"/>
              </w:rPr>
              <w:t>IP地址</w:t>
            </w:r>
          </w:p>
        </w:tc>
        <w:tc>
          <w:tcPr>
            <w:tcW w:w="6652" w:type="dxa"/>
            <w:noWrap w:val="0"/>
            <w:vAlign w:val="center"/>
          </w:tcPr>
          <w:p w14:paraId="27BAF84C">
            <w:pPr>
              <w:pStyle w:val="9"/>
              <w:spacing w:line="360" w:lineRule="auto"/>
              <w:ind w:firstLine="0" w:firstLineChars="0"/>
              <w:rPr>
                <w:rFonts w:hint="eastAsia" w:ascii="仿宋" w:hAnsi="仿宋" w:eastAsia="仿宋" w:cs="仿宋"/>
                <w:sz w:val="24"/>
                <w:highlight w:val="none"/>
              </w:rPr>
            </w:pPr>
            <w:r>
              <w:rPr>
                <w:rFonts w:hint="eastAsia" w:ascii="宋体" w:hAnsi="宋体" w:cs="宋体"/>
                <w:kern w:val="0"/>
                <w:sz w:val="24"/>
                <w:highlight w:val="none"/>
              </w:rPr>
              <w:t>≥</w:t>
            </w:r>
            <w:r>
              <w:rPr>
                <w:rFonts w:hint="eastAsia" w:ascii="宋体" w:hAnsi="宋体"/>
                <w:szCs w:val="21"/>
                <w:highlight w:val="none"/>
              </w:rPr>
              <w:t>256个IP</w:t>
            </w:r>
            <w:r>
              <w:rPr>
                <w:rFonts w:ascii="宋体" w:hAnsi="宋体"/>
                <w:szCs w:val="21"/>
                <w:highlight w:val="none"/>
              </w:rPr>
              <w:t>v4</w:t>
            </w:r>
            <w:r>
              <w:rPr>
                <w:rFonts w:hint="eastAsia" w:ascii="宋体" w:hAnsi="宋体"/>
                <w:szCs w:val="21"/>
                <w:highlight w:val="none"/>
              </w:rPr>
              <w:t>地址，/56</w:t>
            </w:r>
            <w:r>
              <w:rPr>
                <w:rFonts w:ascii="宋体" w:hAnsi="宋体"/>
                <w:szCs w:val="21"/>
                <w:highlight w:val="none"/>
              </w:rPr>
              <w:t xml:space="preserve"> </w:t>
            </w:r>
            <w:r>
              <w:rPr>
                <w:rFonts w:hint="eastAsia" w:ascii="宋体" w:hAnsi="宋体"/>
                <w:szCs w:val="21"/>
                <w:highlight w:val="none"/>
              </w:rPr>
              <w:t>（56位掩码）个IPv6地址，其中</w:t>
            </w:r>
            <w:r>
              <w:rPr>
                <w:rFonts w:hint="eastAsia" w:ascii="宋体" w:hAnsi="宋体" w:cs="Arial"/>
                <w:szCs w:val="21"/>
                <w:highlight w:val="none"/>
              </w:rPr>
              <w:t>包含电子城校区</w:t>
            </w:r>
            <w:r>
              <w:rPr>
                <w:rFonts w:hint="eastAsia" w:ascii="宋体" w:hAnsi="宋体" w:cs="宋体"/>
                <w:kern w:val="0"/>
                <w:sz w:val="24"/>
                <w:highlight w:val="none"/>
              </w:rPr>
              <w:t>≥</w:t>
            </w:r>
            <w:r>
              <w:rPr>
                <w:rFonts w:hint="eastAsia" w:ascii="宋体" w:hAnsi="宋体" w:cs="Arial"/>
                <w:szCs w:val="21"/>
                <w:highlight w:val="none"/>
              </w:rPr>
              <w:t>16个公网IPv4地址。</w:t>
            </w:r>
            <w:r>
              <w:rPr>
                <w:rFonts w:hint="eastAsia" w:ascii="宋体" w:hAnsi="宋体"/>
                <w:szCs w:val="21"/>
                <w:highlight w:val="none"/>
              </w:rPr>
              <w:t>各类服务端口可按要求备案后开启</w:t>
            </w:r>
          </w:p>
        </w:tc>
      </w:tr>
      <w:tr w14:paraId="3DAA3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2376" w:type="dxa"/>
            <w:noWrap w:val="0"/>
            <w:vAlign w:val="center"/>
          </w:tcPr>
          <w:p w14:paraId="4E24DE08">
            <w:pPr>
              <w:pBdr>
                <w:top w:val="none" w:color="auto" w:sz="0" w:space="1"/>
                <w:left w:val="none" w:color="auto" w:sz="0" w:space="4"/>
                <w:bottom w:val="none" w:color="auto" w:sz="0" w:space="1"/>
                <w:right w:val="none" w:color="auto" w:sz="0" w:space="4"/>
              </w:pBdr>
              <w:jc w:val="center"/>
              <w:rPr>
                <w:rFonts w:ascii="宋体" w:hAnsi="宋体"/>
                <w:szCs w:val="21"/>
                <w:highlight w:val="none"/>
              </w:rPr>
            </w:pPr>
            <w:r>
              <w:rPr>
                <w:rFonts w:hint="eastAsia" w:ascii="宋体" w:hAnsi="宋体"/>
                <w:szCs w:val="21"/>
                <w:highlight w:val="none"/>
              </w:rPr>
              <w:t>租期</w:t>
            </w:r>
          </w:p>
        </w:tc>
        <w:tc>
          <w:tcPr>
            <w:tcW w:w="6652" w:type="dxa"/>
            <w:noWrap w:val="0"/>
            <w:vAlign w:val="center"/>
          </w:tcPr>
          <w:p w14:paraId="5621D37D">
            <w:pPr>
              <w:pBdr>
                <w:top w:val="none" w:color="auto" w:sz="0" w:space="1"/>
                <w:left w:val="none" w:color="auto" w:sz="0" w:space="4"/>
                <w:bottom w:val="none" w:color="auto" w:sz="0" w:space="1"/>
                <w:right w:val="none" w:color="auto" w:sz="0" w:space="4"/>
              </w:pBdr>
              <w:rPr>
                <w:rFonts w:ascii="宋体" w:hAnsi="宋体"/>
                <w:szCs w:val="21"/>
                <w:highlight w:val="none"/>
              </w:rPr>
            </w:pPr>
            <w:r>
              <w:rPr>
                <w:rFonts w:hint="eastAsia" w:ascii="宋体" w:hAnsi="宋体"/>
                <w:szCs w:val="21"/>
                <w:highlight w:val="none"/>
              </w:rPr>
              <w:t>12个月</w:t>
            </w:r>
          </w:p>
        </w:tc>
      </w:tr>
      <w:tr w14:paraId="4FA13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2376" w:type="dxa"/>
            <w:noWrap w:val="0"/>
            <w:vAlign w:val="center"/>
          </w:tcPr>
          <w:p w14:paraId="6114D92B">
            <w:pPr>
              <w:pBdr>
                <w:top w:val="none" w:color="auto" w:sz="0" w:space="1"/>
                <w:left w:val="none" w:color="auto" w:sz="0" w:space="4"/>
                <w:bottom w:val="none" w:color="auto" w:sz="0" w:space="1"/>
                <w:right w:val="none" w:color="auto" w:sz="0" w:space="4"/>
              </w:pBdr>
              <w:jc w:val="center"/>
              <w:rPr>
                <w:rFonts w:ascii="宋体" w:hAnsi="宋体"/>
                <w:szCs w:val="21"/>
                <w:highlight w:val="none"/>
              </w:rPr>
            </w:pPr>
            <w:r>
              <w:rPr>
                <w:rFonts w:hint="eastAsia" w:ascii="宋体" w:hAnsi="宋体"/>
                <w:szCs w:val="21"/>
                <w:highlight w:val="none"/>
              </w:rPr>
              <w:t>链路</w:t>
            </w:r>
            <w:r>
              <w:rPr>
                <w:rFonts w:ascii="宋体" w:hAnsi="宋体"/>
                <w:szCs w:val="21"/>
                <w:highlight w:val="none"/>
              </w:rPr>
              <w:t>接口</w:t>
            </w:r>
          </w:p>
        </w:tc>
        <w:tc>
          <w:tcPr>
            <w:tcW w:w="6652" w:type="dxa"/>
            <w:noWrap w:val="0"/>
            <w:vAlign w:val="center"/>
          </w:tcPr>
          <w:p w14:paraId="06C69015">
            <w:pPr>
              <w:pBdr>
                <w:top w:val="none" w:color="auto" w:sz="0" w:space="1"/>
                <w:left w:val="none" w:color="auto" w:sz="0" w:space="4"/>
                <w:bottom w:val="none" w:color="auto" w:sz="0" w:space="1"/>
                <w:right w:val="none" w:color="auto" w:sz="0" w:space="4"/>
              </w:pBdr>
              <w:rPr>
                <w:rFonts w:ascii="宋体" w:hAnsi="宋体"/>
                <w:szCs w:val="21"/>
                <w:highlight w:val="none"/>
              </w:rPr>
            </w:pPr>
            <w:r>
              <w:rPr>
                <w:rFonts w:hint="eastAsia" w:ascii="宋体" w:hAnsi="宋体"/>
                <w:szCs w:val="21"/>
                <w:highlight w:val="none"/>
              </w:rPr>
              <w:t>链路接口灵活配置，可灵活实现电与光接口的变更，可满足与上级单位网络出口的一致性及稳定性。</w:t>
            </w:r>
          </w:p>
        </w:tc>
      </w:tr>
      <w:tr w14:paraId="59975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2376" w:type="dxa"/>
            <w:noWrap w:val="0"/>
            <w:vAlign w:val="center"/>
          </w:tcPr>
          <w:p w14:paraId="45162756">
            <w:pPr>
              <w:pBdr>
                <w:top w:val="none" w:color="auto" w:sz="0" w:space="1"/>
                <w:left w:val="none" w:color="auto" w:sz="0" w:space="4"/>
                <w:bottom w:val="none" w:color="auto" w:sz="0" w:space="1"/>
                <w:right w:val="none" w:color="auto" w:sz="0" w:space="4"/>
              </w:pBdr>
              <w:jc w:val="center"/>
              <w:rPr>
                <w:rFonts w:ascii="宋体" w:hAnsi="宋体"/>
                <w:szCs w:val="21"/>
                <w:highlight w:val="none"/>
              </w:rPr>
            </w:pPr>
            <w:r>
              <w:rPr>
                <w:rFonts w:hint="eastAsia" w:ascii="宋体" w:hAnsi="宋体"/>
                <w:szCs w:val="21"/>
                <w:highlight w:val="none"/>
              </w:rPr>
              <w:t>光路</w:t>
            </w:r>
            <w:r>
              <w:rPr>
                <w:rFonts w:ascii="宋体" w:hAnsi="宋体"/>
                <w:szCs w:val="21"/>
                <w:highlight w:val="none"/>
              </w:rPr>
              <w:t>衰减</w:t>
            </w:r>
          </w:p>
        </w:tc>
        <w:tc>
          <w:tcPr>
            <w:tcW w:w="6652" w:type="dxa"/>
            <w:noWrap w:val="0"/>
            <w:vAlign w:val="center"/>
          </w:tcPr>
          <w:p w14:paraId="01D18217">
            <w:pPr>
              <w:pBdr>
                <w:top w:val="none" w:color="auto" w:sz="0" w:space="1"/>
                <w:left w:val="none" w:color="auto" w:sz="0" w:space="4"/>
                <w:bottom w:val="none" w:color="auto" w:sz="0" w:space="1"/>
                <w:right w:val="none" w:color="auto" w:sz="0" w:space="4"/>
              </w:pBdr>
              <w:rPr>
                <w:rFonts w:ascii="宋体" w:hAnsi="宋体"/>
                <w:szCs w:val="21"/>
                <w:highlight w:val="none"/>
              </w:rPr>
            </w:pPr>
            <w:r>
              <w:rPr>
                <w:rFonts w:hint="eastAsia" w:ascii="宋体" w:hAnsi="宋体"/>
                <w:highlight w:val="none"/>
              </w:rPr>
              <w:t>≤</w:t>
            </w:r>
            <w:r>
              <w:rPr>
                <w:rFonts w:ascii="宋体" w:hAnsi="宋体"/>
                <w:szCs w:val="21"/>
                <w:highlight w:val="none"/>
              </w:rPr>
              <w:t>20db</w:t>
            </w:r>
            <w:r>
              <w:rPr>
                <w:rFonts w:hint="eastAsia" w:ascii="宋体" w:hAnsi="宋体"/>
                <w:szCs w:val="21"/>
                <w:highlight w:val="none"/>
              </w:rPr>
              <w:t>，单模双芯光纤。损耗符合国家标准规定。</w:t>
            </w:r>
          </w:p>
        </w:tc>
      </w:tr>
      <w:tr w14:paraId="681B5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2376" w:type="dxa"/>
            <w:noWrap w:val="0"/>
            <w:vAlign w:val="center"/>
          </w:tcPr>
          <w:p w14:paraId="4B042BDB">
            <w:pPr>
              <w:pBdr>
                <w:top w:val="none" w:color="auto" w:sz="0" w:space="1"/>
                <w:left w:val="none" w:color="auto" w:sz="0" w:space="4"/>
                <w:bottom w:val="none" w:color="auto" w:sz="0" w:space="1"/>
                <w:right w:val="none" w:color="auto" w:sz="0" w:space="4"/>
              </w:pBdr>
              <w:jc w:val="center"/>
              <w:rPr>
                <w:rFonts w:ascii="宋体" w:hAnsi="宋体" w:cs="Arial"/>
                <w:szCs w:val="21"/>
                <w:highlight w:val="none"/>
              </w:rPr>
            </w:pPr>
            <w:r>
              <w:rPr>
                <w:rFonts w:hint="eastAsia" w:ascii="宋体" w:hAnsi="宋体"/>
                <w:szCs w:val="21"/>
                <w:highlight w:val="none"/>
              </w:rPr>
              <w:t>安全性要求</w:t>
            </w:r>
          </w:p>
        </w:tc>
        <w:tc>
          <w:tcPr>
            <w:tcW w:w="6652" w:type="dxa"/>
            <w:noWrap w:val="0"/>
            <w:vAlign w:val="center"/>
          </w:tcPr>
          <w:p w14:paraId="7B09503A">
            <w:pPr>
              <w:rPr>
                <w:rFonts w:ascii="宋体" w:hAnsi="宋体"/>
                <w:szCs w:val="21"/>
                <w:highlight w:val="none"/>
              </w:rPr>
            </w:pPr>
            <w:r>
              <w:rPr>
                <w:rFonts w:hint="eastAsia" w:ascii="宋体" w:hAnsi="宋体"/>
                <w:szCs w:val="21"/>
                <w:highlight w:val="none"/>
              </w:rPr>
              <w:t>须对用户租用的数据专线的安全负责，保证用户数据不被拦截、不被监听、不被篡改，保证用户以外的人不能进入所租数据专线</w:t>
            </w:r>
          </w:p>
        </w:tc>
      </w:tr>
      <w:tr w14:paraId="3D455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2376" w:type="dxa"/>
            <w:noWrap w:val="0"/>
            <w:vAlign w:val="center"/>
          </w:tcPr>
          <w:p w14:paraId="6DDE82D0">
            <w:pPr>
              <w:widowControl/>
              <w:jc w:val="center"/>
              <w:rPr>
                <w:rFonts w:ascii="宋体" w:hAnsi="宋体" w:cs="宋体"/>
                <w:bCs/>
                <w:szCs w:val="21"/>
                <w:highlight w:val="none"/>
              </w:rPr>
            </w:pPr>
            <w:r>
              <w:rPr>
                <w:rFonts w:hint="eastAsia" w:ascii="宋体" w:hAnsi="宋体" w:cs="宋体"/>
                <w:bCs/>
                <w:szCs w:val="21"/>
                <w:highlight w:val="none"/>
              </w:rPr>
              <w:t>网络延时</w:t>
            </w:r>
          </w:p>
        </w:tc>
        <w:tc>
          <w:tcPr>
            <w:tcW w:w="6652" w:type="dxa"/>
            <w:noWrap w:val="0"/>
            <w:vAlign w:val="center"/>
          </w:tcPr>
          <w:p w14:paraId="28319FCA">
            <w:pPr>
              <w:widowControl/>
              <w:jc w:val="left"/>
              <w:rPr>
                <w:rFonts w:ascii="宋体" w:hAnsi="宋体" w:cs="宋体"/>
                <w:bCs/>
                <w:szCs w:val="21"/>
                <w:highlight w:val="none"/>
              </w:rPr>
            </w:pPr>
            <w:r>
              <w:rPr>
                <w:rFonts w:hint="eastAsia" w:ascii="宋体" w:hAnsi="宋体" w:cs="宋体"/>
                <w:bCs/>
                <w:szCs w:val="21"/>
                <w:highlight w:val="none"/>
              </w:rPr>
              <w:t>从网络出口到骨干网延时≤</w:t>
            </w:r>
            <w:r>
              <w:rPr>
                <w:rFonts w:ascii="宋体" w:hAnsi="宋体" w:cs="宋体"/>
                <w:bCs/>
                <w:szCs w:val="21"/>
                <w:highlight w:val="none"/>
              </w:rPr>
              <w:t>2</w:t>
            </w:r>
            <w:r>
              <w:rPr>
                <w:rFonts w:hint="eastAsia" w:ascii="宋体" w:hAnsi="宋体" w:cs="宋体"/>
                <w:bCs/>
                <w:szCs w:val="21"/>
                <w:highlight w:val="none"/>
              </w:rPr>
              <w:t>0ms，国内主要网络访问平均延时不超过50毫秒。</w:t>
            </w:r>
            <w:r>
              <w:rPr>
                <w:rFonts w:hint="eastAsia" w:ascii="宋体" w:hAnsi="宋体"/>
                <w:highlight w:val="none"/>
              </w:rPr>
              <w:t>：TCP包在链路轻载条件（带宽利用率≤40％）下丢包率≤0.05％，TCP包在链路重载条件（带宽的70％～80％）下丢包率≤0.1％。</w:t>
            </w:r>
          </w:p>
        </w:tc>
      </w:tr>
      <w:tr w14:paraId="20DB9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2376" w:type="dxa"/>
            <w:noWrap w:val="0"/>
            <w:vAlign w:val="center"/>
          </w:tcPr>
          <w:p w14:paraId="470B1F09">
            <w:pPr>
              <w:widowControl/>
              <w:jc w:val="center"/>
              <w:rPr>
                <w:rFonts w:ascii="宋体" w:hAnsi="宋体" w:cs="宋体"/>
                <w:bCs/>
                <w:szCs w:val="21"/>
                <w:highlight w:val="none"/>
              </w:rPr>
            </w:pPr>
            <w:r>
              <w:rPr>
                <w:rFonts w:hint="eastAsia" w:ascii="宋体" w:hAnsi="宋体" w:cs="宋体"/>
                <w:bCs/>
                <w:szCs w:val="21"/>
                <w:highlight w:val="none"/>
              </w:rPr>
              <w:t>丢包率</w:t>
            </w:r>
          </w:p>
        </w:tc>
        <w:tc>
          <w:tcPr>
            <w:tcW w:w="6652" w:type="dxa"/>
            <w:noWrap w:val="0"/>
            <w:vAlign w:val="center"/>
          </w:tcPr>
          <w:p w14:paraId="446746E4">
            <w:pPr>
              <w:widowControl/>
              <w:spacing w:line="360" w:lineRule="auto"/>
              <w:jc w:val="left"/>
              <w:rPr>
                <w:rFonts w:ascii="宋体" w:hAnsi="宋体" w:cs="宋体"/>
                <w:bCs/>
                <w:szCs w:val="21"/>
                <w:highlight w:val="none"/>
              </w:rPr>
            </w:pPr>
            <w:r>
              <w:rPr>
                <w:rFonts w:hint="eastAsia" w:ascii="宋体" w:hAnsi="宋体" w:cs="宋体"/>
                <w:bCs/>
                <w:szCs w:val="21"/>
                <w:highlight w:val="none"/>
              </w:rPr>
              <w:t>从采购人网络设备端口到投标人局端网络设备网络丢包率≤0.1</w:t>
            </w:r>
            <w:r>
              <w:rPr>
                <w:rFonts w:hint="eastAsia" w:ascii="宋体" w:hAnsi="宋体"/>
                <w:highlight w:val="none"/>
              </w:rPr>
              <w:t>％</w:t>
            </w:r>
            <w:r>
              <w:rPr>
                <w:rFonts w:hint="eastAsia" w:ascii="宋体" w:hAnsi="宋体" w:cs="宋体"/>
                <w:bCs/>
                <w:szCs w:val="21"/>
                <w:highlight w:val="none"/>
              </w:rPr>
              <w:t>。</w:t>
            </w:r>
            <w:r>
              <w:rPr>
                <w:rFonts w:hint="eastAsia" w:ascii="宋体" w:hAnsi="宋体"/>
                <w:highlight w:val="none"/>
              </w:rPr>
              <w:t>从采购人网络设备端口到投标人局端网络设备网络丢包率≤0.1％，网络时延≤</w:t>
            </w:r>
            <w:r>
              <w:rPr>
                <w:rFonts w:ascii="宋体" w:hAnsi="宋体"/>
                <w:highlight w:val="none"/>
              </w:rPr>
              <w:t>2</w:t>
            </w:r>
            <w:r>
              <w:rPr>
                <w:rFonts w:hint="eastAsia" w:ascii="宋体" w:hAnsi="宋体"/>
                <w:highlight w:val="none"/>
              </w:rPr>
              <w:t>0ms。</w:t>
            </w:r>
          </w:p>
        </w:tc>
      </w:tr>
      <w:tr w14:paraId="3D478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2376" w:type="dxa"/>
            <w:noWrap w:val="0"/>
            <w:vAlign w:val="center"/>
          </w:tcPr>
          <w:p w14:paraId="5A56AFD3">
            <w:pPr>
              <w:widowControl/>
              <w:jc w:val="center"/>
              <w:rPr>
                <w:rFonts w:ascii="宋体" w:hAnsi="宋体" w:cs="宋体"/>
                <w:bCs/>
                <w:szCs w:val="21"/>
                <w:highlight w:val="none"/>
              </w:rPr>
            </w:pPr>
            <w:r>
              <w:rPr>
                <w:rFonts w:hint="eastAsia" w:ascii="宋体" w:hAnsi="宋体" w:cs="宋体"/>
                <w:bCs/>
                <w:szCs w:val="21"/>
                <w:highlight w:val="none"/>
              </w:rPr>
              <w:t>连通率</w:t>
            </w:r>
          </w:p>
        </w:tc>
        <w:tc>
          <w:tcPr>
            <w:tcW w:w="6652" w:type="dxa"/>
            <w:noWrap w:val="0"/>
            <w:vAlign w:val="center"/>
          </w:tcPr>
          <w:p w14:paraId="689B41DD">
            <w:pPr>
              <w:widowControl/>
              <w:jc w:val="left"/>
              <w:rPr>
                <w:rFonts w:ascii="宋体" w:hAnsi="宋体" w:cs="宋体"/>
                <w:bCs/>
                <w:szCs w:val="21"/>
                <w:highlight w:val="none"/>
              </w:rPr>
            </w:pPr>
            <w:r>
              <w:rPr>
                <w:rFonts w:hint="eastAsia" w:ascii="宋体" w:hAnsi="宋体" w:cs="宋体"/>
                <w:bCs/>
                <w:szCs w:val="21"/>
                <w:highlight w:val="none"/>
              </w:rPr>
              <w:t>无故障率和网络连通率：高于99.9%</w:t>
            </w:r>
          </w:p>
        </w:tc>
      </w:tr>
      <w:tr w14:paraId="231FE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2376" w:type="dxa"/>
            <w:noWrap w:val="0"/>
            <w:vAlign w:val="center"/>
          </w:tcPr>
          <w:p w14:paraId="3882F9FB">
            <w:pPr>
              <w:widowControl/>
              <w:jc w:val="center"/>
              <w:rPr>
                <w:rFonts w:ascii="宋体" w:hAnsi="宋体" w:cs="宋体"/>
                <w:bCs/>
                <w:szCs w:val="21"/>
                <w:highlight w:val="none"/>
              </w:rPr>
            </w:pPr>
            <w:r>
              <w:rPr>
                <w:rFonts w:hint="eastAsia" w:ascii="宋体" w:hAnsi="宋体" w:cs="宋体"/>
                <w:bCs/>
                <w:szCs w:val="21"/>
                <w:highlight w:val="none"/>
              </w:rPr>
              <w:t>线路其他</w:t>
            </w:r>
            <w:r>
              <w:rPr>
                <w:rFonts w:ascii="宋体" w:hAnsi="宋体" w:cs="宋体"/>
                <w:bCs/>
                <w:szCs w:val="21"/>
                <w:highlight w:val="none"/>
              </w:rPr>
              <w:t>服务</w:t>
            </w:r>
          </w:p>
        </w:tc>
        <w:tc>
          <w:tcPr>
            <w:tcW w:w="6652" w:type="dxa"/>
            <w:noWrap w:val="0"/>
            <w:vAlign w:val="center"/>
          </w:tcPr>
          <w:p w14:paraId="1F466E81">
            <w:pPr>
              <w:widowControl/>
              <w:jc w:val="center"/>
              <w:rPr>
                <w:rFonts w:ascii="宋体" w:hAnsi="宋体" w:cs="宋体"/>
                <w:bCs/>
                <w:szCs w:val="21"/>
                <w:highlight w:val="none"/>
              </w:rPr>
            </w:pPr>
            <w:r>
              <w:rPr>
                <w:rFonts w:hint="eastAsia" w:ascii="宋体" w:hAnsi="宋体" w:cs="宋体"/>
                <w:bCs/>
                <w:szCs w:val="21"/>
                <w:highlight w:val="none"/>
              </w:rPr>
              <w:t>需支持外部访问服务、WEB服务、VPN服务、MAIL服务、DDOS攻击</w:t>
            </w:r>
            <w:r>
              <w:rPr>
                <w:rFonts w:hint="eastAsia" w:ascii="宋体" w:hAnsi="宋体" w:cs="宋体"/>
                <w:szCs w:val="21"/>
                <w:highlight w:val="none"/>
              </w:rPr>
              <w:t>流量清洗</w:t>
            </w:r>
            <w:r>
              <w:rPr>
                <w:rFonts w:hint="eastAsia" w:ascii="宋体" w:hAnsi="宋体" w:cs="宋体"/>
                <w:bCs/>
                <w:szCs w:val="21"/>
                <w:highlight w:val="none"/>
              </w:rPr>
              <w:t>服务、国际学术加速服务</w:t>
            </w:r>
            <w:r>
              <w:rPr>
                <w:rFonts w:hint="eastAsia" w:ascii="宋体" w:hAnsi="宋体" w:cs="宋体"/>
                <w:bCs/>
                <w:szCs w:val="21"/>
                <w:highlight w:val="none"/>
                <w:lang w:eastAsia="zh-CN"/>
              </w:rPr>
              <w:t>、</w:t>
            </w:r>
            <w:r>
              <w:rPr>
                <w:rFonts w:hint="eastAsia" w:ascii="宋体" w:hAnsi="宋体" w:cs="宋体"/>
                <w:bCs/>
                <w:szCs w:val="21"/>
                <w:highlight w:val="none"/>
                <w:lang w:val="en-US" w:eastAsia="zh-CN"/>
              </w:rPr>
              <w:t>三网短信网关服务</w:t>
            </w:r>
          </w:p>
        </w:tc>
      </w:tr>
    </w:tbl>
    <w:p w14:paraId="0481648E">
      <w:pPr>
        <w:pStyle w:val="9"/>
        <w:adjustRightInd w:val="0"/>
        <w:spacing w:line="360" w:lineRule="auto"/>
        <w:ind w:firstLine="424" w:firstLineChars="177"/>
        <w:contextualSpacing/>
        <w:jc w:val="left"/>
        <w:rPr>
          <w:rFonts w:ascii="Times New Roman" w:hAnsi="Times New Roman"/>
          <w:sz w:val="24"/>
          <w:szCs w:val="24"/>
          <w:highlight w:val="none"/>
        </w:rPr>
      </w:pPr>
    </w:p>
    <w:p w14:paraId="6E23CC4A">
      <w:pPr>
        <w:spacing w:line="360" w:lineRule="auto"/>
        <w:contextualSpacing/>
        <w:rPr>
          <w:i/>
          <w:iCs/>
          <w:sz w:val="24"/>
          <w:highlight w:val="none"/>
        </w:rPr>
      </w:pPr>
      <w:r>
        <w:rPr>
          <w:sz w:val="24"/>
          <w:highlight w:val="none"/>
        </w:rPr>
        <w:t>3. 验收标准</w:t>
      </w:r>
    </w:p>
    <w:p w14:paraId="1A9054CF">
      <w:pPr>
        <w:spacing w:line="360" w:lineRule="auto"/>
        <w:ind w:firstLine="480" w:firstLineChars="200"/>
        <w:contextualSpacing/>
        <w:rPr>
          <w:bCs/>
          <w:sz w:val="24"/>
          <w:highlight w:val="none"/>
        </w:rPr>
      </w:pPr>
      <w:r>
        <w:rPr>
          <w:bCs/>
          <w:sz w:val="24"/>
          <w:highlight w:val="none"/>
        </w:rPr>
        <w:t>3.</w:t>
      </w:r>
      <w:r>
        <w:rPr>
          <w:rFonts w:hint="eastAsia"/>
          <w:bCs/>
          <w:sz w:val="24"/>
          <w:highlight w:val="none"/>
        </w:rPr>
        <w:t>1 在投标人施工完毕后，采购人按照标准规程进行验收。如采购人对业务验收有特殊要求，应在本协议签署前提出书面意见，并与投标人协商一致，开通验收时，以双方达成一致的标准进行验收。</w:t>
      </w:r>
    </w:p>
    <w:p w14:paraId="3D020B07">
      <w:pPr>
        <w:widowControl/>
        <w:spacing w:line="360" w:lineRule="auto"/>
        <w:ind w:firstLine="480" w:firstLineChars="200"/>
        <w:contextualSpacing/>
        <w:rPr>
          <w:sz w:val="24"/>
          <w:highlight w:val="none"/>
        </w:rPr>
      </w:pPr>
      <w:r>
        <w:rPr>
          <w:bCs/>
          <w:sz w:val="24"/>
          <w:highlight w:val="none"/>
        </w:rPr>
        <w:t>3.</w:t>
      </w:r>
      <w:r>
        <w:rPr>
          <w:rFonts w:hint="eastAsia"/>
          <w:bCs/>
          <w:sz w:val="24"/>
          <w:highlight w:val="none"/>
        </w:rPr>
        <w:t>2</w:t>
      </w:r>
      <w:r>
        <w:rPr>
          <w:bCs/>
          <w:sz w:val="24"/>
          <w:highlight w:val="none"/>
        </w:rPr>
        <w:t xml:space="preserve"> </w:t>
      </w:r>
      <w:r>
        <w:rPr>
          <w:rFonts w:hint="eastAsia"/>
          <w:bCs/>
          <w:sz w:val="24"/>
          <w:highlight w:val="none"/>
        </w:rPr>
        <w:t>业务验收应在投标人施工完毕后10个工作日内，由采购人与</w:t>
      </w:r>
      <w:r>
        <w:rPr>
          <w:bCs/>
          <w:sz w:val="24"/>
          <w:highlight w:val="none"/>
        </w:rPr>
        <w:t>投标人</w:t>
      </w:r>
      <w:r>
        <w:rPr>
          <w:rFonts w:hint="eastAsia"/>
          <w:bCs/>
          <w:sz w:val="24"/>
          <w:highlight w:val="none"/>
        </w:rPr>
        <w:t>相关人员共同书面确认，签署《专线验收报告》。如采购人对工程验收有异议，则应在上述期限内提出书面意见；如采购人在上述期限内对验收未提出书面意见也未确认开通的，则视为验收已通过且采购人已同意开通业务。</w:t>
      </w:r>
    </w:p>
    <w:p w14:paraId="101DBE83">
      <w:pPr>
        <w:widowControl/>
        <w:jc w:val="left"/>
        <w:rPr>
          <w:b/>
          <w:sz w:val="36"/>
          <w:szCs w:val="36"/>
          <w:highlight w:val="none"/>
        </w:rPr>
      </w:pPr>
    </w:p>
    <w:p w14:paraId="0A08CFA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FD7C37"/>
    <w:multiLevelType w:val="multilevel"/>
    <w:tmpl w:val="AFFD7C37"/>
    <w:lvl w:ilvl="0" w:tentative="0">
      <w:start w:val="1"/>
      <w:numFmt w:val="japaneseCounting"/>
      <w:lvlText w:val="%1、"/>
      <w:lvlJc w:val="left"/>
      <w:pPr>
        <w:ind w:left="500" w:hanging="50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C0E5B51"/>
    <w:rsid w:val="40FF34CF"/>
    <w:rsid w:val="4B1F50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3">
    <w:name w:val="Normal Indent"/>
    <w:basedOn w:val="1"/>
    <w:qFormat/>
    <w:uiPriority w:val="0"/>
    <w:pPr>
      <w:autoSpaceDE w:val="0"/>
      <w:autoSpaceDN w:val="0"/>
      <w:adjustRightInd w:val="0"/>
      <w:ind w:firstLine="420"/>
      <w:jc w:val="left"/>
    </w:pPr>
    <w:rPr>
      <w:rFonts w:ascii="宋体"/>
      <w:sz w:val="24"/>
    </w:rPr>
  </w:style>
  <w:style w:type="paragraph" w:styleId="4">
    <w:name w:val="Body Text Indent"/>
    <w:basedOn w:val="1"/>
    <w:qFormat/>
    <w:uiPriority w:val="0"/>
    <w:pPr>
      <w:spacing w:line="360" w:lineRule="auto"/>
      <w:ind w:firstLine="570"/>
    </w:pPr>
    <w:rPr>
      <w:sz w:val="24"/>
    </w:rPr>
  </w:style>
  <w:style w:type="paragraph" w:styleId="5">
    <w:name w:val="Body Text First Indent 2"/>
    <w:basedOn w:val="4"/>
    <w:qFormat/>
    <w:uiPriority w:val="0"/>
    <w:pPr>
      <w:spacing w:after="120" w:line="480" w:lineRule="exact"/>
      <w:ind w:left="420" w:leftChars="200" w:firstLine="420" w:firstLineChars="200"/>
    </w:pPr>
    <w:rPr>
      <w:szCs w:val="20"/>
    </w:rPr>
  </w:style>
  <w:style w:type="character" w:styleId="8">
    <w:name w:val="annotation reference"/>
    <w:qFormat/>
    <w:uiPriority w:val="99"/>
    <w:rPr>
      <w:sz w:val="21"/>
      <w:szCs w:val="21"/>
    </w:rPr>
  </w:style>
  <w:style w:type="paragraph" w:styleId="9">
    <w:name w:val="List Paragraph"/>
    <w:basedOn w:val="1"/>
    <w:qFormat/>
    <w:uiPriority w:val="34"/>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2560</Words>
  <Characters>2770</Characters>
  <Lines>0</Lines>
  <Paragraphs>0</Paragraphs>
  <TotalTime>0</TotalTime>
  <ScaleCrop>false</ScaleCrop>
  <LinksUpToDate>false</LinksUpToDate>
  <CharactersWithSpaces>2792</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2026-09-17T01:55:00Z</dcterms:created>
  <dc:creator>luozhao</dc:creator>
  <cp:lastModifiedBy>LZ</cp:lastModifiedBy>
  <dcterms:modified xsi:type="dcterms:W3CDTF">2026-10-15T01:58:06Z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KSOTemplateDocerSaveRecord">
    <vt:lpwstr>eyJoZGlkIjoiYWYwMGRlZTcyOWNjODRjYzgxOTBkZGNlN2RkNzY1MGEiLCJ1c2VySWQiOiIxNTUxNTE4MDk2In0=</vt:lpwstr>
  </property>
  <property fmtid="{D5CDD505-2E9C-101B-9397-08002B2CF9AE}" pid="4" name="ICV">
    <vt:lpwstr>EDCA56538B8A488FAAB586B6D54B5CCB_12</vt:lpwstr>
  </property>
</Properties>
</file>