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E76C7">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Hlk24379207"/>
      <w:bookmarkStart w:id="1" w:name="_Toc28359002"/>
      <w:bookmarkStart w:id="2" w:name="_Toc28359079"/>
      <w:bookmarkStart w:id="3" w:name="_Toc35393621"/>
      <w:bookmarkStart w:id="4" w:name="_Toc35393790"/>
      <w:r>
        <w:rPr>
          <w:rFonts w:hint="eastAsia" w:ascii="华文中宋" w:hAnsi="华文中宋" w:eastAsia="华文中宋"/>
          <w:lang w:eastAsia="zh-CN"/>
        </w:rPr>
        <w:t>开展肠道菌群移植服务项目</w:t>
      </w:r>
      <w:r>
        <w:rPr>
          <w:rFonts w:hint="eastAsia" w:ascii="华文中宋" w:hAnsi="华文中宋" w:eastAsia="华文中宋"/>
        </w:rPr>
        <w:t>招标公告</w:t>
      </w:r>
    </w:p>
    <w:p w14:paraId="5C24283F">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271B6EB0">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开展肠道菌群移植服务项目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，并于2026年</w:t>
      </w:r>
      <w:r>
        <w:rPr>
          <w:rFonts w:hint="eastAsia" w:ascii="仿宋" w:hAnsi="仿宋" w:eastAsia="仿宋"/>
          <w:sz w:val="28"/>
          <w:szCs w:val="28"/>
          <w:lang w:val="en-US" w:eastAsia="zh-CN"/>
        </w:rPr>
        <w:t>11</w:t>
      </w:r>
      <w:r>
        <w:rPr>
          <w:rFonts w:hint="eastAsia" w:ascii="仿宋" w:hAnsi="仿宋" w:eastAsia="仿宋"/>
          <w:sz w:val="28"/>
          <w:szCs w:val="28"/>
          <w:lang w:eastAsia="zh-CN"/>
        </w:rPr>
        <w:t>月</w:t>
      </w:r>
      <w:r>
        <w:rPr>
          <w:rFonts w:hint="eastAsia" w:ascii="仿宋" w:hAnsi="仿宋" w:eastAsia="仿宋"/>
          <w:sz w:val="28"/>
          <w:szCs w:val="28"/>
          <w:lang w:val="en-US" w:eastAsia="zh-CN"/>
        </w:rPr>
        <w:t>20</w:t>
      </w:r>
      <w:r>
        <w:rPr>
          <w:rFonts w:hint="eastAsia" w:ascii="仿宋" w:hAnsi="仿宋" w:eastAsia="仿宋"/>
          <w:sz w:val="28"/>
          <w:szCs w:val="28"/>
          <w:lang w:eastAsia="zh-CN"/>
        </w:rPr>
        <w:t>日</w:t>
      </w:r>
      <w:r>
        <w:rPr>
          <w:rFonts w:hint="eastAsia" w:ascii="仿宋" w:hAnsi="仿宋" w:eastAsia="仿宋"/>
          <w:sz w:val="28"/>
          <w:szCs w:val="28"/>
          <w:lang w:val="en-US" w:eastAsia="zh-CN"/>
        </w:rPr>
        <w:t>13</w:t>
      </w:r>
      <w:r>
        <w:rPr>
          <w:rFonts w:hint="eastAsia" w:ascii="仿宋" w:hAnsi="仿宋" w:eastAsia="仿宋"/>
          <w:sz w:val="28"/>
          <w:szCs w:val="28"/>
          <w:lang w:eastAsia="zh-CN"/>
        </w:rPr>
        <w:t>点</w:t>
      </w:r>
      <w:r>
        <w:rPr>
          <w:rFonts w:hint="eastAsia" w:ascii="仿宋" w:hAnsi="仿宋" w:eastAsia="仿宋"/>
          <w:sz w:val="28"/>
          <w:szCs w:val="28"/>
          <w:lang w:val="en-US" w:eastAsia="zh-CN"/>
        </w:rPr>
        <w:t>30</w:t>
      </w:r>
      <w:r>
        <w:rPr>
          <w:rFonts w:hint="eastAsia" w:ascii="仿宋" w:hAnsi="仿宋" w:eastAsia="仿宋"/>
          <w:sz w:val="28"/>
          <w:szCs w:val="28"/>
          <w:lang w:eastAsia="zh-CN"/>
        </w:rPr>
        <w:t>分</w:t>
      </w:r>
      <w:r>
        <w:rPr>
          <w:rFonts w:hint="eastAsia" w:ascii="仿宋" w:hAnsi="仿宋" w:eastAsia="仿宋"/>
          <w:bCs/>
          <w:sz w:val="28"/>
          <w:szCs w:val="28"/>
        </w:rPr>
        <w:t>（北京时间）前递交投标文件</w:t>
      </w:r>
      <w:r>
        <w:rPr>
          <w:rFonts w:hint="eastAsia" w:ascii="仿宋" w:hAnsi="仿宋" w:eastAsia="仿宋"/>
          <w:sz w:val="28"/>
          <w:szCs w:val="28"/>
        </w:rPr>
        <w:t>。</w:t>
      </w:r>
    </w:p>
    <w:bookmarkEnd w:id="0"/>
    <w:bookmarkEnd w:id="1"/>
    <w:bookmarkEnd w:id="2"/>
    <w:bookmarkEnd w:id="3"/>
    <w:bookmarkEnd w:id="4"/>
    <w:p w14:paraId="692621E7">
      <w:pPr>
        <w:pStyle w:val="4"/>
      </w:pPr>
    </w:p>
    <w:p w14:paraId="5AC13144">
      <w:pPr>
        <w:pStyle w:val="3"/>
        <w:snapToGrid w:val="0"/>
        <w:spacing w:before="0" w:line="360" w:lineRule="auto"/>
        <w:jc w:val="left"/>
        <w:rPr>
          <w:rFonts w:ascii="仿宋" w:hAnsi="仿宋" w:eastAsia="仿宋" w:cs="仿宋"/>
          <w:color w:val="auto"/>
          <w:sz w:val="24"/>
          <w:szCs w:val="24"/>
        </w:rPr>
      </w:pPr>
      <w:r>
        <w:rPr>
          <w:rFonts w:hint="eastAsia" w:ascii="仿宋" w:hAnsi="仿宋" w:eastAsia="仿宋" w:cs="仿宋"/>
          <w:sz w:val="24"/>
          <w:szCs w:val="24"/>
        </w:rPr>
        <w:t>一、项目基本情</w:t>
      </w:r>
      <w:r>
        <w:rPr>
          <w:rFonts w:hint="eastAsia" w:ascii="仿宋" w:hAnsi="仿宋" w:eastAsia="仿宋" w:cs="仿宋"/>
          <w:color w:val="auto"/>
          <w:sz w:val="24"/>
          <w:szCs w:val="24"/>
        </w:rPr>
        <w:t>况</w:t>
      </w:r>
    </w:p>
    <w:p w14:paraId="2E533561">
      <w:pPr>
        <w:snapToGrid w:val="0"/>
        <w:spacing w:line="360" w:lineRule="auto"/>
        <w:ind w:firstLine="480" w:firstLineChars="200"/>
        <w:rPr>
          <w:rFonts w:hint="eastAsia" w:ascii="仿宋" w:hAnsi="仿宋" w:eastAsia="仿宋" w:cs="仿宋"/>
          <w:sz w:val="24"/>
          <w:u w:val="single"/>
          <w:lang w:eastAsia="zh-CN"/>
        </w:rPr>
      </w:pPr>
      <w:r>
        <w:rPr>
          <w:rFonts w:hint="eastAsia" w:ascii="仿宋" w:hAnsi="仿宋" w:eastAsia="仿宋" w:cs="仿宋"/>
          <w:color w:val="auto"/>
          <w:sz w:val="24"/>
        </w:rPr>
        <w:t>1.项目编号：</w:t>
      </w:r>
      <w:r>
        <w:rPr>
          <w:rFonts w:hint="eastAsia" w:ascii="仿宋" w:hAnsi="仿宋" w:eastAsia="仿宋" w:cs="仿宋"/>
          <w:color w:val="auto"/>
          <w:sz w:val="24"/>
          <w:u w:val="single"/>
          <w:lang w:eastAsia="zh-CN"/>
        </w:rPr>
        <w:t>11000026210200189241-XM001</w:t>
      </w:r>
      <w:r>
        <w:rPr>
          <w:rFonts w:hint="eastAsia" w:ascii="仿宋" w:hAnsi="仿宋" w:eastAsia="仿宋" w:cs="仿宋"/>
          <w:color w:val="auto"/>
          <w:sz w:val="24"/>
        </w:rPr>
        <w:t>，招标</w:t>
      </w:r>
      <w:r>
        <w:rPr>
          <w:rFonts w:hint="eastAsia" w:ascii="仿宋" w:hAnsi="仿宋" w:eastAsia="仿宋" w:cs="仿宋"/>
          <w:sz w:val="24"/>
        </w:rPr>
        <w:t>编号：</w:t>
      </w:r>
      <w:r>
        <w:rPr>
          <w:rFonts w:hint="eastAsia" w:ascii="仿宋" w:hAnsi="仿宋" w:eastAsia="仿宋" w:cs="仿宋"/>
          <w:sz w:val="24"/>
          <w:u w:val="single"/>
          <w:lang w:eastAsia="zh-CN"/>
        </w:rPr>
        <w:t>0701-2641060901086</w:t>
      </w:r>
    </w:p>
    <w:p w14:paraId="7A2E840A">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2.项目名称：</w:t>
      </w:r>
      <w:r>
        <w:rPr>
          <w:rFonts w:hint="eastAsia" w:ascii="仿宋" w:hAnsi="仿宋" w:eastAsia="仿宋" w:cs="仿宋"/>
          <w:sz w:val="24"/>
          <w:u w:val="single"/>
          <w:lang w:eastAsia="zh-CN"/>
        </w:rPr>
        <w:t>开展肠道菌群移植服务项目</w:t>
      </w:r>
    </w:p>
    <w:p w14:paraId="766E878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3.项目预算金额：</w:t>
      </w:r>
      <w:r>
        <w:rPr>
          <w:rFonts w:hint="eastAsia" w:ascii="仿宋" w:hAnsi="仿宋" w:eastAsia="仿宋" w:cs="仿宋"/>
          <w:sz w:val="24"/>
          <w:lang w:val="en-US" w:eastAsia="zh-CN"/>
        </w:rPr>
        <w:t>171.6</w:t>
      </w:r>
      <w:r>
        <w:rPr>
          <w:rFonts w:hint="eastAsia" w:ascii="仿宋" w:hAnsi="仿宋" w:eastAsia="仿宋" w:cs="仿宋"/>
          <w:sz w:val="24"/>
        </w:rPr>
        <w:t>万元、项目最高限价（如有）：</w:t>
      </w:r>
      <w:r>
        <w:rPr>
          <w:rFonts w:hint="eastAsia" w:ascii="仿宋" w:hAnsi="仿宋" w:eastAsia="仿宋" w:cs="仿宋"/>
          <w:sz w:val="24"/>
          <w:lang w:val="en-US" w:eastAsia="zh-CN"/>
        </w:rPr>
        <w:t>/</w:t>
      </w:r>
      <w:r>
        <w:rPr>
          <w:rFonts w:hint="eastAsia" w:ascii="仿宋" w:hAnsi="仿宋" w:eastAsia="仿宋" w:cs="仿宋"/>
          <w:sz w:val="24"/>
        </w:rPr>
        <w:t>万元</w:t>
      </w:r>
    </w:p>
    <w:p w14:paraId="6F58DC7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4.采购需求：</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1690"/>
        <w:gridCol w:w="734"/>
        <w:gridCol w:w="734"/>
        <w:gridCol w:w="1317"/>
        <w:gridCol w:w="1318"/>
        <w:gridCol w:w="2220"/>
      </w:tblGrid>
      <w:tr w14:paraId="7F27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6" w:type="pct"/>
            <w:tcBorders>
              <w:tl2br w:val="nil"/>
              <w:tr2bl w:val="nil"/>
            </w:tcBorders>
            <w:noWrap w:val="0"/>
            <w:vAlign w:val="center"/>
          </w:tcPr>
          <w:p w14:paraId="60E61E9E">
            <w:pPr>
              <w:snapToGrid w:val="0"/>
              <w:spacing w:line="360" w:lineRule="auto"/>
              <w:jc w:val="center"/>
              <w:rPr>
                <w:rFonts w:ascii="仿宋" w:hAnsi="仿宋" w:eastAsia="仿宋" w:cs="仿宋"/>
                <w:bCs/>
                <w:szCs w:val="21"/>
              </w:rPr>
            </w:pPr>
            <w:r>
              <w:rPr>
                <w:rFonts w:hint="eastAsia" w:ascii="仿宋" w:hAnsi="仿宋" w:eastAsia="仿宋" w:cs="仿宋"/>
                <w:bCs/>
                <w:szCs w:val="21"/>
              </w:rPr>
              <w:t>包号</w:t>
            </w:r>
          </w:p>
        </w:tc>
        <w:tc>
          <w:tcPr>
            <w:tcW w:w="992" w:type="pct"/>
            <w:tcBorders>
              <w:tl2br w:val="nil"/>
              <w:tr2bl w:val="nil"/>
            </w:tcBorders>
            <w:noWrap w:val="0"/>
            <w:vAlign w:val="center"/>
          </w:tcPr>
          <w:p w14:paraId="7598E797">
            <w:pPr>
              <w:snapToGrid w:val="0"/>
              <w:spacing w:line="360" w:lineRule="auto"/>
              <w:jc w:val="center"/>
              <w:rPr>
                <w:rFonts w:ascii="仿宋" w:hAnsi="仿宋" w:eastAsia="仿宋" w:cs="仿宋"/>
                <w:bCs/>
                <w:szCs w:val="21"/>
              </w:rPr>
            </w:pPr>
            <w:r>
              <w:rPr>
                <w:rFonts w:hint="eastAsia" w:ascii="仿宋" w:hAnsi="仿宋" w:eastAsia="仿宋" w:cs="仿宋"/>
                <w:bCs/>
                <w:szCs w:val="21"/>
              </w:rPr>
              <w:t>标的名称</w:t>
            </w:r>
          </w:p>
        </w:tc>
        <w:tc>
          <w:tcPr>
            <w:tcW w:w="431" w:type="pct"/>
            <w:tcBorders>
              <w:tl2br w:val="nil"/>
              <w:tr2bl w:val="nil"/>
            </w:tcBorders>
            <w:noWrap w:val="0"/>
            <w:vAlign w:val="center"/>
          </w:tcPr>
          <w:p w14:paraId="445A8E8D">
            <w:pPr>
              <w:snapToGrid w:val="0"/>
              <w:spacing w:line="360" w:lineRule="auto"/>
              <w:jc w:val="center"/>
              <w:rPr>
                <w:rFonts w:ascii="仿宋" w:hAnsi="仿宋" w:eastAsia="仿宋" w:cs="仿宋"/>
                <w:bCs/>
                <w:szCs w:val="21"/>
              </w:rPr>
            </w:pPr>
            <w:r>
              <w:rPr>
                <w:rFonts w:hint="eastAsia" w:ascii="仿宋" w:hAnsi="仿宋" w:eastAsia="仿宋" w:cs="仿宋"/>
                <w:bCs/>
                <w:szCs w:val="21"/>
              </w:rPr>
              <w:t>数量</w:t>
            </w:r>
          </w:p>
        </w:tc>
        <w:tc>
          <w:tcPr>
            <w:tcW w:w="431" w:type="pct"/>
            <w:tcBorders>
              <w:tl2br w:val="nil"/>
              <w:tr2bl w:val="nil"/>
            </w:tcBorders>
            <w:noWrap w:val="0"/>
            <w:vAlign w:val="center"/>
          </w:tcPr>
          <w:p w14:paraId="50B35F4B">
            <w:pPr>
              <w:snapToGrid w:val="0"/>
              <w:spacing w:line="360" w:lineRule="auto"/>
              <w:jc w:val="center"/>
              <w:rPr>
                <w:rFonts w:ascii="仿宋" w:hAnsi="仿宋" w:eastAsia="仿宋" w:cs="仿宋"/>
                <w:bCs/>
                <w:szCs w:val="21"/>
              </w:rPr>
            </w:pPr>
            <w:r>
              <w:rPr>
                <w:rFonts w:hint="eastAsia" w:ascii="仿宋" w:hAnsi="仿宋" w:eastAsia="仿宋" w:cs="仿宋"/>
                <w:bCs/>
                <w:szCs w:val="21"/>
              </w:rPr>
              <w:t>单位</w:t>
            </w:r>
          </w:p>
        </w:tc>
        <w:tc>
          <w:tcPr>
            <w:tcW w:w="773" w:type="pct"/>
            <w:tcBorders>
              <w:tl2br w:val="nil"/>
              <w:tr2bl w:val="nil"/>
            </w:tcBorders>
            <w:noWrap w:val="0"/>
            <w:vAlign w:val="center"/>
          </w:tcPr>
          <w:p w14:paraId="4AD3D938">
            <w:pPr>
              <w:snapToGrid w:val="0"/>
              <w:spacing w:line="360" w:lineRule="auto"/>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折扣率</w:t>
            </w:r>
          </w:p>
        </w:tc>
        <w:tc>
          <w:tcPr>
            <w:tcW w:w="773" w:type="pct"/>
            <w:tcBorders>
              <w:tl2br w:val="nil"/>
              <w:tr2bl w:val="nil"/>
            </w:tcBorders>
            <w:noWrap w:val="0"/>
            <w:vAlign w:val="center"/>
          </w:tcPr>
          <w:p w14:paraId="2D70C486">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w:t>
            </w:r>
            <w:r>
              <w:rPr>
                <w:rFonts w:hint="eastAsia" w:ascii="仿宋" w:hAnsi="仿宋" w:eastAsia="仿宋" w:cs="仿宋"/>
                <w:bCs/>
                <w:szCs w:val="21"/>
                <w:lang w:val="en-US" w:eastAsia="zh-CN"/>
              </w:rPr>
              <w:t>预算金额</w:t>
            </w:r>
            <w:r>
              <w:rPr>
                <w:rFonts w:hint="eastAsia" w:ascii="仿宋" w:hAnsi="仿宋" w:eastAsia="仿宋" w:cs="仿宋"/>
                <w:bCs/>
                <w:szCs w:val="21"/>
              </w:rPr>
              <w:t>（万元）</w:t>
            </w:r>
          </w:p>
        </w:tc>
        <w:tc>
          <w:tcPr>
            <w:tcW w:w="1302" w:type="pct"/>
            <w:tcBorders>
              <w:tl2br w:val="nil"/>
              <w:tr2bl w:val="nil"/>
            </w:tcBorders>
            <w:noWrap w:val="0"/>
            <w:vAlign w:val="center"/>
          </w:tcPr>
          <w:p w14:paraId="11BBF2A6">
            <w:pPr>
              <w:snapToGrid w:val="0"/>
              <w:spacing w:line="360" w:lineRule="auto"/>
              <w:jc w:val="center"/>
              <w:rPr>
                <w:rFonts w:ascii="仿宋" w:hAnsi="仿宋" w:eastAsia="仿宋" w:cs="仿宋"/>
                <w:bCs/>
                <w:szCs w:val="21"/>
              </w:rPr>
            </w:pPr>
            <w:r>
              <w:rPr>
                <w:rFonts w:hint="eastAsia" w:ascii="仿宋" w:hAnsi="仿宋" w:eastAsia="仿宋" w:cs="仿宋"/>
                <w:bCs/>
                <w:szCs w:val="21"/>
              </w:rPr>
              <w:t>简要技术需求或服务要求</w:t>
            </w:r>
          </w:p>
        </w:tc>
      </w:tr>
      <w:tr w14:paraId="0A1C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296" w:type="pct"/>
            <w:tcBorders>
              <w:tl2br w:val="nil"/>
              <w:tr2bl w:val="nil"/>
            </w:tcBorders>
            <w:noWrap w:val="0"/>
            <w:vAlign w:val="center"/>
          </w:tcPr>
          <w:p w14:paraId="70C52B5F">
            <w:pPr>
              <w:snapToGrid w:val="0"/>
              <w:spacing w:line="360" w:lineRule="auto"/>
              <w:jc w:val="center"/>
              <w:rPr>
                <w:rFonts w:ascii="仿宋" w:hAnsi="仿宋" w:eastAsia="仿宋" w:cs="仿宋"/>
                <w:bCs/>
                <w:szCs w:val="21"/>
              </w:rPr>
            </w:pPr>
            <w:r>
              <w:rPr>
                <w:rFonts w:hint="eastAsia" w:ascii="仿宋" w:hAnsi="仿宋" w:eastAsia="仿宋" w:cs="仿宋"/>
                <w:bCs/>
                <w:szCs w:val="21"/>
              </w:rPr>
              <w:t>1</w:t>
            </w:r>
          </w:p>
        </w:tc>
        <w:tc>
          <w:tcPr>
            <w:tcW w:w="992" w:type="pct"/>
            <w:tcBorders>
              <w:tl2br w:val="nil"/>
              <w:tr2bl w:val="nil"/>
            </w:tcBorders>
            <w:noWrap w:val="0"/>
            <w:vAlign w:val="center"/>
          </w:tcPr>
          <w:p w14:paraId="185B275C">
            <w:pPr>
              <w:snapToGrid w:val="0"/>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lang w:eastAsia="zh-CN"/>
              </w:rPr>
              <w:t>肠道菌群移植服务</w:t>
            </w:r>
          </w:p>
        </w:tc>
        <w:tc>
          <w:tcPr>
            <w:tcW w:w="431" w:type="pct"/>
            <w:tcBorders>
              <w:tl2br w:val="nil"/>
              <w:tr2bl w:val="nil"/>
            </w:tcBorders>
            <w:noWrap w:val="0"/>
            <w:vAlign w:val="center"/>
          </w:tcPr>
          <w:p w14:paraId="502885DF">
            <w:pPr>
              <w:snapToGrid w:val="0"/>
              <w:spacing w:line="360" w:lineRule="auto"/>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2200</w:t>
            </w:r>
          </w:p>
        </w:tc>
        <w:tc>
          <w:tcPr>
            <w:tcW w:w="431" w:type="pct"/>
            <w:tcBorders>
              <w:tl2br w:val="nil"/>
              <w:tr2bl w:val="nil"/>
            </w:tcBorders>
            <w:noWrap w:val="0"/>
            <w:vAlign w:val="center"/>
          </w:tcPr>
          <w:p w14:paraId="55014E0C">
            <w:pPr>
              <w:snapToGrid w:val="0"/>
              <w:spacing w:line="360" w:lineRule="auto"/>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单位</w:t>
            </w:r>
          </w:p>
        </w:tc>
        <w:tc>
          <w:tcPr>
            <w:tcW w:w="773" w:type="pct"/>
            <w:tcBorders>
              <w:tl2br w:val="nil"/>
              <w:tr2bl w:val="nil"/>
            </w:tcBorders>
            <w:noWrap w:val="0"/>
            <w:vAlign w:val="center"/>
          </w:tcPr>
          <w:p w14:paraId="0C0CFB8E">
            <w:pPr>
              <w:snapToGrid w:val="0"/>
              <w:spacing w:line="360" w:lineRule="auto"/>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不得高于78%</w:t>
            </w:r>
          </w:p>
        </w:tc>
        <w:tc>
          <w:tcPr>
            <w:tcW w:w="773" w:type="pct"/>
            <w:tcBorders>
              <w:tl2br w:val="nil"/>
              <w:tr2bl w:val="nil"/>
            </w:tcBorders>
            <w:noWrap w:val="0"/>
            <w:vAlign w:val="center"/>
          </w:tcPr>
          <w:p w14:paraId="379A8113">
            <w:pPr>
              <w:snapToGrid w:val="0"/>
              <w:spacing w:line="360" w:lineRule="auto"/>
              <w:jc w:val="center"/>
              <w:rPr>
                <w:rFonts w:ascii="仿宋" w:hAnsi="仿宋" w:eastAsia="仿宋" w:cs="仿宋"/>
                <w:bCs/>
                <w:szCs w:val="21"/>
              </w:rPr>
            </w:pPr>
            <w:r>
              <w:rPr>
                <w:rFonts w:hint="eastAsia" w:ascii="仿宋" w:hAnsi="仿宋" w:eastAsia="仿宋" w:cs="仿宋"/>
                <w:bCs/>
                <w:szCs w:val="21"/>
                <w:lang w:val="en-US" w:eastAsia="zh-CN"/>
              </w:rPr>
              <w:t>171.6</w:t>
            </w:r>
          </w:p>
        </w:tc>
        <w:tc>
          <w:tcPr>
            <w:tcW w:w="1302" w:type="pct"/>
            <w:tcBorders>
              <w:tl2br w:val="nil"/>
              <w:tr2bl w:val="nil"/>
            </w:tcBorders>
            <w:noWrap w:val="0"/>
            <w:vAlign w:val="center"/>
          </w:tcPr>
          <w:p w14:paraId="147503E4">
            <w:pPr>
              <w:snapToGrid w:val="0"/>
              <w:spacing w:line="360" w:lineRule="auto"/>
              <w:jc w:val="center"/>
              <w:rPr>
                <w:rFonts w:ascii="仿宋" w:hAnsi="仿宋" w:eastAsia="仿宋" w:cs="仿宋"/>
                <w:bCs/>
                <w:szCs w:val="21"/>
              </w:rPr>
            </w:pPr>
            <w:r>
              <w:rPr>
                <w:rFonts w:hint="eastAsia" w:ascii="仿宋" w:hAnsi="仿宋" w:eastAsia="仿宋" w:cs="仿宋"/>
                <w:kern w:val="0"/>
                <w:szCs w:val="21"/>
              </w:rPr>
              <w:t>详见第五章《采购需求》</w:t>
            </w:r>
          </w:p>
        </w:tc>
      </w:tr>
    </w:tbl>
    <w:p w14:paraId="695CBE9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5.合同履行期限：</w:t>
      </w:r>
      <w:r>
        <w:rPr>
          <w:rFonts w:hint="eastAsia" w:ascii="仿宋" w:hAnsi="仿宋" w:eastAsia="仿宋" w:cs="仿宋"/>
          <w:sz w:val="24"/>
          <w:u w:val="single"/>
        </w:rPr>
        <w:t>详见第五章《采购需求》</w:t>
      </w:r>
    </w:p>
    <w:p w14:paraId="5ECBED0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6.本项目是否接受联合体投标：□是  ■否。</w:t>
      </w:r>
    </w:p>
    <w:p w14:paraId="0E092BB9">
      <w:pPr>
        <w:pStyle w:val="3"/>
        <w:snapToGrid w:val="0"/>
        <w:spacing w:before="0" w:line="360" w:lineRule="auto"/>
        <w:jc w:val="left"/>
        <w:rPr>
          <w:rFonts w:ascii="仿宋" w:hAnsi="仿宋" w:eastAsia="仿宋" w:cs="仿宋"/>
          <w:sz w:val="24"/>
          <w:szCs w:val="24"/>
        </w:rPr>
      </w:pPr>
      <w:bookmarkStart w:id="5" w:name="_Toc28359003"/>
      <w:bookmarkStart w:id="6" w:name="_Toc28359080"/>
      <w:bookmarkStart w:id="7" w:name="_Toc35393791"/>
      <w:bookmarkStart w:id="8" w:name="_Toc35393622"/>
      <w:r>
        <w:rPr>
          <w:rFonts w:hint="eastAsia" w:ascii="仿宋" w:hAnsi="仿宋" w:eastAsia="仿宋" w:cs="仿宋"/>
          <w:sz w:val="24"/>
          <w:szCs w:val="24"/>
        </w:rPr>
        <w:t>二、申请人的资格要求（须同时满足）</w:t>
      </w:r>
      <w:bookmarkEnd w:id="5"/>
      <w:bookmarkEnd w:id="6"/>
      <w:bookmarkEnd w:id="7"/>
      <w:bookmarkEnd w:id="8"/>
    </w:p>
    <w:p w14:paraId="11FFA4E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3AA49FD6">
      <w:pPr>
        <w:snapToGrid w:val="0"/>
        <w:spacing w:line="360" w:lineRule="auto"/>
        <w:ind w:firstLine="480" w:firstLineChars="200"/>
        <w:rPr>
          <w:rFonts w:ascii="仿宋" w:hAnsi="仿宋" w:eastAsia="仿宋" w:cs="仿宋"/>
          <w:sz w:val="24"/>
        </w:rPr>
      </w:pPr>
      <w:bookmarkStart w:id="9" w:name="_Toc28359081"/>
      <w:bookmarkStart w:id="10" w:name="_Toc28359004"/>
      <w:r>
        <w:rPr>
          <w:rFonts w:hint="eastAsia" w:ascii="仿宋" w:hAnsi="仿宋" w:eastAsia="仿宋" w:cs="仿宋"/>
          <w:sz w:val="24"/>
        </w:rPr>
        <w:t>2.落实政府采购政策需满足的资格要求：</w:t>
      </w:r>
    </w:p>
    <w:p w14:paraId="04C7B09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5A7223C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236A933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75616BD2">
      <w:pPr>
        <w:snapToGrid w:val="0"/>
        <w:spacing w:line="360" w:lineRule="auto"/>
        <w:ind w:firstLine="480" w:firstLineChars="200"/>
        <w:rPr>
          <w:rFonts w:ascii="仿宋" w:hAnsi="仿宋" w:eastAsia="仿宋" w:cs="仿宋"/>
          <w:sz w:val="24"/>
        </w:rPr>
      </w:pPr>
      <w:r>
        <w:rPr>
          <w:rFonts w:hint="eastAsia" w:ascii="仿宋" w:hAnsi="仿宋" w:eastAsia="仿宋" w:cs="仿宋"/>
          <w:sz w:val="24"/>
          <w:lang w:eastAsia="zh-CN"/>
        </w:rPr>
        <w:t>□</w:t>
      </w: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6DAF766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60FC6F42">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1B619249">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1A115B4B">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18BC9FC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057FAD0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r>
        <w:rPr>
          <w:rFonts w:hint="eastAsia" w:ascii="仿宋" w:hAnsi="仿宋" w:eastAsia="仿宋" w:cs="仿宋"/>
          <w:sz w:val="24"/>
          <w:u w:val="single"/>
        </w:rPr>
        <w:t xml:space="preserve"> / </w:t>
      </w:r>
      <w:r>
        <w:rPr>
          <w:rFonts w:hint="eastAsia" w:ascii="仿宋" w:hAnsi="仿宋" w:eastAsia="仿宋" w:cs="仿宋"/>
          <w:sz w:val="24"/>
        </w:rPr>
        <w:t>。</w:t>
      </w:r>
      <w:bookmarkEnd w:id="9"/>
      <w:bookmarkEnd w:id="10"/>
      <w:bookmarkStart w:id="11" w:name="_Toc35393623"/>
      <w:bookmarkStart w:id="12" w:name="_Toc35393792"/>
    </w:p>
    <w:p w14:paraId="2E7C2ED5">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1"/>
      <w:bookmarkEnd w:id="12"/>
    </w:p>
    <w:p w14:paraId="70B86D2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1.时间：2026年</w:t>
      </w:r>
      <w:r>
        <w:rPr>
          <w:rFonts w:hint="eastAsia" w:ascii="仿宋" w:hAnsi="仿宋" w:eastAsia="仿宋" w:cs="仿宋"/>
          <w:color w:val="auto"/>
          <w:sz w:val="24"/>
          <w:lang w:val="en-US" w:eastAsia="zh-CN"/>
        </w:rPr>
        <w:t>10</w:t>
      </w:r>
      <w:r>
        <w:rPr>
          <w:rFonts w:hint="eastAsia" w:ascii="仿宋" w:hAnsi="仿宋" w:eastAsia="仿宋" w:cs="仿宋"/>
          <w:color w:val="auto"/>
          <w:sz w:val="24"/>
        </w:rPr>
        <w:t>月</w:t>
      </w:r>
      <w:r>
        <w:rPr>
          <w:rFonts w:hint="eastAsia" w:ascii="仿宋" w:hAnsi="仿宋" w:eastAsia="仿宋" w:cs="仿宋"/>
          <w:color w:val="auto"/>
          <w:sz w:val="24"/>
          <w:lang w:val="en-US" w:eastAsia="zh-CN"/>
        </w:rPr>
        <w:t>30</w:t>
      </w:r>
      <w:r>
        <w:rPr>
          <w:rFonts w:hint="eastAsia" w:ascii="仿宋" w:hAnsi="仿宋" w:eastAsia="仿宋" w:cs="仿宋"/>
          <w:color w:val="auto"/>
          <w:sz w:val="24"/>
        </w:rPr>
        <w:t>日</w:t>
      </w:r>
      <w:r>
        <w:rPr>
          <w:rFonts w:hint="eastAsia" w:ascii="仿宋" w:hAnsi="仿宋" w:eastAsia="仿宋" w:cs="仿宋"/>
          <w:sz w:val="24"/>
        </w:rPr>
        <w:t>至202</w:t>
      </w:r>
      <w:r>
        <w:rPr>
          <w:rFonts w:hint="eastAsia" w:ascii="仿宋" w:hAnsi="仿宋" w:eastAsia="仿宋" w:cs="仿宋"/>
          <w:color w:val="auto"/>
          <w:sz w:val="24"/>
        </w:rPr>
        <w:t>6年</w:t>
      </w:r>
      <w:r>
        <w:rPr>
          <w:rFonts w:hint="eastAsia" w:ascii="仿宋" w:hAnsi="仿宋" w:eastAsia="仿宋" w:cs="仿宋"/>
          <w:color w:val="auto"/>
          <w:sz w:val="24"/>
          <w:lang w:val="en-US" w:eastAsia="zh-CN"/>
        </w:rPr>
        <w:t>11</w:t>
      </w:r>
      <w:r>
        <w:rPr>
          <w:rFonts w:hint="eastAsia" w:ascii="仿宋" w:hAnsi="仿宋" w:eastAsia="仿宋" w:cs="仿宋"/>
          <w:color w:val="auto"/>
          <w:sz w:val="24"/>
        </w:rPr>
        <w:t>月</w:t>
      </w:r>
      <w:r>
        <w:rPr>
          <w:rFonts w:hint="eastAsia" w:ascii="仿宋" w:hAnsi="仿宋" w:eastAsia="仿宋" w:cs="仿宋"/>
          <w:color w:val="auto"/>
          <w:sz w:val="24"/>
          <w:lang w:val="en-US" w:eastAsia="zh-CN"/>
        </w:rPr>
        <w:t>6</w:t>
      </w:r>
      <w:r>
        <w:rPr>
          <w:rFonts w:hint="eastAsia" w:ascii="仿宋" w:hAnsi="仿宋" w:eastAsia="仿宋" w:cs="仿宋"/>
          <w:color w:val="auto"/>
          <w:sz w:val="24"/>
        </w:rPr>
        <w:t>日，</w:t>
      </w:r>
      <w:r>
        <w:rPr>
          <w:rFonts w:hint="eastAsia" w:ascii="仿宋" w:hAnsi="仿宋" w:eastAsia="仿宋" w:cs="仿宋"/>
          <w:sz w:val="24"/>
        </w:rPr>
        <w:t>每天上午9:00至11:30，下午13:30至17:00（北京时间，法定节假日除外）。</w:t>
      </w:r>
    </w:p>
    <w:p w14:paraId="27BAF59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2.地点：北京市政府采购电子交易平台</w:t>
      </w:r>
    </w:p>
    <w:p w14:paraId="25886FF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3.方式：供应商使用CA数字证书或电子营业执照登录北京市政府采购电子交易平台（http://zbcg-bjzc.zhongcy.com/bjczj-portal-site/index.html#/home）获取电子版招标文件。</w:t>
      </w:r>
    </w:p>
    <w:p w14:paraId="6B24083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4.售价：0元。</w:t>
      </w:r>
      <w:bookmarkStart w:id="33" w:name="_GoBack"/>
      <w:bookmarkEnd w:id="33"/>
    </w:p>
    <w:p w14:paraId="381E096A">
      <w:pPr>
        <w:pStyle w:val="3"/>
        <w:widowControl/>
        <w:snapToGrid w:val="0"/>
        <w:spacing w:before="0" w:line="360" w:lineRule="auto"/>
        <w:jc w:val="left"/>
        <w:rPr>
          <w:rFonts w:ascii="仿宋" w:hAnsi="仿宋" w:eastAsia="仿宋" w:cs="仿宋"/>
          <w:sz w:val="24"/>
          <w:szCs w:val="24"/>
        </w:rPr>
      </w:pPr>
      <w:bookmarkStart w:id="13" w:name="_Toc28359005"/>
      <w:bookmarkStart w:id="14" w:name="_Toc28359082"/>
      <w:bookmarkStart w:id="15" w:name="_Toc35393793"/>
      <w:bookmarkStart w:id="16" w:name="_Toc35393624"/>
      <w:r>
        <w:rPr>
          <w:rFonts w:hint="eastAsia" w:ascii="仿宋" w:hAnsi="仿宋" w:eastAsia="仿宋" w:cs="仿宋"/>
          <w:sz w:val="24"/>
          <w:szCs w:val="24"/>
        </w:rPr>
        <w:t>四、提交投标文件</w:t>
      </w:r>
      <w:bookmarkEnd w:id="13"/>
      <w:bookmarkEnd w:id="14"/>
      <w:r>
        <w:rPr>
          <w:rFonts w:hint="eastAsia" w:ascii="仿宋" w:hAnsi="仿宋" w:eastAsia="仿宋" w:cs="仿宋"/>
          <w:sz w:val="24"/>
          <w:szCs w:val="24"/>
        </w:rPr>
        <w:t>截止时间、开标时间和地点</w:t>
      </w:r>
      <w:bookmarkEnd w:id="15"/>
      <w:bookmarkEnd w:id="16"/>
    </w:p>
    <w:p w14:paraId="5ED29DC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投标截止时间、开标时间：20</w:t>
      </w:r>
      <w:r>
        <w:rPr>
          <w:rFonts w:hint="eastAsia" w:ascii="仿宋" w:hAnsi="仿宋" w:eastAsia="仿宋" w:cs="仿宋"/>
          <w:color w:val="auto"/>
          <w:sz w:val="24"/>
        </w:rPr>
        <w:t>26年</w:t>
      </w:r>
      <w:r>
        <w:rPr>
          <w:rFonts w:hint="eastAsia" w:ascii="仿宋" w:hAnsi="仿宋" w:eastAsia="仿宋" w:cs="仿宋"/>
          <w:color w:val="auto"/>
          <w:sz w:val="24"/>
          <w:lang w:val="en-US" w:eastAsia="zh-CN"/>
        </w:rPr>
        <w:t>11</w:t>
      </w:r>
      <w:r>
        <w:rPr>
          <w:rFonts w:hint="eastAsia" w:ascii="仿宋" w:hAnsi="仿宋" w:eastAsia="仿宋" w:cs="仿宋"/>
          <w:color w:val="auto"/>
          <w:sz w:val="24"/>
        </w:rPr>
        <w:t>月</w:t>
      </w:r>
      <w:r>
        <w:rPr>
          <w:rFonts w:hint="eastAsia" w:ascii="仿宋" w:hAnsi="仿宋" w:eastAsia="仿宋" w:cs="仿宋"/>
          <w:color w:val="auto"/>
          <w:sz w:val="24"/>
          <w:lang w:val="en-US" w:eastAsia="zh-CN"/>
        </w:rPr>
        <w:t>20</w:t>
      </w:r>
      <w:r>
        <w:rPr>
          <w:rFonts w:hint="eastAsia" w:ascii="仿宋" w:hAnsi="仿宋" w:eastAsia="仿宋" w:cs="仿宋"/>
          <w:color w:val="auto"/>
          <w:sz w:val="24"/>
        </w:rPr>
        <w:t>日</w:t>
      </w:r>
      <w:r>
        <w:rPr>
          <w:rFonts w:hint="eastAsia" w:ascii="仿宋" w:hAnsi="仿宋" w:eastAsia="仿宋" w:cs="仿宋"/>
          <w:color w:val="auto"/>
          <w:sz w:val="24"/>
          <w:lang w:val="en-US" w:eastAsia="zh-CN"/>
        </w:rPr>
        <w:t>13</w:t>
      </w:r>
      <w:r>
        <w:rPr>
          <w:rFonts w:hint="eastAsia" w:ascii="仿宋" w:hAnsi="仿宋" w:eastAsia="仿宋" w:cs="仿宋"/>
          <w:color w:val="auto"/>
          <w:sz w:val="24"/>
        </w:rPr>
        <w:t>点</w:t>
      </w:r>
      <w:r>
        <w:rPr>
          <w:rFonts w:hint="eastAsia" w:ascii="仿宋" w:hAnsi="仿宋" w:eastAsia="仿宋" w:cs="仿宋"/>
          <w:color w:val="auto"/>
          <w:sz w:val="24"/>
          <w:lang w:val="en-US" w:eastAsia="zh-CN"/>
        </w:rPr>
        <w:t>30</w:t>
      </w:r>
      <w:r>
        <w:rPr>
          <w:rFonts w:hint="eastAsia" w:ascii="仿宋" w:hAnsi="仿宋" w:eastAsia="仿宋" w:cs="仿宋"/>
          <w:sz w:val="24"/>
        </w:rPr>
        <w:t>分</w:t>
      </w:r>
      <w:r>
        <w:rPr>
          <w:rFonts w:hint="eastAsia" w:ascii="仿宋" w:hAnsi="仿宋" w:eastAsia="仿宋" w:cs="仿宋"/>
          <w:bCs/>
          <w:sz w:val="24"/>
        </w:rPr>
        <w:t>（北京时间）</w:t>
      </w:r>
      <w:r>
        <w:rPr>
          <w:rFonts w:hint="eastAsia" w:ascii="仿宋" w:hAnsi="仿宋" w:eastAsia="仿宋" w:cs="仿宋"/>
          <w:iCs/>
          <w:sz w:val="24"/>
        </w:rPr>
        <w:t>。</w:t>
      </w:r>
    </w:p>
    <w:p w14:paraId="2561CE88">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rPr>
        <w:t>。</w:t>
      </w:r>
    </w:p>
    <w:p w14:paraId="7D892A4D">
      <w:pPr>
        <w:pStyle w:val="3"/>
        <w:snapToGrid w:val="0"/>
        <w:spacing w:before="0" w:line="360" w:lineRule="auto"/>
        <w:jc w:val="left"/>
        <w:rPr>
          <w:rFonts w:ascii="仿宋" w:hAnsi="仿宋" w:eastAsia="仿宋" w:cs="仿宋"/>
          <w:sz w:val="24"/>
          <w:szCs w:val="24"/>
        </w:rPr>
      </w:pPr>
      <w:bookmarkStart w:id="17" w:name="_Toc35393625"/>
      <w:bookmarkStart w:id="18" w:name="_Toc28359007"/>
      <w:bookmarkStart w:id="19" w:name="_Toc35393794"/>
      <w:bookmarkStart w:id="20" w:name="_Toc28359084"/>
      <w:r>
        <w:rPr>
          <w:rFonts w:hint="eastAsia" w:ascii="仿宋" w:hAnsi="仿宋" w:eastAsia="仿宋" w:cs="仿宋"/>
          <w:sz w:val="24"/>
          <w:szCs w:val="24"/>
        </w:rPr>
        <w:t>五、公告期限</w:t>
      </w:r>
      <w:bookmarkEnd w:id="17"/>
      <w:bookmarkEnd w:id="18"/>
      <w:bookmarkEnd w:id="19"/>
      <w:bookmarkEnd w:id="20"/>
    </w:p>
    <w:p w14:paraId="18EC9B58">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0313A2E7">
      <w:pPr>
        <w:pStyle w:val="3"/>
        <w:snapToGrid w:val="0"/>
        <w:spacing w:before="0" w:line="360" w:lineRule="auto"/>
        <w:jc w:val="left"/>
        <w:rPr>
          <w:rFonts w:ascii="仿宋" w:hAnsi="仿宋" w:eastAsia="仿宋" w:cs="仿宋"/>
          <w:sz w:val="24"/>
          <w:szCs w:val="24"/>
        </w:rPr>
      </w:pPr>
      <w:bookmarkStart w:id="21" w:name="_Toc35393626"/>
      <w:bookmarkStart w:id="22" w:name="_Toc35393795"/>
      <w:r>
        <w:rPr>
          <w:rFonts w:hint="eastAsia" w:ascii="仿宋" w:hAnsi="仿宋" w:eastAsia="仿宋" w:cs="仿宋"/>
          <w:sz w:val="24"/>
          <w:szCs w:val="24"/>
        </w:rPr>
        <w:t>六、其他补充事宜</w:t>
      </w:r>
      <w:bookmarkEnd w:id="21"/>
      <w:bookmarkEnd w:id="22"/>
    </w:p>
    <w:p w14:paraId="2803902C">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p>
    <w:p w14:paraId="6EADD71A">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7E77621A">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扶持中小企业政策：本项目为专门面向中小企业采购包件。本项目服务承接商应当为中小企业（中型或小型或微型）或监狱企业或残疾人福利性单位。</w:t>
      </w:r>
    </w:p>
    <w:p w14:paraId="251160E6">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3" w:name="OLE_LINK62"/>
      <w:bookmarkStart w:id="24"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3"/>
      <w:bookmarkEnd w:id="24"/>
    </w:p>
    <w:p w14:paraId="00F01020">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78D17CC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0F300A49">
      <w:pPr>
        <w:widowControl/>
        <w:adjustRightInd w:val="0"/>
        <w:snapToGrid w:val="0"/>
        <w:spacing w:line="360" w:lineRule="auto"/>
        <w:ind w:firstLine="480" w:firstLineChars="200"/>
        <w:jc w:val="left"/>
        <w:rPr>
          <w:rFonts w:ascii="仿宋" w:hAnsi="仿宋" w:eastAsia="仿宋" w:cs="仿宋"/>
          <w:bCs/>
          <w:sz w:val="24"/>
        </w:rPr>
      </w:pPr>
      <w:r>
        <w:rPr>
          <w:rFonts w:hint="eastAsia" w:ascii="仿宋" w:hAnsi="仿宋" w:eastAsia="仿宋" w:cs="仿宋"/>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rPr>
        <w:t>CA数字证书</w:t>
      </w:r>
      <w:r>
        <w:rPr>
          <w:rFonts w:hint="eastAsia" w:ascii="仿宋" w:hAnsi="仿宋" w:eastAsia="仿宋" w:cs="仿宋"/>
          <w:sz w:val="24"/>
        </w:rPr>
        <w:t>或电子营业执照</w:t>
      </w:r>
      <w:r>
        <w:rPr>
          <w:rFonts w:hint="eastAsia" w:ascii="仿宋" w:hAnsi="仿宋" w:eastAsia="仿宋" w:cs="仿宋"/>
          <w:bCs/>
          <w:sz w:val="24"/>
        </w:rPr>
        <w:t>情况确认是否符合本项目电子化采购流程要求。</w:t>
      </w:r>
    </w:p>
    <w:p w14:paraId="0072F67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CA数字证书服务热线 010-58511086</w:t>
      </w:r>
    </w:p>
    <w:p w14:paraId="591FE1A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电子营业执照服务热线 400-699-7000</w:t>
      </w:r>
    </w:p>
    <w:p w14:paraId="5D03235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技术支持服务热线    010-86483801</w:t>
      </w:r>
    </w:p>
    <w:p w14:paraId="32B7D40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3.1办理CA数字证书或电子营业执照</w:t>
      </w:r>
    </w:p>
    <w:p w14:paraId="4DA6421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供应商登录北京市政府采购电子交易平台查阅 “用户指南”—“操作指南”—“市场主体CA办理操作流程指引”/“电子营业执照使用指南”，按照程序要求办理。</w:t>
      </w:r>
    </w:p>
    <w:p w14:paraId="3486335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3.2注册</w:t>
      </w:r>
    </w:p>
    <w:p w14:paraId="54EDC45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供应商登录北京市政府采购电子交易平台“用户指南”—“操作指南”—“市场主体注册入库操作流程指引”进行自助注册绑定。</w:t>
      </w:r>
    </w:p>
    <w:p w14:paraId="7B43CED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3.3驱动、客户端下载</w:t>
      </w:r>
    </w:p>
    <w:p w14:paraId="30C8664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供应商登录北京市政府采购电子交易平台“用户指南”—“工具下载”—“招标采购系统文件驱动安装包”下载相关驱动。</w:t>
      </w:r>
    </w:p>
    <w:p w14:paraId="05DEBE3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供应商登录北京市政府采购电子交易平台“用户指南”—“工具下载”—“投标文件编制工具”下载相关客户端。</w:t>
      </w:r>
    </w:p>
    <w:p w14:paraId="24AD01C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3.4 获取电子招标文件</w:t>
      </w:r>
    </w:p>
    <w:p w14:paraId="1351A07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供应商使用CA数字证书或电子营业执照登录北京市政府采购电子交易平台获取电子招标文件。</w:t>
      </w:r>
    </w:p>
    <w:p w14:paraId="023BCB2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C0AA9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3.5编制电子投标文件</w:t>
      </w:r>
    </w:p>
    <w:p w14:paraId="2BD2019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供应商应使用电子投标客户端编制电子投标文件并进行线上投标，供应商电子投标文件需要加密并加盖电子签章</w:t>
      </w:r>
      <w:r>
        <w:rPr>
          <w:rFonts w:hint="eastAsia" w:ascii="仿宋" w:hAnsi="仿宋" w:eastAsia="仿宋" w:cs="仿宋"/>
          <w:bCs/>
          <w:sz w:val="24"/>
        </w:rPr>
        <w:t>，如无法按照要求在电子投标文件中加盖电子签章和加密，请及时通过技术支持服务热线联系技术人员</w:t>
      </w:r>
      <w:r>
        <w:rPr>
          <w:rFonts w:hint="eastAsia" w:ascii="仿宋" w:hAnsi="仿宋" w:eastAsia="仿宋" w:cs="仿宋"/>
          <w:sz w:val="24"/>
        </w:rPr>
        <w:t>。</w:t>
      </w:r>
    </w:p>
    <w:p w14:paraId="5B306DB5">
      <w:pPr>
        <w:widowControl/>
        <w:snapToGrid w:val="0"/>
        <w:spacing w:line="360" w:lineRule="auto"/>
        <w:ind w:firstLine="480" w:firstLineChars="200"/>
        <w:jc w:val="left"/>
        <w:rPr>
          <w:rFonts w:ascii="仿宋" w:hAnsi="仿宋" w:eastAsia="仿宋" w:cs="仿宋"/>
          <w:sz w:val="24"/>
          <w:lang w:val="zh-TW"/>
        </w:rPr>
      </w:pPr>
      <w:r>
        <w:rPr>
          <w:rFonts w:hint="eastAsia" w:ascii="仿宋" w:hAnsi="仿宋" w:eastAsia="仿宋" w:cs="仿宋"/>
          <w:sz w:val="24"/>
          <w:lang w:val="zh-TW" w:eastAsia="zh-TW"/>
        </w:rPr>
        <w:t>3.6</w:t>
      </w:r>
      <w:r>
        <w:rPr>
          <w:rFonts w:hint="eastAsia" w:ascii="仿宋" w:hAnsi="仿宋" w:eastAsia="仿宋" w:cs="仿宋"/>
          <w:sz w:val="24"/>
          <w:lang w:val="zh-TW"/>
        </w:rPr>
        <w:t>提交电子投标文件</w:t>
      </w:r>
    </w:p>
    <w:p w14:paraId="4C680612">
      <w:pPr>
        <w:widowControl/>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供应商应于投标截止时间前在北京市政府采购电子交易平台提交电子投标文件，上传电子投标文件过程中请保持与互联网的连接畅通。</w:t>
      </w:r>
    </w:p>
    <w:p w14:paraId="4498FC2B">
      <w:pPr>
        <w:widowControl/>
        <w:snapToGrid w:val="0"/>
        <w:spacing w:line="360" w:lineRule="auto"/>
        <w:ind w:firstLine="480" w:firstLineChars="200"/>
        <w:jc w:val="left"/>
        <w:rPr>
          <w:rFonts w:ascii="仿宋" w:hAnsi="仿宋" w:eastAsia="仿宋" w:cs="仿宋"/>
          <w:sz w:val="24"/>
          <w:lang w:eastAsia="zh-TW"/>
        </w:rPr>
      </w:pPr>
      <w:r>
        <w:rPr>
          <w:rFonts w:hint="eastAsia" w:ascii="仿宋" w:hAnsi="仿宋" w:eastAsia="仿宋" w:cs="仿宋"/>
          <w:sz w:val="24"/>
          <w:lang w:val="zh-TW"/>
        </w:rPr>
        <w:t>3.</w:t>
      </w:r>
      <w:r>
        <w:rPr>
          <w:rFonts w:hint="eastAsia" w:ascii="仿宋" w:hAnsi="仿宋" w:eastAsia="仿宋" w:cs="仿宋"/>
          <w:sz w:val="24"/>
          <w:lang w:val="zh-TW" w:eastAsia="zh-TW"/>
        </w:rPr>
        <w:t>7</w:t>
      </w:r>
      <w:r>
        <w:rPr>
          <w:rFonts w:hint="eastAsia" w:ascii="仿宋" w:hAnsi="仿宋" w:eastAsia="仿宋" w:cs="仿宋"/>
          <w:sz w:val="24"/>
          <w:lang w:val="zh-TW"/>
        </w:rPr>
        <w:t>电子开标</w:t>
      </w:r>
    </w:p>
    <w:p w14:paraId="54C79736">
      <w:pPr>
        <w:snapToGrid w:val="0"/>
        <w:spacing w:line="360" w:lineRule="auto"/>
        <w:ind w:firstLine="480" w:firstLineChars="200"/>
        <w:rPr>
          <w:rFonts w:ascii="仿宋" w:hAnsi="仿宋" w:eastAsia="仿宋" w:cs="仿宋"/>
          <w:sz w:val="24"/>
          <w:lang w:val="zh-TW"/>
        </w:rPr>
      </w:pPr>
      <w:r>
        <w:rPr>
          <w:rFonts w:hint="eastAsia" w:ascii="仿宋" w:hAnsi="仿宋" w:eastAsia="仿宋" w:cs="仿宋"/>
          <w:sz w:val="24"/>
          <w:lang w:val="zh-TW"/>
        </w:rPr>
        <w:t>供应商在开标地点使用</w:t>
      </w:r>
      <w:r>
        <w:rPr>
          <w:rFonts w:hint="eastAsia" w:ascii="仿宋" w:hAnsi="仿宋" w:eastAsia="仿宋" w:cs="仿宋"/>
          <w:sz w:val="24"/>
        </w:rPr>
        <w:t>CA数字证书或电子营业执照</w:t>
      </w:r>
      <w:r>
        <w:rPr>
          <w:rFonts w:hint="eastAsia" w:ascii="仿宋" w:hAnsi="仿宋" w:eastAsia="仿宋" w:cs="仿宋"/>
          <w:sz w:val="24"/>
          <w:lang w:val="zh-TW"/>
        </w:rPr>
        <w:t>登录</w:t>
      </w:r>
      <w:r>
        <w:rPr>
          <w:rFonts w:hint="eastAsia" w:ascii="仿宋" w:hAnsi="仿宋" w:eastAsia="仿宋" w:cs="仿宋"/>
          <w:sz w:val="24"/>
        </w:rPr>
        <w:t>北京市政府采购电子交易平台进行电子开标</w:t>
      </w:r>
      <w:r>
        <w:rPr>
          <w:rFonts w:hint="eastAsia" w:ascii="仿宋" w:hAnsi="仿宋" w:eastAsia="仿宋" w:cs="仿宋"/>
          <w:sz w:val="24"/>
          <w:lang w:val="zh-TW"/>
        </w:rPr>
        <w:t>。</w:t>
      </w:r>
    </w:p>
    <w:p w14:paraId="37E6D1B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4.本项目资金情况:财政性资金，资金已落实。</w:t>
      </w:r>
    </w:p>
    <w:p w14:paraId="53FA23DC">
      <w:pPr>
        <w:pStyle w:val="3"/>
        <w:snapToGrid w:val="0"/>
        <w:spacing w:before="0" w:line="360" w:lineRule="auto"/>
        <w:jc w:val="left"/>
        <w:rPr>
          <w:rFonts w:ascii="仿宋" w:hAnsi="仿宋" w:eastAsia="仿宋" w:cs="仿宋"/>
          <w:sz w:val="24"/>
          <w:szCs w:val="24"/>
        </w:rPr>
      </w:pPr>
      <w:bookmarkStart w:id="25" w:name="_Toc35393796"/>
      <w:bookmarkStart w:id="26" w:name="_Toc35393627"/>
      <w:bookmarkStart w:id="27" w:name="_Toc28359085"/>
      <w:bookmarkStart w:id="28" w:name="_Toc28359008"/>
      <w:r>
        <w:rPr>
          <w:rFonts w:hint="eastAsia" w:ascii="仿宋" w:hAnsi="仿宋" w:eastAsia="仿宋" w:cs="仿宋"/>
          <w:sz w:val="24"/>
          <w:szCs w:val="24"/>
        </w:rPr>
        <w:t>七、对本次招标提出询问，请按以下方式联系。</w:t>
      </w:r>
      <w:bookmarkEnd w:id="25"/>
      <w:bookmarkEnd w:id="26"/>
      <w:bookmarkEnd w:id="27"/>
      <w:bookmarkEnd w:id="28"/>
    </w:p>
    <w:p w14:paraId="08470DF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430BA854">
      <w:pPr>
        <w:snapToGrid w:val="0"/>
        <w:spacing w:line="360" w:lineRule="auto"/>
        <w:ind w:left="1079" w:leftChars="371" w:hanging="300" w:hangingChars="125"/>
        <w:jc w:val="left"/>
        <w:rPr>
          <w:rFonts w:ascii="仿宋" w:hAnsi="仿宋" w:eastAsia="仿宋" w:cs="仿宋"/>
          <w:sz w:val="24"/>
        </w:rPr>
      </w:pPr>
      <w:bookmarkStart w:id="29" w:name="_Toc28359086"/>
      <w:bookmarkStart w:id="30" w:name="_Toc28359009"/>
      <w:r>
        <w:rPr>
          <w:rFonts w:hint="eastAsia" w:ascii="仿宋" w:hAnsi="仿宋" w:eastAsia="仿宋" w:cs="仿宋"/>
          <w:sz w:val="24"/>
        </w:rPr>
        <w:t>名    称：首都医科大学附属北京佑安医院</w:t>
      </w:r>
    </w:p>
    <w:p w14:paraId="6C177AF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址：北京市丰台区右安门外西头条8号</w:t>
      </w:r>
    </w:p>
    <w:p w14:paraId="1E0FE68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联系方式：010-83997047</w:t>
      </w:r>
    </w:p>
    <w:p w14:paraId="49AF2228">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29"/>
      <w:bookmarkEnd w:id="30"/>
    </w:p>
    <w:p w14:paraId="34C79043">
      <w:pPr>
        <w:snapToGrid w:val="0"/>
        <w:spacing w:line="360" w:lineRule="auto"/>
        <w:ind w:left="1079" w:leftChars="371" w:hanging="300" w:hangingChars="125"/>
        <w:jc w:val="left"/>
        <w:rPr>
          <w:rFonts w:ascii="仿宋" w:hAnsi="仿宋" w:eastAsia="仿宋" w:cs="仿宋"/>
          <w:sz w:val="24"/>
        </w:rPr>
      </w:pPr>
      <w:bookmarkStart w:id="31" w:name="_Toc28359087"/>
      <w:bookmarkStart w:id="32" w:name="_Toc28359010"/>
      <w:r>
        <w:rPr>
          <w:rFonts w:hint="eastAsia" w:ascii="仿宋" w:hAnsi="仿宋" w:eastAsia="仿宋" w:cs="仿宋"/>
          <w:sz w:val="24"/>
        </w:rPr>
        <w:t>名    称：中技国际招标有限公司</w:t>
      </w:r>
    </w:p>
    <w:p w14:paraId="2248CE5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7EC6F16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联系方式：010－81168618</w:t>
      </w:r>
    </w:p>
    <w:p w14:paraId="418269D6">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1"/>
      <w:bookmarkEnd w:id="32"/>
    </w:p>
    <w:p w14:paraId="05AD46C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项目联系人：侯雅雯、孙薇</w:t>
      </w:r>
    </w:p>
    <w:p w14:paraId="0EA51AEF">
      <w:pPr>
        <w:snapToGrid w:val="0"/>
        <w:spacing w:line="360" w:lineRule="auto"/>
        <w:ind w:left="1079" w:leftChars="371" w:hanging="300" w:hangingChars="125"/>
        <w:jc w:val="left"/>
      </w:pPr>
      <w:r>
        <w:rPr>
          <w:rFonts w:hint="eastAsia" w:ascii="仿宋" w:hAnsi="仿宋" w:eastAsia="仿宋" w:cs="仿宋"/>
          <w:sz w:val="24"/>
        </w:rPr>
        <w:t>电      话：010－81168618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22F1D15C"/>
    <w:multiLevelType w:val="singleLevel"/>
    <w:tmpl w:val="22F1D15C"/>
    <w:lvl w:ilvl="0" w:tentative="0">
      <w:start w:val="1"/>
      <w:numFmt w:val="chineseCounting"/>
      <w:pStyle w:val="5"/>
      <w:suff w:val="nothing"/>
      <w:lvlText w:val="（%1）"/>
      <w:lvlJc w:val="left"/>
      <w:pPr>
        <w:ind w:left="0" w:firstLine="420"/>
      </w:pPr>
      <w:rPr>
        <w:rFonts w:hint="eastAsia"/>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001FD"/>
    <w:rsid w:val="000523C6"/>
    <w:rsid w:val="0007482F"/>
    <w:rsid w:val="000A6827"/>
    <w:rsid w:val="001A28B5"/>
    <w:rsid w:val="001C1374"/>
    <w:rsid w:val="001C71E2"/>
    <w:rsid w:val="001D1304"/>
    <w:rsid w:val="001D6DDD"/>
    <w:rsid w:val="001E098B"/>
    <w:rsid w:val="002033DB"/>
    <w:rsid w:val="0021332A"/>
    <w:rsid w:val="00215C1C"/>
    <w:rsid w:val="0021780C"/>
    <w:rsid w:val="002B41C3"/>
    <w:rsid w:val="003E03DC"/>
    <w:rsid w:val="00411533"/>
    <w:rsid w:val="0044328A"/>
    <w:rsid w:val="004D1E01"/>
    <w:rsid w:val="004D5F44"/>
    <w:rsid w:val="005B1515"/>
    <w:rsid w:val="005C7FCE"/>
    <w:rsid w:val="005D0B11"/>
    <w:rsid w:val="00675993"/>
    <w:rsid w:val="006B70CA"/>
    <w:rsid w:val="00706493"/>
    <w:rsid w:val="00711DBD"/>
    <w:rsid w:val="0072080C"/>
    <w:rsid w:val="007310C5"/>
    <w:rsid w:val="00732865"/>
    <w:rsid w:val="0075247E"/>
    <w:rsid w:val="007D0830"/>
    <w:rsid w:val="008D6400"/>
    <w:rsid w:val="00901A85"/>
    <w:rsid w:val="00910354"/>
    <w:rsid w:val="00940E9E"/>
    <w:rsid w:val="00A46AAC"/>
    <w:rsid w:val="00A815CA"/>
    <w:rsid w:val="00B07F0D"/>
    <w:rsid w:val="00B91127"/>
    <w:rsid w:val="00BF283E"/>
    <w:rsid w:val="00C5492E"/>
    <w:rsid w:val="00C77597"/>
    <w:rsid w:val="00C90599"/>
    <w:rsid w:val="00CA51F9"/>
    <w:rsid w:val="00CF1D5C"/>
    <w:rsid w:val="00D1094F"/>
    <w:rsid w:val="00D376D6"/>
    <w:rsid w:val="00D604ED"/>
    <w:rsid w:val="00E21825"/>
    <w:rsid w:val="00E25846"/>
    <w:rsid w:val="00EB2968"/>
    <w:rsid w:val="00EC010F"/>
    <w:rsid w:val="00EC05C1"/>
    <w:rsid w:val="00EC6519"/>
    <w:rsid w:val="00F1246C"/>
    <w:rsid w:val="00FC2ABB"/>
    <w:rsid w:val="0DCB5370"/>
    <w:rsid w:val="0F7704B6"/>
    <w:rsid w:val="102B64CB"/>
    <w:rsid w:val="2DA01E4F"/>
    <w:rsid w:val="78994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8"/>
    <w:unhideWhenUsed/>
    <w:qFormat/>
    <w:uiPriority w:val="0"/>
    <w:pPr>
      <w:ind w:firstLine="420" w:firstLineChars="200"/>
    </w:pPr>
  </w:style>
  <w:style w:type="paragraph" w:styleId="5">
    <w:name w:val="index 5"/>
    <w:basedOn w:val="1"/>
    <w:next w:val="1"/>
    <w:qFormat/>
    <w:uiPriority w:val="0"/>
    <w:pPr>
      <w:widowControl/>
      <w:numPr>
        <w:ilvl w:val="0"/>
        <w:numId w:val="1"/>
      </w:numPr>
      <w:ind w:left="800" w:leftChars="800" w:firstLine="0"/>
      <w:jc w:val="left"/>
    </w:pPr>
    <w:rPr>
      <w:szCs w:val="21"/>
    </w:rPr>
  </w:style>
  <w:style w:type="paragraph" w:styleId="6">
    <w:name w:val="Body Text"/>
    <w:basedOn w:val="1"/>
    <w:link w:val="16"/>
    <w:semiHidden/>
    <w:unhideWhenUsed/>
    <w:uiPriority w:val="99"/>
    <w:pPr>
      <w:spacing w:after="120"/>
    </w:pPr>
  </w:style>
  <w:style w:type="paragraph" w:styleId="7">
    <w:name w:val="Plain Text"/>
    <w:basedOn w:val="1"/>
    <w:link w:val="12"/>
    <w:qFormat/>
    <w:uiPriority w:val="0"/>
    <w:rPr>
      <w:rFonts w:hint="eastAsia" w:ascii="宋体" w:hAnsi="Courier New"/>
      <w:szCs w:val="20"/>
    </w:rPr>
  </w:style>
  <w:style w:type="character" w:styleId="10">
    <w:name w:val="annotation reference"/>
    <w:qFormat/>
    <w:uiPriority w:val="99"/>
    <w:rPr>
      <w:sz w:val="21"/>
      <w:szCs w:val="21"/>
    </w:rPr>
  </w:style>
  <w:style w:type="character" w:customStyle="1" w:styleId="11">
    <w:name w:val="标题 2 Char"/>
    <w:basedOn w:val="9"/>
    <w:semiHidden/>
    <w:uiPriority w:val="9"/>
    <w:rPr>
      <w:rFonts w:asciiTheme="majorHAnsi" w:hAnsiTheme="majorHAnsi" w:eastAsiaTheme="majorEastAsia" w:cstheme="majorBidi"/>
      <w:b/>
      <w:bCs/>
      <w:sz w:val="32"/>
      <w:szCs w:val="32"/>
    </w:rPr>
  </w:style>
  <w:style w:type="character" w:customStyle="1" w:styleId="12">
    <w:name w:val="纯文本 Char"/>
    <w:basedOn w:val="9"/>
    <w:link w:val="7"/>
    <w:qFormat/>
    <w:uiPriority w:val="0"/>
    <w:rPr>
      <w:rFonts w:ascii="宋体" w:hAnsi="Courier New" w:eastAsia="宋体" w:cs="Times New Roman"/>
      <w:szCs w:val="20"/>
    </w:rPr>
  </w:style>
  <w:style w:type="character" w:customStyle="1" w:styleId="13">
    <w:name w:val="标题 2 Char1"/>
    <w:link w:val="3"/>
    <w:qFormat/>
    <w:uiPriority w:val="9"/>
    <w:rPr>
      <w:rFonts w:ascii="Arial" w:hAnsi="Arial" w:eastAsia="黑体" w:cs="Times New Roman"/>
      <w:b/>
      <w:kern w:val="0"/>
      <w:sz w:val="30"/>
      <w:szCs w:val="20"/>
    </w:rPr>
  </w:style>
  <w:style w:type="paragraph" w:customStyle="1" w:styleId="14">
    <w:name w:val="目录用"/>
    <w:basedOn w:val="1"/>
    <w:link w:val="15"/>
    <w:qFormat/>
    <w:uiPriority w:val="0"/>
    <w:pPr>
      <w:snapToGrid w:val="0"/>
      <w:spacing w:line="540" w:lineRule="exact"/>
      <w:jc w:val="center"/>
      <w:outlineLvl w:val="0"/>
    </w:pPr>
    <w:rPr>
      <w:b/>
      <w:sz w:val="36"/>
      <w:szCs w:val="36"/>
    </w:rPr>
  </w:style>
  <w:style w:type="character" w:customStyle="1" w:styleId="15">
    <w:name w:val="目录用 Char"/>
    <w:link w:val="14"/>
    <w:qFormat/>
    <w:uiPriority w:val="0"/>
    <w:rPr>
      <w:rFonts w:ascii="Times New Roman" w:hAnsi="Times New Roman" w:eastAsia="宋体" w:cs="Times New Roman"/>
      <w:b/>
      <w:sz w:val="36"/>
      <w:szCs w:val="36"/>
    </w:rPr>
  </w:style>
  <w:style w:type="character" w:customStyle="1" w:styleId="16">
    <w:name w:val="正文文本 Char"/>
    <w:basedOn w:val="9"/>
    <w:link w:val="6"/>
    <w:semiHidden/>
    <w:uiPriority w:val="99"/>
    <w:rPr>
      <w:rFonts w:ascii="Times New Roman" w:hAnsi="Times New Roman" w:eastAsia="宋体" w:cs="Times New Roman"/>
      <w:szCs w:val="24"/>
    </w:rPr>
  </w:style>
  <w:style w:type="character" w:customStyle="1" w:styleId="17">
    <w:name w:val="标题 1 Char"/>
    <w:basedOn w:val="9"/>
    <w:link w:val="2"/>
    <w:uiPriority w:val="0"/>
    <w:rPr>
      <w:rFonts w:ascii="Times New Roman" w:hAnsi="Times New Roman" w:eastAsia="宋体" w:cs="Times New Roman"/>
      <w:b/>
      <w:bCs/>
      <w:kern w:val="44"/>
      <w:sz w:val="44"/>
      <w:szCs w:val="44"/>
    </w:rPr>
  </w:style>
  <w:style w:type="character" w:customStyle="1" w:styleId="18">
    <w:name w:val="正文缩进 Char"/>
    <w:link w:val="4"/>
    <w:qFormat/>
    <w:uiPriority w:val="0"/>
    <w:rPr>
      <w:rFonts w:ascii="Times New Roman" w:hAnsi="Times New Roman" w:eastAsia="宋体" w:cs="Times New Roman"/>
      <w:szCs w:val="24"/>
    </w:rPr>
  </w:style>
  <w:style w:type="character" w:customStyle="1" w:styleId="19">
    <w:name w:val="正文缩进 Char1"/>
    <w:qFormat/>
    <w:uiPriority w:val="0"/>
    <w:rPr>
      <w:rFonts w:ascii="宋体" w:eastAsia="宋体"/>
      <w:kern w:val="2"/>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2265</Words>
  <Characters>2537</Characters>
  <Lines>22</Lines>
  <Paragraphs>6</Paragraphs>
  <TotalTime>0</TotalTime>
  <ScaleCrop>false</ScaleCrop>
  <LinksUpToDate>false</LinksUpToDate>
  <CharactersWithSpaces>2588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2026-10-30T08:23:34Z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eyJoZGlkIjoiZjdhNDViMWNhMGIyNjZlYWRhYzg5MWEyZGM3NWJlMzMiLCJ1c2VySWQiOiI0Nzk1NTExODAifQ==</vt:lpwstr>
  </property>
  <property fmtid="{D5CDD505-2E9C-101B-9397-08002B2CF9AE}" pid="3" name="KSOProductBuildVer">
    <vt:lpwstr>2052-12.1.0.29161</vt:lpwstr>
  </property>
  <property fmtid="{D5CDD505-2E9C-101B-9397-08002B2CF9AE}" pid="4" name="ICV">
    <vt:lpwstr>E88EF7AF8D734DEEB00A2979C0AD0F7C_12</vt:lpwstr>
  </property>
</Properties>
</file>