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265D3A">
      <w:pPr>
        <w:spacing w:line="360" w:lineRule="auto"/>
        <w:jc w:val="center"/>
        <w:outlineLvl w:val="0"/>
        <w:rPr>
          <w:rFonts w:ascii="宋体" w:hAnsi="宋体"/>
          <w:b/>
          <w:sz w:val="36"/>
          <w:szCs w:val="36"/>
        </w:rPr>
      </w:pPr>
      <w:bookmarkStart w:id="1" w:name="_GoBack"/>
      <w:bookmarkEnd w:id="1"/>
      <w:bookmarkStart w:id="0" w:name="_Toc20096"/>
      <w:r>
        <w:rPr>
          <w:rFonts w:ascii="宋体" w:hAnsi="宋体"/>
          <w:b/>
          <w:sz w:val="36"/>
          <w:szCs w:val="36"/>
        </w:rPr>
        <w:t>采购需求</w:t>
      </w:r>
      <w:bookmarkEnd w:id="0"/>
    </w:p>
    <w:p w14:paraId="774B9203">
      <w:pPr>
        <w:pStyle w:val="7"/>
        <w:numPr>
          <w:ilvl w:val="0"/>
          <w:numId w:val="1"/>
        </w:numPr>
        <w:spacing w:line="360" w:lineRule="auto"/>
        <w:ind w:firstLineChars="0"/>
        <w:contextualSpacing/>
        <w:rPr>
          <w:rFonts w:ascii="宋体" w:hAnsi="宋体" w:cs="宋体"/>
          <w:b/>
          <w:sz w:val="24"/>
          <w:szCs w:val="24"/>
        </w:rPr>
      </w:pPr>
      <w:r>
        <w:rPr>
          <w:rFonts w:hint="eastAsia" w:ascii="宋体" w:hAnsi="宋体" w:cs="宋体"/>
          <w:b/>
          <w:sz w:val="24"/>
          <w:szCs w:val="24"/>
        </w:rPr>
        <w:t>采购标的</w:t>
      </w:r>
    </w:p>
    <w:tbl>
      <w:tblPr>
        <w:tblStyle w:val="5"/>
        <w:tblW w:w="853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1"/>
        <w:gridCol w:w="1765"/>
        <w:gridCol w:w="1364"/>
        <w:gridCol w:w="2143"/>
        <w:gridCol w:w="1175"/>
        <w:gridCol w:w="1276"/>
      </w:tblGrid>
      <w:tr w14:paraId="6BF40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11" w:type="dxa"/>
            <w:vAlign w:val="center"/>
          </w:tcPr>
          <w:p w14:paraId="400BABD8">
            <w:pPr>
              <w:jc w:val="center"/>
              <w:rPr>
                <w:rFonts w:ascii="宋体" w:hAnsi="宋体" w:cs="宋体"/>
                <w:b/>
                <w:bCs/>
                <w:sz w:val="24"/>
              </w:rPr>
            </w:pPr>
            <w:r>
              <w:rPr>
                <w:rFonts w:hint="eastAsia" w:ascii="宋体" w:hAnsi="宋体" w:cs="宋体"/>
                <w:b/>
                <w:bCs/>
                <w:sz w:val="24"/>
              </w:rPr>
              <w:t>序号</w:t>
            </w:r>
          </w:p>
        </w:tc>
        <w:tc>
          <w:tcPr>
            <w:tcW w:w="1765" w:type="dxa"/>
            <w:vAlign w:val="center"/>
          </w:tcPr>
          <w:p w14:paraId="37108D4C">
            <w:pPr>
              <w:jc w:val="center"/>
              <w:rPr>
                <w:rFonts w:ascii="宋体" w:hAnsi="宋体" w:cs="宋体"/>
                <w:b/>
                <w:bCs/>
                <w:sz w:val="24"/>
              </w:rPr>
            </w:pPr>
            <w:r>
              <w:rPr>
                <w:rFonts w:hint="eastAsia" w:ascii="宋体" w:hAnsi="宋体" w:cs="宋体"/>
                <w:b/>
                <w:bCs/>
                <w:sz w:val="24"/>
              </w:rPr>
              <w:t>标的名称</w:t>
            </w:r>
          </w:p>
        </w:tc>
        <w:tc>
          <w:tcPr>
            <w:tcW w:w="1364" w:type="dxa"/>
            <w:vAlign w:val="center"/>
          </w:tcPr>
          <w:p w14:paraId="152BCDD1">
            <w:pPr>
              <w:jc w:val="center"/>
              <w:rPr>
                <w:rFonts w:ascii="宋体" w:hAnsi="宋体" w:cs="宋体"/>
                <w:b/>
                <w:bCs/>
                <w:sz w:val="24"/>
              </w:rPr>
            </w:pPr>
            <w:r>
              <w:rPr>
                <w:rFonts w:hint="eastAsia" w:ascii="宋体" w:hAnsi="宋体" w:cs="宋体"/>
                <w:b/>
                <w:bCs/>
                <w:sz w:val="24"/>
              </w:rPr>
              <w:t>数量</w:t>
            </w:r>
          </w:p>
          <w:p w14:paraId="3EFA1491">
            <w:pPr>
              <w:jc w:val="center"/>
              <w:rPr>
                <w:rFonts w:ascii="宋体" w:hAnsi="宋体" w:cs="宋体"/>
                <w:b/>
                <w:bCs/>
                <w:sz w:val="24"/>
              </w:rPr>
            </w:pPr>
            <w:r>
              <w:rPr>
                <w:rFonts w:hint="eastAsia" w:ascii="宋体" w:hAnsi="宋体" w:cs="宋体"/>
                <w:b/>
                <w:bCs/>
                <w:sz w:val="24"/>
              </w:rPr>
              <w:t>（台/套）</w:t>
            </w:r>
          </w:p>
        </w:tc>
        <w:tc>
          <w:tcPr>
            <w:tcW w:w="2143" w:type="dxa"/>
            <w:vAlign w:val="center"/>
          </w:tcPr>
          <w:p w14:paraId="32B5AA98">
            <w:pPr>
              <w:jc w:val="center"/>
              <w:rPr>
                <w:rFonts w:ascii="宋体" w:hAnsi="宋体" w:cs="宋体"/>
                <w:b/>
                <w:bCs/>
                <w:sz w:val="24"/>
              </w:rPr>
            </w:pPr>
            <w:r>
              <w:rPr>
                <w:rFonts w:hint="eastAsia" w:ascii="宋体" w:hAnsi="宋体" w:cs="宋体"/>
                <w:b/>
                <w:bCs/>
                <w:sz w:val="24"/>
              </w:rPr>
              <w:t>单价最高限价</w:t>
            </w:r>
          </w:p>
          <w:p w14:paraId="4D5686AA">
            <w:pPr>
              <w:jc w:val="center"/>
              <w:rPr>
                <w:rFonts w:ascii="宋体" w:hAnsi="宋体" w:cs="宋体"/>
                <w:b/>
                <w:bCs/>
                <w:sz w:val="24"/>
              </w:rPr>
            </w:pPr>
            <w:r>
              <w:rPr>
                <w:rFonts w:hint="eastAsia" w:ascii="宋体" w:hAnsi="宋体" w:cs="宋体"/>
                <w:b/>
                <w:bCs/>
                <w:sz w:val="24"/>
              </w:rPr>
              <w:t>（万元/台（套））</w:t>
            </w:r>
          </w:p>
        </w:tc>
        <w:tc>
          <w:tcPr>
            <w:tcW w:w="1175" w:type="dxa"/>
            <w:vAlign w:val="center"/>
          </w:tcPr>
          <w:p w14:paraId="1C8FCB73">
            <w:pPr>
              <w:jc w:val="center"/>
              <w:rPr>
                <w:rFonts w:ascii="宋体" w:hAnsi="宋体" w:cs="宋体"/>
                <w:b/>
                <w:bCs/>
                <w:sz w:val="24"/>
              </w:rPr>
            </w:pPr>
            <w:r>
              <w:rPr>
                <w:rFonts w:hint="eastAsia" w:ascii="宋体" w:hAnsi="宋体" w:cs="宋体"/>
                <w:b/>
                <w:bCs/>
                <w:sz w:val="24"/>
              </w:rPr>
              <w:t>是否允许进口</w:t>
            </w:r>
          </w:p>
        </w:tc>
        <w:tc>
          <w:tcPr>
            <w:tcW w:w="1276" w:type="dxa"/>
            <w:vAlign w:val="center"/>
          </w:tcPr>
          <w:p w14:paraId="0AFA6D93">
            <w:pPr>
              <w:jc w:val="center"/>
              <w:rPr>
                <w:rFonts w:ascii="宋体" w:hAnsi="宋体" w:cs="宋体"/>
                <w:b/>
                <w:bCs/>
                <w:sz w:val="24"/>
              </w:rPr>
            </w:pPr>
            <w:r>
              <w:rPr>
                <w:rFonts w:hint="eastAsia" w:ascii="宋体" w:hAnsi="宋体" w:cs="宋体"/>
                <w:b/>
                <w:bCs/>
                <w:sz w:val="24"/>
              </w:rPr>
              <w:t>是否为核心产品</w:t>
            </w:r>
          </w:p>
        </w:tc>
      </w:tr>
      <w:tr w14:paraId="0AEAA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11" w:type="dxa"/>
            <w:vAlign w:val="center"/>
          </w:tcPr>
          <w:p w14:paraId="60E08112">
            <w:pPr>
              <w:widowControl/>
              <w:jc w:val="center"/>
              <w:textAlignment w:val="center"/>
              <w:rPr>
                <w:rFonts w:ascii="宋体" w:hAnsi="宋体" w:cs="宋体"/>
                <w:bCs/>
                <w:sz w:val="24"/>
              </w:rPr>
            </w:pPr>
            <w:r>
              <w:rPr>
                <w:rFonts w:hint="eastAsia" w:ascii="宋体" w:hAnsi="宋体" w:cs="宋体"/>
                <w:color w:val="000000"/>
                <w:kern w:val="0"/>
                <w:sz w:val="24"/>
                <w:lang w:bidi="ar"/>
              </w:rPr>
              <w:t>1</w:t>
            </w:r>
          </w:p>
        </w:tc>
        <w:tc>
          <w:tcPr>
            <w:tcW w:w="1765" w:type="dxa"/>
            <w:vAlign w:val="center"/>
          </w:tcPr>
          <w:p w14:paraId="22323684">
            <w:pPr>
              <w:widowControl/>
              <w:jc w:val="center"/>
              <w:textAlignment w:val="center"/>
              <w:rPr>
                <w:rFonts w:ascii="宋体" w:hAnsi="宋体" w:cs="宋体"/>
                <w:bCs/>
                <w:sz w:val="24"/>
              </w:rPr>
            </w:pPr>
            <w:r>
              <w:rPr>
                <w:rFonts w:hint="eastAsia" w:ascii="宋体" w:hAnsi="宋体" w:cs="宋体"/>
                <w:color w:val="000000"/>
                <w:kern w:val="0"/>
                <w:sz w:val="24"/>
                <w:lang w:bidi="ar"/>
              </w:rPr>
              <w:t>多功能酶标仪</w:t>
            </w:r>
          </w:p>
        </w:tc>
        <w:tc>
          <w:tcPr>
            <w:tcW w:w="1364" w:type="dxa"/>
            <w:vAlign w:val="center"/>
          </w:tcPr>
          <w:p w14:paraId="4D0F8DB8">
            <w:pPr>
              <w:widowControl/>
              <w:jc w:val="center"/>
              <w:textAlignment w:val="center"/>
              <w:rPr>
                <w:rFonts w:ascii="宋体" w:hAnsi="宋体" w:cs="宋体"/>
                <w:bCs/>
                <w:sz w:val="24"/>
              </w:rPr>
            </w:pPr>
            <w:r>
              <w:rPr>
                <w:rFonts w:hint="eastAsia" w:ascii="宋体" w:hAnsi="宋体" w:cs="宋体"/>
                <w:color w:val="000000"/>
                <w:kern w:val="0"/>
                <w:sz w:val="24"/>
                <w:lang w:bidi="ar"/>
              </w:rPr>
              <w:t>1</w:t>
            </w:r>
          </w:p>
        </w:tc>
        <w:tc>
          <w:tcPr>
            <w:tcW w:w="2143" w:type="dxa"/>
            <w:vAlign w:val="center"/>
          </w:tcPr>
          <w:p w14:paraId="137A5510">
            <w:pPr>
              <w:widowControl/>
              <w:jc w:val="center"/>
              <w:textAlignment w:val="center"/>
              <w:rPr>
                <w:rFonts w:ascii="宋体" w:hAnsi="宋体" w:cs="宋体"/>
                <w:bCs/>
                <w:sz w:val="24"/>
              </w:rPr>
            </w:pPr>
            <w:r>
              <w:rPr>
                <w:rFonts w:hint="eastAsia" w:ascii="宋体" w:hAnsi="宋体" w:cs="宋体"/>
                <w:color w:val="000000"/>
                <w:kern w:val="0"/>
                <w:sz w:val="24"/>
                <w:lang w:bidi="ar"/>
              </w:rPr>
              <w:t>46</w:t>
            </w:r>
          </w:p>
        </w:tc>
        <w:tc>
          <w:tcPr>
            <w:tcW w:w="1175" w:type="dxa"/>
            <w:vAlign w:val="center"/>
          </w:tcPr>
          <w:p w14:paraId="72BC208B">
            <w:pPr>
              <w:widowControl/>
              <w:jc w:val="center"/>
              <w:textAlignment w:val="center"/>
              <w:rPr>
                <w:rFonts w:ascii="宋体" w:hAnsi="宋体" w:cs="宋体"/>
                <w:bCs/>
                <w:sz w:val="24"/>
              </w:rPr>
            </w:pPr>
            <w:r>
              <w:rPr>
                <w:rFonts w:hint="eastAsia" w:ascii="宋体" w:hAnsi="宋体" w:cs="宋体"/>
                <w:bCs/>
                <w:sz w:val="24"/>
              </w:rPr>
              <w:t>否</w:t>
            </w:r>
          </w:p>
        </w:tc>
        <w:tc>
          <w:tcPr>
            <w:tcW w:w="1276" w:type="dxa"/>
            <w:vAlign w:val="center"/>
          </w:tcPr>
          <w:p w14:paraId="031F50CE">
            <w:pPr>
              <w:widowControl/>
              <w:jc w:val="center"/>
              <w:textAlignment w:val="center"/>
              <w:rPr>
                <w:rFonts w:ascii="宋体" w:hAnsi="宋体" w:cs="宋体"/>
                <w:bCs/>
                <w:sz w:val="24"/>
              </w:rPr>
            </w:pPr>
            <w:r>
              <w:rPr>
                <w:rFonts w:hAnsi="宋体" w:cs="宋体"/>
                <w:sz w:val="24"/>
              </w:rPr>
              <w:t>单一产品采购项目</w:t>
            </w:r>
          </w:p>
        </w:tc>
      </w:tr>
    </w:tbl>
    <w:p w14:paraId="7EF5B208">
      <w:pPr>
        <w:pStyle w:val="4"/>
        <w:spacing w:line="360" w:lineRule="auto"/>
        <w:rPr>
          <w:rFonts w:ascii="宋体" w:hAnsi="宋体" w:cs="宋体"/>
          <w:b/>
          <w:sz w:val="24"/>
        </w:rPr>
      </w:pPr>
      <w:r>
        <w:rPr>
          <w:rFonts w:hint="eastAsia" w:ascii="宋体" w:hAnsi="宋体" w:cs="宋体"/>
          <w:bCs/>
          <w:sz w:val="24"/>
        </w:rPr>
        <w:t>二、</w:t>
      </w:r>
      <w:r>
        <w:rPr>
          <w:rFonts w:hint="eastAsia" w:ascii="宋体" w:hAnsi="宋体" w:cs="宋体"/>
          <w:b/>
          <w:sz w:val="24"/>
        </w:rPr>
        <w:t>商务要求</w:t>
      </w:r>
    </w:p>
    <w:p w14:paraId="046F2DFA">
      <w:pPr>
        <w:spacing w:line="360" w:lineRule="auto"/>
        <w:ind w:firstLine="482" w:firstLineChars="200"/>
        <w:contextualSpacing/>
        <w:jc w:val="left"/>
        <w:rPr>
          <w:rFonts w:ascii="宋体" w:hAnsi="宋体" w:cs="宋体"/>
          <w:b/>
          <w:sz w:val="24"/>
        </w:rPr>
      </w:pPr>
      <w:r>
        <w:rPr>
          <w:rFonts w:hint="eastAsia" w:ascii="宋体" w:hAnsi="宋体" w:cs="宋体"/>
          <w:b/>
          <w:sz w:val="24"/>
        </w:rPr>
        <w:t>（一）交货时间和地点：</w:t>
      </w:r>
    </w:p>
    <w:p w14:paraId="45C25706">
      <w:pPr>
        <w:pStyle w:val="2"/>
        <w:spacing w:line="360" w:lineRule="auto"/>
        <w:ind w:firstLine="480" w:firstLineChars="200"/>
        <w:rPr>
          <w:rFonts w:hAnsi="宋体" w:cs="宋体"/>
          <w:bCs/>
        </w:rPr>
      </w:pPr>
      <w:r>
        <w:rPr>
          <w:rFonts w:hint="eastAsia" w:hAnsi="宋体" w:cs="宋体"/>
          <w:bCs/>
        </w:rPr>
        <w:t>1.交货时间：</w:t>
      </w:r>
      <w:r>
        <w:rPr>
          <w:rFonts w:hint="eastAsia" w:hAnsi="宋体"/>
        </w:rPr>
        <w:t>合同签订后30日内完成交货</w:t>
      </w:r>
      <w:r>
        <w:rPr>
          <w:rFonts w:hint="eastAsia" w:hAnsi="宋体" w:cs="宋体"/>
          <w:bCs/>
        </w:rPr>
        <w:t>。</w:t>
      </w:r>
    </w:p>
    <w:p w14:paraId="5A2B24C1">
      <w:pPr>
        <w:pStyle w:val="2"/>
        <w:spacing w:line="360" w:lineRule="auto"/>
        <w:ind w:firstLine="480" w:firstLineChars="200"/>
        <w:rPr>
          <w:rFonts w:hAnsi="宋体" w:cs="宋体"/>
          <w:bCs/>
        </w:rPr>
      </w:pPr>
      <w:r>
        <w:rPr>
          <w:rFonts w:hint="eastAsia" w:hAnsi="宋体" w:cs="宋体"/>
          <w:bCs/>
        </w:rPr>
        <w:t>2.交货地点：采购人指定地点</w:t>
      </w:r>
    </w:p>
    <w:p w14:paraId="274C1225">
      <w:pPr>
        <w:spacing w:line="360" w:lineRule="auto"/>
        <w:ind w:firstLine="482" w:firstLineChars="200"/>
        <w:contextualSpacing/>
        <w:jc w:val="left"/>
        <w:rPr>
          <w:rFonts w:ascii="宋体" w:hAnsi="宋体" w:cs="宋体"/>
          <w:sz w:val="24"/>
        </w:rPr>
      </w:pPr>
      <w:r>
        <w:rPr>
          <w:rFonts w:hint="eastAsia" w:ascii="宋体" w:hAnsi="宋体" w:cs="宋体"/>
          <w:b/>
          <w:sz w:val="24"/>
        </w:rPr>
        <w:t>（二）付款条件（进度和方式）：</w:t>
      </w:r>
      <w:r>
        <w:rPr>
          <w:rFonts w:hint="eastAsia" w:ascii="宋体" w:hAnsi="宋体" w:cs="宋体"/>
          <w:bCs/>
          <w:sz w:val="24"/>
        </w:rPr>
        <w:t>见第六章拟签订的合同文本</w:t>
      </w:r>
    </w:p>
    <w:p w14:paraId="386E776E">
      <w:pPr>
        <w:pStyle w:val="3"/>
        <w:spacing w:line="360" w:lineRule="auto"/>
        <w:ind w:left="0" w:leftChars="0" w:firstLine="482" w:firstLineChars="200"/>
        <w:jc w:val="left"/>
        <w:rPr>
          <w:rFonts w:ascii="宋体" w:hAnsi="宋体" w:cs="宋体"/>
          <w:sz w:val="24"/>
        </w:rPr>
      </w:pPr>
      <w:r>
        <w:rPr>
          <w:rFonts w:hint="eastAsia" w:ascii="宋体" w:hAnsi="宋体" w:cs="宋体"/>
          <w:b/>
          <w:bCs/>
          <w:sz w:val="24"/>
        </w:rPr>
        <w:t>（三）包装和运输</w:t>
      </w:r>
      <w:r>
        <w:rPr>
          <w:rFonts w:hint="eastAsia" w:ascii="宋体" w:hAnsi="宋体" w:cs="宋体"/>
          <w:sz w:val="24"/>
        </w:rPr>
        <w:t>（如适用）：须满足《关于印发〈商品包装政府采购需求标准（试行）〉、〈快递包装政府采购需求标准（试行）〉的通知》（财办库﹝2020﹞123号）</w:t>
      </w:r>
    </w:p>
    <w:p w14:paraId="0DD08FC2">
      <w:pPr>
        <w:spacing w:line="360" w:lineRule="auto"/>
        <w:ind w:firstLine="482" w:firstLineChars="200"/>
        <w:contextualSpacing/>
        <w:rPr>
          <w:rFonts w:ascii="宋体" w:hAnsi="宋体"/>
          <w:sz w:val="24"/>
        </w:rPr>
      </w:pPr>
      <w:r>
        <w:rPr>
          <w:rFonts w:hint="eastAsia" w:ascii="宋体" w:hAnsi="宋体"/>
          <w:b/>
          <w:sz w:val="24"/>
        </w:rPr>
        <w:t>（四）质保期</w:t>
      </w:r>
      <w:r>
        <w:rPr>
          <w:rFonts w:hint="eastAsia" w:ascii="宋体" w:hAnsi="宋体"/>
          <w:sz w:val="24"/>
        </w:rPr>
        <w:t>：≥5年。</w:t>
      </w:r>
    </w:p>
    <w:p w14:paraId="57E1AEC5">
      <w:pPr>
        <w:spacing w:line="360" w:lineRule="auto"/>
        <w:ind w:firstLine="482" w:firstLineChars="200"/>
        <w:outlineLvl w:val="1"/>
        <w:rPr>
          <w:rFonts w:ascii="宋体" w:hAnsi="宋体" w:cs="宋体"/>
          <w:b/>
          <w:bCs/>
          <w:sz w:val="24"/>
        </w:rPr>
      </w:pPr>
      <w:r>
        <w:rPr>
          <w:rFonts w:hint="eastAsia" w:ascii="宋体" w:hAnsi="宋体" w:cs="宋体"/>
          <w:b/>
          <w:bCs/>
          <w:sz w:val="24"/>
        </w:rPr>
        <w:t>三、技术要求</w:t>
      </w:r>
    </w:p>
    <w:p w14:paraId="2D5D9D66">
      <w:pPr>
        <w:spacing w:line="360" w:lineRule="auto"/>
        <w:ind w:firstLine="482" w:firstLineChars="200"/>
        <w:contextualSpacing/>
        <w:outlineLvl w:val="1"/>
        <w:rPr>
          <w:rFonts w:ascii="宋体" w:hAnsi="宋体" w:cs="宋体"/>
          <w:b/>
          <w:bCs/>
          <w:sz w:val="24"/>
        </w:rPr>
      </w:pPr>
      <w:r>
        <w:rPr>
          <w:rFonts w:hint="eastAsia" w:ascii="宋体" w:hAnsi="宋体" w:cs="宋体"/>
          <w:b/>
          <w:bCs/>
          <w:sz w:val="24"/>
        </w:rPr>
        <w:t>（一）基本要求</w:t>
      </w:r>
    </w:p>
    <w:p w14:paraId="455DB66A">
      <w:pPr>
        <w:spacing w:line="360" w:lineRule="auto"/>
        <w:ind w:firstLine="482" w:firstLineChars="200"/>
        <w:contextualSpacing/>
        <w:rPr>
          <w:rFonts w:ascii="宋体" w:hAnsi="宋体" w:cs="宋体"/>
          <w:b/>
          <w:bCs/>
          <w:sz w:val="24"/>
        </w:rPr>
      </w:pPr>
      <w:r>
        <w:rPr>
          <w:rFonts w:hint="eastAsia" w:ascii="宋体" w:hAnsi="宋体" w:cs="宋体"/>
          <w:b/>
          <w:bCs/>
          <w:sz w:val="24"/>
        </w:rPr>
        <w:t>1.采购标的需实现的功能或者目标</w:t>
      </w:r>
    </w:p>
    <w:p w14:paraId="1369A9C4">
      <w:pPr>
        <w:spacing w:line="360" w:lineRule="auto"/>
        <w:ind w:firstLine="480" w:firstLineChars="200"/>
        <w:contextualSpacing/>
        <w:rPr>
          <w:rFonts w:ascii="宋体" w:hAnsi="宋体" w:cs="宋体"/>
          <w:b/>
          <w:bCs/>
          <w:sz w:val="24"/>
        </w:rPr>
      </w:pPr>
      <w:r>
        <w:rPr>
          <w:rFonts w:hint="eastAsia" w:ascii="宋体" w:hAnsi="宋体"/>
          <w:sz w:val="24"/>
        </w:rPr>
        <w:t>本次采购是“脑疾病临床研究大数据与样本库平台建设课题科研设备购置项目”，供应商应根据招标文件所提出的设备技术规格和服务要求，以满足招标文件要求的产品、优良的货物和优惠的价格，充分显示自己的竞争实力。</w:t>
      </w:r>
    </w:p>
    <w:p w14:paraId="3131EA65">
      <w:pPr>
        <w:spacing w:line="360" w:lineRule="auto"/>
        <w:ind w:firstLine="482" w:firstLineChars="200"/>
        <w:contextualSpacing/>
        <w:rPr>
          <w:rFonts w:ascii="宋体" w:hAnsi="宋体" w:cs="宋体"/>
          <w:kern w:val="0"/>
          <w:sz w:val="24"/>
        </w:rPr>
      </w:pPr>
      <w:r>
        <w:rPr>
          <w:rFonts w:hint="eastAsia" w:ascii="宋体" w:hAnsi="宋体" w:cs="宋体"/>
          <w:b/>
          <w:bCs/>
          <w:sz w:val="24"/>
        </w:rPr>
        <w:t>2.需执行的国家相关标准、行业标准、地方标准或者其他标准、规范：</w:t>
      </w:r>
      <w:r>
        <w:rPr>
          <w:rFonts w:hint="eastAsia" w:ascii="宋体" w:hAnsi="宋体" w:cs="宋体"/>
          <w:kern w:val="0"/>
          <w:sz w:val="24"/>
        </w:rPr>
        <w:t>投标产品及制造商应符合国家有关部门规定的相应技术法规及标准，如国家有关部门对投标产品或其制造商有强制性规定或要求的，投标产品或其制造商必须符合相应规定或要求。</w:t>
      </w:r>
    </w:p>
    <w:p w14:paraId="11D56188">
      <w:pPr>
        <w:spacing w:line="360" w:lineRule="auto"/>
        <w:ind w:firstLine="482" w:firstLineChars="200"/>
        <w:contextualSpacing/>
        <w:rPr>
          <w:rFonts w:ascii="宋体" w:hAnsi="宋体" w:cs="宋体"/>
          <w:b/>
          <w:bCs/>
          <w:sz w:val="24"/>
        </w:rPr>
      </w:pPr>
      <w:r>
        <w:rPr>
          <w:rFonts w:hint="eastAsia" w:ascii="宋体" w:hAnsi="宋体" w:cs="宋体"/>
          <w:b/>
          <w:bCs/>
          <w:sz w:val="24"/>
        </w:rPr>
        <w:t>3.为落实政府采购政策需满足的要求</w:t>
      </w:r>
    </w:p>
    <w:p w14:paraId="17D2E17A">
      <w:pPr>
        <w:spacing w:line="360" w:lineRule="auto"/>
        <w:ind w:firstLine="480" w:firstLineChars="200"/>
        <w:jc w:val="left"/>
        <w:rPr>
          <w:rFonts w:ascii="宋体" w:hAnsi="宋体" w:cs="宋体"/>
          <w:kern w:val="0"/>
          <w:sz w:val="24"/>
        </w:rPr>
      </w:pPr>
      <w:r>
        <w:rPr>
          <w:rFonts w:hint="eastAsia" w:ascii="宋体" w:hAnsi="宋体" w:cs="宋体"/>
          <w:kern w:val="0"/>
          <w:sz w:val="24"/>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1F25E622">
      <w:pPr>
        <w:spacing w:line="360" w:lineRule="auto"/>
        <w:ind w:firstLine="480" w:firstLineChars="200"/>
        <w:jc w:val="left"/>
        <w:rPr>
          <w:rFonts w:ascii="宋体" w:hAnsi="宋体" w:cs="宋体"/>
          <w:kern w:val="0"/>
          <w:sz w:val="24"/>
        </w:rPr>
      </w:pPr>
      <w:r>
        <w:rPr>
          <w:rFonts w:hint="eastAsia" w:ascii="宋体" w:hAnsi="宋体" w:cs="宋体"/>
          <w:kern w:val="0"/>
          <w:sz w:val="24"/>
        </w:rPr>
        <w:t>3.2监狱企业扶持政策：投标人如为监狱企业将视同为小型或微型企业，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72548F8F">
      <w:pPr>
        <w:spacing w:line="360" w:lineRule="auto"/>
        <w:ind w:firstLine="480" w:firstLineChars="200"/>
        <w:jc w:val="left"/>
        <w:rPr>
          <w:rFonts w:ascii="宋体" w:hAnsi="宋体" w:cs="宋体"/>
          <w:kern w:val="0"/>
          <w:sz w:val="24"/>
        </w:rPr>
      </w:pPr>
      <w:r>
        <w:rPr>
          <w:rFonts w:hint="eastAsia" w:ascii="宋体" w:hAnsi="宋体" w:cs="宋体"/>
          <w:kern w:val="0"/>
          <w:sz w:val="24"/>
        </w:rPr>
        <w:t>3.3促进残疾人就业政府采购政策：根据《三部门联合发布关于促进残疾人就业政府采购政策的通知》（财库〔2017〕141 号）规定，符合条件的残疾人福利性单位在参加本项目政府采购活动时，投标人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w:t>
      </w:r>
    </w:p>
    <w:p w14:paraId="61765CDD">
      <w:pPr>
        <w:spacing w:line="360" w:lineRule="auto"/>
        <w:ind w:firstLine="480" w:firstLineChars="200"/>
        <w:jc w:val="left"/>
        <w:rPr>
          <w:rFonts w:ascii="宋体" w:hAnsi="宋体" w:cs="宋体"/>
          <w:kern w:val="0"/>
          <w:sz w:val="24"/>
        </w:rPr>
      </w:pPr>
      <w:r>
        <w:rPr>
          <w:rFonts w:hint="eastAsia" w:ascii="宋体" w:hAnsi="宋体" w:cs="宋体"/>
          <w:kern w:val="0"/>
          <w:sz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7C93F4CC">
      <w:pPr>
        <w:spacing w:line="360" w:lineRule="auto"/>
        <w:ind w:firstLine="480" w:firstLineChars="200"/>
        <w:jc w:val="left"/>
        <w:rPr>
          <w:rFonts w:ascii="宋体" w:hAnsi="宋体" w:cs="宋体"/>
          <w:kern w:val="0"/>
          <w:sz w:val="24"/>
        </w:rPr>
      </w:pPr>
      <w:r>
        <w:rPr>
          <w:rFonts w:hint="eastAsia" w:ascii="宋体" w:hAnsi="宋体" w:cs="宋体"/>
          <w:kern w:val="0"/>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311A91C8">
      <w:pPr>
        <w:spacing w:line="360" w:lineRule="auto"/>
        <w:ind w:firstLine="480" w:firstLineChars="200"/>
        <w:jc w:val="left"/>
        <w:rPr>
          <w:rFonts w:ascii="宋体" w:hAnsi="宋体" w:cs="宋体"/>
          <w:kern w:val="0"/>
          <w:sz w:val="24"/>
        </w:rPr>
      </w:pPr>
      <w:r>
        <w:rPr>
          <w:rFonts w:hint="eastAsia" w:ascii="宋体" w:hAnsi="宋体" w:cs="宋体"/>
          <w:kern w:val="0"/>
          <w:sz w:val="24"/>
        </w:rPr>
        <w:t>3.6实施本国产品标准及相关政策：依据《国务院办公厅关于在政府采购中实施本国产品标准及相关政策的通知》（国办发〔2025〕34号）规定，本项目</w:t>
      </w:r>
      <w:r>
        <w:rPr>
          <w:rFonts w:hint="eastAsia" w:ascii="宋体" w:hAnsi="宋体"/>
          <w:sz w:val="24"/>
        </w:rPr>
        <w:t>既有本国产品又有非本国产品参与竞争的，如</w:t>
      </w:r>
      <w:r>
        <w:rPr>
          <w:rFonts w:hint="eastAsia" w:ascii="宋体" w:hAnsi="宋体" w:cs="宋体"/>
          <w:kern w:val="0"/>
          <w:sz w:val="24"/>
        </w:rPr>
        <w:t>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投标人应出具招标文件要求的证明材料给予证明，否则评标时不予认可。投标人应对提交的证明材料真实性负责，提交证明材料不真实的，应承担相应的法律责任。</w:t>
      </w:r>
    </w:p>
    <w:p w14:paraId="68C96F5B">
      <w:pPr>
        <w:spacing w:line="360" w:lineRule="auto"/>
        <w:ind w:firstLine="482" w:firstLineChars="200"/>
        <w:jc w:val="left"/>
        <w:outlineLvl w:val="1"/>
        <w:rPr>
          <w:rFonts w:ascii="宋体" w:hAnsi="宋体" w:cs="宋体"/>
          <w:sz w:val="24"/>
        </w:rPr>
      </w:pPr>
      <w:r>
        <w:rPr>
          <w:rFonts w:hint="eastAsia" w:ascii="宋体" w:hAnsi="宋体" w:cs="宋体"/>
          <w:b/>
          <w:bCs/>
          <w:sz w:val="24"/>
        </w:rPr>
        <w:t>（二）具体要求</w:t>
      </w:r>
    </w:p>
    <w:p w14:paraId="3BD36FF5">
      <w:pPr>
        <w:spacing w:line="360" w:lineRule="auto"/>
        <w:ind w:firstLine="480" w:firstLineChars="200"/>
        <w:rPr>
          <w:rFonts w:ascii="宋体" w:hAnsi="宋体" w:cs="宋体"/>
          <w:sz w:val="24"/>
        </w:rPr>
      </w:pPr>
      <w:r>
        <w:rPr>
          <w:rFonts w:hint="eastAsia" w:ascii="宋体" w:hAnsi="宋体" w:cs="宋体"/>
          <w:sz w:val="24"/>
        </w:rPr>
        <w:t>1.工作环境</w:t>
      </w:r>
    </w:p>
    <w:p w14:paraId="3D9367DB">
      <w:pPr>
        <w:spacing w:line="360" w:lineRule="auto"/>
        <w:ind w:firstLine="480" w:firstLineChars="200"/>
        <w:rPr>
          <w:rFonts w:ascii="宋体" w:hAnsi="宋体" w:cs="宋体"/>
          <w:sz w:val="24"/>
        </w:rPr>
      </w:pPr>
      <w:r>
        <w:rPr>
          <w:rFonts w:hint="eastAsia" w:ascii="宋体" w:hAnsi="宋体" w:cs="宋体"/>
          <w:sz w:val="24"/>
        </w:rPr>
        <w:t>1.1工作温度：18～40℃；</w:t>
      </w:r>
    </w:p>
    <w:p w14:paraId="3DFCC023">
      <w:pPr>
        <w:spacing w:line="360" w:lineRule="auto"/>
        <w:ind w:firstLine="480" w:firstLineChars="200"/>
        <w:rPr>
          <w:rFonts w:ascii="宋体" w:hAnsi="宋体" w:cs="宋体"/>
          <w:sz w:val="24"/>
        </w:rPr>
      </w:pPr>
      <w:r>
        <w:rPr>
          <w:rFonts w:hint="eastAsia" w:ascii="宋体" w:hAnsi="宋体" w:cs="宋体"/>
          <w:sz w:val="24"/>
        </w:rPr>
        <w:t>1.2工作和存储湿度：10%～85%；</w:t>
      </w:r>
    </w:p>
    <w:p w14:paraId="21620853">
      <w:pPr>
        <w:spacing w:line="360" w:lineRule="auto"/>
        <w:ind w:firstLine="480" w:firstLineChars="200"/>
        <w:rPr>
          <w:rFonts w:ascii="宋体" w:hAnsi="宋体" w:cs="宋体"/>
          <w:sz w:val="24"/>
        </w:rPr>
      </w:pPr>
      <w:r>
        <w:rPr>
          <w:rFonts w:hint="eastAsia" w:ascii="宋体" w:hAnsi="宋体" w:cs="宋体"/>
          <w:sz w:val="24"/>
        </w:rPr>
        <w:t>1.3工作电源：AC100～240V，50/60Hz。</w:t>
      </w:r>
    </w:p>
    <w:p w14:paraId="5C4F195F">
      <w:pPr>
        <w:spacing w:line="360" w:lineRule="auto"/>
        <w:ind w:firstLine="480" w:firstLineChars="200"/>
        <w:rPr>
          <w:rFonts w:ascii="宋体" w:hAnsi="宋体" w:cs="宋体"/>
          <w:sz w:val="24"/>
        </w:rPr>
      </w:pPr>
      <w:r>
        <w:rPr>
          <w:rFonts w:hint="eastAsia" w:ascii="宋体" w:hAnsi="宋体" w:cs="宋体"/>
          <w:sz w:val="24"/>
        </w:rPr>
        <w:t>2.基础性能</w:t>
      </w:r>
    </w:p>
    <w:p w14:paraId="41289D4D">
      <w:pPr>
        <w:spacing w:line="360" w:lineRule="auto"/>
        <w:ind w:firstLine="480" w:firstLineChars="200"/>
        <w:rPr>
          <w:rFonts w:ascii="宋体" w:hAnsi="宋体" w:cs="宋体"/>
          <w:sz w:val="24"/>
        </w:rPr>
      </w:pPr>
      <w:r>
        <w:rPr>
          <w:rFonts w:hint="eastAsia" w:ascii="宋体" w:hAnsi="宋体" w:cs="宋体"/>
          <w:sz w:val="24"/>
        </w:rPr>
        <w:t>2.1光路系统：兼具滤光片光路与四光栅光路。基于二向色镜的滤光片光路提供最快的检测速度和最优的检测性能；顶部、底部四光栅检测光路提供最为灵活的波长选择；</w:t>
      </w:r>
    </w:p>
    <w:p w14:paraId="1FB7D24D">
      <w:pPr>
        <w:spacing w:line="360" w:lineRule="auto"/>
        <w:ind w:firstLine="480" w:firstLineChars="200"/>
        <w:rPr>
          <w:rFonts w:ascii="宋体" w:hAnsi="宋体" w:cs="宋体"/>
          <w:sz w:val="24"/>
        </w:rPr>
      </w:pPr>
      <w:r>
        <w:rPr>
          <w:rFonts w:hint="eastAsia" w:ascii="宋体" w:hAnsi="宋体" w:cs="宋体"/>
          <w:sz w:val="24"/>
        </w:rPr>
        <w:t>2.2检测模式：荧光顶板及底部，时间分辨荧光（基于光栅和滤光片），荧光偏振，发光，紫外/可见吸收光；</w:t>
      </w:r>
    </w:p>
    <w:p w14:paraId="70763A30">
      <w:pPr>
        <w:spacing w:line="360" w:lineRule="auto"/>
        <w:ind w:firstLine="480" w:firstLineChars="200"/>
        <w:rPr>
          <w:rFonts w:ascii="宋体" w:hAnsi="宋体" w:cs="宋体"/>
          <w:sz w:val="24"/>
        </w:rPr>
      </w:pPr>
      <w:r>
        <w:rPr>
          <w:rFonts w:hint="eastAsia" w:ascii="宋体" w:hAnsi="宋体" w:cs="宋体"/>
          <w:sz w:val="24"/>
        </w:rPr>
        <w:t>2.3读板方法：终点法，动力学法，光谱扫描，孔域扫描；</w:t>
      </w:r>
    </w:p>
    <w:p w14:paraId="4AAB0A9F">
      <w:pPr>
        <w:spacing w:line="360" w:lineRule="auto"/>
        <w:ind w:firstLine="480" w:firstLineChars="200"/>
        <w:rPr>
          <w:rFonts w:ascii="宋体" w:hAnsi="宋体" w:cs="宋体"/>
          <w:sz w:val="24"/>
        </w:rPr>
      </w:pPr>
      <w:r>
        <w:rPr>
          <w:rFonts w:hint="eastAsia" w:ascii="宋体" w:hAnsi="宋体" w:cs="宋体"/>
          <w:sz w:val="24"/>
        </w:rPr>
        <w:t>2.4微孔板类型：1～384孔板，兼容微量检测板，可进行低至2µL样品的检测；</w:t>
      </w:r>
    </w:p>
    <w:p w14:paraId="6CDD8EA4">
      <w:pPr>
        <w:spacing w:line="360" w:lineRule="auto"/>
        <w:ind w:firstLine="480" w:firstLineChars="200"/>
        <w:rPr>
          <w:rFonts w:ascii="宋体" w:hAnsi="宋体" w:cs="宋体"/>
          <w:sz w:val="24"/>
        </w:rPr>
      </w:pPr>
      <w:r>
        <w:rPr>
          <w:rFonts w:hint="eastAsia" w:ascii="宋体" w:hAnsi="宋体" w:cs="宋体"/>
          <w:sz w:val="24"/>
        </w:rPr>
        <w:t>▲2.5温度控制：环境温度以上4℃至45℃，≤±0.5℃@37℃；</w:t>
      </w:r>
    </w:p>
    <w:p w14:paraId="62D2D5C2">
      <w:pPr>
        <w:spacing w:line="360" w:lineRule="auto"/>
        <w:ind w:firstLine="480" w:firstLineChars="200"/>
        <w:rPr>
          <w:rFonts w:ascii="宋体" w:hAnsi="宋体" w:cs="宋体"/>
          <w:sz w:val="24"/>
        </w:rPr>
      </w:pPr>
      <w:r>
        <w:rPr>
          <w:rFonts w:hint="eastAsia" w:ascii="宋体" w:hAnsi="宋体" w:cs="宋体"/>
          <w:sz w:val="24"/>
        </w:rPr>
        <w:t>2.6震荡：线性，轨道，双轨道；</w:t>
      </w:r>
    </w:p>
    <w:p w14:paraId="35638919">
      <w:pPr>
        <w:spacing w:line="360" w:lineRule="auto"/>
        <w:ind w:firstLine="480" w:firstLineChars="200"/>
        <w:rPr>
          <w:rFonts w:ascii="宋体" w:hAnsi="宋体" w:cs="宋体"/>
          <w:sz w:val="24"/>
        </w:rPr>
      </w:pPr>
      <w:r>
        <w:rPr>
          <w:rFonts w:hint="eastAsia" w:ascii="宋体" w:hAnsi="宋体" w:cs="宋体"/>
          <w:sz w:val="24"/>
        </w:rPr>
        <w:t>2.7检测高度：自动Z轴调整，0.1mm步进；</w:t>
      </w:r>
    </w:p>
    <w:p w14:paraId="66BF6DC1">
      <w:pPr>
        <w:spacing w:line="360" w:lineRule="auto"/>
        <w:ind w:firstLine="480" w:firstLineChars="200"/>
        <w:rPr>
          <w:rFonts w:ascii="宋体" w:hAnsi="宋体" w:cs="宋体"/>
          <w:sz w:val="24"/>
        </w:rPr>
      </w:pPr>
      <w:r>
        <w:rPr>
          <w:rFonts w:hint="eastAsia" w:ascii="宋体" w:hAnsi="宋体" w:cs="宋体"/>
          <w:sz w:val="24"/>
        </w:rPr>
        <w:t>▲2.8动力学速度：96孔≤13秒；384孔≤25秒；</w:t>
      </w:r>
    </w:p>
    <w:p w14:paraId="3FAE3828">
      <w:pPr>
        <w:spacing w:line="360" w:lineRule="auto"/>
        <w:ind w:firstLine="480" w:firstLineChars="200"/>
        <w:rPr>
          <w:rFonts w:ascii="宋体" w:hAnsi="宋体" w:cs="宋体"/>
          <w:sz w:val="24"/>
        </w:rPr>
      </w:pPr>
      <w:r>
        <w:rPr>
          <w:rFonts w:hint="eastAsia" w:ascii="宋体" w:hAnsi="宋体" w:cs="宋体"/>
          <w:sz w:val="24"/>
        </w:rPr>
        <w:t>2.9软件：配中文软件，通过USB接口实现仪器控制和数据分析；定量和定性分析，动力学分析，光谱分析，滴定，EC50，Z′因子计算，平行线分析，Levy-Jennings QC趋势。</w:t>
      </w:r>
    </w:p>
    <w:p w14:paraId="7F377171">
      <w:pPr>
        <w:spacing w:line="360" w:lineRule="auto"/>
        <w:ind w:firstLine="480" w:firstLineChars="200"/>
        <w:rPr>
          <w:rFonts w:ascii="宋体" w:hAnsi="宋体" w:cs="宋体"/>
          <w:sz w:val="24"/>
        </w:rPr>
      </w:pPr>
      <w:r>
        <w:rPr>
          <w:rFonts w:hint="eastAsia" w:ascii="宋体" w:hAnsi="宋体" w:cs="宋体"/>
          <w:sz w:val="24"/>
        </w:rPr>
        <w:t>3.吸收光</w:t>
      </w:r>
    </w:p>
    <w:p w14:paraId="2F542AD4">
      <w:pPr>
        <w:spacing w:line="360" w:lineRule="auto"/>
        <w:ind w:firstLine="480" w:firstLineChars="200"/>
        <w:rPr>
          <w:rFonts w:ascii="宋体" w:hAnsi="宋体" w:cs="宋体"/>
          <w:sz w:val="24"/>
        </w:rPr>
      </w:pPr>
      <w:r>
        <w:rPr>
          <w:rFonts w:hint="eastAsia" w:ascii="宋体" w:hAnsi="宋体" w:cs="宋体"/>
          <w:sz w:val="24"/>
        </w:rPr>
        <w:t>3.1光源：氙闪灯；</w:t>
      </w:r>
    </w:p>
    <w:p w14:paraId="1E4A3DFB">
      <w:pPr>
        <w:spacing w:line="360" w:lineRule="auto"/>
        <w:ind w:firstLine="480" w:firstLineChars="200"/>
        <w:rPr>
          <w:rFonts w:ascii="宋体" w:hAnsi="宋体" w:cs="宋体"/>
          <w:sz w:val="24"/>
        </w:rPr>
      </w:pPr>
      <w:r>
        <w:rPr>
          <w:rFonts w:hint="eastAsia" w:ascii="宋体" w:hAnsi="宋体" w:cs="宋体"/>
          <w:sz w:val="24"/>
        </w:rPr>
        <w:t>3.2波长选择：双光栅；</w:t>
      </w:r>
    </w:p>
    <w:p w14:paraId="53D32396">
      <w:pPr>
        <w:spacing w:line="360" w:lineRule="auto"/>
        <w:ind w:firstLine="480" w:firstLineChars="200"/>
        <w:rPr>
          <w:rFonts w:ascii="宋体" w:hAnsi="宋体" w:cs="宋体"/>
          <w:sz w:val="24"/>
        </w:rPr>
      </w:pPr>
      <w:r>
        <w:rPr>
          <w:rFonts w:hint="eastAsia" w:ascii="宋体" w:hAnsi="宋体" w:cs="宋体"/>
          <w:sz w:val="24"/>
        </w:rPr>
        <w:t>3.3波长范围：230～999nm，1nm步进；</w:t>
      </w:r>
    </w:p>
    <w:p w14:paraId="6E9C52B5">
      <w:pPr>
        <w:spacing w:line="360" w:lineRule="auto"/>
        <w:ind w:firstLine="480" w:firstLineChars="200"/>
        <w:rPr>
          <w:rFonts w:ascii="宋体" w:hAnsi="宋体" w:cs="宋体"/>
          <w:sz w:val="24"/>
        </w:rPr>
      </w:pPr>
      <w:r>
        <w:rPr>
          <w:rFonts w:hint="eastAsia" w:ascii="宋体" w:hAnsi="宋体" w:cs="宋体"/>
          <w:sz w:val="24"/>
        </w:rPr>
        <w:t>3.4动态范围：0～4.0 OD；</w:t>
      </w:r>
    </w:p>
    <w:p w14:paraId="0CFF33ED">
      <w:pPr>
        <w:spacing w:line="360" w:lineRule="auto"/>
        <w:ind w:firstLine="480" w:firstLineChars="200"/>
        <w:rPr>
          <w:rFonts w:ascii="宋体" w:hAnsi="宋体" w:cs="宋体"/>
          <w:sz w:val="24"/>
        </w:rPr>
      </w:pPr>
      <w:r>
        <w:rPr>
          <w:rFonts w:hint="eastAsia" w:ascii="宋体" w:hAnsi="宋体" w:cs="宋体"/>
          <w:sz w:val="24"/>
        </w:rPr>
        <w:t>3.5分辨率：0.0001 OD；</w:t>
      </w:r>
    </w:p>
    <w:p w14:paraId="35F4282B">
      <w:pPr>
        <w:spacing w:line="360" w:lineRule="auto"/>
        <w:ind w:firstLine="480" w:firstLineChars="200"/>
        <w:rPr>
          <w:rFonts w:ascii="宋体" w:hAnsi="宋体" w:cs="宋体"/>
          <w:sz w:val="24"/>
        </w:rPr>
      </w:pPr>
      <w:r>
        <w:rPr>
          <w:rFonts w:hint="eastAsia" w:ascii="宋体" w:hAnsi="宋体" w:cs="宋体"/>
          <w:sz w:val="24"/>
        </w:rPr>
        <w:t>3.6检测器：光电二极管；</w:t>
      </w:r>
    </w:p>
    <w:p w14:paraId="0272DDDE">
      <w:pPr>
        <w:spacing w:line="360" w:lineRule="auto"/>
        <w:ind w:firstLine="480" w:firstLineChars="200"/>
        <w:rPr>
          <w:rFonts w:ascii="宋体" w:hAnsi="宋体" w:cs="宋体"/>
          <w:sz w:val="24"/>
        </w:rPr>
      </w:pPr>
      <w:r>
        <w:rPr>
          <w:rFonts w:hint="eastAsia" w:ascii="宋体" w:hAnsi="宋体" w:cs="宋体"/>
          <w:sz w:val="24"/>
        </w:rPr>
        <w:t>3.7波长准确度±2nm；</w:t>
      </w:r>
    </w:p>
    <w:p w14:paraId="7D20BC84">
      <w:pPr>
        <w:spacing w:line="360" w:lineRule="auto"/>
        <w:ind w:firstLine="480" w:firstLineChars="200"/>
        <w:rPr>
          <w:rFonts w:ascii="宋体" w:hAnsi="宋体" w:cs="宋体"/>
          <w:sz w:val="24"/>
        </w:rPr>
      </w:pPr>
      <w:r>
        <w:rPr>
          <w:rFonts w:hint="eastAsia" w:ascii="宋体" w:hAnsi="宋体" w:cs="宋体"/>
          <w:sz w:val="24"/>
        </w:rPr>
        <w:t>3.8具备光程（光路径）校正功能，可将微孔板实测光密度换算为标准1cm光程吸光度，无须标准曲线即可准确定量，校正结果不随温度变化。</w:t>
      </w:r>
    </w:p>
    <w:p w14:paraId="4FCAA7ED">
      <w:pPr>
        <w:spacing w:line="360" w:lineRule="auto"/>
        <w:ind w:firstLine="480" w:firstLineChars="200"/>
        <w:rPr>
          <w:rFonts w:ascii="宋体" w:hAnsi="宋体" w:cs="宋体"/>
          <w:sz w:val="24"/>
        </w:rPr>
      </w:pPr>
      <w:r>
        <w:rPr>
          <w:rFonts w:hint="eastAsia" w:ascii="宋体" w:hAnsi="宋体" w:cs="宋体"/>
          <w:sz w:val="24"/>
        </w:rPr>
        <w:t>4.荧光强度</w:t>
      </w:r>
    </w:p>
    <w:p w14:paraId="6461885C">
      <w:pPr>
        <w:spacing w:line="360" w:lineRule="auto"/>
        <w:ind w:firstLine="480" w:firstLineChars="200"/>
        <w:rPr>
          <w:rFonts w:ascii="宋体" w:hAnsi="宋体" w:cs="宋体"/>
          <w:sz w:val="24"/>
        </w:rPr>
      </w:pPr>
      <w:r>
        <w:rPr>
          <w:rFonts w:hint="eastAsia" w:ascii="宋体" w:hAnsi="宋体" w:cs="宋体"/>
          <w:sz w:val="24"/>
        </w:rPr>
        <w:t>4.1灵敏度</w:t>
      </w:r>
    </w:p>
    <w:p w14:paraId="362E0D62">
      <w:pPr>
        <w:spacing w:line="360" w:lineRule="auto"/>
        <w:ind w:firstLine="480" w:firstLineChars="200"/>
        <w:rPr>
          <w:rFonts w:ascii="宋体" w:hAnsi="宋体" w:cs="宋体"/>
          <w:sz w:val="24"/>
        </w:rPr>
      </w:pPr>
      <w:r>
        <w:rPr>
          <w:rFonts w:hint="eastAsia" w:ascii="宋体" w:hAnsi="宋体" w:cs="宋体"/>
          <w:sz w:val="24"/>
        </w:rPr>
        <w:t>4.1.1滤光片模块-荧光素≤0.25pM（384孔板）顶部；</w:t>
      </w:r>
    </w:p>
    <w:p w14:paraId="11DB738A">
      <w:pPr>
        <w:spacing w:line="360" w:lineRule="auto"/>
        <w:ind w:firstLine="480" w:firstLineChars="200"/>
        <w:rPr>
          <w:rFonts w:ascii="宋体" w:hAnsi="宋体" w:cs="宋体"/>
          <w:sz w:val="24"/>
        </w:rPr>
      </w:pPr>
      <w:r>
        <w:rPr>
          <w:rFonts w:hint="eastAsia" w:ascii="宋体" w:hAnsi="宋体" w:cs="宋体"/>
          <w:sz w:val="24"/>
        </w:rPr>
        <w:t>4.1.2光栅-荧光素≤2.5pM（384孔板）-顶部；荧光素≤5pM（384孔板）-底部；</w:t>
      </w:r>
    </w:p>
    <w:p w14:paraId="61406B49">
      <w:pPr>
        <w:spacing w:line="360" w:lineRule="auto"/>
        <w:ind w:firstLine="480" w:firstLineChars="200"/>
        <w:rPr>
          <w:rFonts w:ascii="宋体" w:hAnsi="宋体" w:cs="宋体"/>
          <w:sz w:val="24"/>
        </w:rPr>
      </w:pPr>
      <w:r>
        <w:rPr>
          <w:rFonts w:hint="eastAsia" w:ascii="宋体" w:hAnsi="宋体" w:cs="宋体"/>
          <w:sz w:val="24"/>
        </w:rPr>
        <w:t>▲4.2光源：不少于2个高能氙闪灯；</w:t>
      </w:r>
    </w:p>
    <w:p w14:paraId="3C43F26D">
      <w:pPr>
        <w:spacing w:line="360" w:lineRule="auto"/>
        <w:ind w:firstLine="480" w:firstLineChars="200"/>
        <w:rPr>
          <w:rFonts w:ascii="宋体" w:hAnsi="宋体" w:cs="宋体"/>
          <w:sz w:val="24"/>
        </w:rPr>
      </w:pPr>
      <w:r>
        <w:rPr>
          <w:rFonts w:hint="eastAsia" w:ascii="宋体" w:hAnsi="宋体" w:cs="宋体"/>
          <w:sz w:val="24"/>
        </w:rPr>
        <w:t>4.3波长范围：光栅250～700nm；滤光片200～700nm</w:t>
      </w:r>
    </w:p>
    <w:p w14:paraId="43A76257">
      <w:pPr>
        <w:spacing w:line="360" w:lineRule="auto"/>
        <w:ind w:firstLine="480" w:firstLineChars="200"/>
        <w:rPr>
          <w:rFonts w:ascii="宋体" w:hAnsi="宋体" w:cs="宋体"/>
          <w:sz w:val="24"/>
        </w:rPr>
      </w:pPr>
      <w:r>
        <w:rPr>
          <w:rFonts w:hint="eastAsia" w:ascii="宋体" w:hAnsi="宋体" w:cs="宋体"/>
          <w:sz w:val="24"/>
        </w:rPr>
        <w:t>▲4.4检测系统：不少于两个PMT。</w:t>
      </w:r>
    </w:p>
    <w:p w14:paraId="260F77C6">
      <w:pPr>
        <w:spacing w:line="360" w:lineRule="auto"/>
        <w:ind w:firstLine="480" w:firstLineChars="200"/>
        <w:rPr>
          <w:rFonts w:ascii="宋体" w:hAnsi="宋体" w:cs="宋体"/>
          <w:sz w:val="24"/>
        </w:rPr>
      </w:pPr>
      <w:r>
        <w:rPr>
          <w:rFonts w:hint="eastAsia" w:ascii="宋体" w:hAnsi="宋体" w:cs="宋体"/>
          <w:sz w:val="24"/>
        </w:rPr>
        <w:t>4.5光栅带宽：固定16nm，波长以1nm步进连续可调。</w:t>
      </w:r>
    </w:p>
    <w:p w14:paraId="6C8BE28A">
      <w:pPr>
        <w:spacing w:line="360" w:lineRule="auto"/>
        <w:ind w:firstLine="480" w:firstLineChars="200"/>
        <w:rPr>
          <w:rFonts w:ascii="宋体" w:hAnsi="宋体" w:cs="宋体"/>
          <w:sz w:val="24"/>
        </w:rPr>
      </w:pPr>
      <w:r>
        <w:rPr>
          <w:rFonts w:hint="eastAsia" w:ascii="宋体" w:hAnsi="宋体" w:cs="宋体"/>
          <w:sz w:val="24"/>
        </w:rPr>
        <w:t>5.化学发光</w:t>
      </w:r>
    </w:p>
    <w:p w14:paraId="55D06F90">
      <w:pPr>
        <w:spacing w:line="360" w:lineRule="auto"/>
        <w:ind w:firstLine="480" w:firstLineChars="200"/>
        <w:rPr>
          <w:rFonts w:ascii="宋体" w:hAnsi="宋体" w:cs="宋体"/>
          <w:sz w:val="24"/>
        </w:rPr>
      </w:pPr>
      <w:r>
        <w:rPr>
          <w:rFonts w:hint="eastAsia" w:ascii="宋体" w:hAnsi="宋体" w:cs="宋体"/>
          <w:sz w:val="24"/>
        </w:rPr>
        <w:t>▲5.1灵敏度：≤10amol ATP（384孔板）；100amol ATP（辉光）；</w:t>
      </w:r>
    </w:p>
    <w:p w14:paraId="2AF30BB3">
      <w:pPr>
        <w:spacing w:line="360" w:lineRule="auto"/>
        <w:ind w:firstLine="480" w:firstLineChars="200"/>
        <w:rPr>
          <w:rFonts w:ascii="宋体" w:hAnsi="宋体" w:cs="宋体"/>
          <w:sz w:val="24"/>
        </w:rPr>
      </w:pPr>
      <w:r>
        <w:rPr>
          <w:rFonts w:hint="eastAsia" w:ascii="宋体" w:hAnsi="宋体" w:cs="宋体"/>
          <w:sz w:val="24"/>
        </w:rPr>
        <w:t>5.2波长范围：300～700nm；</w:t>
      </w:r>
    </w:p>
    <w:p w14:paraId="66383618">
      <w:pPr>
        <w:spacing w:line="360" w:lineRule="auto"/>
        <w:ind w:firstLine="480" w:firstLineChars="200"/>
        <w:rPr>
          <w:rFonts w:ascii="宋体" w:hAnsi="宋体" w:cs="宋体"/>
          <w:sz w:val="24"/>
        </w:rPr>
      </w:pPr>
      <w:r>
        <w:rPr>
          <w:rFonts w:hint="eastAsia" w:ascii="宋体" w:hAnsi="宋体" w:cs="宋体"/>
          <w:sz w:val="24"/>
        </w:rPr>
        <w:t>▲5.3发光扫描：可在300～700nm范围内进行发光扫描，1nm步进，绘制发光扫描图。</w:t>
      </w:r>
    </w:p>
    <w:p w14:paraId="47A3B848">
      <w:pPr>
        <w:spacing w:line="360" w:lineRule="auto"/>
        <w:ind w:firstLine="480" w:firstLineChars="200"/>
        <w:rPr>
          <w:rFonts w:ascii="宋体" w:hAnsi="宋体" w:cs="宋体"/>
          <w:sz w:val="24"/>
        </w:rPr>
      </w:pPr>
      <w:r>
        <w:rPr>
          <w:rFonts w:hint="eastAsia" w:ascii="宋体" w:hAnsi="宋体" w:cs="宋体"/>
          <w:sz w:val="24"/>
        </w:rPr>
        <w:t>5.4动态范围：≥6个数量级。</w:t>
      </w:r>
    </w:p>
    <w:p w14:paraId="7380F59E">
      <w:pPr>
        <w:spacing w:line="360" w:lineRule="auto"/>
        <w:ind w:firstLine="480" w:firstLineChars="200"/>
        <w:rPr>
          <w:rFonts w:ascii="宋体" w:hAnsi="宋体" w:cs="宋体"/>
          <w:sz w:val="24"/>
        </w:rPr>
      </w:pPr>
      <w:r>
        <w:rPr>
          <w:rFonts w:hint="eastAsia" w:ascii="宋体" w:hAnsi="宋体" w:cs="宋体"/>
          <w:sz w:val="24"/>
        </w:rPr>
        <w:t>6.时间分辨荧光</w:t>
      </w:r>
    </w:p>
    <w:p w14:paraId="5D57095B">
      <w:pPr>
        <w:spacing w:line="360" w:lineRule="auto"/>
        <w:ind w:firstLine="480" w:firstLineChars="200"/>
        <w:rPr>
          <w:rFonts w:ascii="宋体" w:hAnsi="宋体" w:cs="宋体"/>
          <w:sz w:val="24"/>
        </w:rPr>
      </w:pPr>
      <w:r>
        <w:rPr>
          <w:rFonts w:hint="eastAsia" w:ascii="宋体" w:hAnsi="宋体" w:cs="宋体"/>
          <w:sz w:val="24"/>
        </w:rPr>
        <w:t>6.1光源：氙闪灯；</w:t>
      </w:r>
    </w:p>
    <w:p w14:paraId="396E14E9">
      <w:pPr>
        <w:spacing w:line="360" w:lineRule="auto"/>
        <w:ind w:firstLine="480" w:firstLineChars="200"/>
        <w:rPr>
          <w:rFonts w:ascii="宋体" w:hAnsi="宋体" w:cs="宋体"/>
          <w:sz w:val="24"/>
        </w:rPr>
      </w:pPr>
      <w:r>
        <w:rPr>
          <w:rFonts w:hint="eastAsia" w:ascii="宋体" w:hAnsi="宋体" w:cs="宋体"/>
          <w:sz w:val="24"/>
        </w:rPr>
        <w:t>▲6.2灵敏度：铕（Eu）≤10amol/孔；</w:t>
      </w:r>
    </w:p>
    <w:p w14:paraId="566B2D9B">
      <w:pPr>
        <w:spacing w:line="360" w:lineRule="auto"/>
        <w:ind w:firstLine="480" w:firstLineChars="200"/>
        <w:rPr>
          <w:rFonts w:ascii="宋体" w:hAnsi="宋体" w:cs="宋体"/>
          <w:sz w:val="24"/>
        </w:rPr>
      </w:pPr>
      <w:r>
        <w:rPr>
          <w:rFonts w:hint="eastAsia" w:ascii="宋体" w:hAnsi="宋体" w:cs="宋体"/>
          <w:sz w:val="24"/>
        </w:rPr>
        <w:t>▲6.3波长选择：滤光片，光栅；</w:t>
      </w:r>
    </w:p>
    <w:p w14:paraId="29206D5F">
      <w:pPr>
        <w:spacing w:line="360" w:lineRule="auto"/>
        <w:ind w:firstLine="480" w:firstLineChars="200"/>
        <w:rPr>
          <w:rFonts w:ascii="宋体" w:hAnsi="宋体" w:cs="宋体"/>
          <w:sz w:val="24"/>
        </w:rPr>
      </w:pPr>
      <w:r>
        <w:rPr>
          <w:rFonts w:hint="eastAsia" w:ascii="宋体" w:hAnsi="宋体" w:cs="宋体"/>
          <w:sz w:val="24"/>
        </w:rPr>
        <w:t>6.4波长范围：200～700nm；</w:t>
      </w:r>
    </w:p>
    <w:p w14:paraId="7EC1F467">
      <w:pPr>
        <w:spacing w:line="360" w:lineRule="auto"/>
        <w:ind w:firstLine="480" w:firstLineChars="200"/>
        <w:rPr>
          <w:rFonts w:ascii="宋体" w:hAnsi="宋体" w:cs="宋体"/>
          <w:sz w:val="24"/>
        </w:rPr>
      </w:pPr>
      <w:r>
        <w:rPr>
          <w:rFonts w:hint="eastAsia" w:ascii="宋体" w:hAnsi="宋体" w:cs="宋体"/>
          <w:sz w:val="24"/>
        </w:rPr>
        <w:t>6.5支持TRF、TR-FRET检测；</w:t>
      </w:r>
    </w:p>
    <w:p w14:paraId="727E044F">
      <w:pPr>
        <w:spacing w:line="360" w:lineRule="auto"/>
        <w:ind w:firstLine="480" w:firstLineChars="200"/>
        <w:rPr>
          <w:rFonts w:ascii="宋体" w:hAnsi="宋体" w:cs="宋体"/>
          <w:sz w:val="24"/>
        </w:rPr>
      </w:pPr>
      <w:r>
        <w:rPr>
          <w:rFonts w:hint="eastAsia" w:ascii="宋体" w:hAnsi="宋体" w:cs="宋体"/>
          <w:sz w:val="24"/>
        </w:rPr>
        <w:t>6.6 滤光片模块：激发EX330/80nm，发射EM1620/10nm，发射EM2665/8nm，二向色镜DM365nm。</w:t>
      </w:r>
    </w:p>
    <w:p w14:paraId="4F5F48E1">
      <w:pPr>
        <w:spacing w:line="360" w:lineRule="auto"/>
        <w:ind w:firstLine="480" w:firstLineChars="200"/>
        <w:rPr>
          <w:rFonts w:ascii="宋体" w:hAnsi="宋体" w:cs="宋体"/>
          <w:sz w:val="24"/>
        </w:rPr>
      </w:pPr>
      <w:r>
        <w:rPr>
          <w:rFonts w:hint="eastAsia" w:ascii="宋体" w:hAnsi="宋体" w:cs="宋体"/>
          <w:sz w:val="24"/>
        </w:rPr>
        <w:t>7.超微量检测</w:t>
      </w:r>
    </w:p>
    <w:p w14:paraId="514A33E3">
      <w:pPr>
        <w:spacing w:line="360" w:lineRule="auto"/>
        <w:ind w:firstLine="480" w:firstLineChars="200"/>
        <w:rPr>
          <w:rFonts w:ascii="宋体" w:hAnsi="宋体" w:cs="宋体"/>
          <w:sz w:val="24"/>
        </w:rPr>
      </w:pPr>
      <w:r>
        <w:rPr>
          <w:rFonts w:hint="eastAsia" w:ascii="宋体" w:hAnsi="宋体" w:cs="宋体"/>
          <w:sz w:val="24"/>
        </w:rPr>
        <w:t>▲7.1配超微量核酸蛋白定量板，含16个超微量检测通道（点），最低上样体积2µL；</w:t>
      </w:r>
    </w:p>
    <w:p w14:paraId="0D709C9D">
      <w:pPr>
        <w:spacing w:line="360" w:lineRule="auto"/>
        <w:ind w:firstLine="480" w:firstLineChars="200"/>
        <w:rPr>
          <w:rFonts w:ascii="宋体" w:hAnsi="宋体" w:cs="宋体"/>
          <w:sz w:val="24"/>
        </w:rPr>
      </w:pPr>
      <w:r>
        <w:rPr>
          <w:rFonts w:hint="eastAsia" w:ascii="宋体" w:hAnsi="宋体" w:cs="宋体"/>
          <w:sz w:val="24"/>
        </w:rPr>
        <w:t>7.2用于DNA/RNA、蛋白的超微量快速定量与纯度检测（260/280nm）；</w:t>
      </w:r>
    </w:p>
    <w:p w14:paraId="1A9C6EB4">
      <w:pPr>
        <w:spacing w:line="360" w:lineRule="auto"/>
        <w:ind w:firstLine="480" w:firstLineChars="200"/>
        <w:rPr>
          <w:rFonts w:ascii="宋体" w:hAnsi="宋体" w:cs="宋体"/>
          <w:sz w:val="24"/>
        </w:rPr>
      </w:pPr>
      <w:r>
        <w:rPr>
          <w:rFonts w:hint="eastAsia" w:ascii="宋体" w:hAnsi="宋体" w:cs="宋体"/>
          <w:sz w:val="24"/>
        </w:rPr>
        <w:t>7.3</w:t>
      </w:r>
      <w:r>
        <w:rPr>
          <w:rFonts w:ascii="宋体" w:hAnsi="宋体" w:cs="宋体"/>
          <w:sz w:val="24"/>
        </w:rPr>
        <w:t>最多可增设</w:t>
      </w:r>
      <w:r>
        <w:rPr>
          <w:rFonts w:hint="eastAsia" w:ascii="宋体" w:hAnsi="宋体" w:cs="宋体"/>
          <w:sz w:val="24"/>
        </w:rPr>
        <w:t>2</w:t>
      </w:r>
      <w:r>
        <w:rPr>
          <w:rFonts w:ascii="宋体" w:hAnsi="宋体" w:cs="宋体"/>
          <w:sz w:val="24"/>
        </w:rPr>
        <w:t>个独立比色杯检测位</w:t>
      </w:r>
      <w:r>
        <w:rPr>
          <w:rFonts w:hint="eastAsia" w:ascii="宋体" w:hAnsi="宋体" w:cs="宋体"/>
          <w:sz w:val="24"/>
        </w:rPr>
        <w:t>和1个标准带塞比色皿；</w:t>
      </w:r>
    </w:p>
    <w:p w14:paraId="3962C083">
      <w:pPr>
        <w:spacing w:line="360" w:lineRule="auto"/>
        <w:ind w:firstLine="480" w:firstLineChars="200"/>
        <w:rPr>
          <w:rFonts w:ascii="宋体" w:hAnsi="宋体" w:cs="宋体"/>
          <w:sz w:val="24"/>
        </w:rPr>
      </w:pPr>
      <w:r>
        <w:rPr>
          <w:rFonts w:hint="eastAsia" w:ascii="宋体" w:hAnsi="宋体" w:cs="宋体"/>
          <w:sz w:val="24"/>
        </w:rPr>
        <w:t>7.4</w:t>
      </w:r>
      <w:r>
        <w:rPr>
          <w:rFonts w:ascii="宋体" w:hAnsi="宋体" w:cs="宋体"/>
          <w:sz w:val="24"/>
        </w:rPr>
        <w:t>配套分析软件具备超微量样品检测专用分析模块</w:t>
      </w:r>
      <w:r>
        <w:rPr>
          <w:rFonts w:hint="eastAsia" w:ascii="宋体" w:hAnsi="宋体" w:cs="宋体"/>
          <w:sz w:val="24"/>
        </w:rPr>
        <w:t>。</w:t>
      </w:r>
    </w:p>
    <w:p w14:paraId="3D07D815">
      <w:pPr>
        <w:spacing w:line="360" w:lineRule="auto"/>
        <w:ind w:firstLine="480" w:firstLineChars="200"/>
        <w:rPr>
          <w:rFonts w:ascii="宋体" w:hAnsi="宋体" w:cs="宋体"/>
          <w:sz w:val="24"/>
        </w:rPr>
      </w:pPr>
      <w:r>
        <w:rPr>
          <w:rFonts w:hint="eastAsia" w:ascii="宋体" w:hAnsi="宋体" w:cs="宋体"/>
          <w:sz w:val="24"/>
        </w:rPr>
        <w:t>8.双试剂自动进样器</w:t>
      </w:r>
    </w:p>
    <w:p w14:paraId="782FCD3C">
      <w:pPr>
        <w:spacing w:line="360" w:lineRule="auto"/>
        <w:ind w:firstLine="480" w:firstLineChars="200"/>
        <w:rPr>
          <w:rFonts w:ascii="宋体" w:hAnsi="宋体" w:cs="宋体"/>
          <w:sz w:val="24"/>
        </w:rPr>
      </w:pPr>
      <w:r>
        <w:rPr>
          <w:rFonts w:hint="eastAsia" w:ascii="宋体" w:hAnsi="宋体" w:cs="宋体"/>
          <w:sz w:val="24"/>
        </w:rPr>
        <w:t>8.1配置双自动进样器分液器设计：外挂式分液器设计，即插即用，实现加样-读数自动化检测；</w:t>
      </w:r>
    </w:p>
    <w:p w14:paraId="29ED8930">
      <w:pPr>
        <w:spacing w:line="360" w:lineRule="auto"/>
        <w:ind w:firstLine="480" w:firstLineChars="200"/>
        <w:rPr>
          <w:rFonts w:ascii="宋体" w:hAnsi="宋体" w:cs="宋体"/>
          <w:sz w:val="24"/>
        </w:rPr>
      </w:pPr>
      <w:r>
        <w:rPr>
          <w:rFonts w:hint="eastAsia" w:ascii="宋体" w:hAnsi="宋体" w:cs="宋体"/>
          <w:sz w:val="24"/>
        </w:rPr>
        <w:t>8.2加样体积：5～1000μL，1μL步进；加样准确度±1μL或2%；</w:t>
      </w:r>
    </w:p>
    <w:p w14:paraId="281FCAE4">
      <w:pPr>
        <w:spacing w:line="360" w:lineRule="auto"/>
        <w:ind w:firstLine="480" w:firstLineChars="200"/>
        <w:rPr>
          <w:rFonts w:ascii="宋体" w:hAnsi="宋体" w:cs="宋体"/>
          <w:sz w:val="24"/>
        </w:rPr>
      </w:pPr>
      <w:r>
        <w:rPr>
          <w:rFonts w:hint="eastAsia" w:ascii="宋体" w:hAnsi="宋体" w:cs="宋体"/>
          <w:sz w:val="24"/>
        </w:rPr>
        <w:t>8.3死体积：≤100μL</w:t>
      </w:r>
    </w:p>
    <w:p w14:paraId="687AE5DA">
      <w:pPr>
        <w:spacing w:line="360" w:lineRule="auto"/>
        <w:ind w:firstLine="480" w:firstLineChars="200"/>
        <w:rPr>
          <w:rFonts w:ascii="宋体" w:hAnsi="宋体" w:cs="宋体"/>
          <w:sz w:val="24"/>
        </w:rPr>
      </w:pPr>
      <w:r>
        <w:rPr>
          <w:rFonts w:hint="eastAsia" w:ascii="宋体" w:hAnsi="宋体" w:cs="宋体"/>
          <w:sz w:val="24"/>
        </w:rPr>
        <w:t>▲8.4分液器数目：2个分液器，仪器标识分液器位置，加样速度4档可调，包括直角加液头；</w:t>
      </w:r>
    </w:p>
    <w:p w14:paraId="17DB3CB6">
      <w:pPr>
        <w:spacing w:line="360" w:lineRule="auto"/>
        <w:ind w:firstLine="480" w:firstLineChars="200"/>
        <w:rPr>
          <w:rFonts w:ascii="宋体" w:hAnsi="宋体" w:cs="宋体"/>
          <w:sz w:val="24"/>
        </w:rPr>
      </w:pPr>
      <w:r>
        <w:rPr>
          <w:rFonts w:hint="eastAsia" w:ascii="宋体" w:hAnsi="宋体" w:cs="宋体"/>
          <w:sz w:val="24"/>
        </w:rPr>
        <w:t>8.5适用于离子通道检测、闪光发光（荧光素酶/ATP）等快速动力学实验；</w:t>
      </w:r>
    </w:p>
    <w:p w14:paraId="4C09DE59">
      <w:pPr>
        <w:spacing w:line="360" w:lineRule="auto"/>
        <w:ind w:firstLine="480" w:firstLineChars="200"/>
        <w:rPr>
          <w:rFonts w:ascii="宋体" w:hAnsi="宋体" w:cs="宋体"/>
          <w:sz w:val="24"/>
        </w:rPr>
      </w:pPr>
      <w:r>
        <w:rPr>
          <w:rFonts w:hint="eastAsia" w:ascii="宋体" w:hAnsi="宋体" w:cs="宋体"/>
          <w:sz w:val="24"/>
        </w:rPr>
        <w:t>9.配置清单</w:t>
      </w:r>
    </w:p>
    <w:p w14:paraId="287558FC">
      <w:pPr>
        <w:spacing w:line="360" w:lineRule="auto"/>
        <w:ind w:firstLine="480" w:firstLineChars="200"/>
        <w:rPr>
          <w:rFonts w:ascii="宋体" w:hAnsi="宋体" w:cs="宋体"/>
          <w:sz w:val="24"/>
        </w:rPr>
      </w:pPr>
      <w:r>
        <w:rPr>
          <w:rFonts w:hint="eastAsia" w:ascii="宋体" w:hAnsi="宋体" w:cs="宋体"/>
          <w:sz w:val="24"/>
        </w:rPr>
        <w:t>9.1主机：1台</w:t>
      </w:r>
    </w:p>
    <w:p w14:paraId="24202386">
      <w:pPr>
        <w:spacing w:line="360" w:lineRule="auto"/>
        <w:ind w:firstLine="480" w:firstLineChars="200"/>
        <w:rPr>
          <w:rFonts w:ascii="宋体" w:hAnsi="宋体" w:cs="宋体"/>
          <w:sz w:val="24"/>
        </w:rPr>
      </w:pPr>
      <w:r>
        <w:rPr>
          <w:rFonts w:hint="eastAsia" w:ascii="宋体" w:hAnsi="宋体" w:cs="宋体"/>
          <w:sz w:val="24"/>
        </w:rPr>
        <w:t>9.2滤光片模块：1个</w:t>
      </w:r>
    </w:p>
    <w:p w14:paraId="070536B2">
      <w:pPr>
        <w:spacing w:line="360" w:lineRule="auto"/>
        <w:ind w:firstLine="480" w:firstLineChars="200"/>
        <w:rPr>
          <w:rFonts w:ascii="宋体" w:hAnsi="宋体" w:cs="宋体"/>
          <w:sz w:val="24"/>
        </w:rPr>
      </w:pPr>
      <w:r>
        <w:rPr>
          <w:rFonts w:hint="eastAsia" w:ascii="宋体" w:hAnsi="宋体" w:cs="宋体"/>
          <w:sz w:val="24"/>
        </w:rPr>
        <w:t>9.3软件：1套</w:t>
      </w:r>
    </w:p>
    <w:p w14:paraId="62EA8D1C">
      <w:pPr>
        <w:spacing w:line="360" w:lineRule="auto"/>
        <w:ind w:firstLine="480" w:firstLineChars="200"/>
        <w:rPr>
          <w:rFonts w:ascii="宋体" w:hAnsi="宋体" w:cs="宋体"/>
          <w:sz w:val="24"/>
        </w:rPr>
      </w:pPr>
      <w:r>
        <w:rPr>
          <w:rFonts w:hint="eastAsia" w:ascii="宋体" w:hAnsi="宋体" w:cs="宋体"/>
          <w:sz w:val="24"/>
        </w:rPr>
        <w:t>9.4工作站：1台</w:t>
      </w:r>
    </w:p>
    <w:p w14:paraId="22738577">
      <w:pPr>
        <w:spacing w:line="360" w:lineRule="auto"/>
        <w:ind w:firstLine="480" w:firstLineChars="200"/>
        <w:rPr>
          <w:rFonts w:ascii="宋体" w:hAnsi="宋体" w:cs="宋体"/>
          <w:sz w:val="24"/>
        </w:rPr>
      </w:pPr>
      <w:r>
        <w:rPr>
          <w:rFonts w:hint="eastAsia" w:ascii="宋体" w:hAnsi="宋体" w:cs="宋体"/>
          <w:sz w:val="24"/>
        </w:rPr>
        <w:t>9.5超微量核酸蛋白定量板：1个</w:t>
      </w:r>
    </w:p>
    <w:p w14:paraId="2B3A67C9">
      <w:pPr>
        <w:spacing w:line="360" w:lineRule="auto"/>
        <w:ind w:firstLine="480" w:firstLineChars="200"/>
        <w:rPr>
          <w:rFonts w:ascii="宋体" w:hAnsi="宋体" w:cs="宋体"/>
          <w:sz w:val="24"/>
        </w:rPr>
      </w:pPr>
      <w:r>
        <w:rPr>
          <w:rFonts w:hint="eastAsia" w:ascii="宋体" w:hAnsi="宋体" w:cs="宋体"/>
          <w:sz w:val="24"/>
        </w:rPr>
        <w:t>9.6自动进样器：1个</w:t>
      </w:r>
    </w:p>
    <w:p w14:paraId="1A2CE891">
      <w:pPr>
        <w:spacing w:line="360" w:lineRule="auto"/>
        <w:ind w:firstLine="480" w:firstLineChars="200"/>
        <w:rPr>
          <w:rFonts w:ascii="宋体" w:hAnsi="宋体" w:cs="宋体"/>
          <w:sz w:val="24"/>
        </w:rPr>
      </w:pPr>
      <w:r>
        <w:rPr>
          <w:rFonts w:hint="eastAsia" w:ascii="宋体" w:hAnsi="宋体" w:cs="宋体"/>
          <w:sz w:val="24"/>
        </w:rPr>
        <w:t>9.7自动进样器配件：1个</w:t>
      </w:r>
    </w:p>
    <w:p w14:paraId="47395B7D">
      <w:pPr>
        <w:widowControl/>
        <w:spacing w:line="360" w:lineRule="auto"/>
        <w:ind w:firstLine="482" w:firstLineChars="200"/>
        <w:contextualSpacing/>
        <w:jc w:val="left"/>
        <w:outlineLvl w:val="1"/>
        <w:rPr>
          <w:rFonts w:ascii="宋体" w:hAnsi="宋体" w:cs="宋体"/>
          <w:b/>
          <w:bCs/>
          <w:sz w:val="24"/>
        </w:rPr>
      </w:pPr>
      <w:r>
        <w:rPr>
          <w:rFonts w:hint="eastAsia" w:ascii="宋体" w:hAnsi="宋体" w:cs="宋体"/>
          <w:b/>
          <w:bCs/>
          <w:sz w:val="24"/>
        </w:rPr>
        <w:t>（三）其他要求</w:t>
      </w:r>
    </w:p>
    <w:p w14:paraId="54AE6A10">
      <w:pPr>
        <w:spacing w:line="360" w:lineRule="auto"/>
        <w:ind w:firstLine="480" w:firstLineChars="200"/>
        <w:contextualSpacing/>
        <w:rPr>
          <w:rFonts w:ascii="宋体" w:hAnsi="宋体"/>
          <w:sz w:val="24"/>
        </w:rPr>
      </w:pPr>
      <w:r>
        <w:rPr>
          <w:rFonts w:hint="eastAsia" w:ascii="宋体" w:hAnsi="宋体"/>
          <w:sz w:val="24"/>
        </w:rPr>
        <w:t>1.供应商必须提供专业的安装服务，并确保设备投入运行符合所有功能要求。</w:t>
      </w:r>
    </w:p>
    <w:p w14:paraId="13461B3F">
      <w:pPr>
        <w:spacing w:line="360" w:lineRule="auto"/>
        <w:ind w:firstLine="480" w:firstLineChars="200"/>
        <w:contextualSpacing/>
        <w:rPr>
          <w:rFonts w:ascii="宋体" w:hAnsi="宋体"/>
          <w:sz w:val="24"/>
        </w:rPr>
      </w:pPr>
      <w:r>
        <w:rPr>
          <w:rFonts w:hint="eastAsia" w:ascii="宋体" w:hAnsi="宋体"/>
          <w:sz w:val="24"/>
        </w:rPr>
        <w:t>2.培训：免费提供设备到达现场后的安装调试，应用培训，直至操作人员掌握为止。培训讲师师资力量构成，为技术专业人员，要求提供具体学历资质证书。</w:t>
      </w:r>
    </w:p>
    <w:p w14:paraId="35F36963">
      <w:pPr>
        <w:spacing w:line="360" w:lineRule="auto"/>
        <w:ind w:firstLine="480" w:firstLineChars="200"/>
        <w:contextualSpacing/>
        <w:rPr>
          <w:rFonts w:ascii="宋体" w:hAnsi="宋体"/>
          <w:sz w:val="24"/>
        </w:rPr>
      </w:pPr>
      <w:r>
        <w:rPr>
          <w:rFonts w:hint="eastAsia" w:ascii="宋体" w:hAnsi="宋体"/>
          <w:sz w:val="24"/>
        </w:rPr>
        <w:t>3.提供操作使用培训，提供完整的操作手册。</w:t>
      </w:r>
    </w:p>
    <w:p w14:paraId="75A53099">
      <w:pPr>
        <w:spacing w:line="360" w:lineRule="auto"/>
        <w:ind w:firstLine="480" w:firstLineChars="200"/>
        <w:contextualSpacing/>
        <w:rPr>
          <w:rFonts w:ascii="宋体" w:hAnsi="宋体"/>
          <w:sz w:val="24"/>
        </w:rPr>
      </w:pPr>
      <w:r>
        <w:rPr>
          <w:rFonts w:hint="eastAsia" w:ascii="宋体" w:hAnsi="宋体"/>
          <w:sz w:val="24"/>
        </w:rPr>
        <w:t>4.技术支持：免费提供设备使用手册、培训教材、应用资料等；长期提供技术服务支持。</w:t>
      </w:r>
    </w:p>
    <w:p w14:paraId="1BA84219">
      <w:pPr>
        <w:spacing w:line="360" w:lineRule="auto"/>
        <w:ind w:firstLine="480" w:firstLineChars="200"/>
        <w:contextualSpacing/>
        <w:rPr>
          <w:rFonts w:ascii="宋体" w:hAnsi="宋体"/>
          <w:sz w:val="24"/>
        </w:rPr>
      </w:pPr>
      <w:r>
        <w:rPr>
          <w:rFonts w:hint="eastAsia" w:ascii="宋体" w:hAnsi="宋体"/>
          <w:sz w:val="24"/>
        </w:rPr>
        <w:t>5.维修要求：在设备整个使用期内，卖方应确保设备的正常使用。在接到用户维修要求后须在2小时内作出回应，并在48小时内派员到达买方现场实施维修。</w:t>
      </w:r>
    </w:p>
    <w:p w14:paraId="02016B3F">
      <w:pPr>
        <w:spacing w:line="360" w:lineRule="auto"/>
        <w:ind w:firstLine="480" w:firstLineChars="200"/>
        <w:contextualSpacing/>
        <w:rPr>
          <w:rFonts w:ascii="宋体" w:hAnsi="宋体"/>
          <w:sz w:val="24"/>
        </w:rPr>
      </w:pPr>
      <w:r>
        <w:rPr>
          <w:rFonts w:hint="eastAsia" w:ascii="宋体" w:hAnsi="宋体"/>
          <w:sz w:val="24"/>
        </w:rPr>
        <w:t>6.出保后软件终身免费升级，硬件老化更换只收取配件成本费用不收人工费。</w:t>
      </w:r>
    </w:p>
    <w:p w14:paraId="338740DF">
      <w:pPr>
        <w:pStyle w:val="2"/>
        <w:spacing w:line="360" w:lineRule="auto"/>
        <w:ind w:firstLine="480" w:firstLineChars="200"/>
        <w:rPr>
          <w:rFonts w:hAnsi="宋体" w:cs="宋体"/>
          <w:bCs/>
        </w:rPr>
      </w:pPr>
      <w:r>
        <w:rPr>
          <w:rFonts w:hint="eastAsia" w:hAnsi="宋体" w:cs="宋体"/>
          <w:bCs/>
        </w:rPr>
        <w:t>7.验收：产品到货后，采购人使用单位进行开箱检查，对于出现的产品损坏、数量不全、产品不符等问题时，采购人有权要求中标供应商退货、更换货物、补充货物。按合同文件的技术指标对产品的性能、配置进行选择性测试检查。</w:t>
      </w:r>
    </w:p>
    <w:p w14:paraId="7855E7EE">
      <w:pPr>
        <w:widowControl/>
        <w:spacing w:line="360" w:lineRule="auto"/>
        <w:ind w:firstLine="480" w:firstLineChars="200"/>
        <w:contextualSpacing/>
        <w:jc w:val="left"/>
        <w:rPr>
          <w:rFonts w:ascii="宋体" w:hAnsi="宋体"/>
          <w:sz w:val="24"/>
        </w:rPr>
      </w:pPr>
      <w:r>
        <w:rPr>
          <w:rFonts w:hint="eastAsia" w:ascii="宋体" w:hAnsi="宋体"/>
          <w:sz w:val="24"/>
        </w:rPr>
        <w:t>8.投标人应在投标文件中提供：</w:t>
      </w:r>
    </w:p>
    <w:p w14:paraId="48C6CBDE">
      <w:pPr>
        <w:widowControl/>
        <w:spacing w:line="360" w:lineRule="auto"/>
        <w:ind w:firstLine="480" w:firstLineChars="200"/>
        <w:contextualSpacing/>
        <w:jc w:val="left"/>
        <w:rPr>
          <w:rFonts w:ascii="宋体" w:hAnsi="宋体"/>
          <w:sz w:val="24"/>
        </w:rPr>
      </w:pPr>
      <w:r>
        <w:rPr>
          <w:rFonts w:hint="eastAsia" w:ascii="宋体" w:hAnsi="宋体"/>
          <w:sz w:val="24"/>
        </w:rPr>
        <w:t>8.1供货、安装、验收方案，内容包括但不限于：</w:t>
      </w:r>
    </w:p>
    <w:p w14:paraId="2A712C70">
      <w:pPr>
        <w:widowControl/>
        <w:spacing w:line="360" w:lineRule="auto"/>
        <w:ind w:firstLine="480" w:firstLineChars="200"/>
        <w:contextualSpacing/>
        <w:jc w:val="left"/>
        <w:rPr>
          <w:rFonts w:ascii="宋体" w:hAnsi="宋体"/>
          <w:sz w:val="24"/>
        </w:rPr>
      </w:pPr>
      <w:r>
        <w:rPr>
          <w:rFonts w:hint="eastAsia" w:ascii="宋体" w:hAnsi="宋体"/>
          <w:sz w:val="24"/>
        </w:rPr>
        <w:t>8.1.1供货保障方案；</w:t>
      </w:r>
    </w:p>
    <w:p w14:paraId="4A69025C">
      <w:pPr>
        <w:widowControl/>
        <w:spacing w:line="360" w:lineRule="auto"/>
        <w:ind w:firstLine="480" w:firstLineChars="200"/>
        <w:contextualSpacing/>
        <w:jc w:val="left"/>
        <w:rPr>
          <w:rFonts w:ascii="宋体" w:hAnsi="宋体"/>
          <w:sz w:val="24"/>
        </w:rPr>
      </w:pPr>
      <w:r>
        <w:rPr>
          <w:rFonts w:hint="eastAsia" w:ascii="宋体" w:hAnsi="宋体"/>
          <w:sz w:val="24"/>
        </w:rPr>
        <w:t>8.1.2安装实施方案；</w:t>
      </w:r>
    </w:p>
    <w:p w14:paraId="2065016F">
      <w:pPr>
        <w:widowControl/>
        <w:spacing w:line="360" w:lineRule="auto"/>
        <w:ind w:firstLine="480" w:firstLineChars="200"/>
        <w:contextualSpacing/>
        <w:jc w:val="left"/>
        <w:rPr>
          <w:rFonts w:ascii="宋体" w:hAnsi="宋体"/>
          <w:sz w:val="24"/>
        </w:rPr>
      </w:pPr>
      <w:r>
        <w:rPr>
          <w:rFonts w:hint="eastAsia" w:ascii="宋体" w:hAnsi="宋体"/>
          <w:sz w:val="24"/>
        </w:rPr>
        <w:t>8.1.3验收标准与流程方案；</w:t>
      </w:r>
    </w:p>
    <w:p w14:paraId="0C433585">
      <w:pPr>
        <w:widowControl/>
        <w:spacing w:line="360" w:lineRule="auto"/>
        <w:ind w:firstLine="480" w:firstLineChars="200"/>
        <w:contextualSpacing/>
        <w:jc w:val="left"/>
        <w:rPr>
          <w:rFonts w:ascii="宋体" w:hAnsi="宋体"/>
          <w:sz w:val="24"/>
        </w:rPr>
      </w:pPr>
      <w:r>
        <w:rPr>
          <w:rFonts w:hint="eastAsia" w:ascii="宋体" w:hAnsi="宋体"/>
          <w:sz w:val="24"/>
        </w:rPr>
        <w:t>8.1.4项目进度保障措施。</w:t>
      </w:r>
    </w:p>
    <w:p w14:paraId="2B1E74A8">
      <w:pPr>
        <w:widowControl/>
        <w:spacing w:line="360" w:lineRule="auto"/>
        <w:ind w:firstLine="480" w:firstLineChars="200"/>
        <w:contextualSpacing/>
        <w:jc w:val="left"/>
        <w:rPr>
          <w:rFonts w:ascii="宋体" w:hAnsi="宋体"/>
          <w:sz w:val="24"/>
        </w:rPr>
      </w:pPr>
      <w:r>
        <w:rPr>
          <w:rFonts w:hint="eastAsia" w:ascii="宋体" w:hAnsi="宋体"/>
          <w:sz w:val="24"/>
        </w:rPr>
        <w:t>8.2售后服务方案：内容包括但不限于：</w:t>
      </w:r>
    </w:p>
    <w:p w14:paraId="50B0AA09">
      <w:pPr>
        <w:widowControl/>
        <w:spacing w:line="360" w:lineRule="auto"/>
        <w:ind w:firstLine="480" w:firstLineChars="200"/>
        <w:contextualSpacing/>
        <w:jc w:val="left"/>
        <w:rPr>
          <w:rFonts w:ascii="宋体" w:hAnsi="宋体"/>
          <w:sz w:val="24"/>
        </w:rPr>
      </w:pPr>
      <w:r>
        <w:rPr>
          <w:rFonts w:hint="eastAsia" w:ascii="宋体" w:hAnsi="宋体"/>
          <w:sz w:val="24"/>
        </w:rPr>
        <w:t>8.2.1售后服务承诺（售后响应及处理周期等）及保障措施；</w:t>
      </w:r>
    </w:p>
    <w:p w14:paraId="54FF2B2A">
      <w:pPr>
        <w:widowControl/>
        <w:spacing w:line="360" w:lineRule="auto"/>
        <w:ind w:firstLine="480" w:firstLineChars="200"/>
        <w:contextualSpacing/>
        <w:jc w:val="left"/>
        <w:rPr>
          <w:rFonts w:ascii="宋体" w:hAnsi="宋体"/>
          <w:sz w:val="24"/>
        </w:rPr>
      </w:pPr>
      <w:r>
        <w:rPr>
          <w:rFonts w:hint="eastAsia" w:ascii="宋体" w:hAnsi="宋体"/>
          <w:sz w:val="24"/>
        </w:rPr>
        <w:t>8.2.2售后备品备件情况；</w:t>
      </w:r>
    </w:p>
    <w:p w14:paraId="6938ED1D">
      <w:pPr>
        <w:widowControl/>
        <w:spacing w:line="360" w:lineRule="auto"/>
        <w:ind w:firstLine="480" w:firstLineChars="200"/>
        <w:contextualSpacing/>
        <w:jc w:val="left"/>
        <w:rPr>
          <w:rFonts w:ascii="宋体" w:hAnsi="宋体"/>
          <w:sz w:val="24"/>
        </w:rPr>
      </w:pPr>
      <w:r>
        <w:rPr>
          <w:rFonts w:hint="eastAsia" w:ascii="宋体" w:hAnsi="宋体"/>
          <w:sz w:val="24"/>
        </w:rPr>
        <w:t>8.2.3售后人员配置及回访方案。</w:t>
      </w:r>
    </w:p>
    <w:p w14:paraId="33F7840D">
      <w:pPr>
        <w:widowControl/>
        <w:spacing w:line="360" w:lineRule="auto"/>
        <w:ind w:firstLine="480" w:firstLineChars="200"/>
        <w:contextualSpacing/>
        <w:jc w:val="left"/>
        <w:rPr>
          <w:rFonts w:ascii="宋体" w:hAnsi="宋体"/>
          <w:sz w:val="24"/>
        </w:rPr>
      </w:pPr>
      <w:r>
        <w:rPr>
          <w:rFonts w:hint="eastAsia" w:ascii="宋体" w:hAnsi="宋体"/>
          <w:sz w:val="24"/>
        </w:rPr>
        <w:t>8.3培训方案：内容包括但不限于：</w:t>
      </w:r>
    </w:p>
    <w:p w14:paraId="16DB653F">
      <w:pPr>
        <w:widowControl/>
        <w:spacing w:line="360" w:lineRule="auto"/>
        <w:ind w:firstLine="480" w:firstLineChars="200"/>
        <w:contextualSpacing/>
        <w:jc w:val="left"/>
        <w:rPr>
          <w:rFonts w:ascii="宋体" w:hAnsi="宋体"/>
          <w:sz w:val="24"/>
        </w:rPr>
      </w:pPr>
      <w:r>
        <w:rPr>
          <w:rFonts w:hint="eastAsia" w:ascii="宋体" w:hAnsi="宋体"/>
          <w:sz w:val="24"/>
        </w:rPr>
        <w:t>8.3.1培训的时间、培训方式、培训内容；</w:t>
      </w:r>
    </w:p>
    <w:p w14:paraId="1B0AE6F6">
      <w:pPr>
        <w:widowControl/>
        <w:spacing w:line="360" w:lineRule="auto"/>
        <w:ind w:firstLine="480" w:firstLineChars="200"/>
        <w:contextualSpacing/>
        <w:jc w:val="left"/>
        <w:rPr>
          <w:rFonts w:ascii="宋体" w:hAnsi="宋体"/>
          <w:sz w:val="24"/>
        </w:rPr>
      </w:pPr>
      <w:r>
        <w:rPr>
          <w:rFonts w:hint="eastAsia" w:ascii="宋体" w:hAnsi="宋体"/>
          <w:sz w:val="24"/>
        </w:rPr>
        <w:t>8.3.2培训师资与保障措施</w:t>
      </w:r>
    </w:p>
    <w:p w14:paraId="4DF83DCA">
      <w:pPr>
        <w:widowControl/>
        <w:spacing w:line="360" w:lineRule="auto"/>
        <w:ind w:firstLine="480" w:firstLineChars="200"/>
        <w:contextualSpacing/>
        <w:jc w:val="left"/>
        <w:rPr>
          <w:rFonts w:ascii="宋体" w:hAnsi="宋体" w:cs="宋体"/>
          <w:b/>
          <w:bCs/>
          <w:sz w:val="24"/>
        </w:rPr>
      </w:pPr>
      <w:r>
        <w:rPr>
          <w:rFonts w:hint="eastAsia" w:ascii="宋体" w:hAnsi="宋体"/>
          <w:sz w:val="24"/>
        </w:rPr>
        <w:t>8.3.3培训效果评估及考核方案。</w:t>
      </w:r>
    </w:p>
    <w:p w14:paraId="018F618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A6952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99"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autoSpaceDE w:val="0"/>
      <w:autoSpaceDN w:val="0"/>
      <w:adjustRightInd w:val="0"/>
      <w:ind w:firstLine="420"/>
      <w:jc w:val="left"/>
    </w:pPr>
    <w:rPr>
      <w:rFonts w:ascii="宋体"/>
      <w:sz w:val="24"/>
    </w:rPr>
  </w:style>
  <w:style w:type="paragraph" w:styleId="3">
    <w:name w:val="toc 2"/>
    <w:basedOn w:val="1"/>
    <w:next w:val="1"/>
    <w:qFormat/>
    <w:uiPriority w:val="39"/>
    <w:pPr>
      <w:tabs>
        <w:tab w:val="right" w:leader="dot" w:pos="8937"/>
      </w:tabs>
      <w:spacing w:line="312" w:lineRule="auto"/>
      <w:ind w:left="420" w:leftChars="200"/>
    </w:pPr>
  </w:style>
  <w:style w:type="paragraph" w:styleId="4">
    <w:name w:val="Body Text 2"/>
    <w:basedOn w:val="1"/>
    <w:semiHidden/>
    <w:unhideWhenUsed/>
    <w:qFormat/>
    <w:uiPriority w:val="99"/>
    <w:pPr>
      <w:spacing w:after="120" w:line="480" w:lineRule="auto"/>
    </w:pPr>
  </w:style>
  <w:style w:type="paragraph" w:customStyle="1" w:styleId="7">
    <w:name w:val="列出段落1"/>
    <w:basedOn w:val="1"/>
    <w:autoRedefine/>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2026-10-12T07:39:15Z</dcterms:created>
  <dc:creator>zxhd</dc:creator>
  <cp:lastModifiedBy>用户</cp:lastModifiedBy>
  <dcterms:modified xsi:type="dcterms:W3CDTF">2026-10-12T07:39:39Z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eyJoZGlkIjoiZDI1OWYyMDZlOWEwZTUxNjQ1ZTI0ZmM3ZTlkZjc2ODMiLCJ1c2VySWQiOiIyOTI2NjUzMzQifQ==</vt:lpwstr>
  </property>
  <property fmtid="{D5CDD505-2E9C-101B-9397-08002B2CF9AE}" pid="4" name="ICV">
    <vt:lpwstr>3B0EA6B803A6465E8EB3BA6A7F153AE6_12</vt:lpwstr>
  </property>
</Properties>
</file>