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8101">
      <w:pPr>
        <w:spacing w:line="360" w:lineRule="auto"/>
        <w:jc w:val="center"/>
        <w:outlineLvl w:val="0"/>
        <w:rPr>
          <w:b/>
          <w:sz w:val="36"/>
          <w:szCs w:val="36"/>
        </w:rPr>
      </w:pPr>
      <w:r>
        <w:rPr>
          <w:b/>
          <w:sz w:val="36"/>
          <w:szCs w:val="36"/>
        </w:rPr>
        <w:t>采购需求</w:t>
      </w:r>
    </w:p>
    <w:p w14:paraId="3C5FAC77">
      <w:pPr>
        <w:pStyle w:val="6"/>
        <w:tabs>
          <w:tab w:val="right" w:leader="dot" w:pos="8937"/>
          <w:tab w:val="clear" w:pos="8302"/>
        </w:tabs>
      </w:pPr>
    </w:p>
    <w:p w14:paraId="77221365">
      <w:pPr>
        <w:pStyle w:val="11"/>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9"/>
        <w:tblW w:w="9950" w:type="dxa"/>
        <w:tblInd w:w="-800" w:type="dxa"/>
        <w:tblLayout w:type="fixed"/>
        <w:tblCellMar>
          <w:top w:w="0" w:type="dxa"/>
          <w:left w:w="108" w:type="dxa"/>
          <w:bottom w:w="0" w:type="dxa"/>
          <w:right w:w="108" w:type="dxa"/>
        </w:tblCellMar>
      </w:tblPr>
      <w:tblGrid>
        <w:gridCol w:w="833"/>
        <w:gridCol w:w="2467"/>
        <w:gridCol w:w="2617"/>
        <w:gridCol w:w="1033"/>
        <w:gridCol w:w="867"/>
        <w:gridCol w:w="1133"/>
        <w:gridCol w:w="1000"/>
      </w:tblGrid>
      <w:tr w14:paraId="25A16B15">
        <w:tblPrEx>
          <w:tblCellMar>
            <w:top w:w="0" w:type="dxa"/>
            <w:left w:w="108" w:type="dxa"/>
            <w:bottom w:w="0" w:type="dxa"/>
            <w:right w:w="108" w:type="dxa"/>
          </w:tblCellMar>
        </w:tblPrEx>
        <w:trPr>
          <w:trHeight w:val="445" w:hRule="atLeast"/>
        </w:trPr>
        <w:tc>
          <w:tcPr>
            <w:tcW w:w="833" w:type="dxa"/>
            <w:tcBorders>
              <w:top w:val="single" w:color="auto" w:sz="4" w:space="0"/>
              <w:left w:val="single" w:color="auto" w:sz="4" w:space="0"/>
              <w:bottom w:val="single" w:color="auto" w:sz="4" w:space="0"/>
              <w:right w:val="single" w:color="auto" w:sz="4" w:space="0"/>
            </w:tcBorders>
            <w:vAlign w:val="center"/>
          </w:tcPr>
          <w:p w14:paraId="6F0DF35F">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包号</w:t>
            </w:r>
          </w:p>
        </w:tc>
        <w:tc>
          <w:tcPr>
            <w:tcW w:w="2467" w:type="dxa"/>
            <w:tcBorders>
              <w:top w:val="single" w:color="auto" w:sz="4" w:space="0"/>
              <w:left w:val="nil"/>
              <w:bottom w:val="single" w:color="auto" w:sz="4" w:space="0"/>
              <w:right w:val="single" w:color="auto" w:sz="4" w:space="0"/>
            </w:tcBorders>
            <w:vAlign w:val="center"/>
          </w:tcPr>
          <w:p w14:paraId="6D2C0FB8">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包名称</w:t>
            </w:r>
          </w:p>
        </w:tc>
        <w:tc>
          <w:tcPr>
            <w:tcW w:w="2617" w:type="dxa"/>
            <w:tcBorders>
              <w:top w:val="single" w:color="auto" w:sz="4" w:space="0"/>
              <w:left w:val="nil"/>
              <w:bottom w:val="single" w:color="auto" w:sz="4" w:space="0"/>
              <w:right w:val="single" w:color="auto" w:sz="4" w:space="0"/>
            </w:tcBorders>
            <w:vAlign w:val="center"/>
          </w:tcPr>
          <w:p w14:paraId="1E4E9E8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标的名称</w:t>
            </w:r>
          </w:p>
        </w:tc>
        <w:tc>
          <w:tcPr>
            <w:tcW w:w="1033" w:type="dxa"/>
            <w:tcBorders>
              <w:top w:val="single" w:color="auto" w:sz="4" w:space="0"/>
              <w:left w:val="nil"/>
              <w:bottom w:val="single" w:color="auto" w:sz="4" w:space="0"/>
              <w:right w:val="single" w:color="auto" w:sz="4" w:space="0"/>
            </w:tcBorders>
            <w:vAlign w:val="center"/>
          </w:tcPr>
          <w:p w14:paraId="79CFEE04">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分包预算金额（万元）</w:t>
            </w:r>
          </w:p>
        </w:tc>
        <w:tc>
          <w:tcPr>
            <w:tcW w:w="867" w:type="dxa"/>
            <w:tcBorders>
              <w:top w:val="single" w:color="auto" w:sz="4" w:space="0"/>
              <w:left w:val="nil"/>
              <w:bottom w:val="single" w:color="auto" w:sz="4" w:space="0"/>
              <w:right w:val="single" w:color="auto" w:sz="4" w:space="0"/>
            </w:tcBorders>
            <w:vAlign w:val="center"/>
          </w:tcPr>
          <w:p w14:paraId="21E7DB3D">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数量</w:t>
            </w:r>
          </w:p>
          <w:p w14:paraId="550B33DA">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（台/套）</w:t>
            </w:r>
          </w:p>
        </w:tc>
        <w:tc>
          <w:tcPr>
            <w:tcW w:w="1133" w:type="dxa"/>
            <w:tcBorders>
              <w:top w:val="single" w:color="auto" w:sz="4" w:space="0"/>
              <w:left w:val="nil"/>
              <w:bottom w:val="single" w:color="auto" w:sz="4" w:space="0"/>
              <w:right w:val="single" w:color="auto" w:sz="4" w:space="0"/>
            </w:tcBorders>
            <w:vAlign w:val="center"/>
          </w:tcPr>
          <w:p w14:paraId="0FCB955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单价最高限价（万元）</w:t>
            </w:r>
          </w:p>
        </w:tc>
        <w:tc>
          <w:tcPr>
            <w:tcW w:w="1000" w:type="dxa"/>
            <w:tcBorders>
              <w:top w:val="single" w:color="auto" w:sz="4" w:space="0"/>
              <w:left w:val="nil"/>
              <w:bottom w:val="single" w:color="auto" w:sz="4" w:space="0"/>
              <w:right w:val="single" w:color="auto" w:sz="4" w:space="0"/>
            </w:tcBorders>
            <w:vAlign w:val="center"/>
          </w:tcPr>
          <w:p w14:paraId="5F965191">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是否为核心产品</w:t>
            </w:r>
          </w:p>
        </w:tc>
      </w:tr>
      <w:tr w14:paraId="176F4805">
        <w:tblPrEx>
          <w:tblCellMar>
            <w:top w:w="0" w:type="dxa"/>
            <w:left w:w="108" w:type="dxa"/>
            <w:bottom w:w="0" w:type="dxa"/>
            <w:right w:w="108" w:type="dxa"/>
          </w:tblCellMar>
        </w:tblPrEx>
        <w:trPr>
          <w:trHeight w:val="395" w:hRule="atLeast"/>
        </w:trPr>
        <w:tc>
          <w:tcPr>
            <w:tcW w:w="833" w:type="dxa"/>
            <w:vMerge w:val="restart"/>
            <w:tcBorders>
              <w:top w:val="single" w:color="auto" w:sz="4" w:space="0"/>
              <w:left w:val="single" w:color="auto" w:sz="4" w:space="0"/>
              <w:bottom w:val="single" w:color="auto" w:sz="4" w:space="0"/>
              <w:right w:val="single" w:color="auto" w:sz="4" w:space="0"/>
            </w:tcBorders>
            <w:vAlign w:val="center"/>
          </w:tcPr>
          <w:p w14:paraId="6E4F285C">
            <w:pPr>
              <w:widowControl/>
              <w:jc w:val="center"/>
              <w:rPr>
                <w:rFonts w:hint="eastAsia" w:ascii="宋体" w:hAnsi="宋体" w:cs="宋体"/>
                <w:color w:val="000000"/>
                <w:kern w:val="0"/>
                <w:sz w:val="24"/>
              </w:rPr>
            </w:pPr>
            <w:r>
              <w:rPr>
                <w:rFonts w:hint="eastAsia" w:ascii="宋体" w:hAnsi="宋体" w:cs="宋体"/>
                <w:color w:val="000000"/>
                <w:kern w:val="0"/>
                <w:sz w:val="24"/>
              </w:rPr>
              <w:t>01</w:t>
            </w:r>
          </w:p>
        </w:tc>
        <w:tc>
          <w:tcPr>
            <w:tcW w:w="2467" w:type="dxa"/>
            <w:vMerge w:val="restart"/>
            <w:tcBorders>
              <w:top w:val="single" w:color="auto" w:sz="4" w:space="0"/>
              <w:left w:val="nil"/>
              <w:bottom w:val="single" w:color="auto" w:sz="4" w:space="0"/>
              <w:right w:val="single" w:color="auto" w:sz="4" w:space="0"/>
            </w:tcBorders>
            <w:vAlign w:val="center"/>
          </w:tcPr>
          <w:p w14:paraId="7683CAED">
            <w:pPr>
              <w:widowControl/>
              <w:jc w:val="center"/>
              <w:rPr>
                <w:rFonts w:hint="eastAsia" w:ascii="宋体" w:hAnsi="宋体" w:cs="宋体"/>
                <w:color w:val="000000"/>
                <w:kern w:val="0"/>
                <w:sz w:val="24"/>
              </w:rPr>
            </w:pPr>
            <w:r>
              <w:rPr>
                <w:rFonts w:hint="eastAsia" w:ascii="宋体" w:hAnsi="宋体" w:cs="宋体"/>
                <w:color w:val="000000"/>
                <w:kern w:val="0"/>
                <w:sz w:val="24"/>
              </w:rPr>
              <w:t>超声手术刀系统</w:t>
            </w:r>
            <w:r>
              <w:rPr>
                <w:rFonts w:hint="eastAsia" w:ascii="宋体" w:hAnsi="宋体" w:cs="宋体"/>
                <w:color w:val="000000"/>
                <w:kern w:val="0"/>
                <w:sz w:val="24"/>
                <w:lang w:eastAsia="zh-CN"/>
              </w:rPr>
              <w:t>、</w:t>
            </w:r>
            <w:r>
              <w:rPr>
                <w:rFonts w:hint="eastAsia" w:ascii="宋体" w:hAnsi="宋体" w:cs="宋体"/>
                <w:color w:val="000000"/>
                <w:kern w:val="0"/>
                <w:sz w:val="24"/>
              </w:rPr>
              <w:t>振动式物理治疗仪</w:t>
            </w:r>
          </w:p>
        </w:tc>
        <w:tc>
          <w:tcPr>
            <w:tcW w:w="2617" w:type="dxa"/>
            <w:tcBorders>
              <w:top w:val="single" w:color="auto" w:sz="4" w:space="0"/>
              <w:left w:val="nil"/>
              <w:bottom w:val="single" w:color="auto" w:sz="4" w:space="0"/>
              <w:right w:val="single" w:color="auto" w:sz="4" w:space="0"/>
            </w:tcBorders>
            <w:vAlign w:val="center"/>
          </w:tcPr>
          <w:p w14:paraId="674D6AE6">
            <w:pPr>
              <w:widowControl/>
              <w:jc w:val="center"/>
              <w:rPr>
                <w:rFonts w:hint="eastAsia" w:ascii="宋体" w:hAnsi="宋体" w:cs="宋体"/>
                <w:color w:val="000000"/>
                <w:kern w:val="0"/>
                <w:sz w:val="24"/>
              </w:rPr>
            </w:pPr>
            <w:r>
              <w:rPr>
                <w:rFonts w:hint="eastAsia" w:ascii="宋体" w:hAnsi="宋体" w:cs="宋体"/>
                <w:color w:val="000000"/>
                <w:kern w:val="0"/>
                <w:sz w:val="24"/>
              </w:rPr>
              <w:t>超声手术刀系统</w:t>
            </w:r>
          </w:p>
        </w:tc>
        <w:tc>
          <w:tcPr>
            <w:tcW w:w="1033" w:type="dxa"/>
            <w:vMerge w:val="restart"/>
            <w:tcBorders>
              <w:top w:val="single" w:color="auto" w:sz="4" w:space="0"/>
              <w:left w:val="nil"/>
              <w:bottom w:val="single" w:color="auto" w:sz="4" w:space="0"/>
              <w:right w:val="single" w:color="auto" w:sz="4" w:space="0"/>
            </w:tcBorders>
            <w:vAlign w:val="center"/>
          </w:tcPr>
          <w:p w14:paraId="695A60EE">
            <w:pPr>
              <w:widowControl/>
              <w:jc w:val="center"/>
              <w:rPr>
                <w:rFonts w:hint="eastAsia" w:ascii="宋体" w:hAnsi="宋体" w:cs="宋体"/>
                <w:color w:val="000000"/>
                <w:kern w:val="0"/>
                <w:sz w:val="24"/>
              </w:rPr>
            </w:pPr>
            <w:r>
              <w:rPr>
                <w:rFonts w:hint="eastAsia" w:ascii="宋体" w:hAnsi="宋体" w:cs="宋体"/>
                <w:color w:val="000000"/>
                <w:kern w:val="0"/>
                <w:sz w:val="24"/>
                <w:lang w:val="en-US" w:eastAsia="zh-CN"/>
              </w:rPr>
              <w:t>17.00</w:t>
            </w:r>
          </w:p>
        </w:tc>
        <w:tc>
          <w:tcPr>
            <w:tcW w:w="867" w:type="dxa"/>
            <w:tcBorders>
              <w:top w:val="single" w:color="auto" w:sz="4" w:space="0"/>
              <w:left w:val="nil"/>
              <w:bottom w:val="single" w:color="auto" w:sz="4" w:space="0"/>
              <w:right w:val="single" w:color="auto" w:sz="4" w:space="0"/>
            </w:tcBorders>
            <w:vAlign w:val="center"/>
          </w:tcPr>
          <w:p w14:paraId="0448CF3E">
            <w:pPr>
              <w:widowControl/>
              <w:jc w:val="center"/>
              <w:rPr>
                <w:rFonts w:hint="eastAsia" w:ascii="宋体" w:hAnsi="宋体" w:cs="宋体"/>
                <w:color w:val="000000"/>
                <w:kern w:val="0"/>
                <w:sz w:val="24"/>
              </w:rPr>
            </w:pPr>
            <w:r>
              <w:rPr>
                <w:rFonts w:hint="eastAsia" w:ascii="宋体" w:hAnsi="宋体" w:cs="宋体"/>
                <w:color w:val="000000"/>
                <w:kern w:val="0"/>
                <w:sz w:val="24"/>
                <w:lang w:val="en-US" w:eastAsia="zh-CN"/>
              </w:rPr>
              <w:t>1</w:t>
            </w:r>
          </w:p>
        </w:tc>
        <w:tc>
          <w:tcPr>
            <w:tcW w:w="1133" w:type="dxa"/>
            <w:tcBorders>
              <w:top w:val="single" w:color="auto" w:sz="4" w:space="0"/>
              <w:left w:val="nil"/>
              <w:bottom w:val="single" w:color="auto" w:sz="4" w:space="0"/>
              <w:right w:val="single" w:color="auto" w:sz="4" w:space="0"/>
            </w:tcBorders>
            <w:vAlign w:val="center"/>
          </w:tcPr>
          <w:p w14:paraId="6D4032FE">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14</w:t>
            </w:r>
            <w:r>
              <w:rPr>
                <w:rFonts w:hint="eastAsia" w:ascii="宋体" w:hAnsi="宋体" w:cs="宋体"/>
                <w:i w:val="0"/>
                <w:iCs w:val="0"/>
                <w:color w:val="000000"/>
                <w:kern w:val="0"/>
                <w:sz w:val="24"/>
                <w:szCs w:val="24"/>
                <w:u w:val="none"/>
                <w:lang w:val="en-US" w:eastAsia="zh-CN" w:bidi="ar"/>
              </w:rPr>
              <w:t>.00</w:t>
            </w:r>
          </w:p>
        </w:tc>
        <w:tc>
          <w:tcPr>
            <w:tcW w:w="1000" w:type="dxa"/>
            <w:tcBorders>
              <w:top w:val="single" w:color="auto" w:sz="4" w:space="0"/>
              <w:left w:val="nil"/>
              <w:bottom w:val="single" w:color="auto" w:sz="4" w:space="0"/>
              <w:right w:val="single" w:color="auto" w:sz="4" w:space="0"/>
            </w:tcBorders>
            <w:vAlign w:val="center"/>
          </w:tcPr>
          <w:p w14:paraId="1D1A0C92">
            <w:pPr>
              <w:widowControl/>
              <w:jc w:val="center"/>
              <w:rPr>
                <w:rFonts w:hint="eastAsia" w:ascii="宋体" w:hAnsi="宋体" w:cs="宋体"/>
                <w:color w:val="000000"/>
                <w:kern w:val="0"/>
                <w:sz w:val="24"/>
              </w:rPr>
            </w:pPr>
            <w:r>
              <w:rPr>
                <w:rFonts w:hint="eastAsia" w:ascii="宋体" w:hAnsi="宋体" w:cs="宋体"/>
                <w:color w:val="000000"/>
                <w:kern w:val="0"/>
                <w:sz w:val="24"/>
                <w:lang w:eastAsia="zh-CN"/>
              </w:rPr>
              <w:t>是</w:t>
            </w:r>
          </w:p>
        </w:tc>
      </w:tr>
      <w:tr w14:paraId="7B18085A">
        <w:tblPrEx>
          <w:tblCellMar>
            <w:top w:w="0" w:type="dxa"/>
            <w:left w:w="108" w:type="dxa"/>
            <w:bottom w:w="0" w:type="dxa"/>
            <w:right w:w="108" w:type="dxa"/>
          </w:tblCellMar>
        </w:tblPrEx>
        <w:trPr>
          <w:trHeight w:val="445" w:hRule="atLeast"/>
        </w:trPr>
        <w:tc>
          <w:tcPr>
            <w:tcW w:w="833" w:type="dxa"/>
            <w:vMerge w:val="continue"/>
            <w:tcBorders>
              <w:top w:val="single" w:color="auto" w:sz="4" w:space="0"/>
              <w:left w:val="single" w:color="auto" w:sz="4" w:space="0"/>
              <w:bottom w:val="single" w:color="auto" w:sz="4" w:space="0"/>
              <w:right w:val="single" w:color="auto" w:sz="4" w:space="0"/>
            </w:tcBorders>
            <w:vAlign w:val="center"/>
          </w:tcPr>
          <w:p w14:paraId="58479296">
            <w:pPr>
              <w:widowControl/>
              <w:jc w:val="left"/>
              <w:rPr>
                <w:rFonts w:hint="eastAsia" w:ascii="宋体" w:hAnsi="宋体" w:cs="宋体"/>
                <w:color w:val="000000"/>
                <w:kern w:val="0"/>
                <w:sz w:val="24"/>
              </w:rPr>
            </w:pPr>
          </w:p>
        </w:tc>
        <w:tc>
          <w:tcPr>
            <w:tcW w:w="2467" w:type="dxa"/>
            <w:vMerge w:val="continue"/>
            <w:tcBorders>
              <w:top w:val="single" w:color="auto" w:sz="4" w:space="0"/>
              <w:left w:val="nil"/>
              <w:bottom w:val="single" w:color="auto" w:sz="4" w:space="0"/>
              <w:right w:val="single" w:color="auto" w:sz="4" w:space="0"/>
            </w:tcBorders>
            <w:vAlign w:val="center"/>
          </w:tcPr>
          <w:p w14:paraId="6C3C7F69">
            <w:pPr>
              <w:widowControl/>
              <w:jc w:val="center"/>
              <w:rPr>
                <w:rFonts w:hint="eastAsia" w:ascii="宋体" w:hAnsi="宋体" w:cs="宋体"/>
                <w:color w:val="000000"/>
                <w:kern w:val="0"/>
                <w:sz w:val="24"/>
              </w:rPr>
            </w:pPr>
          </w:p>
        </w:tc>
        <w:tc>
          <w:tcPr>
            <w:tcW w:w="2617" w:type="dxa"/>
            <w:tcBorders>
              <w:top w:val="single" w:color="auto" w:sz="4" w:space="0"/>
              <w:left w:val="nil"/>
              <w:bottom w:val="single" w:color="auto" w:sz="4" w:space="0"/>
              <w:right w:val="single" w:color="auto" w:sz="4" w:space="0"/>
            </w:tcBorders>
            <w:vAlign w:val="center"/>
          </w:tcPr>
          <w:p w14:paraId="569C93F7">
            <w:pPr>
              <w:widowControl/>
              <w:jc w:val="center"/>
              <w:rPr>
                <w:rFonts w:hint="eastAsia" w:ascii="宋体" w:hAnsi="宋体" w:cs="宋体"/>
                <w:color w:val="000000"/>
                <w:kern w:val="0"/>
                <w:sz w:val="24"/>
              </w:rPr>
            </w:pPr>
            <w:r>
              <w:rPr>
                <w:rFonts w:hint="eastAsia" w:ascii="宋体" w:hAnsi="宋体" w:cs="宋体"/>
                <w:color w:val="000000"/>
                <w:kern w:val="0"/>
                <w:sz w:val="24"/>
              </w:rPr>
              <w:t>振动式物理治疗仪</w:t>
            </w:r>
          </w:p>
        </w:tc>
        <w:tc>
          <w:tcPr>
            <w:tcW w:w="1033" w:type="dxa"/>
            <w:vMerge w:val="continue"/>
            <w:tcBorders>
              <w:top w:val="single" w:color="auto" w:sz="4" w:space="0"/>
              <w:left w:val="nil"/>
              <w:bottom w:val="single" w:color="auto" w:sz="4" w:space="0"/>
              <w:right w:val="single" w:color="auto" w:sz="4" w:space="0"/>
            </w:tcBorders>
            <w:vAlign w:val="center"/>
          </w:tcPr>
          <w:p w14:paraId="39ADE7EF">
            <w:pPr>
              <w:widowControl/>
              <w:jc w:val="center"/>
              <w:rPr>
                <w:rFonts w:hint="eastAsia" w:ascii="宋体" w:hAnsi="宋体" w:cs="宋体"/>
                <w:color w:val="000000"/>
                <w:kern w:val="0"/>
                <w:sz w:val="24"/>
              </w:rPr>
            </w:pPr>
          </w:p>
        </w:tc>
        <w:tc>
          <w:tcPr>
            <w:tcW w:w="867" w:type="dxa"/>
            <w:tcBorders>
              <w:top w:val="single" w:color="auto" w:sz="4" w:space="0"/>
              <w:left w:val="nil"/>
              <w:bottom w:val="single" w:color="auto" w:sz="4" w:space="0"/>
              <w:right w:val="single" w:color="auto" w:sz="4" w:space="0"/>
            </w:tcBorders>
            <w:vAlign w:val="center"/>
          </w:tcPr>
          <w:p w14:paraId="34C9AFDE">
            <w:pPr>
              <w:widowControl/>
              <w:jc w:val="center"/>
              <w:rPr>
                <w:rFonts w:hint="eastAsia" w:ascii="宋体" w:hAnsi="宋体" w:cs="宋体"/>
                <w:color w:val="000000"/>
                <w:kern w:val="0"/>
                <w:sz w:val="24"/>
              </w:rPr>
            </w:pPr>
            <w:r>
              <w:rPr>
                <w:rFonts w:hint="eastAsia" w:ascii="宋体" w:hAnsi="宋体" w:cs="宋体"/>
                <w:color w:val="000000"/>
                <w:kern w:val="0"/>
                <w:sz w:val="24"/>
                <w:lang w:val="en-US" w:eastAsia="zh-CN"/>
              </w:rPr>
              <w:t>1</w:t>
            </w:r>
          </w:p>
        </w:tc>
        <w:tc>
          <w:tcPr>
            <w:tcW w:w="1133" w:type="dxa"/>
            <w:tcBorders>
              <w:top w:val="single" w:color="auto" w:sz="4" w:space="0"/>
              <w:left w:val="nil"/>
              <w:bottom w:val="single" w:color="auto" w:sz="4" w:space="0"/>
              <w:right w:val="single" w:color="auto" w:sz="4" w:space="0"/>
            </w:tcBorders>
            <w:vAlign w:val="center"/>
          </w:tcPr>
          <w:p w14:paraId="32D6FB00">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r>
              <w:rPr>
                <w:rFonts w:hint="eastAsia" w:ascii="宋体" w:hAnsi="宋体" w:cs="宋体"/>
                <w:i w:val="0"/>
                <w:iCs w:val="0"/>
                <w:color w:val="000000"/>
                <w:kern w:val="0"/>
                <w:sz w:val="24"/>
                <w:szCs w:val="24"/>
                <w:u w:val="none"/>
                <w:lang w:val="en-US" w:eastAsia="zh-CN" w:bidi="ar"/>
              </w:rPr>
              <w:t>.00</w:t>
            </w:r>
          </w:p>
        </w:tc>
        <w:tc>
          <w:tcPr>
            <w:tcW w:w="1000" w:type="dxa"/>
            <w:tcBorders>
              <w:top w:val="single" w:color="auto" w:sz="4" w:space="0"/>
              <w:left w:val="nil"/>
              <w:bottom w:val="single" w:color="auto" w:sz="4" w:space="0"/>
              <w:right w:val="single" w:color="auto" w:sz="4" w:space="0"/>
            </w:tcBorders>
            <w:vAlign w:val="center"/>
          </w:tcPr>
          <w:p w14:paraId="7AF00034">
            <w:pPr>
              <w:widowControl/>
              <w:jc w:val="center"/>
              <w:rPr>
                <w:rFonts w:hint="eastAsia" w:ascii="宋体" w:hAnsi="宋体" w:cs="宋体"/>
                <w:color w:val="000000"/>
                <w:kern w:val="0"/>
                <w:sz w:val="24"/>
              </w:rPr>
            </w:pPr>
            <w:r>
              <w:rPr>
                <w:rFonts w:hint="eastAsia" w:ascii="宋体" w:hAnsi="宋体" w:cs="宋体"/>
                <w:color w:val="000000"/>
                <w:kern w:val="0"/>
                <w:sz w:val="24"/>
                <w:lang w:eastAsia="zh-CN"/>
              </w:rPr>
              <w:t>否</w:t>
            </w:r>
          </w:p>
        </w:tc>
      </w:tr>
      <w:tr w14:paraId="74B87C28">
        <w:tblPrEx>
          <w:tblCellMar>
            <w:top w:w="0" w:type="dxa"/>
            <w:left w:w="108" w:type="dxa"/>
            <w:bottom w:w="0" w:type="dxa"/>
            <w:right w:w="108" w:type="dxa"/>
          </w:tblCellMar>
        </w:tblPrEx>
        <w:trPr>
          <w:trHeight w:val="445" w:hRule="atLeast"/>
        </w:trPr>
        <w:tc>
          <w:tcPr>
            <w:tcW w:w="833" w:type="dxa"/>
            <w:vMerge w:val="restart"/>
            <w:tcBorders>
              <w:top w:val="single" w:color="auto" w:sz="4" w:space="0"/>
              <w:left w:val="single" w:color="auto" w:sz="4" w:space="0"/>
              <w:right w:val="single" w:color="auto" w:sz="4" w:space="0"/>
            </w:tcBorders>
            <w:vAlign w:val="center"/>
          </w:tcPr>
          <w:p w14:paraId="5B6E5CC3">
            <w:pPr>
              <w:widowControl/>
              <w:jc w:val="center"/>
              <w:rPr>
                <w:rFonts w:hint="eastAsia" w:ascii="宋体" w:hAnsi="宋体" w:cs="宋体"/>
                <w:color w:val="000000"/>
                <w:kern w:val="0"/>
                <w:sz w:val="24"/>
              </w:rPr>
            </w:pPr>
            <w:r>
              <w:rPr>
                <w:rFonts w:hint="eastAsia" w:ascii="宋体" w:hAnsi="宋体" w:cs="宋体"/>
                <w:color w:val="000000"/>
                <w:kern w:val="0"/>
                <w:sz w:val="24"/>
              </w:rPr>
              <w:t>02</w:t>
            </w:r>
          </w:p>
        </w:tc>
        <w:tc>
          <w:tcPr>
            <w:tcW w:w="2467" w:type="dxa"/>
            <w:vMerge w:val="restart"/>
            <w:tcBorders>
              <w:top w:val="single" w:color="auto" w:sz="4" w:space="0"/>
              <w:left w:val="nil"/>
              <w:right w:val="single" w:color="auto" w:sz="4" w:space="0"/>
            </w:tcBorders>
            <w:vAlign w:val="center"/>
          </w:tcPr>
          <w:p w14:paraId="78AF607D">
            <w:pPr>
              <w:widowControl/>
              <w:jc w:val="center"/>
              <w:textAlignment w:val="center"/>
              <w:rPr>
                <w:rFonts w:hint="eastAsia" w:ascii="宋体" w:hAnsi="宋体" w:eastAsia="宋体" w:cs="宋体"/>
                <w:color w:val="000000"/>
                <w:kern w:val="0"/>
                <w:sz w:val="24"/>
                <w:lang w:eastAsia="zh-CN"/>
              </w:rPr>
            </w:pPr>
            <w:r>
              <w:rPr>
                <w:rFonts w:hint="eastAsia" w:ascii="宋体" w:hAnsi="宋体" w:eastAsia="宋体" w:cs="宋体"/>
                <w:i w:val="0"/>
                <w:iCs w:val="0"/>
                <w:color w:val="000000"/>
                <w:kern w:val="0"/>
                <w:sz w:val="24"/>
                <w:szCs w:val="24"/>
                <w:u w:val="none"/>
                <w:lang w:val="en-US" w:eastAsia="zh-CN" w:bidi="ar"/>
              </w:rPr>
              <w:t>热牙胶仪</w:t>
            </w:r>
            <w:r>
              <w:rPr>
                <w:rFonts w:hint="eastAsia" w:ascii="宋体" w:hAnsi="宋体" w:cs="宋体"/>
                <w:i w:val="0"/>
                <w:iCs w:val="0"/>
                <w:color w:val="000000"/>
                <w:kern w:val="0"/>
                <w:sz w:val="24"/>
                <w:szCs w:val="24"/>
                <w:u w:val="none"/>
                <w:lang w:val="en-US" w:eastAsia="zh-CN" w:bidi="ar"/>
              </w:rPr>
              <w:t>等</w:t>
            </w:r>
          </w:p>
        </w:tc>
        <w:tc>
          <w:tcPr>
            <w:tcW w:w="2617" w:type="dxa"/>
            <w:tcBorders>
              <w:top w:val="single" w:color="auto" w:sz="4" w:space="0"/>
              <w:left w:val="nil"/>
              <w:bottom w:val="single" w:color="auto" w:sz="4" w:space="0"/>
              <w:right w:val="single" w:color="auto" w:sz="4" w:space="0"/>
            </w:tcBorders>
            <w:vAlign w:val="center"/>
          </w:tcPr>
          <w:p w14:paraId="5714CFDE">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热牙胶仪</w:t>
            </w:r>
          </w:p>
        </w:tc>
        <w:tc>
          <w:tcPr>
            <w:tcW w:w="1033" w:type="dxa"/>
            <w:vMerge w:val="restart"/>
            <w:tcBorders>
              <w:top w:val="single" w:color="auto" w:sz="4" w:space="0"/>
              <w:left w:val="nil"/>
              <w:right w:val="single" w:color="auto" w:sz="4" w:space="0"/>
            </w:tcBorders>
            <w:vAlign w:val="center"/>
          </w:tcPr>
          <w:p w14:paraId="1E4A25E7">
            <w:pPr>
              <w:widowControl/>
              <w:jc w:val="center"/>
              <w:textAlignment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16.75</w:t>
            </w:r>
          </w:p>
        </w:tc>
        <w:tc>
          <w:tcPr>
            <w:tcW w:w="867" w:type="dxa"/>
            <w:tcBorders>
              <w:top w:val="single" w:color="auto" w:sz="4" w:space="0"/>
              <w:left w:val="nil"/>
              <w:bottom w:val="single" w:color="auto" w:sz="4" w:space="0"/>
              <w:right w:val="single" w:color="auto" w:sz="4" w:space="0"/>
            </w:tcBorders>
            <w:vAlign w:val="center"/>
          </w:tcPr>
          <w:p w14:paraId="2E710AEE">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1133" w:type="dxa"/>
            <w:tcBorders>
              <w:top w:val="single" w:color="auto" w:sz="4" w:space="0"/>
              <w:left w:val="nil"/>
              <w:bottom w:val="single" w:color="auto" w:sz="4" w:space="0"/>
              <w:right w:val="single" w:color="auto" w:sz="4" w:space="0"/>
            </w:tcBorders>
            <w:vAlign w:val="center"/>
          </w:tcPr>
          <w:p w14:paraId="00E5CE67">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2.50</w:t>
            </w:r>
          </w:p>
        </w:tc>
        <w:tc>
          <w:tcPr>
            <w:tcW w:w="1000" w:type="dxa"/>
            <w:tcBorders>
              <w:top w:val="single" w:color="auto" w:sz="4" w:space="0"/>
              <w:left w:val="nil"/>
              <w:bottom w:val="single" w:color="auto" w:sz="4" w:space="0"/>
              <w:right w:val="single" w:color="auto" w:sz="4" w:space="0"/>
            </w:tcBorders>
            <w:vAlign w:val="center"/>
          </w:tcPr>
          <w:p w14:paraId="6E7BB578">
            <w:pPr>
              <w:widowControl/>
              <w:jc w:val="center"/>
              <w:rPr>
                <w:rFonts w:hint="eastAsia" w:ascii="宋体" w:hAnsi="宋体" w:cs="宋体"/>
                <w:color w:val="000000"/>
                <w:kern w:val="0"/>
                <w:sz w:val="24"/>
              </w:rPr>
            </w:pPr>
            <w:r>
              <w:rPr>
                <w:rFonts w:hint="eastAsia" w:ascii="宋体" w:hAnsi="宋体" w:cs="宋体"/>
                <w:color w:val="000000"/>
                <w:kern w:val="0"/>
                <w:sz w:val="24"/>
                <w:lang w:eastAsia="zh-CN"/>
              </w:rPr>
              <w:t>是</w:t>
            </w:r>
          </w:p>
        </w:tc>
      </w:tr>
      <w:tr w14:paraId="05EEBAB5">
        <w:tblPrEx>
          <w:tblCellMar>
            <w:top w:w="0" w:type="dxa"/>
            <w:left w:w="108" w:type="dxa"/>
            <w:bottom w:w="0" w:type="dxa"/>
            <w:right w:w="108" w:type="dxa"/>
          </w:tblCellMar>
        </w:tblPrEx>
        <w:trPr>
          <w:trHeight w:val="445" w:hRule="atLeast"/>
        </w:trPr>
        <w:tc>
          <w:tcPr>
            <w:tcW w:w="833" w:type="dxa"/>
            <w:vMerge w:val="continue"/>
            <w:tcBorders>
              <w:left w:val="single" w:color="auto" w:sz="4" w:space="0"/>
              <w:right w:val="single" w:color="auto" w:sz="4" w:space="0"/>
            </w:tcBorders>
            <w:vAlign w:val="center"/>
          </w:tcPr>
          <w:p w14:paraId="05AD8B56">
            <w:pPr>
              <w:widowControl/>
              <w:jc w:val="center"/>
              <w:rPr>
                <w:rFonts w:hint="eastAsia" w:ascii="宋体" w:hAnsi="宋体" w:cs="宋体"/>
                <w:color w:val="000000"/>
                <w:kern w:val="0"/>
                <w:sz w:val="24"/>
              </w:rPr>
            </w:pPr>
          </w:p>
        </w:tc>
        <w:tc>
          <w:tcPr>
            <w:tcW w:w="2467" w:type="dxa"/>
            <w:vMerge w:val="continue"/>
            <w:tcBorders>
              <w:left w:val="nil"/>
              <w:right w:val="single" w:color="auto" w:sz="4" w:space="0"/>
            </w:tcBorders>
            <w:vAlign w:val="center"/>
          </w:tcPr>
          <w:p w14:paraId="7E61AE0E">
            <w:pPr>
              <w:widowControl/>
              <w:jc w:val="center"/>
              <w:textAlignment w:val="center"/>
              <w:rPr>
                <w:rFonts w:hint="eastAsia" w:ascii="宋体" w:hAnsi="宋体" w:cs="宋体"/>
                <w:color w:val="000000"/>
                <w:kern w:val="0"/>
                <w:sz w:val="24"/>
              </w:rPr>
            </w:pPr>
          </w:p>
        </w:tc>
        <w:tc>
          <w:tcPr>
            <w:tcW w:w="2617" w:type="dxa"/>
            <w:tcBorders>
              <w:top w:val="single" w:color="auto" w:sz="4" w:space="0"/>
              <w:left w:val="nil"/>
              <w:bottom w:val="single" w:color="auto" w:sz="4" w:space="0"/>
              <w:right w:val="single" w:color="auto" w:sz="4" w:space="0"/>
            </w:tcBorders>
            <w:vAlign w:val="center"/>
          </w:tcPr>
          <w:p w14:paraId="4142CCD9">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牙根管电测仪</w:t>
            </w:r>
          </w:p>
        </w:tc>
        <w:tc>
          <w:tcPr>
            <w:tcW w:w="1033" w:type="dxa"/>
            <w:vMerge w:val="continue"/>
            <w:tcBorders>
              <w:left w:val="nil"/>
              <w:right w:val="single" w:color="auto" w:sz="4" w:space="0"/>
            </w:tcBorders>
            <w:vAlign w:val="center"/>
          </w:tcPr>
          <w:p w14:paraId="050DFC52">
            <w:pPr>
              <w:widowControl/>
              <w:jc w:val="center"/>
              <w:textAlignment w:val="center"/>
              <w:rPr>
                <w:rFonts w:hint="eastAsia" w:ascii="宋体" w:hAnsi="宋体" w:cs="宋体"/>
                <w:color w:val="000000"/>
                <w:kern w:val="0"/>
                <w:sz w:val="24"/>
              </w:rPr>
            </w:pPr>
          </w:p>
        </w:tc>
        <w:tc>
          <w:tcPr>
            <w:tcW w:w="867" w:type="dxa"/>
            <w:tcBorders>
              <w:top w:val="single" w:color="auto" w:sz="4" w:space="0"/>
              <w:left w:val="nil"/>
              <w:bottom w:val="single" w:color="auto" w:sz="4" w:space="0"/>
              <w:right w:val="single" w:color="auto" w:sz="4" w:space="0"/>
            </w:tcBorders>
            <w:vAlign w:val="center"/>
          </w:tcPr>
          <w:p w14:paraId="76D1B4D8">
            <w:pPr>
              <w:keepNext w:val="0"/>
              <w:keepLines w:val="0"/>
              <w:widowControl/>
              <w:suppressLineNumbers w:val="0"/>
              <w:jc w:val="center"/>
              <w:textAlignment w:val="center"/>
              <w:rPr>
                <w:rFonts w:hint="default" w:ascii="宋体" w:hAnsi="宋体" w:cs="宋体"/>
                <w:color w:val="000000"/>
                <w:kern w:val="0"/>
                <w:sz w:val="24"/>
                <w:lang w:val="en-US"/>
              </w:rPr>
            </w:pPr>
            <w:r>
              <w:rPr>
                <w:rFonts w:hint="eastAsia" w:ascii="宋体" w:hAnsi="宋体" w:cs="宋体"/>
                <w:i w:val="0"/>
                <w:iCs w:val="0"/>
                <w:color w:val="000000"/>
                <w:kern w:val="0"/>
                <w:sz w:val="24"/>
                <w:szCs w:val="24"/>
                <w:u w:val="none"/>
                <w:lang w:val="en-US" w:eastAsia="zh-CN" w:bidi="ar"/>
              </w:rPr>
              <w:t>10</w:t>
            </w:r>
          </w:p>
        </w:tc>
        <w:tc>
          <w:tcPr>
            <w:tcW w:w="1133" w:type="dxa"/>
            <w:tcBorders>
              <w:top w:val="single" w:color="auto" w:sz="4" w:space="0"/>
              <w:left w:val="nil"/>
              <w:bottom w:val="single" w:color="auto" w:sz="4" w:space="0"/>
              <w:right w:val="single" w:color="auto" w:sz="4" w:space="0"/>
            </w:tcBorders>
            <w:vAlign w:val="center"/>
          </w:tcPr>
          <w:p w14:paraId="685DF05F">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0.65</w:t>
            </w:r>
          </w:p>
        </w:tc>
        <w:tc>
          <w:tcPr>
            <w:tcW w:w="1000" w:type="dxa"/>
            <w:tcBorders>
              <w:top w:val="single" w:color="auto" w:sz="4" w:space="0"/>
              <w:left w:val="nil"/>
              <w:bottom w:val="single" w:color="auto" w:sz="4" w:space="0"/>
              <w:right w:val="single" w:color="auto" w:sz="4" w:space="0"/>
            </w:tcBorders>
            <w:vAlign w:val="center"/>
          </w:tcPr>
          <w:p w14:paraId="1F158470">
            <w:pPr>
              <w:widowControl/>
              <w:jc w:val="center"/>
              <w:rPr>
                <w:rFonts w:hint="eastAsia" w:ascii="宋体" w:hAnsi="宋体" w:eastAsia="宋体" w:cs="宋体"/>
                <w:color w:val="000000"/>
                <w:kern w:val="0"/>
                <w:sz w:val="24"/>
                <w:lang w:eastAsia="zh-CN"/>
              </w:rPr>
            </w:pPr>
            <w:r>
              <w:rPr>
                <w:rFonts w:hint="eastAsia" w:ascii="宋体" w:hAnsi="宋体" w:cs="宋体"/>
                <w:color w:val="000000"/>
                <w:kern w:val="0"/>
                <w:sz w:val="24"/>
                <w:lang w:eastAsia="zh-CN"/>
              </w:rPr>
              <w:t>否</w:t>
            </w:r>
          </w:p>
        </w:tc>
      </w:tr>
      <w:tr w14:paraId="0CD14A76">
        <w:tblPrEx>
          <w:tblCellMar>
            <w:top w:w="0" w:type="dxa"/>
            <w:left w:w="108" w:type="dxa"/>
            <w:bottom w:w="0" w:type="dxa"/>
            <w:right w:w="108" w:type="dxa"/>
          </w:tblCellMar>
        </w:tblPrEx>
        <w:trPr>
          <w:trHeight w:val="445" w:hRule="atLeast"/>
        </w:trPr>
        <w:tc>
          <w:tcPr>
            <w:tcW w:w="833" w:type="dxa"/>
            <w:vMerge w:val="continue"/>
            <w:tcBorders>
              <w:left w:val="single" w:color="auto" w:sz="4" w:space="0"/>
              <w:right w:val="single" w:color="auto" w:sz="4" w:space="0"/>
            </w:tcBorders>
            <w:vAlign w:val="center"/>
          </w:tcPr>
          <w:p w14:paraId="4A3ACE61">
            <w:pPr>
              <w:widowControl/>
              <w:jc w:val="center"/>
              <w:rPr>
                <w:rFonts w:hint="eastAsia" w:ascii="宋体" w:hAnsi="宋体" w:cs="宋体"/>
                <w:color w:val="000000"/>
                <w:kern w:val="0"/>
                <w:sz w:val="24"/>
              </w:rPr>
            </w:pPr>
          </w:p>
        </w:tc>
        <w:tc>
          <w:tcPr>
            <w:tcW w:w="2467" w:type="dxa"/>
            <w:vMerge w:val="continue"/>
            <w:tcBorders>
              <w:left w:val="nil"/>
              <w:right w:val="single" w:color="auto" w:sz="4" w:space="0"/>
            </w:tcBorders>
            <w:vAlign w:val="center"/>
          </w:tcPr>
          <w:p w14:paraId="1D86A990">
            <w:pPr>
              <w:widowControl/>
              <w:jc w:val="center"/>
              <w:textAlignment w:val="center"/>
              <w:rPr>
                <w:rFonts w:hint="eastAsia" w:ascii="宋体" w:hAnsi="宋体" w:cs="宋体"/>
                <w:color w:val="000000"/>
                <w:kern w:val="0"/>
                <w:sz w:val="24"/>
              </w:rPr>
            </w:pPr>
          </w:p>
        </w:tc>
        <w:tc>
          <w:tcPr>
            <w:tcW w:w="2617" w:type="dxa"/>
            <w:tcBorders>
              <w:top w:val="single" w:color="auto" w:sz="4" w:space="0"/>
              <w:left w:val="nil"/>
              <w:bottom w:val="single" w:color="auto" w:sz="4" w:space="0"/>
              <w:right w:val="single" w:color="auto" w:sz="4" w:space="0"/>
            </w:tcBorders>
            <w:vAlign w:val="center"/>
          </w:tcPr>
          <w:p w14:paraId="4380CA97">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根管治疗马达</w:t>
            </w:r>
          </w:p>
        </w:tc>
        <w:tc>
          <w:tcPr>
            <w:tcW w:w="1033" w:type="dxa"/>
            <w:vMerge w:val="continue"/>
            <w:tcBorders>
              <w:left w:val="nil"/>
              <w:right w:val="single" w:color="auto" w:sz="4" w:space="0"/>
            </w:tcBorders>
            <w:vAlign w:val="center"/>
          </w:tcPr>
          <w:p w14:paraId="35C5A334">
            <w:pPr>
              <w:widowControl/>
              <w:jc w:val="center"/>
              <w:textAlignment w:val="center"/>
              <w:rPr>
                <w:rFonts w:hint="eastAsia" w:ascii="宋体" w:hAnsi="宋体" w:cs="宋体"/>
                <w:color w:val="000000"/>
                <w:kern w:val="0"/>
                <w:sz w:val="24"/>
              </w:rPr>
            </w:pPr>
          </w:p>
        </w:tc>
        <w:tc>
          <w:tcPr>
            <w:tcW w:w="867" w:type="dxa"/>
            <w:tcBorders>
              <w:top w:val="single" w:color="auto" w:sz="4" w:space="0"/>
              <w:left w:val="nil"/>
              <w:bottom w:val="single" w:color="auto" w:sz="4" w:space="0"/>
              <w:right w:val="single" w:color="auto" w:sz="4" w:space="0"/>
            </w:tcBorders>
            <w:vAlign w:val="center"/>
          </w:tcPr>
          <w:p w14:paraId="16756BE6">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w:t>
            </w:r>
          </w:p>
        </w:tc>
        <w:tc>
          <w:tcPr>
            <w:tcW w:w="1133" w:type="dxa"/>
            <w:tcBorders>
              <w:top w:val="single" w:color="auto" w:sz="4" w:space="0"/>
              <w:left w:val="nil"/>
              <w:bottom w:val="single" w:color="auto" w:sz="4" w:space="0"/>
              <w:right w:val="single" w:color="auto" w:sz="4" w:space="0"/>
            </w:tcBorders>
            <w:vAlign w:val="center"/>
          </w:tcPr>
          <w:p w14:paraId="3B6E559A">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1.00</w:t>
            </w:r>
          </w:p>
        </w:tc>
        <w:tc>
          <w:tcPr>
            <w:tcW w:w="1000" w:type="dxa"/>
            <w:tcBorders>
              <w:top w:val="single" w:color="auto" w:sz="4" w:space="0"/>
              <w:left w:val="nil"/>
              <w:bottom w:val="single" w:color="auto" w:sz="4" w:space="0"/>
              <w:right w:val="single" w:color="auto" w:sz="4" w:space="0"/>
            </w:tcBorders>
            <w:vAlign w:val="center"/>
          </w:tcPr>
          <w:p w14:paraId="2D8F4317">
            <w:pPr>
              <w:widowControl/>
              <w:jc w:val="center"/>
              <w:rPr>
                <w:rFonts w:hint="eastAsia" w:ascii="宋体" w:hAnsi="宋体" w:cs="宋体"/>
                <w:color w:val="000000"/>
                <w:kern w:val="0"/>
                <w:sz w:val="24"/>
              </w:rPr>
            </w:pPr>
            <w:r>
              <w:rPr>
                <w:rFonts w:hint="eastAsia" w:ascii="宋体" w:hAnsi="宋体" w:cs="宋体"/>
                <w:color w:val="000000"/>
                <w:kern w:val="0"/>
                <w:sz w:val="24"/>
                <w:lang w:eastAsia="zh-CN"/>
              </w:rPr>
              <w:t>否</w:t>
            </w:r>
          </w:p>
        </w:tc>
      </w:tr>
      <w:tr w14:paraId="4C4B26B8">
        <w:tblPrEx>
          <w:tblCellMar>
            <w:top w:w="0" w:type="dxa"/>
            <w:left w:w="108" w:type="dxa"/>
            <w:bottom w:w="0" w:type="dxa"/>
            <w:right w:w="108" w:type="dxa"/>
          </w:tblCellMar>
        </w:tblPrEx>
        <w:trPr>
          <w:trHeight w:val="445" w:hRule="atLeast"/>
        </w:trPr>
        <w:tc>
          <w:tcPr>
            <w:tcW w:w="833" w:type="dxa"/>
            <w:vMerge w:val="continue"/>
            <w:tcBorders>
              <w:left w:val="single" w:color="auto" w:sz="4" w:space="0"/>
              <w:bottom w:val="single" w:color="auto" w:sz="4" w:space="0"/>
              <w:right w:val="single" w:color="auto" w:sz="4" w:space="0"/>
            </w:tcBorders>
            <w:vAlign w:val="center"/>
          </w:tcPr>
          <w:p w14:paraId="4FCD2274">
            <w:pPr>
              <w:widowControl/>
              <w:jc w:val="center"/>
              <w:rPr>
                <w:rFonts w:hint="eastAsia" w:ascii="宋体" w:hAnsi="宋体" w:cs="宋体"/>
                <w:color w:val="000000"/>
                <w:kern w:val="0"/>
                <w:sz w:val="24"/>
              </w:rPr>
            </w:pPr>
          </w:p>
        </w:tc>
        <w:tc>
          <w:tcPr>
            <w:tcW w:w="2467" w:type="dxa"/>
            <w:vMerge w:val="continue"/>
            <w:tcBorders>
              <w:left w:val="nil"/>
              <w:bottom w:val="single" w:color="auto" w:sz="4" w:space="0"/>
              <w:right w:val="single" w:color="auto" w:sz="4" w:space="0"/>
            </w:tcBorders>
            <w:vAlign w:val="center"/>
          </w:tcPr>
          <w:p w14:paraId="25980517">
            <w:pPr>
              <w:widowControl/>
              <w:jc w:val="center"/>
              <w:textAlignment w:val="center"/>
              <w:rPr>
                <w:rFonts w:hint="eastAsia" w:ascii="宋体" w:hAnsi="宋体" w:cs="宋体"/>
                <w:color w:val="000000"/>
                <w:kern w:val="0"/>
                <w:sz w:val="24"/>
              </w:rPr>
            </w:pPr>
          </w:p>
        </w:tc>
        <w:tc>
          <w:tcPr>
            <w:tcW w:w="2617" w:type="dxa"/>
            <w:tcBorders>
              <w:top w:val="single" w:color="auto" w:sz="4" w:space="0"/>
              <w:left w:val="nil"/>
              <w:bottom w:val="single" w:color="auto" w:sz="4" w:space="0"/>
              <w:right w:val="single" w:color="auto" w:sz="4" w:space="0"/>
            </w:tcBorders>
            <w:vAlign w:val="center"/>
          </w:tcPr>
          <w:p w14:paraId="368D520B">
            <w:pPr>
              <w:keepNext w:val="0"/>
              <w:keepLines w:val="0"/>
              <w:widowControl/>
              <w:suppressLineNumbers w:val="0"/>
              <w:jc w:val="center"/>
              <w:textAlignment w:val="center"/>
              <w:rPr>
                <w:rFonts w:hint="eastAsia" w:ascii="宋体" w:hAnsi="宋体" w:cs="宋体"/>
                <w:color w:val="000000"/>
                <w:kern w:val="0"/>
                <w:sz w:val="24"/>
                <w:lang w:bidi="ar"/>
              </w:rPr>
            </w:pPr>
            <w:bookmarkStart w:id="2" w:name="_GoBack"/>
            <w:r>
              <w:rPr>
                <w:rFonts w:hint="eastAsia" w:ascii="宋体" w:hAnsi="宋体" w:eastAsia="宋体" w:cs="宋体"/>
                <w:i w:val="0"/>
                <w:iCs w:val="0"/>
                <w:color w:val="000000"/>
                <w:kern w:val="0"/>
                <w:sz w:val="24"/>
                <w:szCs w:val="24"/>
                <w:u w:val="none"/>
                <w:lang w:val="en-US" w:eastAsia="zh-CN" w:bidi="ar"/>
              </w:rPr>
              <w:t>医用冷藏冷冻箱</w:t>
            </w:r>
            <w:bookmarkEnd w:id="2"/>
          </w:p>
        </w:tc>
        <w:tc>
          <w:tcPr>
            <w:tcW w:w="1033" w:type="dxa"/>
            <w:vMerge w:val="continue"/>
            <w:tcBorders>
              <w:left w:val="nil"/>
              <w:bottom w:val="single" w:color="auto" w:sz="4" w:space="0"/>
              <w:right w:val="single" w:color="auto" w:sz="4" w:space="0"/>
            </w:tcBorders>
            <w:vAlign w:val="center"/>
          </w:tcPr>
          <w:p w14:paraId="7FD9DC02">
            <w:pPr>
              <w:widowControl/>
              <w:jc w:val="center"/>
              <w:textAlignment w:val="center"/>
              <w:rPr>
                <w:rFonts w:hint="eastAsia" w:ascii="宋体" w:hAnsi="宋体" w:cs="宋体"/>
                <w:color w:val="000000"/>
                <w:kern w:val="0"/>
                <w:sz w:val="24"/>
              </w:rPr>
            </w:pPr>
          </w:p>
        </w:tc>
        <w:tc>
          <w:tcPr>
            <w:tcW w:w="867" w:type="dxa"/>
            <w:tcBorders>
              <w:top w:val="single" w:color="auto" w:sz="4" w:space="0"/>
              <w:left w:val="nil"/>
              <w:bottom w:val="single" w:color="auto" w:sz="4" w:space="0"/>
              <w:right w:val="single" w:color="auto" w:sz="4" w:space="0"/>
            </w:tcBorders>
            <w:vAlign w:val="center"/>
          </w:tcPr>
          <w:p w14:paraId="3B4AD573">
            <w:pPr>
              <w:keepNext w:val="0"/>
              <w:keepLines w:val="0"/>
              <w:widowControl/>
              <w:suppressLineNumbers w:val="0"/>
              <w:jc w:val="center"/>
              <w:textAlignment w:val="center"/>
              <w:rPr>
                <w:rFonts w:hint="eastAsia" w:ascii="宋体" w:hAnsi="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1</w:t>
            </w:r>
          </w:p>
        </w:tc>
        <w:tc>
          <w:tcPr>
            <w:tcW w:w="1133" w:type="dxa"/>
            <w:tcBorders>
              <w:top w:val="single" w:color="auto" w:sz="4" w:space="0"/>
              <w:left w:val="nil"/>
              <w:bottom w:val="single" w:color="auto" w:sz="4" w:space="0"/>
              <w:right w:val="single" w:color="auto" w:sz="4" w:space="0"/>
            </w:tcBorders>
            <w:vAlign w:val="center"/>
          </w:tcPr>
          <w:p w14:paraId="392B3609">
            <w:pPr>
              <w:keepNext w:val="0"/>
              <w:keepLines w:val="0"/>
              <w:widowControl/>
              <w:suppressLineNumbers w:val="0"/>
              <w:jc w:val="center"/>
              <w:textAlignment w:val="center"/>
              <w:rPr>
                <w:rFonts w:hint="eastAsia" w:ascii="宋体" w:hAnsi="宋体" w:cs="宋体"/>
                <w:color w:val="000000"/>
                <w:kern w:val="0"/>
                <w:sz w:val="24"/>
                <w:lang w:bidi="ar"/>
              </w:rPr>
            </w:pPr>
            <w:r>
              <w:rPr>
                <w:rFonts w:hint="eastAsia" w:ascii="宋体" w:hAnsi="宋体" w:eastAsia="宋体" w:cs="宋体"/>
                <w:i w:val="0"/>
                <w:iCs w:val="0"/>
                <w:color w:val="000000"/>
                <w:kern w:val="0"/>
                <w:sz w:val="24"/>
                <w:szCs w:val="24"/>
                <w:u w:val="none"/>
                <w:lang w:val="en-US" w:eastAsia="zh-CN" w:bidi="ar"/>
              </w:rPr>
              <w:t>0.75</w:t>
            </w:r>
          </w:p>
        </w:tc>
        <w:tc>
          <w:tcPr>
            <w:tcW w:w="1000" w:type="dxa"/>
            <w:tcBorders>
              <w:top w:val="single" w:color="auto" w:sz="4" w:space="0"/>
              <w:left w:val="nil"/>
              <w:bottom w:val="single" w:color="auto" w:sz="4" w:space="0"/>
              <w:right w:val="single" w:color="auto" w:sz="4" w:space="0"/>
            </w:tcBorders>
            <w:vAlign w:val="center"/>
          </w:tcPr>
          <w:p w14:paraId="7A513AB6">
            <w:pPr>
              <w:widowControl/>
              <w:jc w:val="center"/>
              <w:rPr>
                <w:rFonts w:hint="eastAsia" w:ascii="宋体" w:hAnsi="宋体" w:cs="宋体"/>
                <w:color w:val="000000"/>
                <w:kern w:val="0"/>
                <w:sz w:val="24"/>
              </w:rPr>
            </w:pPr>
            <w:r>
              <w:rPr>
                <w:rFonts w:hint="eastAsia" w:ascii="宋体" w:hAnsi="宋体" w:cs="宋体"/>
                <w:color w:val="000000"/>
                <w:kern w:val="0"/>
                <w:sz w:val="24"/>
                <w:lang w:eastAsia="zh-CN"/>
              </w:rPr>
              <w:t>否</w:t>
            </w:r>
          </w:p>
        </w:tc>
      </w:tr>
    </w:tbl>
    <w:p w14:paraId="0F77CB4D">
      <w:pPr>
        <w:pStyle w:val="7"/>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560BBDC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65744E42">
      <w:pPr>
        <w:pStyle w:val="3"/>
        <w:spacing w:line="360" w:lineRule="auto"/>
        <w:ind w:firstLine="480" w:firstLineChars="200"/>
        <w:rPr>
          <w:rFonts w:hint="eastAsia" w:hAnsi="宋体" w:cs="宋体"/>
          <w:bCs/>
          <w:highlight w:val="none"/>
        </w:rPr>
      </w:pPr>
      <w:r>
        <w:rPr>
          <w:rFonts w:hint="eastAsia" w:hAnsi="宋体" w:cs="宋体"/>
          <w:bCs/>
          <w:highlight w:val="none"/>
        </w:rPr>
        <w:t>1.交货时间：自合同签订之日起30日内交货并完成安装、调试。</w:t>
      </w:r>
    </w:p>
    <w:p w14:paraId="1CDDC28F">
      <w:pPr>
        <w:pStyle w:val="3"/>
        <w:spacing w:line="360" w:lineRule="auto"/>
        <w:ind w:firstLine="480" w:firstLineChars="200"/>
        <w:rPr>
          <w:rFonts w:hint="eastAsia" w:hAnsi="宋体" w:cs="宋体"/>
          <w:bCs/>
          <w:highlight w:val="none"/>
        </w:rPr>
      </w:pPr>
      <w:r>
        <w:rPr>
          <w:rFonts w:hint="eastAsia" w:hAnsi="宋体" w:cs="宋体"/>
          <w:bCs/>
          <w:highlight w:val="none"/>
        </w:rPr>
        <w:t>2.交货地点：采购人指定地点</w:t>
      </w:r>
    </w:p>
    <w:p w14:paraId="519AE374">
      <w:pPr>
        <w:spacing w:line="360" w:lineRule="auto"/>
        <w:ind w:firstLine="482" w:firstLineChars="200"/>
        <w:contextualSpacing/>
        <w:jc w:val="left"/>
        <w:rPr>
          <w:rFonts w:hint="eastAsia" w:ascii="宋体" w:hAnsi="宋体" w:cs="宋体"/>
          <w:sz w:val="24"/>
          <w:highlight w:val="none"/>
        </w:rPr>
      </w:pPr>
      <w:r>
        <w:rPr>
          <w:rFonts w:hint="eastAsia" w:ascii="宋体" w:hAnsi="宋体" w:cs="宋体"/>
          <w:b/>
          <w:sz w:val="24"/>
          <w:highlight w:val="none"/>
        </w:rPr>
        <w:t>（二）付款条件（进度和方式）：</w:t>
      </w:r>
      <w:r>
        <w:rPr>
          <w:rFonts w:hint="eastAsia" w:ascii="宋体" w:hAnsi="宋体" w:cs="宋体"/>
          <w:bCs/>
          <w:sz w:val="24"/>
          <w:highlight w:val="none"/>
        </w:rPr>
        <w:t>见第六章拟签订的合同文本</w:t>
      </w:r>
    </w:p>
    <w:p w14:paraId="1B4E5C20">
      <w:pPr>
        <w:pStyle w:val="6"/>
        <w:tabs>
          <w:tab w:val="right" w:leader="dot" w:pos="8937"/>
          <w:tab w:val="clear" w:pos="8302"/>
        </w:tabs>
        <w:spacing w:line="360" w:lineRule="auto"/>
        <w:ind w:left="0" w:leftChars="0" w:firstLine="482" w:firstLineChars="200"/>
        <w:jc w:val="left"/>
        <w:rPr>
          <w:rFonts w:hint="eastAsia" w:ascii="宋体" w:hAnsi="宋体" w:cs="宋体"/>
          <w:sz w:val="24"/>
          <w:highlight w:val="none"/>
        </w:rPr>
      </w:pPr>
      <w:r>
        <w:rPr>
          <w:rFonts w:hint="eastAsia" w:ascii="宋体" w:hAnsi="宋体" w:cs="宋体"/>
          <w:b/>
          <w:bCs/>
          <w:sz w:val="24"/>
          <w:highlight w:val="none"/>
        </w:rPr>
        <w:t>（三）包装和运输</w:t>
      </w:r>
      <w:r>
        <w:rPr>
          <w:rFonts w:hint="eastAsia" w:ascii="宋体" w:hAnsi="宋体" w:cs="宋体"/>
          <w:sz w:val="24"/>
          <w:highlight w:val="none"/>
        </w:rPr>
        <w:t>（如适用，须满足《关于印发〈商品包装政府采购需求标准（试行）〉、〈快递包装政府采购需求标准（试行）〉的通知》（财办库﹝2020﹞123号））</w:t>
      </w:r>
    </w:p>
    <w:p w14:paraId="527412A4">
      <w:pPr>
        <w:pStyle w:val="6"/>
        <w:tabs>
          <w:tab w:val="right" w:leader="dot" w:pos="8937"/>
          <w:tab w:val="clear" w:pos="8302"/>
        </w:tabs>
        <w:spacing w:line="360" w:lineRule="auto"/>
        <w:ind w:left="0" w:leftChars="0" w:firstLine="482" w:firstLineChars="200"/>
        <w:rPr>
          <w:rFonts w:hint="eastAsia" w:ascii="宋体" w:hAnsi="宋体" w:cs="宋体"/>
          <w:b/>
          <w:bCs/>
          <w:sz w:val="24"/>
          <w:highlight w:val="none"/>
        </w:rPr>
      </w:pPr>
      <w:r>
        <w:rPr>
          <w:rFonts w:hint="eastAsia" w:ascii="宋体" w:hAnsi="宋体" w:cs="宋体"/>
          <w:b/>
          <w:bCs/>
          <w:sz w:val="24"/>
          <w:highlight w:val="none"/>
        </w:rPr>
        <w:t>（四）售后服务</w:t>
      </w:r>
    </w:p>
    <w:p w14:paraId="56E84C25">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★1.质量保证期（保修期）及服务要求：</w:t>
      </w:r>
    </w:p>
    <w:p w14:paraId="62F74ABB">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★1.1整机质保3年。保证8年配件供应，提供主要配件价格清单。（如技术要求中规定的质保年限大于3年 则以技术要求中规定的质保年限为准），投标人须提供原厂或代理商售后服务承诺函并加盖公章。</w:t>
      </w:r>
    </w:p>
    <w:p w14:paraId="187A3619">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1.2售后服务应符合以下要求；①每季度巡检1次，进行全面检修，并提供检修检测记录。②负责医院使用、维修人员培训工作。提供中文使用、维修手册。③提供一次免费移机及移机后安装调试服务。④接到设备报修电话，24小时内技术人员到场维修。维修周期超过72小时，须提供备用机（件）。⑤如包内技术要求中有其它需求的，按包内要求执行。</w:t>
      </w:r>
    </w:p>
    <w:p w14:paraId="181C613B">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★1.3依据医院需求，配合完成设备管理工作。需计量检验，质量检验等强检设备，安装使用前需要到指定部门进行检验并取得证书。首次检验费用由</w:t>
      </w:r>
      <w:r>
        <w:rPr>
          <w:rFonts w:hint="eastAsia" w:ascii="宋体" w:hAnsi="宋体" w:cs="宋体"/>
          <w:sz w:val="24"/>
          <w:highlight w:val="none"/>
          <w:lang w:val="en-US" w:eastAsia="zh-CN"/>
        </w:rPr>
        <w:t>供应商</w:t>
      </w:r>
      <w:r>
        <w:rPr>
          <w:rFonts w:hint="eastAsia" w:ascii="宋体" w:hAnsi="宋体" w:cs="宋体"/>
          <w:sz w:val="24"/>
          <w:highlight w:val="none"/>
        </w:rPr>
        <w:t>承担。</w:t>
      </w:r>
    </w:p>
    <w:p w14:paraId="751E9C6C">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 xml:space="preserve">★1.4采购标的的设计使用年限不得低于六年。 </w:t>
      </w:r>
    </w:p>
    <w:p w14:paraId="317AC31E">
      <w:pPr>
        <w:pStyle w:val="6"/>
        <w:tabs>
          <w:tab w:val="right" w:leader="dot" w:pos="8937"/>
          <w:tab w:val="clear" w:pos="8302"/>
        </w:tabs>
        <w:spacing w:line="360" w:lineRule="auto"/>
        <w:ind w:left="0" w:leftChars="0" w:firstLine="482" w:firstLineChars="200"/>
        <w:rPr>
          <w:rFonts w:hint="eastAsia" w:ascii="宋体" w:hAnsi="宋体" w:cs="宋体"/>
          <w:b/>
          <w:bCs/>
          <w:sz w:val="24"/>
          <w:highlight w:val="none"/>
        </w:rPr>
      </w:pPr>
      <w:r>
        <w:rPr>
          <w:rFonts w:hint="eastAsia" w:ascii="宋体" w:hAnsi="宋体" w:cs="宋体"/>
          <w:b/>
          <w:bCs/>
          <w:sz w:val="24"/>
          <w:highlight w:val="none"/>
          <w:lang w:eastAsia="zh-CN"/>
        </w:rPr>
        <w:t>（</w:t>
      </w:r>
      <w:r>
        <w:rPr>
          <w:rFonts w:hint="eastAsia" w:ascii="宋体" w:hAnsi="宋体" w:cs="宋体"/>
          <w:b/>
          <w:bCs/>
          <w:sz w:val="24"/>
          <w:highlight w:val="none"/>
          <w:lang w:val="en-US" w:eastAsia="zh-CN"/>
        </w:rPr>
        <w:t>五</w:t>
      </w:r>
      <w:r>
        <w:rPr>
          <w:rFonts w:hint="eastAsia" w:ascii="宋体" w:hAnsi="宋体" w:cs="宋体"/>
          <w:b/>
          <w:bCs/>
          <w:sz w:val="24"/>
          <w:highlight w:val="none"/>
          <w:lang w:eastAsia="zh-CN"/>
        </w:rPr>
        <w:t>）</w:t>
      </w:r>
      <w:r>
        <w:rPr>
          <w:rFonts w:hint="eastAsia" w:ascii="宋体" w:hAnsi="宋体" w:cs="宋体"/>
          <w:b/>
          <w:bCs/>
          <w:sz w:val="24"/>
          <w:highlight w:val="none"/>
        </w:rPr>
        <w:t>采购标的物验收标准</w:t>
      </w:r>
    </w:p>
    <w:p w14:paraId="76977F59">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69A02316">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2.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629D7C63">
      <w:pPr>
        <w:pStyle w:val="6"/>
        <w:tabs>
          <w:tab w:val="right" w:leader="dot" w:pos="8937"/>
          <w:tab w:val="clear" w:pos="8302"/>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3.投标人应负责使所供计量仪器通过计量部门的验收，并承担相关费用（包括运费）。若需要，应在检测期间提供备用仪器，以便不影响采购人的使用。</w:t>
      </w:r>
    </w:p>
    <w:p w14:paraId="61EC8EDB">
      <w:pPr>
        <w:pStyle w:val="3"/>
        <w:spacing w:line="360" w:lineRule="auto"/>
        <w:ind w:firstLine="482" w:firstLineChars="200"/>
        <w:rPr>
          <w:rFonts w:hint="eastAsia" w:hAnsi="宋体" w:cs="宋体"/>
          <w:bCs/>
          <w:highlight w:val="none"/>
          <w:u w:val="single"/>
        </w:rPr>
      </w:pPr>
      <w:r>
        <w:rPr>
          <w:rFonts w:hint="eastAsia" w:hAnsi="宋体" w:cs="宋体"/>
          <w:b/>
          <w:bCs/>
          <w:highlight w:val="none"/>
        </w:rPr>
        <w:t>（六）保险：</w:t>
      </w:r>
      <w:r>
        <w:rPr>
          <w:rFonts w:hint="eastAsia" w:hAnsi="宋体" w:cs="宋体"/>
          <w:highlight w:val="none"/>
        </w:rPr>
        <w:t>如果货物是按现场交货方式或工厂交货方式报价的，由卖方办理保险，按照发票金额的110％办理“一切险”，保险范围包括卖方承诺装运的货物；如果货物是按买方自提货物方式报价的，其保险由买方办理。</w:t>
      </w:r>
    </w:p>
    <w:p w14:paraId="28370222">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三、技术要求</w:t>
      </w:r>
    </w:p>
    <w:p w14:paraId="2EE8071A">
      <w:pPr>
        <w:spacing w:line="360" w:lineRule="auto"/>
        <w:ind w:firstLine="482" w:firstLineChars="200"/>
        <w:contextualSpacing/>
        <w:rPr>
          <w:rFonts w:hint="eastAsia" w:ascii="宋体" w:hAnsi="宋体" w:cs="宋体"/>
          <w:b/>
          <w:bCs/>
          <w:sz w:val="24"/>
          <w:highlight w:val="none"/>
        </w:rPr>
      </w:pPr>
      <w:r>
        <w:rPr>
          <w:rFonts w:hint="eastAsia" w:ascii="宋体" w:hAnsi="宋体" w:cs="宋体"/>
          <w:b/>
          <w:bCs/>
          <w:sz w:val="24"/>
          <w:highlight w:val="none"/>
        </w:rPr>
        <w:t>（一）基本要求</w:t>
      </w:r>
    </w:p>
    <w:p w14:paraId="1C7EFB4A">
      <w:pPr>
        <w:spacing w:line="360" w:lineRule="auto"/>
        <w:ind w:firstLine="480" w:firstLineChars="200"/>
        <w:contextualSpacing/>
        <w:rPr>
          <w:rFonts w:hint="eastAsia" w:ascii="宋体" w:hAnsi="宋体"/>
          <w:sz w:val="24"/>
          <w:highlight w:val="none"/>
        </w:rPr>
      </w:pPr>
      <w:r>
        <w:rPr>
          <w:rFonts w:hint="eastAsia" w:ascii="宋体" w:hAnsi="宋体"/>
          <w:sz w:val="24"/>
          <w:highlight w:val="none"/>
        </w:rPr>
        <w:t>1.采购标的需实现的功能或者目标</w:t>
      </w:r>
    </w:p>
    <w:p w14:paraId="2F752C87">
      <w:pPr>
        <w:spacing w:line="360" w:lineRule="auto"/>
        <w:ind w:firstLine="480" w:firstLineChars="200"/>
        <w:contextualSpacing/>
        <w:rPr>
          <w:rFonts w:hint="eastAsia" w:ascii="宋体" w:hAnsi="宋体"/>
          <w:sz w:val="24"/>
          <w:highlight w:val="none"/>
        </w:rPr>
      </w:pPr>
      <w:r>
        <w:rPr>
          <w:rFonts w:hint="eastAsia" w:ascii="宋体" w:hAnsi="宋体"/>
          <w:sz w:val="24"/>
          <w:highlight w:val="none"/>
        </w:rPr>
        <w:t>本次采购是“</w:t>
      </w:r>
      <w:r>
        <w:rPr>
          <w:rFonts w:hint="eastAsia" w:ascii="宋体" w:hAnsi="宋体"/>
          <w:sz w:val="24"/>
          <w:highlight w:val="none"/>
          <w:lang w:eastAsia="zh-CN"/>
        </w:rPr>
        <w:t>2026口腔医院医用设备购置项目(第二批)</w:t>
      </w:r>
      <w:r>
        <w:rPr>
          <w:rFonts w:hint="eastAsia" w:ascii="宋体" w:hAnsi="宋体"/>
          <w:sz w:val="24"/>
          <w:highlight w:val="none"/>
        </w:rPr>
        <w:t>”，供应商应根据招标文件所提出的设备技术规格和服务要求，以满足招标文件要求的产品、优良的货物和优惠的价格，充分显示自己的竞争实力。</w:t>
      </w:r>
    </w:p>
    <w:p w14:paraId="10248FCF">
      <w:pPr>
        <w:spacing w:line="360" w:lineRule="auto"/>
        <w:ind w:firstLine="482" w:firstLineChars="200"/>
        <w:contextualSpacing/>
        <w:rPr>
          <w:rFonts w:hint="eastAsia" w:ascii="宋体" w:hAnsi="宋体" w:cs="宋体"/>
          <w:b/>
          <w:bCs/>
          <w:sz w:val="24"/>
          <w:highlight w:val="none"/>
        </w:rPr>
      </w:pPr>
      <w:r>
        <w:rPr>
          <w:rFonts w:hint="eastAsia" w:ascii="宋体" w:hAnsi="宋体" w:cs="宋体"/>
          <w:b/>
          <w:bCs/>
          <w:sz w:val="24"/>
          <w:highlight w:val="none"/>
        </w:rPr>
        <w:t>2.需满足国家相关标准、行业标准、地方标准或者其他标准、规范：</w:t>
      </w:r>
    </w:p>
    <w:p w14:paraId="52E39FE7">
      <w:pPr>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★2.1投标产品属于医疗器械的，应按原国家食品药品监督管理总局颁发的《医疗器械注册管理办法》，办理医疗器械注册证或者办理备案，投标人须提供医疗器械注册证复印件或备案凭证加盖单位公章。</w:t>
      </w:r>
    </w:p>
    <w:p w14:paraId="35524854">
      <w:pPr>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★2.2如投标人为代理商，所投投标产品为国产医疗器械的，应按原国家食品药品监督管理总局颁发的《医疗器械生产监督管理办法》，还应提供制造厂商有效的医疗器械生产资格证明文件复印件加盖单位公章。</w:t>
      </w:r>
    </w:p>
    <w:p w14:paraId="2F625C8D">
      <w:pPr>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2.3投标产品及制造商应符合国家有关部门规定的相应技术法规及标准，如国家有关部门对投标产品或其制造商有强制性规定或要求的，投标产品或其制造商必须符合相应规定或要求。</w:t>
      </w:r>
    </w:p>
    <w:p w14:paraId="71BBD816">
      <w:pPr>
        <w:spacing w:line="360" w:lineRule="auto"/>
        <w:ind w:firstLine="482" w:firstLineChars="200"/>
        <w:jc w:val="left"/>
        <w:rPr>
          <w:rFonts w:hint="eastAsia" w:ascii="宋体" w:hAnsi="宋体" w:cs="宋体"/>
          <w:b/>
          <w:bCs/>
          <w:sz w:val="24"/>
        </w:rPr>
      </w:pPr>
      <w:r>
        <w:rPr>
          <w:rFonts w:hint="eastAsia" w:ascii="宋体" w:hAnsi="宋体" w:cs="宋体"/>
          <w:b/>
          <w:bCs/>
          <w:sz w:val="24"/>
        </w:rPr>
        <w:t>（二）具体要求</w:t>
      </w:r>
    </w:p>
    <w:p w14:paraId="706D742F">
      <w:pPr>
        <w:pStyle w:val="2"/>
        <w:spacing w:before="0" w:after="0" w:line="360" w:lineRule="auto"/>
        <w:ind w:firstLine="482" w:firstLineChars="200"/>
        <w:rPr>
          <w:rFonts w:hint="eastAsia"/>
        </w:rPr>
      </w:pPr>
      <w:bookmarkStart w:id="0" w:name="OLE_LINK7"/>
      <w:bookmarkStart w:id="1" w:name="OLE_LINK8"/>
      <w:r>
        <w:rPr>
          <w:rFonts w:hint="eastAsia"/>
        </w:rPr>
        <w:t>01包：</w:t>
      </w:r>
      <w:r>
        <w:rPr>
          <w:rFonts w:hint="eastAsia"/>
        </w:rPr>
        <w:tab/>
      </w:r>
    </w:p>
    <w:p w14:paraId="06DF75C4">
      <w:pPr>
        <w:pStyle w:val="4"/>
        <w:ind w:firstLine="482" w:firstLineChars="200"/>
        <w:jc w:val="left"/>
        <w:rPr>
          <w:rFonts w:hint="eastAsia"/>
        </w:rPr>
      </w:pPr>
      <w:r>
        <w:rPr>
          <w:rFonts w:hint="eastAsia"/>
        </w:rPr>
        <w:t>标的名称1：超声手术刀系统</w:t>
      </w:r>
    </w:p>
    <w:p w14:paraId="7F95FE45">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主机特征：</w:t>
      </w:r>
    </w:p>
    <w:p w14:paraId="02CC974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1主机工作电源:AC 220V  50Hz，输入功率:≥120VA。</w:t>
      </w:r>
    </w:p>
    <w:p w14:paraId="268F9A3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2</w:t>
      </w:r>
      <w:r>
        <w:rPr>
          <w:rFonts w:hint="eastAsia" w:ascii="宋体" w:hAnsi="宋体" w:eastAsia="宋体" w:cs="宋体"/>
          <w:kern w:val="0"/>
          <w:lang w:val="zh-CN" w:eastAsia="zh-CN"/>
        </w:rPr>
        <w:t>主机具备彩色触摸屏、</w:t>
      </w:r>
      <w:r>
        <w:rPr>
          <w:rFonts w:hint="eastAsia" w:ascii="宋体" w:hAnsi="宋体" w:eastAsia="宋体" w:cs="宋体"/>
          <w:kern w:val="0"/>
          <w:lang w:eastAsia="zh-CN"/>
        </w:rPr>
        <w:t>具有主机、手柄和刀头的自动化故障检测功能，具备文字提示。</w:t>
      </w:r>
    </w:p>
    <w:p w14:paraId="354BCA3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val="zh-CN"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3</w:t>
      </w:r>
      <w:r>
        <w:rPr>
          <w:rFonts w:hint="eastAsia" w:ascii="宋体" w:hAnsi="宋体" w:eastAsia="宋体" w:cs="宋体"/>
          <w:kern w:val="0"/>
          <w:lang w:val="zh-CN" w:eastAsia="zh-CN"/>
        </w:rPr>
        <w:t xml:space="preserve">主机显示工作状态有颜色变化。 </w:t>
      </w:r>
    </w:p>
    <w:p w14:paraId="436C1104">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 xml:space="preserve">4主机输出功率档位≥5档。控制方式：手控和脚控。可通过主机界面调整输出功率大小和控制方式。 </w:t>
      </w:r>
    </w:p>
    <w:p w14:paraId="1940EF6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5输出过程应伴有声音提示。</w:t>
      </w:r>
    </w:p>
    <w:p w14:paraId="55EBC4B5">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6重量≤3Kg。</w:t>
      </w:r>
    </w:p>
    <w:p w14:paraId="309C175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超声刀刀头：</w:t>
      </w:r>
    </w:p>
    <w:p w14:paraId="51D1BAC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1刀头机械振动频率为:55kHz±1kHz。</w:t>
      </w:r>
    </w:p>
    <w:p w14:paraId="63029D4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2刀头振动幅度:50～100μm。</w:t>
      </w:r>
    </w:p>
    <w:p w14:paraId="75C478B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3同时具有开放、腔镜两类手术器械，刀头具有对软组织的分离，切割和止血功能，可通过≥5mm的穿刺器。</w:t>
      </w:r>
    </w:p>
    <w:p w14:paraId="1D7FB41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4具备弧形刀尖设计。</w:t>
      </w:r>
    </w:p>
    <w:p w14:paraId="1ACD51F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5手柄可低温等离子灭菌。</w:t>
      </w:r>
    </w:p>
    <w:p w14:paraId="228A120D">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default" w:ascii="宋体" w:hAnsi="宋体" w:eastAsia="宋体" w:cs="宋体"/>
          <w:kern w:val="0"/>
          <w:lang w:val="en-US"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6</w:t>
      </w:r>
      <w:r>
        <w:rPr>
          <w:rFonts w:hint="eastAsia" w:ascii="宋体" w:hAnsi="宋体" w:eastAsia="宋体" w:cs="宋体"/>
          <w:kern w:val="0"/>
          <w:lang w:val="en-US" w:eastAsia="zh-CN"/>
        </w:rPr>
        <w:t xml:space="preserve"> ≥4种</w:t>
      </w:r>
      <w:r>
        <w:rPr>
          <w:rFonts w:hint="eastAsia" w:ascii="宋体" w:hAnsi="宋体" w:eastAsia="宋体" w:cs="宋体"/>
          <w:kern w:val="0"/>
          <w:lang w:eastAsia="zh-CN"/>
        </w:rPr>
        <w:t>一次性刀头</w:t>
      </w:r>
      <w:r>
        <w:rPr>
          <w:rFonts w:hint="eastAsia" w:ascii="宋体" w:hAnsi="宋体" w:eastAsia="宋体" w:cs="宋体"/>
          <w:kern w:val="0"/>
          <w:lang w:val="en-US" w:eastAsia="zh-CN"/>
        </w:rPr>
        <w:t>，至少包含剪式刀头。</w:t>
      </w:r>
    </w:p>
    <w:p w14:paraId="1EADECA4">
      <w:pPr>
        <w:pStyle w:val="4"/>
        <w:ind w:firstLine="482" w:firstLineChars="200"/>
        <w:jc w:val="left"/>
        <w:rPr>
          <w:rFonts w:hint="eastAsia"/>
        </w:rPr>
      </w:pPr>
      <w:r>
        <w:rPr>
          <w:rFonts w:hint="eastAsia"/>
        </w:rPr>
        <w:t>标的名称2：振动式物理治疗仪</w:t>
      </w:r>
    </w:p>
    <w:p w14:paraId="72F856B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1.振动频率：5～60Hz，连续可调，控制精度≤±1Hz。</w:t>
      </w:r>
    </w:p>
    <w:p w14:paraId="3897385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2.振动时间：1min～60min，连续可调，误差≤±1%。</w:t>
      </w:r>
    </w:p>
    <w:p w14:paraId="6656408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3.输出路数：单路输出。</w:t>
      </w:r>
    </w:p>
    <w:p w14:paraId="4606C2B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▲4.振动幅度：动力头内有偏心块结构，振幅≥5mm，误差不超过≤±5% 。</w:t>
      </w:r>
    </w:p>
    <w:p w14:paraId="1092B182">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5.叩击换向器：具有90°直角叩击换向器和</w:t>
      </w:r>
      <w:r>
        <w:rPr>
          <w:rFonts w:hint="eastAsia" w:ascii="宋体" w:hAnsi="宋体" w:eastAsia="宋体" w:cs="宋体"/>
          <w:kern w:val="0"/>
          <w:lang w:eastAsia="zh-Hans"/>
        </w:rPr>
        <w:t>可调叩击换向器</w:t>
      </w:r>
      <w:r>
        <w:rPr>
          <w:rFonts w:hint="eastAsia" w:ascii="宋体" w:hAnsi="宋体" w:eastAsia="宋体" w:cs="宋体"/>
          <w:kern w:val="0"/>
          <w:lang w:eastAsia="zh-CN"/>
        </w:rPr>
        <w:t>。</w:t>
      </w:r>
    </w:p>
    <w:p w14:paraId="71CC514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▲6.传动软轴：长度≥2m，采用柔性弹簧钢材质和减震弹簧。</w:t>
      </w:r>
    </w:p>
    <w:p w14:paraId="5DAB830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7.操作过程中叩击头手柄相对传动软轴可 360°转动。 </w:t>
      </w:r>
    </w:p>
    <w:p w14:paraId="58B3481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8.人机交互界面：电子数码管显示，全中文菜单。 </w:t>
      </w:r>
    </w:p>
    <w:p w14:paraId="6943F3D2">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▲9.闭环控速设计：具备闭环控速设计，可自动适应负载强度，使设定振动频率与动力头实际输出振动频率保持一致；在2kg负载作用下，叩击头保持正常工作状态。</w:t>
      </w:r>
    </w:p>
    <w:p w14:paraId="3A04715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10.叩击头规格：具有≥4 种规格叩击头 </w:t>
      </w:r>
    </w:p>
    <w:p w14:paraId="5ABFF36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成人圆形叩击头：外径尺寸Φ130mm±5mm，滑面硅橡胶叩击头；</w:t>
      </w:r>
    </w:p>
    <w:p w14:paraId="3F345B9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成人圆形叩击头</w:t>
      </w:r>
      <w:r>
        <w:rPr>
          <w:rFonts w:hint="eastAsia" w:ascii="宋体" w:hAnsi="宋体" w:eastAsia="宋体" w:cs="宋体"/>
          <w:kern w:val="0"/>
          <w:lang w:val="en-US" w:eastAsia="zh-CN"/>
        </w:rPr>
        <w:t>：</w:t>
      </w:r>
      <w:r>
        <w:rPr>
          <w:rFonts w:hint="eastAsia" w:ascii="宋体" w:hAnsi="宋体" w:eastAsia="宋体" w:cs="宋体"/>
          <w:kern w:val="0"/>
          <w:lang w:eastAsia="zh-CN"/>
        </w:rPr>
        <w:t>外径尺寸Φ90mm±5mm，聚氨酯海绵面叩击头；</w:t>
      </w:r>
    </w:p>
    <w:p w14:paraId="784B32C3">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成人圆形叩击头</w:t>
      </w:r>
      <w:r>
        <w:rPr>
          <w:rFonts w:hint="eastAsia" w:ascii="宋体" w:hAnsi="宋体" w:eastAsia="宋体" w:cs="宋体"/>
          <w:kern w:val="0"/>
          <w:lang w:val="en-US" w:eastAsia="zh-CN"/>
        </w:rPr>
        <w:t>：</w:t>
      </w:r>
      <w:r>
        <w:rPr>
          <w:rFonts w:hint="eastAsia" w:ascii="宋体" w:hAnsi="宋体" w:eastAsia="宋体" w:cs="宋体"/>
          <w:kern w:val="0"/>
          <w:lang w:eastAsia="zh-CN"/>
        </w:rPr>
        <w:t>外径尺寸Φ70mm±5mm，聚氨酯海绵面叩击头；</w:t>
      </w:r>
    </w:p>
    <w:p w14:paraId="67E4186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成人羊角形叩击头</w:t>
      </w:r>
      <w:r>
        <w:rPr>
          <w:rFonts w:hint="eastAsia" w:ascii="宋体" w:hAnsi="宋体" w:eastAsia="宋体" w:cs="宋体"/>
          <w:kern w:val="0"/>
          <w:lang w:val="en-US" w:eastAsia="zh-CN"/>
        </w:rPr>
        <w:t>：</w:t>
      </w:r>
      <w:r>
        <w:rPr>
          <w:rFonts w:hint="eastAsia" w:ascii="宋体" w:hAnsi="宋体" w:eastAsia="宋体" w:cs="宋体"/>
          <w:kern w:val="0"/>
          <w:lang w:eastAsia="zh-CN"/>
        </w:rPr>
        <w:t>宽度聚氨酯海绵面叩击头等。</w:t>
      </w:r>
    </w:p>
    <w:p w14:paraId="1C79154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11.输出模式：具有手动模式和自动模式≥5种。</w:t>
      </w:r>
    </w:p>
    <w:p w14:paraId="407F907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▲12.自动模式：具有成人梯度变频程序。 </w:t>
      </w:r>
    </w:p>
    <w:p w14:paraId="14C8FA7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自动叩击模式：变频10～20Hz，适合年老体弱或大病初愈的患者；</w:t>
      </w:r>
    </w:p>
    <w:p w14:paraId="51CC117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自动叩击模式：变频15～25Hz，适合体质较弱或需重点护理患者，初次治疗可选择；</w:t>
      </w:r>
    </w:p>
    <w:p w14:paraId="2D1CF72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自动叩击模式：变频20～30Hz，适合正常治疗或护理；</w:t>
      </w:r>
    </w:p>
    <w:p w14:paraId="5855F30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自动叩击模式：变频25～35Hz，适合体质较好患者；</w:t>
      </w:r>
    </w:p>
    <w:p w14:paraId="6CEE089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自动叩击模式：变频30～45Hz，适合体质强壮患者。 </w:t>
      </w:r>
    </w:p>
    <w:p w14:paraId="7B90B76D">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w:t>
      </w:r>
      <w:r>
        <w:rPr>
          <w:rFonts w:hint="eastAsia" w:ascii="宋体" w:hAnsi="宋体" w:eastAsia="宋体" w:cs="宋体"/>
          <w:kern w:val="0"/>
          <w:lang w:val="en-US" w:eastAsia="zh-CN"/>
        </w:rPr>
        <w:t>3</w:t>
      </w:r>
      <w:r>
        <w:rPr>
          <w:rFonts w:hint="eastAsia" w:ascii="宋体" w:hAnsi="宋体" w:eastAsia="宋体" w:cs="宋体"/>
          <w:kern w:val="0"/>
          <w:lang w:eastAsia="zh-CN"/>
        </w:rPr>
        <w:t xml:space="preserve">.噪声≤65dB。 </w:t>
      </w:r>
    </w:p>
    <w:p w14:paraId="022B067E">
      <w:pPr>
        <w:rPr>
          <w:rFonts w:hint="eastAsia"/>
        </w:rPr>
      </w:pPr>
    </w:p>
    <w:p w14:paraId="4B201CDE">
      <w:pPr>
        <w:rPr>
          <w:rFonts w:hint="eastAsia"/>
        </w:rPr>
      </w:pPr>
    </w:p>
    <w:p w14:paraId="1318A51F">
      <w:pPr>
        <w:pStyle w:val="2"/>
        <w:spacing w:before="0" w:after="0" w:line="360" w:lineRule="auto"/>
        <w:ind w:firstLine="482" w:firstLineChars="200"/>
        <w:rPr>
          <w:rFonts w:hint="eastAsia"/>
        </w:rPr>
      </w:pPr>
      <w:r>
        <w:rPr>
          <w:rFonts w:hint="eastAsia"/>
        </w:rPr>
        <w:t>02包：</w:t>
      </w:r>
    </w:p>
    <w:p w14:paraId="48059332">
      <w:pPr>
        <w:pStyle w:val="2"/>
        <w:spacing w:before="0" w:after="0" w:line="360" w:lineRule="auto"/>
        <w:ind w:firstLine="482" w:firstLineChars="200"/>
        <w:rPr>
          <w:rFonts w:hint="eastAsia"/>
        </w:rPr>
      </w:pPr>
      <w:r>
        <w:rPr>
          <w:rFonts w:hint="eastAsia"/>
        </w:rPr>
        <w:t>标的名称</w:t>
      </w:r>
      <w:r>
        <w:rPr>
          <w:rFonts w:hint="eastAsia"/>
          <w:lang w:val="en-US" w:eastAsia="zh-CN"/>
        </w:rPr>
        <w:t>1</w:t>
      </w:r>
      <w:r>
        <w:rPr>
          <w:rFonts w:hint="eastAsia"/>
        </w:rPr>
        <w:t>：热牙胶仪</w:t>
      </w:r>
    </w:p>
    <w:p w14:paraId="18DC841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1.充电底座具备实时监控电池温度功能。</w:t>
      </w:r>
    </w:p>
    <w:p w14:paraId="7AE7D87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2.显示屏可设置旋转，兼容左右手不同习惯。</w:t>
      </w:r>
    </w:p>
    <w:p w14:paraId="7678A9D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3.无线设计。</w:t>
      </w:r>
    </w:p>
    <w:p w14:paraId="23610A8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4.温度预设范围：150℃</w:t>
      </w:r>
      <w:r>
        <w:rPr>
          <w:rFonts w:hint="eastAsia" w:ascii="宋体" w:hAnsi="宋体" w:eastAsia="宋体" w:cs="宋体"/>
          <w:color w:val="auto"/>
          <w:kern w:val="0"/>
          <w:lang w:eastAsia="zh-CN"/>
        </w:rPr>
        <w:t>～</w:t>
      </w:r>
      <w:r>
        <w:rPr>
          <w:rFonts w:hint="eastAsia" w:ascii="宋体" w:hAnsi="宋体" w:eastAsia="宋体" w:cs="宋体"/>
          <w:kern w:val="0"/>
          <w:lang w:eastAsia="zh-CN"/>
        </w:rPr>
        <w:t>230℃，其中至少包括180+10℃和200+10℃两种常用模式。</w:t>
      </w:r>
    </w:p>
    <w:p w14:paraId="71A2FFC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5.手柄重量轻，≤100g。</w:t>
      </w:r>
    </w:p>
    <w:p w14:paraId="560BEC2D">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6.配有可重复使用注胶针，包括但不限于常用规格：20G、23G等。</w:t>
      </w:r>
    </w:p>
    <w:p w14:paraId="3D58CF5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7.同时配有和复用型号对应的一次性注胶针。</w:t>
      </w:r>
    </w:p>
    <w:p w14:paraId="5DDDBC9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8.银针可360°旋转，装上隔热套后，旋转隔热套即可旋转银针角度。</w:t>
      </w:r>
    </w:p>
    <w:p w14:paraId="1B9234A3">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9.牙胶棒直接装载到胶针内部，可更换牙胶。</w:t>
      </w:r>
    </w:p>
    <w:p w14:paraId="3FC7296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10.采用OLED屏，显示电量、温度等参数。</w:t>
      </w:r>
    </w:p>
    <w:p w14:paraId="5C68668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11. 电池充满电后可供充填≥100个根管。</w:t>
      </w:r>
    </w:p>
    <w:p w14:paraId="6A4DD1F1">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12. 注胶速度≥3种。</w:t>
      </w:r>
    </w:p>
    <w:p w14:paraId="1CDB6C8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13.具有牙胶余量指示窗。</w:t>
      </w:r>
    </w:p>
    <w:p w14:paraId="2F1C4AB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14.无操作超过10分钟自动停止加热，自动关机。</w:t>
      </w:r>
    </w:p>
    <w:p w14:paraId="5DCE4F0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15.双注胶按键对称设计。</w:t>
      </w:r>
    </w:p>
    <w:p w14:paraId="4A95E57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16.可储存≥3组关机记忆保存的参数模式。</w:t>
      </w:r>
    </w:p>
    <w:p w14:paraId="215C5FE2"/>
    <w:p w14:paraId="743EBED0">
      <w:pPr>
        <w:pStyle w:val="2"/>
        <w:spacing w:before="0" w:after="0" w:line="360" w:lineRule="auto"/>
        <w:ind w:firstLine="482" w:firstLineChars="200"/>
        <w:rPr>
          <w:rFonts w:hint="eastAsia"/>
        </w:rPr>
      </w:pPr>
      <w:r>
        <w:rPr>
          <w:rFonts w:hint="eastAsia"/>
        </w:rPr>
        <w:t>标的名称</w:t>
      </w:r>
      <w:r>
        <w:rPr>
          <w:rFonts w:hint="eastAsia"/>
          <w:lang w:val="en-US" w:eastAsia="zh-CN"/>
        </w:rPr>
        <w:t>2</w:t>
      </w:r>
      <w:r>
        <w:rPr>
          <w:rFonts w:hint="eastAsia"/>
        </w:rPr>
        <w:t>：牙根管电测仪</w:t>
      </w:r>
    </w:p>
    <w:p w14:paraId="58F22B0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1.</w:t>
      </w:r>
      <w:r>
        <w:rPr>
          <w:rFonts w:hint="eastAsia" w:ascii="宋体" w:hAnsi="宋体" w:eastAsia="宋体" w:cs="宋体"/>
          <w:kern w:val="0"/>
          <w:lang w:eastAsia="zh-CN"/>
        </w:rPr>
        <w:t>用途：用于根管长度测量，牙髓活力测试。</w:t>
      </w:r>
    </w:p>
    <w:p w14:paraId="29E72C1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技术参数：</w:t>
      </w:r>
    </w:p>
    <w:p w14:paraId="2FDD2AF5">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1配有彩色液晶屏，指示工作锉针在根管中的轨迹。</w:t>
      </w:r>
    </w:p>
    <w:p w14:paraId="276A55C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2基于数字信号处理测量技术，具备自动校准功能。</w:t>
      </w:r>
    </w:p>
    <w:p w14:paraId="7F3246C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3锉夹、唇挂钩、测量探针、牙髓活力探针可高温高压消毒。</w:t>
      </w:r>
    </w:p>
    <w:p w14:paraId="720CF3E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4可充电电池容量≥2000mAh，充满电可连续工作≥2小时。</w:t>
      </w:r>
    </w:p>
    <w:p w14:paraId="076E3C9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w:t>
      </w:r>
      <w:r>
        <w:rPr>
          <w:rFonts w:hint="eastAsia" w:ascii="宋体" w:hAnsi="宋体" w:eastAsia="宋体" w:cs="宋体"/>
          <w:kern w:val="0"/>
          <w:lang w:val="en-US" w:eastAsia="zh-CN"/>
        </w:rPr>
        <w:t>2.</w:t>
      </w:r>
      <w:r>
        <w:rPr>
          <w:rFonts w:hint="eastAsia" w:ascii="宋体" w:hAnsi="宋体" w:eastAsia="宋体" w:cs="宋体"/>
          <w:kern w:val="0"/>
          <w:lang w:eastAsia="zh-CN"/>
        </w:rPr>
        <w:t>5磁吸式设计，屏幕可360°旋转。</w:t>
      </w:r>
    </w:p>
    <w:p w14:paraId="28B87C31">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6具备设定根尖止点报警功能，提醒测量距离。</w:t>
      </w:r>
    </w:p>
    <w:p w14:paraId="1FE2959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7具有辅助判断的恒流型牙髓电活力测试功能。</w:t>
      </w:r>
    </w:p>
    <w:p w14:paraId="09A21FD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8电源适配器：AC 220V，50Hz。</w:t>
      </w:r>
    </w:p>
    <w:p w14:paraId="6F65A944">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9输出信号电压：≤200mV。</w:t>
      </w:r>
    </w:p>
    <w:p w14:paraId="7EF3AF5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10输出信号频率：≥8kHz。</w:t>
      </w:r>
    </w:p>
    <w:p w14:paraId="2719220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11功耗：≤0.5W。</w:t>
      </w:r>
    </w:p>
    <w:p w14:paraId="1735505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12显示：≥3.5 英寸LCD 屏。</w:t>
      </w:r>
    </w:p>
    <w:p w14:paraId="3400C27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2.</w:t>
      </w:r>
      <w:r>
        <w:rPr>
          <w:rFonts w:hint="eastAsia" w:ascii="宋体" w:hAnsi="宋体" w:eastAsia="宋体" w:cs="宋体"/>
          <w:kern w:val="0"/>
          <w:lang w:eastAsia="zh-CN"/>
        </w:rPr>
        <w:t>13声响提示：工作针在接近根尖孔时会有报警声提示。</w:t>
      </w:r>
    </w:p>
    <w:p w14:paraId="1F051658">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配置（单台）：</w:t>
      </w:r>
    </w:p>
    <w:p w14:paraId="0BD4BDD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1主机：1台。</w:t>
      </w:r>
    </w:p>
    <w:p w14:paraId="5A1A6721">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2测量线：4根。</w:t>
      </w:r>
    </w:p>
    <w:p w14:paraId="06C04681">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3锉夹：4根。</w:t>
      </w:r>
    </w:p>
    <w:p w14:paraId="5D20134F">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4唇挂钩：20个。</w:t>
      </w:r>
    </w:p>
    <w:p w14:paraId="00638BC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5测量仪探针：2根。</w:t>
      </w:r>
    </w:p>
    <w:p w14:paraId="02FA97F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val="en-US" w:eastAsia="zh-CN"/>
        </w:rPr>
        <w:t>3.</w:t>
      </w:r>
      <w:r>
        <w:rPr>
          <w:rFonts w:hint="eastAsia" w:ascii="宋体" w:hAnsi="宋体" w:eastAsia="宋体" w:cs="宋体"/>
          <w:kern w:val="0"/>
          <w:lang w:eastAsia="zh-CN"/>
        </w:rPr>
        <w:t>6牙髓活力探针：2根。</w:t>
      </w:r>
    </w:p>
    <w:p w14:paraId="518EEB50"/>
    <w:p w14:paraId="280DA79F">
      <w:pPr>
        <w:pStyle w:val="2"/>
        <w:spacing w:before="0" w:after="0" w:line="360" w:lineRule="auto"/>
        <w:ind w:firstLine="482" w:firstLineChars="200"/>
        <w:rPr>
          <w:rFonts w:hint="eastAsia"/>
        </w:rPr>
      </w:pPr>
      <w:r>
        <w:rPr>
          <w:rFonts w:hint="eastAsia"/>
        </w:rPr>
        <w:t>标的名称</w:t>
      </w:r>
      <w:r>
        <w:rPr>
          <w:rFonts w:hint="eastAsia"/>
          <w:lang w:val="en-US" w:eastAsia="zh-CN"/>
        </w:rPr>
        <w:t>3</w:t>
      </w:r>
      <w:r>
        <w:rPr>
          <w:rFonts w:hint="eastAsia"/>
        </w:rPr>
        <w:t>：根管治疗马达</w:t>
      </w:r>
    </w:p>
    <w:p w14:paraId="75841B3D">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1.无刷电机。</w:t>
      </w:r>
    </w:p>
    <w:p w14:paraId="6162BA5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2.6:1减速弯机头，可360°旋转。</w:t>
      </w:r>
    </w:p>
    <w:p w14:paraId="456CCCE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3.具有实时反馈技术，当超过设定扭矩时，可自动降低转速或停止工作，减少断针风险。</w:t>
      </w:r>
    </w:p>
    <w:p w14:paraId="4551105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 xml:space="preserve">4.具备无线手柄。 </w:t>
      </w:r>
    </w:p>
    <w:p w14:paraId="19ED556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cs="宋体"/>
          <w:kern w:val="0"/>
          <w:lang w:val="en-US" w:eastAsia="zh-CN"/>
        </w:rPr>
        <w:t>5</w:t>
      </w:r>
      <w:r>
        <w:rPr>
          <w:rFonts w:hint="eastAsia" w:ascii="宋体" w:hAnsi="宋体" w:eastAsia="宋体" w:cs="宋体"/>
          <w:kern w:val="0"/>
          <w:lang w:eastAsia="zh-CN"/>
        </w:rPr>
        <w:t>.具备自定义程序和主流锉系统，可辅助通过狭窄弯曲根管及台阶根管。</w:t>
      </w:r>
    </w:p>
    <w:p w14:paraId="0504C9C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cs="宋体"/>
          <w:kern w:val="0"/>
          <w:lang w:val="en-US" w:eastAsia="zh-CN"/>
        </w:rPr>
        <w:t>6</w:t>
      </w:r>
      <w:r>
        <w:rPr>
          <w:rFonts w:hint="eastAsia" w:ascii="宋体" w:hAnsi="宋体" w:eastAsia="宋体" w:cs="宋体"/>
          <w:kern w:val="0"/>
          <w:lang w:eastAsia="zh-CN"/>
        </w:rPr>
        <w:t>.扭矩0.4～5.0Ncm，速度100～2500rpm。</w:t>
      </w:r>
    </w:p>
    <w:p w14:paraId="59402BC4">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cs="宋体"/>
          <w:kern w:val="0"/>
          <w:lang w:val="en-US" w:eastAsia="zh-CN"/>
        </w:rPr>
        <w:t>7</w:t>
      </w:r>
      <w:r>
        <w:rPr>
          <w:rFonts w:hint="eastAsia" w:ascii="宋体" w:hAnsi="宋体" w:eastAsia="宋体" w:cs="宋体"/>
          <w:kern w:val="0"/>
          <w:lang w:eastAsia="zh-CN"/>
        </w:rPr>
        <w:t>.可集成根管长度测量功能，可根管预备和根长测量协同使用。</w:t>
      </w:r>
    </w:p>
    <w:p w14:paraId="2D586AF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cs="宋体"/>
          <w:kern w:val="0"/>
          <w:lang w:val="en-US" w:eastAsia="zh-CN"/>
        </w:rPr>
        <w:t>8</w:t>
      </w:r>
      <w:r>
        <w:rPr>
          <w:rFonts w:hint="eastAsia" w:ascii="宋体" w:hAnsi="宋体" w:eastAsia="宋体" w:cs="宋体"/>
          <w:kern w:val="0"/>
          <w:lang w:eastAsia="zh-CN"/>
        </w:rPr>
        <w:t>.手柄可无线充电。</w:t>
      </w:r>
    </w:p>
    <w:p w14:paraId="3C62BAFE">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cs="宋体"/>
          <w:kern w:val="0"/>
          <w:lang w:val="en-US" w:eastAsia="zh-CN"/>
        </w:rPr>
        <w:t>9</w:t>
      </w:r>
      <w:r>
        <w:rPr>
          <w:rFonts w:hint="eastAsia" w:ascii="宋体" w:hAnsi="宋体" w:eastAsia="宋体" w:cs="宋体"/>
          <w:kern w:val="0"/>
          <w:lang w:eastAsia="zh-CN"/>
        </w:rPr>
        <w:t>.配可充电锂电池。</w:t>
      </w:r>
    </w:p>
    <w:p w14:paraId="2716B882">
      <w:pPr>
        <w:pStyle w:val="2"/>
        <w:bidi w:val="0"/>
        <w:ind w:firstLine="482" w:firstLineChars="200"/>
        <w:rPr>
          <w:rFonts w:hint="eastAsia"/>
          <w:lang w:val="en-US" w:eastAsia="zh-CN"/>
        </w:rPr>
      </w:pPr>
      <w:r>
        <w:rPr>
          <w:rFonts w:hint="eastAsia"/>
          <w:lang w:val="en-US" w:eastAsia="zh-CN"/>
        </w:rPr>
        <w:t>标的名称4：医用冷藏冷冻箱</w:t>
      </w:r>
    </w:p>
    <w:p w14:paraId="04B18BF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1.产品样式：立式。</w:t>
      </w:r>
    </w:p>
    <w:p w14:paraId="704509A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▲2.有效容积≥31</w:t>
      </w:r>
      <w:r>
        <w:rPr>
          <w:rFonts w:hint="eastAsia" w:ascii="宋体" w:hAnsi="宋体" w:eastAsia="宋体" w:cs="宋体"/>
          <w:kern w:val="0"/>
          <w:lang w:val="en-US" w:eastAsia="zh-CN"/>
        </w:rPr>
        <w:t>5</w:t>
      </w:r>
      <w:r>
        <w:rPr>
          <w:rFonts w:hint="eastAsia" w:ascii="宋体" w:hAnsi="宋体" w:eastAsia="宋体" w:cs="宋体"/>
          <w:kern w:val="0"/>
          <w:lang w:eastAsia="zh-CN"/>
        </w:rPr>
        <w:t>L。</w:t>
      </w:r>
    </w:p>
    <w:p w14:paraId="15882F1B">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3.微电脑控制，触摸按键，大屏幕LED显示，可同时显示冷藏、冷冻室温度，显示精度1℃，温度可自行调节。</w:t>
      </w:r>
    </w:p>
    <w:p w14:paraId="5C8CA54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4.冷藏温度范围2～8℃，冷冻温度-10～-30 ℃。</w:t>
      </w:r>
    </w:p>
    <w:p w14:paraId="31A9D1D0">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5.具多重故障报警类型，可实现超温报警、传感故障报警、断电报警、开门报警、环境温度高报警、电池电量低报警等功能。</w:t>
      </w:r>
    </w:p>
    <w:p w14:paraId="42C6F351">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6.门体结构：发泡门设计。</w:t>
      </w:r>
    </w:p>
    <w:p w14:paraId="40A6BFBC">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7.安全设计：双门双锁扣设计，每个锁扣均可外挂锁，满足安全要求。</w:t>
      </w:r>
    </w:p>
    <w:p w14:paraId="13055616">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8.兼具冷藏、冷冻双功能，双压缩机独立制冷。</w:t>
      </w:r>
    </w:p>
    <w:p w14:paraId="3982A7FA">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9.冷藏室≥21</w:t>
      </w:r>
      <w:r>
        <w:rPr>
          <w:rFonts w:hint="eastAsia" w:ascii="宋体" w:hAnsi="宋体" w:eastAsia="宋体" w:cs="宋体"/>
          <w:kern w:val="0"/>
          <w:lang w:val="en-US" w:eastAsia="zh-CN"/>
        </w:rPr>
        <w:t>5</w:t>
      </w:r>
      <w:r>
        <w:rPr>
          <w:rFonts w:hint="eastAsia" w:ascii="宋体" w:hAnsi="宋体" w:eastAsia="宋体" w:cs="宋体"/>
          <w:kern w:val="0"/>
          <w:lang w:eastAsia="zh-CN"/>
        </w:rPr>
        <w:t>L,冷冻室≥100L。</w:t>
      </w:r>
    </w:p>
    <w:p w14:paraId="4099DFA7">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10.冷藏室配备自动化霜功能。</w:t>
      </w:r>
    </w:p>
    <w:p w14:paraId="75B81119">
      <w:pPr>
        <w:pStyle w:val="5"/>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宋体" w:hAnsi="宋体" w:eastAsia="宋体" w:cs="宋体"/>
          <w:kern w:val="0"/>
          <w:lang w:eastAsia="zh-CN"/>
        </w:rPr>
      </w:pPr>
      <w:r>
        <w:rPr>
          <w:rFonts w:hint="eastAsia" w:ascii="宋体" w:hAnsi="宋体" w:eastAsia="宋体" w:cs="宋体"/>
          <w:kern w:val="0"/>
          <w:lang w:eastAsia="zh-CN"/>
        </w:rPr>
        <w:t>1</w:t>
      </w:r>
      <w:r>
        <w:rPr>
          <w:rFonts w:hint="eastAsia" w:ascii="宋体" w:hAnsi="宋体" w:eastAsia="宋体" w:cs="宋体"/>
          <w:kern w:val="0"/>
          <w:lang w:val="en-US" w:eastAsia="zh-CN"/>
        </w:rPr>
        <w:t>1</w:t>
      </w:r>
      <w:r>
        <w:rPr>
          <w:rFonts w:hint="eastAsia" w:ascii="宋体" w:hAnsi="宋体" w:eastAsia="宋体" w:cs="宋体"/>
          <w:kern w:val="0"/>
          <w:lang w:eastAsia="zh-CN"/>
        </w:rPr>
        <w:t>.冷藏室配有3个蘸塑搁架，冷冻室配有2个蘸塑搁架。</w:t>
      </w:r>
    </w:p>
    <w:p w14:paraId="614DB470">
      <w:pPr>
        <w:ind w:firstLine="482" w:firstLineChars="200"/>
        <w:rPr>
          <w:rFonts w:hint="eastAsia" w:ascii="宋体" w:hAnsi="宋体" w:cs="宋体"/>
          <w:b/>
          <w:bCs/>
          <w:sz w:val="24"/>
        </w:rPr>
      </w:pPr>
      <w:r>
        <w:rPr>
          <w:rFonts w:hint="eastAsia" w:ascii="宋体" w:hAnsi="宋体" w:cs="宋体"/>
          <w:b/>
          <w:bCs/>
          <w:sz w:val="24"/>
        </w:rPr>
        <w:t>（三）特别说明：</w:t>
      </w:r>
    </w:p>
    <w:p w14:paraId="69D5DB4B">
      <w:pPr>
        <w:spacing w:line="360" w:lineRule="auto"/>
        <w:ind w:firstLine="480" w:firstLineChars="200"/>
        <w:jc w:val="left"/>
        <w:rPr>
          <w:rFonts w:hint="eastAsia" w:ascii="宋体" w:hAnsi="宋体" w:cs="宋体"/>
          <w:sz w:val="24"/>
        </w:rPr>
      </w:pPr>
      <w:r>
        <w:rPr>
          <w:rFonts w:hint="eastAsia" w:ascii="宋体" w:hAnsi="宋体" w:cs="宋体"/>
          <w:sz w:val="24"/>
        </w:rPr>
        <w:t>1.对于技术规格中标注“★”号（如有）的技术参数代表实质性指标，不满足该指标项将直接导致投标被拒绝。</w:t>
      </w:r>
    </w:p>
    <w:p w14:paraId="313129F1">
      <w:pPr>
        <w:spacing w:line="360" w:lineRule="auto"/>
        <w:ind w:firstLine="480" w:firstLineChars="200"/>
        <w:jc w:val="left"/>
        <w:rPr>
          <w:rFonts w:hint="eastAsia" w:ascii="宋体" w:hAnsi="宋体" w:cs="宋体"/>
          <w:sz w:val="24"/>
        </w:rPr>
      </w:pPr>
      <w:r>
        <w:rPr>
          <w:rFonts w:hint="eastAsia" w:ascii="宋体" w:hAnsi="宋体" w:cs="宋体"/>
          <w:sz w:val="24"/>
        </w:rPr>
        <w:t>2.标注“▲”的指标为重要的技术指标，不满足将导致其在第四章评标标准中对采购需求的响应情况被扣除相应分值。</w:t>
      </w:r>
    </w:p>
    <w:p w14:paraId="37D3E986">
      <w:pPr>
        <w:spacing w:line="360" w:lineRule="auto"/>
        <w:ind w:firstLine="480" w:firstLineChars="200"/>
        <w:jc w:val="left"/>
        <w:rPr>
          <w:rFonts w:hint="eastAsia" w:ascii="宋体" w:hAnsi="宋体" w:cs="宋体"/>
          <w:sz w:val="24"/>
        </w:rPr>
      </w:pPr>
      <w:r>
        <w:rPr>
          <w:rFonts w:hint="eastAsia" w:ascii="宋体" w:hAnsi="宋体" w:cs="宋体"/>
          <w:sz w:val="24"/>
        </w:rPr>
        <w:t>3.对于采购需求三、技术要求（二）具体要求中标注“★”“▲”号的技术指标，投标人须在投标文件中按照招标文件技术规格的要求提供技术应答的证明材料，其中证明材料除招标文件中有明确规定的证明材料（如有）外，其余“★”“▲”号的技术指标可提供产品说明书或产品彩页或技术白皮书或检验/检测报告或实验图谱或实物图片或软件功能界面截图等。如投标人技术响应与证明材料不一致，将以证明材料为准。对于投标人提供的投标文件技术应答未按本条款要求提供证明材料的，评标委员会可不予认可，并可认为该技术应答不符合招标文件要求，由此产生的风险由投标人承担。</w:t>
      </w:r>
    </w:p>
    <w:p w14:paraId="54366D48">
      <w:r>
        <w:rPr>
          <w:rFonts w:hint="eastAsia" w:ascii="宋体" w:hAnsi="宋体" w:cs="宋体"/>
          <w:sz w:val="24"/>
        </w:rPr>
        <w:t>4.对于采购需求“三、技术要求”中“（二）具体要求”所列的技术指标，如应提供且可以提供设备的真实技术指标参数但投标人不提供，只照抄招标文件参数要求，经评标委员会认定，投标人对该项指标的响应为“负偏离”。</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EB2EC2"/>
    <w:rsid w:val="45C22C40"/>
    <w:rsid w:val="491D5279"/>
    <w:rsid w:val="4CEB2EC2"/>
    <w:rsid w:val="76B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3"/>
    <w:qFormat/>
    <w:uiPriority w:val="0"/>
    <w:pPr>
      <w:keepNext/>
      <w:keepLines/>
      <w:autoSpaceDE w:val="0"/>
      <w:autoSpaceDN w:val="0"/>
      <w:adjustRightInd w:val="0"/>
      <w:spacing w:before="360" w:after="120"/>
      <w:jc w:val="left"/>
      <w:outlineLvl w:val="2"/>
    </w:pPr>
    <w:rPr>
      <w:rFonts w:ascii="宋体" w:hAnsi="宋体"/>
      <w:b/>
      <w:kern w:val="0"/>
      <w:sz w:val="24"/>
      <w:szCs w:val="20"/>
    </w:rPr>
  </w:style>
  <w:style w:type="paragraph" w:styleId="4">
    <w:name w:val="heading 5"/>
    <w:basedOn w:val="1"/>
    <w:next w:val="1"/>
    <w:unhideWhenUsed/>
    <w:qFormat/>
    <w:uiPriority w:val="0"/>
    <w:pPr>
      <w:keepNext/>
      <w:keepLines/>
      <w:spacing w:line="360" w:lineRule="auto"/>
      <w:outlineLvl w:val="4"/>
    </w:pPr>
    <w:rPr>
      <w:b/>
      <w:sz w:val="24"/>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5">
    <w:name w:val="Body Text"/>
    <w:basedOn w:val="1"/>
    <w:qFormat/>
    <w:uiPriority w:val="0"/>
    <w:pPr>
      <w:tabs>
        <w:tab w:val="left" w:pos="567"/>
      </w:tabs>
      <w:spacing w:before="120" w:line="22" w:lineRule="atLeast"/>
    </w:pPr>
    <w:rPr>
      <w:rFonts w:ascii="宋体" w:hAnsi="宋体"/>
      <w:sz w:val="24"/>
    </w:rPr>
  </w:style>
  <w:style w:type="paragraph" w:styleId="6">
    <w:name w:val="toc 2"/>
    <w:basedOn w:val="1"/>
    <w:next w:val="1"/>
    <w:uiPriority w:val="0"/>
    <w:pPr>
      <w:tabs>
        <w:tab w:val="right" w:leader="dot" w:pos="8302"/>
      </w:tabs>
      <w:ind w:left="420" w:leftChars="200"/>
    </w:pPr>
    <w:rPr>
      <w:rFonts w:eastAsia="宋体" w:asciiTheme="minorAscii" w:hAnsiTheme="minorAscii"/>
      <w:sz w:val="28"/>
    </w:rPr>
  </w:style>
  <w:style w:type="paragraph" w:styleId="7">
    <w:name w:val="Body Text 2"/>
    <w:basedOn w:val="1"/>
    <w:semiHidden/>
    <w:unhideWhenUsed/>
    <w:qFormat/>
    <w:uiPriority w:val="99"/>
    <w:pPr>
      <w:spacing w:after="120" w:line="480" w:lineRule="auto"/>
    </w:p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11">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2026-10-27T07:00:00Z</dcterms:created>
  <dc:creator>用户</dc:creator>
  <cp:lastModifiedBy>用户</cp:lastModifiedBy>
  <dcterms:modified xsi:type="dcterms:W3CDTF">2026-10-27T07:17:33Z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3F97396EC07446499614CE7E083054AD_11</vt:lpwstr>
  </property>
  <property fmtid="{D5CDD505-2E9C-101B-9397-08002B2CF9AE}" pid="4" name="KSOTemplateDocerSaveRecord">
    <vt:lpwstr>eyJoZGlkIjoiMDEwZGE1MDQxZjI0MTBlMTY3ZGU0MzI3NzJmNmRmOTQiLCJ1c2VySWQiOiIyOTI2NjUzMzQifQ==</vt:lpwstr>
  </property>
</Properties>
</file>