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F6AF4">
      <w:pPr>
        <w:spacing w:line="360" w:lineRule="auto"/>
        <w:jc w:val="center"/>
        <w:outlineLvl w:val="0"/>
        <w:rPr>
          <w:b/>
          <w:sz w:val="36"/>
          <w:szCs w:val="36"/>
        </w:rPr>
      </w:pPr>
      <w:bookmarkStart w:id="0" w:name="_Toc99301424"/>
      <w:r>
        <w:rPr>
          <w:b/>
          <w:sz w:val="36"/>
          <w:szCs w:val="36"/>
        </w:rPr>
        <w:t xml:space="preserve">第五章   </w:t>
      </w:r>
      <w:bookmarkStart w:id="7" w:name="_GoBack"/>
      <w:r>
        <w:rPr>
          <w:b/>
          <w:sz w:val="36"/>
          <w:szCs w:val="36"/>
        </w:rPr>
        <w:t>采购需求</w:t>
      </w:r>
      <w:bookmarkEnd w:id="0"/>
      <w:bookmarkEnd w:id="7"/>
    </w:p>
    <w:p w14:paraId="436BEF1D">
      <w:pPr>
        <w:pStyle w:val="4"/>
        <w:ind w:left="420"/>
        <w:rPr>
          <w:sz w:val="44"/>
          <w:szCs w:val="44"/>
        </w:rPr>
      </w:pPr>
      <w:r>
        <w:rPr>
          <w:rFonts w:hint="eastAsia"/>
          <w:sz w:val="44"/>
          <w:szCs w:val="44"/>
        </w:rPr>
        <w:t>政务云基础及扩展服务采购需求</w:t>
      </w:r>
    </w:p>
    <w:p w14:paraId="1EC0F7D1"/>
    <w:p w14:paraId="6BEFBCF4">
      <w:pPr>
        <w:rPr>
          <w:rFonts w:hint="eastAsia" w:ascii="微软雅黑" w:hAnsi="微软雅黑" w:cs="微软雅黑"/>
        </w:rPr>
      </w:pPr>
      <w:r>
        <w:rPr>
          <w:rFonts w:hint="eastAsia" w:ascii="微软雅黑" w:hAnsi="微软雅黑" w:cs="微软雅黑"/>
        </w:rPr>
        <w:br w:type="page"/>
      </w:r>
    </w:p>
    <w:p w14:paraId="66A9AC64">
      <w:pPr>
        <w:pStyle w:val="5"/>
        <w:sectPr>
          <w:footerReference r:id="rId3" w:type="default"/>
          <w:pgSz w:w="11906" w:h="16838"/>
          <w:pgMar w:top="1417" w:right="1701" w:bottom="1417" w:left="1701" w:header="851" w:footer="992" w:gutter="0"/>
          <w:cols w:space="0" w:num="1"/>
          <w:docGrid w:type="lines" w:linePitch="387" w:charSpace="0"/>
        </w:sectPr>
      </w:pPr>
    </w:p>
    <w:sdt>
      <w:sdtPr>
        <w:rPr>
          <w:rFonts w:hint="eastAsia" w:ascii="微软雅黑" w:hAnsi="微软雅黑" w:eastAsia="仿宋" w:cs="微软雅黑"/>
          <w:b/>
          <w:sz w:val="24"/>
        </w:rPr>
        <w:id w:val="147463873"/>
      </w:sdtPr>
      <w:sdtEndPr>
        <w:rPr>
          <w:rFonts w:hint="eastAsia" w:cs="微软雅黑" w:asciiTheme="minorEastAsia" w:hAnsiTheme="minorEastAsia" w:eastAsiaTheme="minorEastAsia"/>
          <w:b w:val="0"/>
          <w:sz w:val="21"/>
        </w:rPr>
      </w:sdtEndPr>
      <w:sdtContent>
        <w:p w14:paraId="166A7F31">
          <w:pPr>
            <w:jc w:val="center"/>
            <w:rPr>
              <w:rFonts w:hint="eastAsia" w:ascii="宋体" w:hAnsi="宋体" w:cs="微软雅黑"/>
              <w:b/>
              <w:sz w:val="28"/>
              <w:szCs w:val="28"/>
            </w:rPr>
          </w:pPr>
        </w:p>
        <w:p w14:paraId="58344452">
          <w:pPr>
            <w:rPr>
              <w:rFonts w:hint="eastAsia" w:cs="微软雅黑" w:asciiTheme="minorEastAsia" w:hAnsiTheme="minorEastAsia" w:eastAsiaTheme="minorEastAsia"/>
            </w:rPr>
          </w:pPr>
        </w:p>
      </w:sdtContent>
    </w:sdt>
    <w:p w14:paraId="084D7E24">
      <w:pPr>
        <w:numPr>
          <w:ilvl w:val="0"/>
          <w:numId w:val="1"/>
        </w:numPr>
        <w:spacing w:line="360" w:lineRule="auto"/>
        <w:ind w:left="0" w:leftChars="-56" w:hanging="118" w:hangingChars="56"/>
        <w:outlineLvl w:val="0"/>
        <w:rPr>
          <w:rFonts w:hint="eastAsia" w:ascii="微软雅黑" w:hAnsi="微软雅黑" w:cs="微软雅黑"/>
          <w:b/>
          <w:bCs/>
          <w:szCs w:val="21"/>
        </w:rPr>
        <w:sectPr>
          <w:footerReference r:id="rId4" w:type="default"/>
          <w:pgSz w:w="11906" w:h="16838"/>
          <w:pgMar w:top="1417" w:right="1701" w:bottom="1417" w:left="1701" w:header="851" w:footer="992" w:gutter="0"/>
          <w:cols w:space="0" w:num="1"/>
          <w:docGrid w:type="lines" w:linePitch="387" w:charSpace="0"/>
        </w:sectPr>
      </w:pPr>
    </w:p>
    <w:p w14:paraId="4FE13840">
      <w:pPr>
        <w:pStyle w:val="5"/>
        <w:numPr>
          <w:ilvl w:val="0"/>
          <w:numId w:val="2"/>
        </w:numPr>
        <w:jc w:val="left"/>
        <w:rPr>
          <w:rFonts w:hint="eastAsia" w:ascii="黑体" w:hAnsi="黑体" w:cs="黑体"/>
          <w:sz w:val="24"/>
        </w:rPr>
      </w:pPr>
      <w:bookmarkStart w:id="1" w:name="_Toc10696"/>
      <w:r>
        <w:rPr>
          <w:rFonts w:hint="eastAsia" w:ascii="黑体" w:hAnsi="黑体" w:cs="黑体"/>
          <w:sz w:val="24"/>
        </w:rPr>
        <w:t>采购标的</w:t>
      </w:r>
    </w:p>
    <w:p w14:paraId="52EB14B5">
      <w:pPr>
        <w:pStyle w:val="6"/>
        <w:numPr>
          <w:ilvl w:val="0"/>
          <w:numId w:val="3"/>
        </w:numPr>
        <w:rPr>
          <w:rFonts w:hint="eastAsia" w:hAnsi="宋体" w:cs="宋体"/>
          <w:b w:val="0"/>
          <w:bCs/>
          <w:kern w:val="2"/>
          <w:szCs w:val="24"/>
          <w:u w:val="none"/>
        </w:rPr>
      </w:pPr>
      <w:r>
        <w:rPr>
          <w:rFonts w:hint="eastAsia" w:hAnsi="宋体" w:cs="宋体"/>
          <w:b w:val="0"/>
          <w:bCs/>
          <w:kern w:val="2"/>
          <w:szCs w:val="24"/>
          <w:u w:val="none"/>
        </w:rPr>
        <w:t>项目基本情况</w:t>
      </w:r>
    </w:p>
    <w:p w14:paraId="567FDD4B">
      <w:pPr>
        <w:pStyle w:val="13"/>
        <w:rPr>
          <w:rFonts w:hint="eastAsia"/>
          <w:b w:val="0"/>
          <w:sz w:val="24"/>
          <w:szCs w:val="24"/>
        </w:rPr>
      </w:pPr>
      <w:r>
        <w:rPr>
          <w:rFonts w:hint="eastAsia"/>
          <w:b w:val="0"/>
          <w:sz w:val="24"/>
          <w:szCs w:val="24"/>
        </w:rPr>
        <w:t>北京妇幼保健院2026年妇幼保健网络信息系统升级改造采购项目</w:t>
      </w:r>
    </w:p>
    <w:p w14:paraId="66E3051C">
      <w:pPr>
        <w:pStyle w:val="7"/>
        <w:numPr>
          <w:ilvl w:val="0"/>
          <w:numId w:val="4"/>
        </w:numPr>
        <w:rPr>
          <w:rFonts w:hint="eastAsia" w:ascii="宋体" w:hAnsi="宋体" w:cs="宋体"/>
          <w:bCs/>
          <w:kern w:val="2"/>
          <w:szCs w:val="24"/>
        </w:rPr>
      </w:pPr>
      <w:r>
        <w:rPr>
          <w:rFonts w:hint="eastAsia" w:ascii="宋体" w:hAnsi="宋体" w:cs="宋体"/>
          <w:bCs/>
          <w:kern w:val="2"/>
          <w:szCs w:val="24"/>
        </w:rPr>
        <w:t>政务云基础服务</w:t>
      </w:r>
    </w:p>
    <w:tbl>
      <w:tblPr>
        <w:tblStyle w:val="10"/>
        <w:tblW w:w="935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1730"/>
        <w:gridCol w:w="3656"/>
        <w:gridCol w:w="1276"/>
        <w:gridCol w:w="851"/>
        <w:gridCol w:w="1134"/>
      </w:tblGrid>
      <w:tr w14:paraId="734AB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10" w:type="dxa"/>
            <w:noWrap/>
            <w:vAlign w:val="center"/>
          </w:tcPr>
          <w:p w14:paraId="2E47EDF2">
            <w:pPr>
              <w:widowControl/>
              <w:spacing w:line="360" w:lineRule="auto"/>
              <w:jc w:val="center"/>
              <w:rPr>
                <w:rFonts w:hint="eastAsia" w:cs="宋体" w:asciiTheme="minorEastAsia" w:hAnsiTheme="minorEastAsia" w:eastAsiaTheme="minorEastAsia"/>
                <w:b/>
                <w:kern w:val="0"/>
                <w:sz w:val="24"/>
              </w:rPr>
            </w:pPr>
            <w:r>
              <w:rPr>
                <w:rFonts w:hint="eastAsia" w:cs="宋体" w:asciiTheme="minorEastAsia" w:hAnsiTheme="minorEastAsia" w:eastAsiaTheme="minorEastAsia"/>
                <w:b/>
                <w:kern w:val="0"/>
                <w:sz w:val="24"/>
              </w:rPr>
              <w:t>服务类别</w:t>
            </w:r>
          </w:p>
        </w:tc>
        <w:tc>
          <w:tcPr>
            <w:tcW w:w="1730" w:type="dxa"/>
            <w:noWrap/>
            <w:vAlign w:val="center"/>
          </w:tcPr>
          <w:p w14:paraId="18803089">
            <w:pPr>
              <w:widowControl/>
              <w:spacing w:line="360" w:lineRule="auto"/>
              <w:jc w:val="center"/>
              <w:rPr>
                <w:rFonts w:hint="eastAsia" w:cs="宋体" w:asciiTheme="minorEastAsia" w:hAnsiTheme="minorEastAsia" w:eastAsiaTheme="minorEastAsia"/>
                <w:b/>
                <w:kern w:val="0"/>
                <w:sz w:val="24"/>
              </w:rPr>
            </w:pPr>
            <w:r>
              <w:rPr>
                <w:rFonts w:hint="eastAsia" w:cs="宋体" w:asciiTheme="minorEastAsia" w:hAnsiTheme="minorEastAsia" w:eastAsiaTheme="minorEastAsia"/>
                <w:b/>
                <w:kern w:val="0"/>
                <w:sz w:val="24"/>
              </w:rPr>
              <w:t>服务名称</w:t>
            </w:r>
          </w:p>
        </w:tc>
        <w:tc>
          <w:tcPr>
            <w:tcW w:w="3656" w:type="dxa"/>
            <w:noWrap/>
            <w:vAlign w:val="center"/>
          </w:tcPr>
          <w:p w14:paraId="08D2C686">
            <w:pPr>
              <w:widowControl/>
              <w:spacing w:line="360" w:lineRule="auto"/>
              <w:jc w:val="center"/>
              <w:rPr>
                <w:rFonts w:hint="eastAsia" w:cs="宋体" w:asciiTheme="minorEastAsia" w:hAnsiTheme="minorEastAsia" w:eastAsiaTheme="minorEastAsia"/>
                <w:b/>
                <w:kern w:val="0"/>
                <w:sz w:val="24"/>
              </w:rPr>
            </w:pPr>
            <w:r>
              <w:rPr>
                <w:rFonts w:hint="eastAsia" w:cs="宋体" w:asciiTheme="minorEastAsia" w:hAnsiTheme="minorEastAsia" w:eastAsiaTheme="minorEastAsia"/>
                <w:b/>
                <w:kern w:val="0"/>
                <w:sz w:val="24"/>
              </w:rPr>
              <w:t>项目</w:t>
            </w:r>
          </w:p>
        </w:tc>
        <w:tc>
          <w:tcPr>
            <w:tcW w:w="1276" w:type="dxa"/>
            <w:noWrap/>
            <w:vAlign w:val="center"/>
          </w:tcPr>
          <w:p w14:paraId="1916B27D">
            <w:pPr>
              <w:widowControl/>
              <w:spacing w:line="360" w:lineRule="auto"/>
              <w:jc w:val="center"/>
              <w:rPr>
                <w:rFonts w:hint="eastAsia" w:cs="宋体" w:asciiTheme="minorEastAsia" w:hAnsiTheme="minorEastAsia" w:eastAsiaTheme="minorEastAsia"/>
                <w:b/>
                <w:kern w:val="0"/>
                <w:sz w:val="24"/>
              </w:rPr>
            </w:pPr>
            <w:r>
              <w:rPr>
                <w:rFonts w:hint="eastAsia" w:cs="宋体" w:asciiTheme="minorEastAsia" w:hAnsiTheme="minorEastAsia" w:eastAsiaTheme="minorEastAsia"/>
                <w:b/>
                <w:kern w:val="0"/>
                <w:sz w:val="24"/>
              </w:rPr>
              <w:t>单位</w:t>
            </w:r>
          </w:p>
        </w:tc>
        <w:tc>
          <w:tcPr>
            <w:tcW w:w="851" w:type="dxa"/>
            <w:noWrap/>
            <w:vAlign w:val="center"/>
          </w:tcPr>
          <w:p w14:paraId="16CA148B">
            <w:pPr>
              <w:widowControl/>
              <w:spacing w:line="360" w:lineRule="auto"/>
              <w:jc w:val="center"/>
              <w:rPr>
                <w:rFonts w:hint="eastAsia" w:cs="宋体" w:asciiTheme="minorEastAsia" w:hAnsiTheme="minorEastAsia" w:eastAsiaTheme="minorEastAsia"/>
                <w:b/>
                <w:kern w:val="0"/>
                <w:sz w:val="24"/>
              </w:rPr>
            </w:pPr>
            <w:r>
              <w:rPr>
                <w:rFonts w:hint="eastAsia" w:cs="宋体" w:asciiTheme="minorEastAsia" w:hAnsiTheme="minorEastAsia" w:eastAsiaTheme="minorEastAsia"/>
                <w:b/>
                <w:kern w:val="0"/>
                <w:sz w:val="24"/>
              </w:rPr>
              <w:t>数量</w:t>
            </w:r>
          </w:p>
        </w:tc>
        <w:tc>
          <w:tcPr>
            <w:tcW w:w="1134" w:type="dxa"/>
            <w:noWrap/>
            <w:vAlign w:val="center"/>
          </w:tcPr>
          <w:p w14:paraId="6182D5A3">
            <w:pPr>
              <w:widowControl/>
              <w:spacing w:line="360" w:lineRule="auto"/>
              <w:jc w:val="center"/>
              <w:rPr>
                <w:rFonts w:hint="eastAsia" w:cs="宋体" w:asciiTheme="minorEastAsia" w:hAnsiTheme="minorEastAsia" w:eastAsiaTheme="minorEastAsia"/>
                <w:b/>
                <w:kern w:val="0"/>
                <w:sz w:val="24"/>
              </w:rPr>
            </w:pPr>
            <w:r>
              <w:rPr>
                <w:rFonts w:hint="eastAsia" w:cs="宋体" w:asciiTheme="minorEastAsia" w:hAnsiTheme="minorEastAsia" w:eastAsiaTheme="minorEastAsia"/>
                <w:b/>
                <w:kern w:val="0"/>
                <w:sz w:val="24"/>
              </w:rPr>
              <w:t>租用期限（月）</w:t>
            </w:r>
          </w:p>
        </w:tc>
      </w:tr>
      <w:tr w14:paraId="2B76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10" w:type="dxa"/>
            <w:vMerge w:val="restart"/>
            <w:vAlign w:val="center"/>
          </w:tcPr>
          <w:p w14:paraId="135FE447">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计算服务</w:t>
            </w:r>
          </w:p>
        </w:tc>
        <w:tc>
          <w:tcPr>
            <w:tcW w:w="1730" w:type="dxa"/>
            <w:vMerge w:val="restart"/>
            <w:vAlign w:val="center"/>
          </w:tcPr>
          <w:p w14:paraId="60C529C5">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ARM架构云</w:t>
            </w:r>
          </w:p>
          <w:p w14:paraId="06E04A54">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主机服务</w:t>
            </w:r>
          </w:p>
        </w:tc>
        <w:tc>
          <w:tcPr>
            <w:tcW w:w="3656" w:type="dxa"/>
            <w:vAlign w:val="center"/>
          </w:tcPr>
          <w:p w14:paraId="6590313C">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vCPU（主频不低于2.4GHz）</w:t>
            </w:r>
          </w:p>
        </w:tc>
        <w:tc>
          <w:tcPr>
            <w:tcW w:w="1276" w:type="dxa"/>
            <w:vAlign w:val="center"/>
          </w:tcPr>
          <w:p w14:paraId="67BDB7E4">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 CPU</w:t>
            </w:r>
          </w:p>
        </w:tc>
        <w:tc>
          <w:tcPr>
            <w:tcW w:w="851" w:type="dxa"/>
            <w:vAlign w:val="center"/>
          </w:tcPr>
          <w:p w14:paraId="744491A6">
            <w:pPr>
              <w:widowControl/>
              <w:spacing w:line="360" w:lineRule="auto"/>
              <w:jc w:val="center"/>
              <w:rPr>
                <w:rFonts w:hint="eastAsia"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412</w:t>
            </w:r>
          </w:p>
        </w:tc>
        <w:tc>
          <w:tcPr>
            <w:tcW w:w="1134" w:type="dxa"/>
            <w:vAlign w:val="center"/>
          </w:tcPr>
          <w:p w14:paraId="059475C2">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68381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10" w:type="dxa"/>
            <w:vMerge w:val="continue"/>
            <w:vAlign w:val="center"/>
          </w:tcPr>
          <w:p w14:paraId="74C34258">
            <w:pPr>
              <w:widowControl/>
              <w:spacing w:line="360" w:lineRule="auto"/>
              <w:jc w:val="center"/>
              <w:rPr>
                <w:rFonts w:hint="eastAsia" w:cs="宋体" w:asciiTheme="minorEastAsia" w:hAnsiTheme="minorEastAsia" w:eastAsiaTheme="minorEastAsia"/>
                <w:kern w:val="0"/>
                <w:sz w:val="24"/>
              </w:rPr>
            </w:pPr>
          </w:p>
        </w:tc>
        <w:tc>
          <w:tcPr>
            <w:tcW w:w="1730" w:type="dxa"/>
            <w:vMerge w:val="continue"/>
            <w:vAlign w:val="center"/>
          </w:tcPr>
          <w:p w14:paraId="01D512A6">
            <w:pPr>
              <w:widowControl/>
              <w:spacing w:line="360" w:lineRule="auto"/>
              <w:jc w:val="center"/>
              <w:rPr>
                <w:rFonts w:hint="eastAsia" w:cs="宋体" w:asciiTheme="minorEastAsia" w:hAnsiTheme="minorEastAsia" w:eastAsiaTheme="minorEastAsia"/>
                <w:kern w:val="0"/>
                <w:sz w:val="24"/>
              </w:rPr>
            </w:pPr>
          </w:p>
        </w:tc>
        <w:tc>
          <w:tcPr>
            <w:tcW w:w="3656" w:type="dxa"/>
            <w:vAlign w:val="center"/>
          </w:tcPr>
          <w:p w14:paraId="66391456">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内存</w:t>
            </w:r>
          </w:p>
        </w:tc>
        <w:tc>
          <w:tcPr>
            <w:tcW w:w="1276" w:type="dxa"/>
            <w:vAlign w:val="center"/>
          </w:tcPr>
          <w:p w14:paraId="36CE23A0">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 GB</w:t>
            </w:r>
          </w:p>
        </w:tc>
        <w:tc>
          <w:tcPr>
            <w:tcW w:w="851" w:type="dxa"/>
            <w:vAlign w:val="center"/>
          </w:tcPr>
          <w:p w14:paraId="1D398FB0">
            <w:pPr>
              <w:widowControl/>
              <w:spacing w:line="360" w:lineRule="auto"/>
              <w:jc w:val="center"/>
              <w:rPr>
                <w:rFonts w:hint="eastAsia"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1640</w:t>
            </w:r>
          </w:p>
        </w:tc>
        <w:tc>
          <w:tcPr>
            <w:tcW w:w="1134" w:type="dxa"/>
            <w:vAlign w:val="center"/>
          </w:tcPr>
          <w:p w14:paraId="444A0F41">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21AE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10" w:type="dxa"/>
            <w:vMerge w:val="restart"/>
            <w:vAlign w:val="center"/>
          </w:tcPr>
          <w:p w14:paraId="4A3AA733">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存储服务</w:t>
            </w:r>
          </w:p>
        </w:tc>
        <w:tc>
          <w:tcPr>
            <w:tcW w:w="1730" w:type="dxa"/>
            <w:vAlign w:val="center"/>
          </w:tcPr>
          <w:p w14:paraId="472D2399">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普通存储</w:t>
            </w:r>
          </w:p>
        </w:tc>
        <w:tc>
          <w:tcPr>
            <w:tcW w:w="3656" w:type="dxa"/>
            <w:vAlign w:val="center"/>
          </w:tcPr>
          <w:p w14:paraId="29BB76C8">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普通存储（单盘技术指标: 单盘技术指标: 单盘IOPS 2000-5000）</w:t>
            </w:r>
          </w:p>
        </w:tc>
        <w:tc>
          <w:tcPr>
            <w:tcW w:w="1276" w:type="dxa"/>
            <w:vAlign w:val="center"/>
          </w:tcPr>
          <w:p w14:paraId="17C8941A">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 GB</w:t>
            </w:r>
          </w:p>
        </w:tc>
        <w:tc>
          <w:tcPr>
            <w:tcW w:w="851" w:type="dxa"/>
            <w:vAlign w:val="center"/>
          </w:tcPr>
          <w:p w14:paraId="04E65AD4">
            <w:pPr>
              <w:widowControl/>
              <w:spacing w:line="360" w:lineRule="auto"/>
              <w:jc w:val="center"/>
              <w:rPr>
                <w:rFonts w:hint="eastAsia"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54792</w:t>
            </w:r>
          </w:p>
        </w:tc>
        <w:tc>
          <w:tcPr>
            <w:tcW w:w="1134" w:type="dxa"/>
            <w:vAlign w:val="center"/>
          </w:tcPr>
          <w:p w14:paraId="14371F08">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28DF7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10" w:type="dxa"/>
            <w:vMerge w:val="continue"/>
            <w:vAlign w:val="center"/>
          </w:tcPr>
          <w:p w14:paraId="3170A689">
            <w:pPr>
              <w:widowControl/>
              <w:spacing w:line="360" w:lineRule="auto"/>
              <w:jc w:val="center"/>
              <w:rPr>
                <w:rFonts w:hint="eastAsia" w:cs="宋体" w:asciiTheme="minorEastAsia" w:hAnsiTheme="minorEastAsia" w:eastAsiaTheme="minorEastAsia"/>
                <w:kern w:val="0"/>
                <w:sz w:val="24"/>
              </w:rPr>
            </w:pPr>
          </w:p>
        </w:tc>
        <w:tc>
          <w:tcPr>
            <w:tcW w:w="1730" w:type="dxa"/>
            <w:vAlign w:val="center"/>
          </w:tcPr>
          <w:p w14:paraId="49B1910A">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高性能存储</w:t>
            </w:r>
          </w:p>
        </w:tc>
        <w:tc>
          <w:tcPr>
            <w:tcW w:w="3656" w:type="dxa"/>
            <w:vAlign w:val="center"/>
          </w:tcPr>
          <w:p w14:paraId="3C15FA1C">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高性能存储（单盘技术指标：单盘IOPS 10000-25000 ）</w:t>
            </w:r>
          </w:p>
        </w:tc>
        <w:tc>
          <w:tcPr>
            <w:tcW w:w="1276" w:type="dxa"/>
            <w:vAlign w:val="center"/>
          </w:tcPr>
          <w:p w14:paraId="3228D6F8">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 GB</w:t>
            </w:r>
          </w:p>
        </w:tc>
        <w:tc>
          <w:tcPr>
            <w:tcW w:w="851" w:type="dxa"/>
            <w:vAlign w:val="center"/>
          </w:tcPr>
          <w:p w14:paraId="63CBB6EB">
            <w:pPr>
              <w:widowControl/>
              <w:spacing w:line="360" w:lineRule="auto"/>
              <w:jc w:val="center"/>
              <w:rPr>
                <w:rFonts w:hint="eastAsia"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27396</w:t>
            </w:r>
          </w:p>
        </w:tc>
        <w:tc>
          <w:tcPr>
            <w:tcW w:w="1134" w:type="dxa"/>
            <w:vAlign w:val="center"/>
          </w:tcPr>
          <w:p w14:paraId="19353282">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4C108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10" w:type="dxa"/>
            <w:vMerge w:val="continue"/>
            <w:vAlign w:val="center"/>
          </w:tcPr>
          <w:p w14:paraId="1FD5AF77">
            <w:pPr>
              <w:widowControl/>
              <w:spacing w:line="360" w:lineRule="auto"/>
              <w:jc w:val="center"/>
              <w:rPr>
                <w:rFonts w:hint="eastAsia" w:cs="宋体" w:asciiTheme="minorEastAsia" w:hAnsiTheme="minorEastAsia" w:eastAsiaTheme="minorEastAsia"/>
                <w:kern w:val="0"/>
                <w:sz w:val="24"/>
              </w:rPr>
            </w:pPr>
          </w:p>
        </w:tc>
        <w:tc>
          <w:tcPr>
            <w:tcW w:w="1730" w:type="dxa"/>
            <w:vAlign w:val="center"/>
          </w:tcPr>
          <w:p w14:paraId="63B92093">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本地备份服务</w:t>
            </w:r>
          </w:p>
        </w:tc>
        <w:tc>
          <w:tcPr>
            <w:tcW w:w="3656" w:type="dxa"/>
            <w:vAlign w:val="center"/>
          </w:tcPr>
          <w:p w14:paraId="50239805">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通过备份策略实现文件、操作系统、数据库的本地备份（不包含备份存储空间费用）</w:t>
            </w:r>
          </w:p>
        </w:tc>
        <w:tc>
          <w:tcPr>
            <w:tcW w:w="1276" w:type="dxa"/>
            <w:vAlign w:val="center"/>
          </w:tcPr>
          <w:p w14:paraId="008BD1E2">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1GB</w:t>
            </w:r>
          </w:p>
        </w:tc>
        <w:tc>
          <w:tcPr>
            <w:tcW w:w="851" w:type="dxa"/>
            <w:vAlign w:val="center"/>
          </w:tcPr>
          <w:p w14:paraId="0EFF8B52">
            <w:pPr>
              <w:widowControl/>
              <w:spacing w:line="360" w:lineRule="auto"/>
              <w:jc w:val="center"/>
              <w:rPr>
                <w:rFonts w:hint="eastAsia"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27396</w:t>
            </w:r>
          </w:p>
        </w:tc>
        <w:tc>
          <w:tcPr>
            <w:tcW w:w="1134" w:type="dxa"/>
            <w:vAlign w:val="center"/>
          </w:tcPr>
          <w:p w14:paraId="7C906F73">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51DE1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10" w:type="dxa"/>
            <w:vMerge w:val="continue"/>
            <w:vAlign w:val="center"/>
          </w:tcPr>
          <w:p w14:paraId="3270D339">
            <w:pPr>
              <w:widowControl/>
              <w:spacing w:line="360" w:lineRule="auto"/>
              <w:jc w:val="center"/>
              <w:rPr>
                <w:rFonts w:hint="eastAsia" w:cs="宋体" w:asciiTheme="minorEastAsia" w:hAnsiTheme="minorEastAsia" w:eastAsiaTheme="minorEastAsia"/>
                <w:kern w:val="0"/>
                <w:sz w:val="24"/>
              </w:rPr>
            </w:pPr>
          </w:p>
        </w:tc>
        <w:tc>
          <w:tcPr>
            <w:tcW w:w="1730" w:type="dxa"/>
            <w:vAlign w:val="center"/>
          </w:tcPr>
          <w:p w14:paraId="2D640448">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异地备份服务</w:t>
            </w:r>
          </w:p>
        </w:tc>
        <w:tc>
          <w:tcPr>
            <w:tcW w:w="3656" w:type="dxa"/>
            <w:vAlign w:val="center"/>
          </w:tcPr>
          <w:p w14:paraId="7104F813">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通过备份策略实现文件、操作系统、数据库的异地备份（不包含备份存储空间费用）</w:t>
            </w:r>
          </w:p>
        </w:tc>
        <w:tc>
          <w:tcPr>
            <w:tcW w:w="1276" w:type="dxa"/>
            <w:vAlign w:val="center"/>
          </w:tcPr>
          <w:p w14:paraId="66ADDA66">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1GB</w:t>
            </w:r>
          </w:p>
        </w:tc>
        <w:tc>
          <w:tcPr>
            <w:tcW w:w="851" w:type="dxa"/>
            <w:vAlign w:val="center"/>
          </w:tcPr>
          <w:p w14:paraId="36A071AB">
            <w:pPr>
              <w:widowControl/>
              <w:spacing w:line="360" w:lineRule="auto"/>
              <w:jc w:val="center"/>
              <w:rPr>
                <w:rFonts w:hint="eastAsia"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27396</w:t>
            </w:r>
          </w:p>
        </w:tc>
        <w:tc>
          <w:tcPr>
            <w:tcW w:w="1134" w:type="dxa"/>
            <w:vAlign w:val="center"/>
          </w:tcPr>
          <w:p w14:paraId="44357534">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5CF8F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10" w:type="dxa"/>
            <w:vMerge w:val="restart"/>
            <w:vAlign w:val="center"/>
          </w:tcPr>
          <w:p w14:paraId="50D919EF">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网络服务</w:t>
            </w:r>
          </w:p>
        </w:tc>
        <w:tc>
          <w:tcPr>
            <w:tcW w:w="1730" w:type="dxa"/>
            <w:vMerge w:val="restart"/>
            <w:vAlign w:val="center"/>
          </w:tcPr>
          <w:p w14:paraId="33C4CE5A">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互联网链路</w:t>
            </w:r>
          </w:p>
          <w:p w14:paraId="202D1516">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服务</w:t>
            </w:r>
          </w:p>
        </w:tc>
        <w:tc>
          <w:tcPr>
            <w:tcW w:w="3656" w:type="dxa"/>
            <w:vAlign w:val="center"/>
          </w:tcPr>
          <w:p w14:paraId="7C8E9DEB">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互联网链路带宽</w:t>
            </w:r>
          </w:p>
        </w:tc>
        <w:tc>
          <w:tcPr>
            <w:tcW w:w="1276" w:type="dxa"/>
            <w:vAlign w:val="center"/>
          </w:tcPr>
          <w:p w14:paraId="064D31AB">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 Mb</w:t>
            </w:r>
          </w:p>
        </w:tc>
        <w:tc>
          <w:tcPr>
            <w:tcW w:w="851" w:type="dxa"/>
            <w:vAlign w:val="center"/>
          </w:tcPr>
          <w:p w14:paraId="5A7712CF">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300</w:t>
            </w:r>
          </w:p>
        </w:tc>
        <w:tc>
          <w:tcPr>
            <w:tcW w:w="1134" w:type="dxa"/>
            <w:vAlign w:val="center"/>
          </w:tcPr>
          <w:p w14:paraId="2519770D">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39FC1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10" w:type="dxa"/>
            <w:vMerge w:val="continue"/>
            <w:vAlign w:val="center"/>
          </w:tcPr>
          <w:p w14:paraId="5739C147">
            <w:pPr>
              <w:widowControl/>
              <w:spacing w:line="360" w:lineRule="auto"/>
              <w:jc w:val="center"/>
              <w:rPr>
                <w:rFonts w:hint="eastAsia" w:cs="宋体" w:asciiTheme="minorEastAsia" w:hAnsiTheme="minorEastAsia" w:eastAsiaTheme="minorEastAsia"/>
                <w:kern w:val="0"/>
                <w:sz w:val="24"/>
              </w:rPr>
            </w:pPr>
          </w:p>
        </w:tc>
        <w:tc>
          <w:tcPr>
            <w:tcW w:w="1730" w:type="dxa"/>
            <w:vMerge w:val="continue"/>
            <w:vAlign w:val="center"/>
          </w:tcPr>
          <w:p w14:paraId="5DB8AEB6">
            <w:pPr>
              <w:widowControl/>
              <w:spacing w:line="360" w:lineRule="auto"/>
              <w:jc w:val="center"/>
              <w:rPr>
                <w:rFonts w:hint="eastAsia" w:cs="宋体" w:asciiTheme="minorEastAsia" w:hAnsiTheme="minorEastAsia" w:eastAsiaTheme="minorEastAsia"/>
                <w:kern w:val="0"/>
                <w:sz w:val="24"/>
              </w:rPr>
            </w:pPr>
          </w:p>
        </w:tc>
        <w:tc>
          <w:tcPr>
            <w:tcW w:w="3656" w:type="dxa"/>
            <w:vAlign w:val="center"/>
          </w:tcPr>
          <w:p w14:paraId="111367DE">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互联网IP地址租用服务、并提供备案服务</w:t>
            </w:r>
          </w:p>
        </w:tc>
        <w:tc>
          <w:tcPr>
            <w:tcW w:w="1276" w:type="dxa"/>
            <w:vAlign w:val="center"/>
          </w:tcPr>
          <w:p w14:paraId="30846AC5">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 IP</w:t>
            </w:r>
          </w:p>
        </w:tc>
        <w:tc>
          <w:tcPr>
            <w:tcW w:w="851" w:type="dxa"/>
            <w:vAlign w:val="center"/>
          </w:tcPr>
          <w:p w14:paraId="6300C71B">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2</w:t>
            </w:r>
          </w:p>
        </w:tc>
        <w:tc>
          <w:tcPr>
            <w:tcW w:w="1134" w:type="dxa"/>
            <w:vAlign w:val="center"/>
          </w:tcPr>
          <w:p w14:paraId="2FE331D9">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49EF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10" w:type="dxa"/>
            <w:vMerge w:val="continue"/>
            <w:vAlign w:val="center"/>
          </w:tcPr>
          <w:p w14:paraId="1860EB77">
            <w:pPr>
              <w:widowControl/>
              <w:spacing w:line="360" w:lineRule="auto"/>
              <w:jc w:val="center"/>
              <w:rPr>
                <w:rFonts w:hint="eastAsia" w:cs="宋体" w:asciiTheme="minorEastAsia" w:hAnsiTheme="minorEastAsia" w:eastAsiaTheme="minorEastAsia"/>
                <w:kern w:val="0"/>
                <w:sz w:val="24"/>
              </w:rPr>
            </w:pPr>
          </w:p>
        </w:tc>
        <w:tc>
          <w:tcPr>
            <w:tcW w:w="1730" w:type="dxa"/>
            <w:vAlign w:val="center"/>
          </w:tcPr>
          <w:p w14:paraId="5935E216">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远程接入服务</w:t>
            </w:r>
          </w:p>
        </w:tc>
        <w:tc>
          <w:tcPr>
            <w:tcW w:w="3656" w:type="dxa"/>
            <w:vAlign w:val="center"/>
          </w:tcPr>
          <w:p w14:paraId="032F4621">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每个账号结合身份验证通过VPN远程接入堡垒机进行维护</w:t>
            </w:r>
          </w:p>
        </w:tc>
        <w:tc>
          <w:tcPr>
            <w:tcW w:w="1276" w:type="dxa"/>
            <w:vAlign w:val="center"/>
          </w:tcPr>
          <w:p w14:paraId="47A21530">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1账号</w:t>
            </w:r>
          </w:p>
        </w:tc>
        <w:tc>
          <w:tcPr>
            <w:tcW w:w="851" w:type="dxa"/>
            <w:vAlign w:val="center"/>
          </w:tcPr>
          <w:p w14:paraId="3013AAEE">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3</w:t>
            </w:r>
          </w:p>
        </w:tc>
        <w:tc>
          <w:tcPr>
            <w:tcW w:w="1134" w:type="dxa"/>
            <w:vAlign w:val="center"/>
          </w:tcPr>
          <w:p w14:paraId="7D914ACB">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324A2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10" w:type="dxa"/>
            <w:vMerge w:val="continue"/>
            <w:vAlign w:val="center"/>
          </w:tcPr>
          <w:p w14:paraId="7ABF69EB">
            <w:pPr>
              <w:widowControl/>
              <w:spacing w:line="360" w:lineRule="auto"/>
              <w:jc w:val="center"/>
              <w:rPr>
                <w:rFonts w:hint="eastAsia" w:cs="宋体" w:asciiTheme="minorEastAsia" w:hAnsiTheme="minorEastAsia" w:eastAsiaTheme="minorEastAsia"/>
                <w:kern w:val="0"/>
                <w:sz w:val="24"/>
              </w:rPr>
            </w:pPr>
          </w:p>
        </w:tc>
        <w:tc>
          <w:tcPr>
            <w:tcW w:w="1730" w:type="dxa"/>
            <w:vAlign w:val="center"/>
          </w:tcPr>
          <w:p w14:paraId="1C4F4F04">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主机负载均衡服务</w:t>
            </w:r>
          </w:p>
        </w:tc>
        <w:tc>
          <w:tcPr>
            <w:tcW w:w="3656" w:type="dxa"/>
            <w:vAlign w:val="center"/>
          </w:tcPr>
          <w:p w14:paraId="2996FCA2">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主机负载均衡服务</w:t>
            </w:r>
          </w:p>
        </w:tc>
        <w:tc>
          <w:tcPr>
            <w:tcW w:w="1276" w:type="dxa"/>
            <w:shd w:val="clear" w:color="000000" w:fill="FFFFFF"/>
            <w:vAlign w:val="center"/>
          </w:tcPr>
          <w:p w14:paraId="2066A4D3">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 IP</w:t>
            </w:r>
          </w:p>
          <w:p w14:paraId="1CCE018E">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（内网）</w:t>
            </w:r>
          </w:p>
        </w:tc>
        <w:tc>
          <w:tcPr>
            <w:tcW w:w="851" w:type="dxa"/>
            <w:shd w:val="clear" w:color="000000" w:fill="FFFFFF"/>
            <w:vAlign w:val="center"/>
          </w:tcPr>
          <w:p w14:paraId="261E6254">
            <w:pPr>
              <w:widowControl/>
              <w:spacing w:line="360" w:lineRule="auto"/>
              <w:jc w:val="center"/>
              <w:rPr>
                <w:rFonts w:hint="eastAsia" w:cs="宋体" w:asciiTheme="minorEastAsia" w:hAnsiTheme="minorEastAsia" w:eastAsiaTheme="minorEastAsia"/>
                <w:kern w:val="0"/>
                <w:sz w:val="24"/>
              </w:rPr>
            </w:pPr>
            <w:r>
              <w:rPr>
                <w:rFonts w:cs="宋体" w:asciiTheme="minorEastAsia" w:hAnsiTheme="minorEastAsia" w:eastAsiaTheme="minorEastAsia"/>
                <w:kern w:val="0"/>
                <w:sz w:val="24"/>
              </w:rPr>
              <w:t>2</w:t>
            </w:r>
          </w:p>
        </w:tc>
        <w:tc>
          <w:tcPr>
            <w:tcW w:w="1134" w:type="dxa"/>
            <w:shd w:val="clear" w:color="000000" w:fill="FFFFFF"/>
            <w:vAlign w:val="center"/>
          </w:tcPr>
          <w:p w14:paraId="76AEFDC4">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5AB5A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710" w:type="dxa"/>
            <w:vMerge w:val="continue"/>
            <w:vAlign w:val="center"/>
          </w:tcPr>
          <w:p w14:paraId="62985FD7">
            <w:pPr>
              <w:widowControl/>
              <w:spacing w:line="360" w:lineRule="auto"/>
              <w:jc w:val="center"/>
              <w:rPr>
                <w:rFonts w:hint="eastAsia" w:cs="宋体" w:asciiTheme="minorEastAsia" w:hAnsiTheme="minorEastAsia" w:eastAsiaTheme="minorEastAsia"/>
                <w:kern w:val="0"/>
                <w:sz w:val="24"/>
              </w:rPr>
            </w:pPr>
          </w:p>
        </w:tc>
        <w:tc>
          <w:tcPr>
            <w:tcW w:w="1730" w:type="dxa"/>
            <w:vAlign w:val="center"/>
          </w:tcPr>
          <w:p w14:paraId="0AA1A50F">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VPN服务</w:t>
            </w:r>
          </w:p>
        </w:tc>
        <w:tc>
          <w:tcPr>
            <w:tcW w:w="3656" w:type="dxa"/>
            <w:shd w:val="clear" w:color="000000" w:fill="FFFFFF"/>
            <w:vAlign w:val="center"/>
          </w:tcPr>
          <w:p w14:paraId="7645DDC7">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SSL VPN接入，用户通过SSL VPN访问业务系统。每套10个并发用户。所需带宽参照“互联网链路带宽”购买</w:t>
            </w:r>
          </w:p>
        </w:tc>
        <w:tc>
          <w:tcPr>
            <w:tcW w:w="1276" w:type="dxa"/>
            <w:shd w:val="clear" w:color="000000" w:fill="FFFFFF"/>
            <w:vAlign w:val="center"/>
          </w:tcPr>
          <w:p w14:paraId="715A175F">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1套</w:t>
            </w:r>
          </w:p>
        </w:tc>
        <w:tc>
          <w:tcPr>
            <w:tcW w:w="851" w:type="dxa"/>
            <w:shd w:val="clear" w:color="000000" w:fill="FFFFFF"/>
            <w:vAlign w:val="center"/>
          </w:tcPr>
          <w:p w14:paraId="283F8FEC">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200</w:t>
            </w:r>
          </w:p>
        </w:tc>
        <w:tc>
          <w:tcPr>
            <w:tcW w:w="1134" w:type="dxa"/>
            <w:shd w:val="clear" w:color="000000" w:fill="FFFFFF"/>
            <w:vAlign w:val="center"/>
          </w:tcPr>
          <w:p w14:paraId="298126AE">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2B6E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10" w:type="dxa"/>
            <w:vMerge w:val="continue"/>
            <w:vAlign w:val="center"/>
          </w:tcPr>
          <w:p w14:paraId="050CFEFB">
            <w:pPr>
              <w:widowControl/>
              <w:spacing w:line="360" w:lineRule="auto"/>
              <w:jc w:val="center"/>
              <w:rPr>
                <w:rFonts w:hint="eastAsia" w:cs="宋体" w:asciiTheme="minorEastAsia" w:hAnsiTheme="minorEastAsia" w:eastAsiaTheme="minorEastAsia"/>
                <w:kern w:val="0"/>
                <w:sz w:val="24"/>
              </w:rPr>
            </w:pPr>
          </w:p>
        </w:tc>
        <w:tc>
          <w:tcPr>
            <w:tcW w:w="1730" w:type="dxa"/>
            <w:vAlign w:val="center"/>
          </w:tcPr>
          <w:p w14:paraId="5E9E9DED">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SSL证书服务</w:t>
            </w:r>
          </w:p>
        </w:tc>
        <w:tc>
          <w:tcPr>
            <w:tcW w:w="3656" w:type="dxa"/>
            <w:vAlign w:val="center"/>
          </w:tcPr>
          <w:p w14:paraId="061D7687">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SSL证书服务</w:t>
            </w:r>
          </w:p>
        </w:tc>
        <w:tc>
          <w:tcPr>
            <w:tcW w:w="1276" w:type="dxa"/>
            <w:shd w:val="clear" w:color="000000" w:fill="FFFFFF"/>
            <w:vAlign w:val="center"/>
          </w:tcPr>
          <w:p w14:paraId="3358BBF6">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1域名</w:t>
            </w:r>
          </w:p>
        </w:tc>
        <w:tc>
          <w:tcPr>
            <w:tcW w:w="851" w:type="dxa"/>
            <w:vAlign w:val="center"/>
          </w:tcPr>
          <w:p w14:paraId="6E2F9891">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w:t>
            </w:r>
          </w:p>
        </w:tc>
        <w:tc>
          <w:tcPr>
            <w:tcW w:w="1134" w:type="dxa"/>
            <w:vAlign w:val="center"/>
          </w:tcPr>
          <w:p w14:paraId="32FCE877">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7CE97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2" w:hRule="atLeast"/>
        </w:trPr>
        <w:tc>
          <w:tcPr>
            <w:tcW w:w="710" w:type="dxa"/>
            <w:vMerge w:val="continue"/>
            <w:vAlign w:val="center"/>
          </w:tcPr>
          <w:p w14:paraId="5862DDBB">
            <w:pPr>
              <w:widowControl/>
              <w:spacing w:line="360" w:lineRule="auto"/>
              <w:jc w:val="center"/>
              <w:rPr>
                <w:rFonts w:hint="eastAsia" w:cs="宋体" w:asciiTheme="minorEastAsia" w:hAnsiTheme="minorEastAsia" w:eastAsiaTheme="minorEastAsia"/>
                <w:kern w:val="0"/>
                <w:sz w:val="24"/>
              </w:rPr>
            </w:pPr>
          </w:p>
        </w:tc>
        <w:tc>
          <w:tcPr>
            <w:tcW w:w="1730" w:type="dxa"/>
            <w:vAlign w:val="center"/>
          </w:tcPr>
          <w:p w14:paraId="63E135CF">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WAF防护</w:t>
            </w:r>
          </w:p>
        </w:tc>
        <w:tc>
          <w:tcPr>
            <w:tcW w:w="3656" w:type="dxa"/>
            <w:vAlign w:val="center"/>
          </w:tcPr>
          <w:p w14:paraId="51DA2F19">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在网站前端架设WAF防护服务，保证用户网站对已知安全隐患进行防护，实时升级漏洞补丁，配置防护策略，可起到前端防护作用</w:t>
            </w:r>
          </w:p>
        </w:tc>
        <w:tc>
          <w:tcPr>
            <w:tcW w:w="1276" w:type="dxa"/>
            <w:vAlign w:val="center"/>
          </w:tcPr>
          <w:p w14:paraId="3A4DB750">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 IP</w:t>
            </w:r>
          </w:p>
          <w:p w14:paraId="527E3ABF">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（互联网）</w:t>
            </w:r>
          </w:p>
        </w:tc>
        <w:tc>
          <w:tcPr>
            <w:tcW w:w="851" w:type="dxa"/>
            <w:vAlign w:val="center"/>
          </w:tcPr>
          <w:p w14:paraId="4FA0A48D">
            <w:pPr>
              <w:widowControl/>
              <w:spacing w:line="360" w:lineRule="auto"/>
              <w:jc w:val="center"/>
              <w:rPr>
                <w:rFonts w:hint="eastAsia" w:cs="宋体" w:asciiTheme="minorEastAsia" w:hAnsiTheme="minorEastAsia" w:eastAsiaTheme="minorEastAsia"/>
                <w:kern w:val="0"/>
                <w:sz w:val="24"/>
              </w:rPr>
            </w:pPr>
            <w:r>
              <w:rPr>
                <w:rFonts w:cs="宋体" w:asciiTheme="minorEastAsia" w:hAnsiTheme="minorEastAsia" w:eastAsiaTheme="minorEastAsia"/>
                <w:kern w:val="0"/>
                <w:sz w:val="24"/>
              </w:rPr>
              <w:t>2</w:t>
            </w:r>
          </w:p>
        </w:tc>
        <w:tc>
          <w:tcPr>
            <w:tcW w:w="1134" w:type="dxa"/>
            <w:vAlign w:val="center"/>
          </w:tcPr>
          <w:p w14:paraId="60D59607">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bl>
    <w:p w14:paraId="24A52845"/>
    <w:p w14:paraId="6F06A9EB">
      <w:pPr>
        <w:pStyle w:val="7"/>
        <w:numPr>
          <w:ilvl w:val="0"/>
          <w:numId w:val="4"/>
        </w:numPr>
        <w:rPr>
          <w:rFonts w:hint="eastAsia" w:ascii="宋体" w:hAnsi="宋体" w:cs="宋体"/>
          <w:bCs/>
          <w:kern w:val="2"/>
          <w:szCs w:val="24"/>
        </w:rPr>
      </w:pPr>
      <w:r>
        <w:rPr>
          <w:rFonts w:hint="eastAsia" w:ascii="宋体" w:hAnsi="宋体" w:cs="宋体"/>
          <w:bCs/>
          <w:kern w:val="2"/>
          <w:szCs w:val="24"/>
        </w:rPr>
        <w:t>政务云扩展服务</w:t>
      </w:r>
    </w:p>
    <w:tbl>
      <w:tblPr>
        <w:tblStyle w:val="10"/>
        <w:tblW w:w="9357"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1"/>
        <w:gridCol w:w="1084"/>
        <w:gridCol w:w="3777"/>
        <w:gridCol w:w="875"/>
        <w:gridCol w:w="1064"/>
        <w:gridCol w:w="1406"/>
      </w:tblGrid>
      <w:tr w14:paraId="744AE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1151" w:type="dxa"/>
            <w:noWrap/>
            <w:vAlign w:val="center"/>
          </w:tcPr>
          <w:p w14:paraId="6DB187D1">
            <w:pPr>
              <w:widowControl/>
              <w:spacing w:line="360" w:lineRule="auto"/>
              <w:jc w:val="center"/>
              <w:rPr>
                <w:rFonts w:hint="eastAsia" w:cs="宋体" w:asciiTheme="minorEastAsia" w:hAnsiTheme="minorEastAsia" w:eastAsiaTheme="minorEastAsia"/>
                <w:b/>
                <w:kern w:val="0"/>
                <w:sz w:val="24"/>
              </w:rPr>
            </w:pPr>
            <w:r>
              <w:rPr>
                <w:rFonts w:hint="eastAsia" w:cs="宋体" w:asciiTheme="minorEastAsia" w:hAnsiTheme="minorEastAsia" w:eastAsiaTheme="minorEastAsia"/>
                <w:b/>
                <w:kern w:val="0"/>
                <w:sz w:val="24"/>
              </w:rPr>
              <w:t>服务类别</w:t>
            </w:r>
          </w:p>
        </w:tc>
        <w:tc>
          <w:tcPr>
            <w:tcW w:w="1084" w:type="dxa"/>
            <w:noWrap/>
            <w:vAlign w:val="center"/>
          </w:tcPr>
          <w:p w14:paraId="4EB4490C">
            <w:pPr>
              <w:widowControl/>
              <w:spacing w:line="360" w:lineRule="auto"/>
              <w:jc w:val="center"/>
              <w:rPr>
                <w:rFonts w:hint="eastAsia" w:cs="宋体" w:asciiTheme="minorEastAsia" w:hAnsiTheme="minorEastAsia" w:eastAsiaTheme="minorEastAsia"/>
                <w:b/>
                <w:kern w:val="0"/>
                <w:sz w:val="24"/>
              </w:rPr>
            </w:pPr>
            <w:r>
              <w:rPr>
                <w:rFonts w:hint="eastAsia" w:cs="宋体" w:asciiTheme="minorEastAsia" w:hAnsiTheme="minorEastAsia" w:eastAsiaTheme="minorEastAsia"/>
                <w:b/>
                <w:kern w:val="0"/>
                <w:sz w:val="24"/>
              </w:rPr>
              <w:t>服务名称</w:t>
            </w:r>
          </w:p>
        </w:tc>
        <w:tc>
          <w:tcPr>
            <w:tcW w:w="3777" w:type="dxa"/>
            <w:noWrap/>
            <w:vAlign w:val="center"/>
          </w:tcPr>
          <w:p w14:paraId="75632F64">
            <w:pPr>
              <w:widowControl/>
              <w:spacing w:line="360" w:lineRule="auto"/>
              <w:jc w:val="center"/>
              <w:rPr>
                <w:rFonts w:hint="eastAsia" w:cs="宋体" w:asciiTheme="minorEastAsia" w:hAnsiTheme="minorEastAsia" w:eastAsiaTheme="minorEastAsia"/>
                <w:b/>
                <w:kern w:val="0"/>
                <w:sz w:val="24"/>
              </w:rPr>
            </w:pPr>
            <w:r>
              <w:rPr>
                <w:rFonts w:hint="eastAsia" w:cs="宋体" w:asciiTheme="minorEastAsia" w:hAnsiTheme="minorEastAsia" w:eastAsiaTheme="minorEastAsia"/>
                <w:b/>
                <w:kern w:val="0"/>
                <w:sz w:val="24"/>
              </w:rPr>
              <w:t>项目</w:t>
            </w:r>
          </w:p>
        </w:tc>
        <w:tc>
          <w:tcPr>
            <w:tcW w:w="875" w:type="dxa"/>
            <w:noWrap/>
            <w:vAlign w:val="center"/>
          </w:tcPr>
          <w:p w14:paraId="791E0DF4">
            <w:pPr>
              <w:widowControl/>
              <w:spacing w:line="360" w:lineRule="auto"/>
              <w:jc w:val="center"/>
              <w:rPr>
                <w:rFonts w:hint="eastAsia" w:cs="宋体" w:asciiTheme="minorEastAsia" w:hAnsiTheme="minorEastAsia" w:eastAsiaTheme="minorEastAsia"/>
                <w:b/>
                <w:kern w:val="0"/>
                <w:sz w:val="24"/>
              </w:rPr>
            </w:pPr>
            <w:r>
              <w:rPr>
                <w:rFonts w:hint="eastAsia" w:cs="宋体" w:asciiTheme="minorEastAsia" w:hAnsiTheme="minorEastAsia" w:eastAsiaTheme="minorEastAsia"/>
                <w:b/>
                <w:kern w:val="0"/>
                <w:sz w:val="24"/>
              </w:rPr>
              <w:t>单位</w:t>
            </w:r>
          </w:p>
        </w:tc>
        <w:tc>
          <w:tcPr>
            <w:tcW w:w="1064" w:type="dxa"/>
            <w:noWrap/>
            <w:vAlign w:val="center"/>
          </w:tcPr>
          <w:p w14:paraId="110A48F2">
            <w:pPr>
              <w:widowControl/>
              <w:spacing w:line="360" w:lineRule="auto"/>
              <w:jc w:val="center"/>
              <w:rPr>
                <w:rFonts w:hint="eastAsia" w:cs="宋体" w:asciiTheme="minorEastAsia" w:hAnsiTheme="minorEastAsia" w:eastAsiaTheme="minorEastAsia"/>
                <w:b/>
                <w:kern w:val="0"/>
                <w:sz w:val="24"/>
              </w:rPr>
            </w:pPr>
            <w:r>
              <w:rPr>
                <w:rFonts w:hint="eastAsia" w:cs="宋体" w:asciiTheme="minorEastAsia" w:hAnsiTheme="minorEastAsia" w:eastAsiaTheme="minorEastAsia"/>
                <w:b/>
                <w:kern w:val="0"/>
                <w:sz w:val="24"/>
              </w:rPr>
              <w:t>数量</w:t>
            </w:r>
          </w:p>
        </w:tc>
        <w:tc>
          <w:tcPr>
            <w:tcW w:w="1406" w:type="dxa"/>
            <w:noWrap/>
            <w:vAlign w:val="center"/>
          </w:tcPr>
          <w:p w14:paraId="529D36C4">
            <w:pPr>
              <w:widowControl/>
              <w:spacing w:line="360" w:lineRule="auto"/>
              <w:jc w:val="center"/>
              <w:rPr>
                <w:rFonts w:hint="eastAsia" w:cs="宋体" w:asciiTheme="minorEastAsia" w:hAnsiTheme="minorEastAsia" w:eastAsiaTheme="minorEastAsia"/>
                <w:b/>
                <w:kern w:val="0"/>
                <w:sz w:val="24"/>
              </w:rPr>
            </w:pPr>
            <w:r>
              <w:rPr>
                <w:rFonts w:hint="eastAsia" w:cs="宋体" w:asciiTheme="minorEastAsia" w:hAnsiTheme="minorEastAsia" w:eastAsiaTheme="minorEastAsia"/>
                <w:b/>
                <w:kern w:val="0"/>
                <w:sz w:val="24"/>
              </w:rPr>
              <w:t>租用期限（月）</w:t>
            </w:r>
          </w:p>
        </w:tc>
      </w:tr>
      <w:tr w14:paraId="7B5B0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151" w:type="dxa"/>
            <w:vAlign w:val="center"/>
          </w:tcPr>
          <w:p w14:paraId="78CC1446">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基础软件支撑服务</w:t>
            </w:r>
          </w:p>
        </w:tc>
        <w:tc>
          <w:tcPr>
            <w:tcW w:w="1084" w:type="dxa"/>
            <w:vAlign w:val="center"/>
          </w:tcPr>
          <w:p w14:paraId="4832B7E4">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操作系统租赁服务</w:t>
            </w:r>
          </w:p>
        </w:tc>
        <w:tc>
          <w:tcPr>
            <w:tcW w:w="3777" w:type="dxa"/>
            <w:vAlign w:val="center"/>
          </w:tcPr>
          <w:p w14:paraId="5CC58669">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提供国产操作系统租赁服务</w:t>
            </w:r>
          </w:p>
        </w:tc>
        <w:tc>
          <w:tcPr>
            <w:tcW w:w="875" w:type="dxa"/>
            <w:vAlign w:val="center"/>
          </w:tcPr>
          <w:p w14:paraId="20C24928">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1套</w:t>
            </w:r>
          </w:p>
        </w:tc>
        <w:tc>
          <w:tcPr>
            <w:tcW w:w="1064" w:type="dxa"/>
            <w:vAlign w:val="center"/>
          </w:tcPr>
          <w:p w14:paraId="587D434B">
            <w:pPr>
              <w:widowControl/>
              <w:spacing w:line="360" w:lineRule="auto"/>
              <w:jc w:val="center"/>
              <w:rPr>
                <w:rFonts w:hint="eastAsia" w:asciiTheme="minorEastAsia" w:hAnsiTheme="minorEastAsia" w:eastAsiaTheme="minorEastAsia"/>
                <w:sz w:val="24"/>
              </w:rPr>
            </w:pPr>
            <w:r>
              <w:rPr>
                <w:rFonts w:hint="eastAsia" w:asciiTheme="minorEastAsia" w:hAnsiTheme="minorEastAsia" w:eastAsiaTheme="minorEastAsia"/>
                <w:sz w:val="24"/>
              </w:rPr>
              <w:t>25</w:t>
            </w:r>
          </w:p>
        </w:tc>
        <w:tc>
          <w:tcPr>
            <w:tcW w:w="1406" w:type="dxa"/>
            <w:vAlign w:val="center"/>
          </w:tcPr>
          <w:p w14:paraId="588B8430">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4BF13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51" w:type="dxa"/>
            <w:vMerge w:val="restart"/>
            <w:vAlign w:val="center"/>
          </w:tcPr>
          <w:p w14:paraId="6F223FE4">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安全防护服务</w:t>
            </w:r>
          </w:p>
        </w:tc>
        <w:tc>
          <w:tcPr>
            <w:tcW w:w="1084" w:type="dxa"/>
            <w:vAlign w:val="center"/>
          </w:tcPr>
          <w:p w14:paraId="0FF9FDD9">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主机杀毒服务</w:t>
            </w:r>
          </w:p>
        </w:tc>
        <w:tc>
          <w:tcPr>
            <w:tcW w:w="3777" w:type="dxa"/>
            <w:vAlign w:val="center"/>
          </w:tcPr>
          <w:p w14:paraId="048C3697">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对云主机进行定期的病毒查杀，杀毒软件集中控制，对网络性能无影响。</w:t>
            </w:r>
          </w:p>
        </w:tc>
        <w:tc>
          <w:tcPr>
            <w:tcW w:w="875" w:type="dxa"/>
            <w:vAlign w:val="center"/>
          </w:tcPr>
          <w:p w14:paraId="121700A5">
            <w:pPr>
              <w:widowControl/>
              <w:spacing w:line="360" w:lineRule="auto"/>
              <w:jc w:val="center"/>
              <w:rPr>
                <w:rFonts w:hint="eastAsia"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color w:val="000000" w:themeColor="text1"/>
                <w:kern w:val="0"/>
                <w:sz w:val="24"/>
                <w14:textFill>
                  <w14:solidFill>
                    <w14:schemeClr w14:val="tx1"/>
                  </w14:solidFill>
                </w14:textFill>
              </w:rPr>
              <w:t>1台</w:t>
            </w:r>
          </w:p>
        </w:tc>
        <w:tc>
          <w:tcPr>
            <w:tcW w:w="1064" w:type="dxa"/>
            <w:vAlign w:val="center"/>
          </w:tcPr>
          <w:p w14:paraId="17807FDA">
            <w:pPr>
              <w:widowControl/>
              <w:spacing w:line="360" w:lineRule="auto"/>
              <w:jc w:val="center"/>
              <w:rPr>
                <w:rFonts w:hint="eastAsia"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color w:val="000000" w:themeColor="text1"/>
                <w:kern w:val="0"/>
                <w:sz w:val="24"/>
                <w14:textFill>
                  <w14:solidFill>
                    <w14:schemeClr w14:val="tx1"/>
                  </w14:solidFill>
                </w14:textFill>
              </w:rPr>
              <w:t>25</w:t>
            </w:r>
          </w:p>
        </w:tc>
        <w:tc>
          <w:tcPr>
            <w:tcW w:w="1406" w:type="dxa"/>
            <w:vAlign w:val="center"/>
          </w:tcPr>
          <w:p w14:paraId="37B593BB">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7B7B9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151" w:type="dxa"/>
            <w:vMerge w:val="continue"/>
            <w:vAlign w:val="center"/>
          </w:tcPr>
          <w:p w14:paraId="7FB10891">
            <w:pPr>
              <w:widowControl/>
              <w:spacing w:line="360" w:lineRule="auto"/>
              <w:jc w:val="center"/>
              <w:rPr>
                <w:rFonts w:hint="eastAsia" w:cs="宋体" w:asciiTheme="minorEastAsia" w:hAnsiTheme="minorEastAsia" w:eastAsiaTheme="minorEastAsia"/>
                <w:kern w:val="0"/>
                <w:sz w:val="24"/>
              </w:rPr>
            </w:pPr>
          </w:p>
        </w:tc>
        <w:tc>
          <w:tcPr>
            <w:tcW w:w="1084" w:type="dxa"/>
            <w:vAlign w:val="center"/>
          </w:tcPr>
          <w:p w14:paraId="45A2A4D4">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网页防篡改服务</w:t>
            </w:r>
          </w:p>
        </w:tc>
        <w:tc>
          <w:tcPr>
            <w:tcW w:w="3777" w:type="dxa"/>
            <w:vAlign w:val="center"/>
          </w:tcPr>
          <w:p w14:paraId="0B9A2020">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提供网页防篡改服务。通过防篡改软件对用户页面进行实时防护，减少用户页面被恶意篡改的可能性。</w:t>
            </w:r>
          </w:p>
        </w:tc>
        <w:tc>
          <w:tcPr>
            <w:tcW w:w="875" w:type="dxa"/>
            <w:vAlign w:val="center"/>
          </w:tcPr>
          <w:p w14:paraId="32CF2D90">
            <w:pPr>
              <w:widowControl/>
              <w:spacing w:line="360" w:lineRule="auto"/>
              <w:jc w:val="center"/>
              <w:rPr>
                <w:rFonts w:hint="eastAsia"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color w:val="000000" w:themeColor="text1"/>
                <w:kern w:val="0"/>
                <w:sz w:val="24"/>
                <w14:textFill>
                  <w14:solidFill>
                    <w14:schemeClr w14:val="tx1"/>
                  </w14:solidFill>
                </w14:textFill>
              </w:rPr>
              <w:t>1台</w:t>
            </w:r>
          </w:p>
        </w:tc>
        <w:tc>
          <w:tcPr>
            <w:tcW w:w="1064" w:type="dxa"/>
            <w:vAlign w:val="center"/>
          </w:tcPr>
          <w:p w14:paraId="5113C128">
            <w:pPr>
              <w:widowControl/>
              <w:spacing w:line="360" w:lineRule="auto"/>
              <w:jc w:val="center"/>
              <w:rPr>
                <w:rFonts w:hint="eastAsia" w:cs="宋体" w:asciiTheme="minorEastAsia" w:hAnsiTheme="minorEastAsia" w:eastAsiaTheme="minorEastAsia"/>
                <w:color w:val="000000" w:themeColor="text1"/>
                <w:kern w:val="0"/>
                <w:sz w:val="24"/>
                <w14:textFill>
                  <w14:solidFill>
                    <w14:schemeClr w14:val="tx1"/>
                  </w14:solidFill>
                </w14:textFill>
              </w:rPr>
            </w:pPr>
            <w:r>
              <w:rPr>
                <w:rFonts w:cs="宋体" w:asciiTheme="minorEastAsia" w:hAnsiTheme="minorEastAsia" w:eastAsiaTheme="minorEastAsia"/>
                <w:color w:val="000000" w:themeColor="text1"/>
                <w:kern w:val="0"/>
                <w:sz w:val="24"/>
                <w14:textFill>
                  <w14:solidFill>
                    <w14:schemeClr w14:val="tx1"/>
                  </w14:solidFill>
                </w14:textFill>
              </w:rPr>
              <w:t>2</w:t>
            </w:r>
          </w:p>
        </w:tc>
        <w:tc>
          <w:tcPr>
            <w:tcW w:w="1406" w:type="dxa"/>
            <w:vAlign w:val="center"/>
          </w:tcPr>
          <w:p w14:paraId="7DE5FF2F">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2CBDD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51" w:type="dxa"/>
            <w:vMerge w:val="continue"/>
            <w:vAlign w:val="center"/>
          </w:tcPr>
          <w:p w14:paraId="50728737">
            <w:pPr>
              <w:widowControl/>
              <w:spacing w:line="360" w:lineRule="auto"/>
              <w:jc w:val="center"/>
              <w:rPr>
                <w:rFonts w:hint="eastAsia" w:cs="宋体" w:asciiTheme="minorEastAsia" w:hAnsiTheme="minorEastAsia" w:eastAsiaTheme="minorEastAsia"/>
                <w:kern w:val="0"/>
                <w:sz w:val="24"/>
              </w:rPr>
            </w:pPr>
          </w:p>
        </w:tc>
        <w:tc>
          <w:tcPr>
            <w:tcW w:w="1084" w:type="dxa"/>
            <w:vAlign w:val="center"/>
          </w:tcPr>
          <w:p w14:paraId="54BA28F6">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主机防护</w:t>
            </w:r>
          </w:p>
        </w:tc>
        <w:tc>
          <w:tcPr>
            <w:tcW w:w="3777" w:type="dxa"/>
            <w:vAlign w:val="center"/>
          </w:tcPr>
          <w:p w14:paraId="04C2595C">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主机防护：提供符合等保三级要求的主机权限管理及安全防护。</w:t>
            </w:r>
          </w:p>
        </w:tc>
        <w:tc>
          <w:tcPr>
            <w:tcW w:w="875" w:type="dxa"/>
            <w:vAlign w:val="center"/>
          </w:tcPr>
          <w:p w14:paraId="2EEAD8CB">
            <w:pPr>
              <w:widowControl/>
              <w:spacing w:line="360" w:lineRule="auto"/>
              <w:jc w:val="center"/>
              <w:rPr>
                <w:rFonts w:hint="eastAsia"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color w:val="000000" w:themeColor="text1"/>
                <w:kern w:val="0"/>
                <w:sz w:val="24"/>
                <w14:textFill>
                  <w14:solidFill>
                    <w14:schemeClr w14:val="tx1"/>
                  </w14:solidFill>
                </w14:textFill>
              </w:rPr>
              <w:t>1台</w:t>
            </w:r>
          </w:p>
        </w:tc>
        <w:tc>
          <w:tcPr>
            <w:tcW w:w="1064" w:type="dxa"/>
            <w:vAlign w:val="center"/>
          </w:tcPr>
          <w:p w14:paraId="028BAA55">
            <w:pPr>
              <w:widowControl/>
              <w:spacing w:line="360" w:lineRule="auto"/>
              <w:jc w:val="center"/>
              <w:rPr>
                <w:rFonts w:hint="eastAsia"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color w:val="000000" w:themeColor="text1"/>
                <w:kern w:val="0"/>
                <w:sz w:val="24"/>
                <w14:textFill>
                  <w14:solidFill>
                    <w14:schemeClr w14:val="tx1"/>
                  </w14:solidFill>
                </w14:textFill>
              </w:rPr>
              <w:t>25</w:t>
            </w:r>
          </w:p>
        </w:tc>
        <w:tc>
          <w:tcPr>
            <w:tcW w:w="1406" w:type="dxa"/>
            <w:vAlign w:val="center"/>
          </w:tcPr>
          <w:p w14:paraId="43123667">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01397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151" w:type="dxa"/>
            <w:vMerge w:val="continue"/>
            <w:vAlign w:val="center"/>
          </w:tcPr>
          <w:p w14:paraId="0A0AB26D">
            <w:pPr>
              <w:widowControl/>
              <w:spacing w:line="360" w:lineRule="auto"/>
              <w:jc w:val="center"/>
              <w:rPr>
                <w:rFonts w:hint="eastAsia" w:cs="宋体" w:asciiTheme="minorEastAsia" w:hAnsiTheme="minorEastAsia" w:eastAsiaTheme="minorEastAsia"/>
                <w:kern w:val="0"/>
                <w:sz w:val="24"/>
              </w:rPr>
            </w:pPr>
          </w:p>
        </w:tc>
        <w:tc>
          <w:tcPr>
            <w:tcW w:w="1084" w:type="dxa"/>
            <w:vAlign w:val="center"/>
          </w:tcPr>
          <w:p w14:paraId="576BB29F">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数据库</w:t>
            </w:r>
          </w:p>
          <w:p w14:paraId="59B07259">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审计服务</w:t>
            </w:r>
          </w:p>
        </w:tc>
        <w:tc>
          <w:tcPr>
            <w:tcW w:w="3777" w:type="dxa"/>
            <w:vAlign w:val="center"/>
          </w:tcPr>
          <w:p w14:paraId="611FB272">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支持TDSQL、king Base（人大金仓）、达梦、KDB、神通ShenTong、XuGuDB等数据库审计。</w:t>
            </w:r>
          </w:p>
        </w:tc>
        <w:tc>
          <w:tcPr>
            <w:tcW w:w="875" w:type="dxa"/>
            <w:vAlign w:val="center"/>
          </w:tcPr>
          <w:p w14:paraId="180DB1C2">
            <w:pPr>
              <w:widowControl/>
              <w:spacing w:line="360" w:lineRule="auto"/>
              <w:jc w:val="center"/>
              <w:rPr>
                <w:rFonts w:hint="eastAsia"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color w:val="000000" w:themeColor="text1"/>
                <w:kern w:val="0"/>
                <w:sz w:val="24"/>
                <w14:textFill>
                  <w14:solidFill>
                    <w14:schemeClr w14:val="tx1"/>
                  </w14:solidFill>
                </w14:textFill>
              </w:rPr>
              <w:t>1套</w:t>
            </w:r>
          </w:p>
        </w:tc>
        <w:tc>
          <w:tcPr>
            <w:tcW w:w="1064" w:type="dxa"/>
            <w:vAlign w:val="center"/>
          </w:tcPr>
          <w:p w14:paraId="606919FE">
            <w:pPr>
              <w:widowControl/>
              <w:spacing w:line="360" w:lineRule="auto"/>
              <w:jc w:val="center"/>
              <w:rPr>
                <w:rFonts w:hint="eastAsia"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color w:val="000000" w:themeColor="text1"/>
                <w:kern w:val="0"/>
                <w:sz w:val="24"/>
                <w14:textFill>
                  <w14:solidFill>
                    <w14:schemeClr w14:val="tx1"/>
                  </w14:solidFill>
                </w14:textFill>
              </w:rPr>
              <w:t>6</w:t>
            </w:r>
          </w:p>
        </w:tc>
        <w:tc>
          <w:tcPr>
            <w:tcW w:w="1406" w:type="dxa"/>
            <w:vAlign w:val="center"/>
          </w:tcPr>
          <w:p w14:paraId="3B172028">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12</w:t>
            </w:r>
          </w:p>
        </w:tc>
      </w:tr>
      <w:tr w14:paraId="62AC6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51" w:type="dxa"/>
            <w:vMerge w:val="continue"/>
            <w:vAlign w:val="center"/>
          </w:tcPr>
          <w:p w14:paraId="142AAD6E">
            <w:pPr>
              <w:widowControl/>
              <w:spacing w:line="360" w:lineRule="auto"/>
              <w:jc w:val="center"/>
              <w:rPr>
                <w:rFonts w:hint="eastAsia" w:cs="宋体" w:asciiTheme="minorEastAsia" w:hAnsiTheme="minorEastAsia" w:eastAsiaTheme="minorEastAsia"/>
                <w:kern w:val="0"/>
                <w:sz w:val="24"/>
              </w:rPr>
            </w:pPr>
          </w:p>
        </w:tc>
        <w:tc>
          <w:tcPr>
            <w:tcW w:w="1084" w:type="dxa"/>
            <w:vAlign w:val="center"/>
          </w:tcPr>
          <w:p w14:paraId="444C0896">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主机漏洞扫描</w:t>
            </w:r>
          </w:p>
        </w:tc>
        <w:tc>
          <w:tcPr>
            <w:tcW w:w="3777" w:type="dxa"/>
            <w:vAlign w:val="center"/>
          </w:tcPr>
          <w:p w14:paraId="33F24D9A">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提供针对主机层面的安全扫描服务，并反馈相关结果。</w:t>
            </w:r>
          </w:p>
        </w:tc>
        <w:tc>
          <w:tcPr>
            <w:tcW w:w="875" w:type="dxa"/>
            <w:vAlign w:val="center"/>
          </w:tcPr>
          <w:p w14:paraId="7197ECB3">
            <w:pPr>
              <w:widowControl/>
              <w:spacing w:line="360" w:lineRule="auto"/>
              <w:jc w:val="center"/>
              <w:rPr>
                <w:rFonts w:hint="eastAsia"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color w:val="000000" w:themeColor="text1"/>
                <w:kern w:val="0"/>
                <w:sz w:val="24"/>
                <w14:textFill>
                  <w14:solidFill>
                    <w14:schemeClr w14:val="tx1"/>
                  </w14:solidFill>
                </w14:textFill>
              </w:rPr>
              <w:t>1台</w:t>
            </w:r>
          </w:p>
        </w:tc>
        <w:tc>
          <w:tcPr>
            <w:tcW w:w="1064" w:type="dxa"/>
            <w:vAlign w:val="center"/>
          </w:tcPr>
          <w:p w14:paraId="6C609479">
            <w:pPr>
              <w:widowControl/>
              <w:spacing w:line="360" w:lineRule="auto"/>
              <w:jc w:val="center"/>
              <w:rPr>
                <w:rFonts w:hint="eastAsia"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color w:val="000000" w:themeColor="text1"/>
                <w:kern w:val="0"/>
                <w:sz w:val="24"/>
                <w14:textFill>
                  <w14:solidFill>
                    <w14:schemeClr w14:val="tx1"/>
                  </w14:solidFill>
                </w14:textFill>
              </w:rPr>
              <w:t>25</w:t>
            </w:r>
          </w:p>
        </w:tc>
        <w:tc>
          <w:tcPr>
            <w:tcW w:w="1406" w:type="dxa"/>
            <w:vAlign w:val="center"/>
          </w:tcPr>
          <w:p w14:paraId="502CD320">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4次</w:t>
            </w:r>
          </w:p>
        </w:tc>
      </w:tr>
      <w:tr w14:paraId="569EC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151" w:type="dxa"/>
            <w:vMerge w:val="continue"/>
            <w:vAlign w:val="center"/>
          </w:tcPr>
          <w:p w14:paraId="0ABE57B6">
            <w:pPr>
              <w:widowControl/>
              <w:spacing w:line="360" w:lineRule="auto"/>
              <w:jc w:val="center"/>
              <w:rPr>
                <w:rFonts w:hint="eastAsia" w:cs="宋体" w:asciiTheme="minorEastAsia" w:hAnsiTheme="minorEastAsia" w:eastAsiaTheme="minorEastAsia"/>
                <w:kern w:val="0"/>
                <w:sz w:val="24"/>
              </w:rPr>
            </w:pPr>
          </w:p>
        </w:tc>
        <w:tc>
          <w:tcPr>
            <w:tcW w:w="1084" w:type="dxa"/>
            <w:vAlign w:val="center"/>
          </w:tcPr>
          <w:p w14:paraId="433798CA">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主机日志分析</w:t>
            </w:r>
          </w:p>
        </w:tc>
        <w:tc>
          <w:tcPr>
            <w:tcW w:w="3777" w:type="dxa"/>
            <w:vAlign w:val="center"/>
          </w:tcPr>
          <w:p w14:paraId="46ED55A6">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通过采集、解析服务器运行日志，监控系统状态、排查故障根源、优化性能并识别潜在安全威胁，保障服务稳定性与安全性。</w:t>
            </w:r>
          </w:p>
        </w:tc>
        <w:tc>
          <w:tcPr>
            <w:tcW w:w="875" w:type="dxa"/>
            <w:vAlign w:val="center"/>
          </w:tcPr>
          <w:p w14:paraId="19FB9A19">
            <w:pPr>
              <w:widowControl/>
              <w:spacing w:line="360" w:lineRule="auto"/>
              <w:jc w:val="center"/>
              <w:rPr>
                <w:rFonts w:hint="eastAsia"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color w:val="000000" w:themeColor="text1"/>
                <w:kern w:val="0"/>
                <w:sz w:val="24"/>
                <w14:textFill>
                  <w14:solidFill>
                    <w14:schemeClr w14:val="tx1"/>
                  </w14:solidFill>
                </w14:textFill>
              </w:rPr>
              <w:t>1台</w:t>
            </w:r>
          </w:p>
        </w:tc>
        <w:tc>
          <w:tcPr>
            <w:tcW w:w="1064" w:type="dxa"/>
            <w:vAlign w:val="center"/>
          </w:tcPr>
          <w:p w14:paraId="64536DEC">
            <w:pPr>
              <w:widowControl/>
              <w:spacing w:line="360" w:lineRule="auto"/>
              <w:jc w:val="center"/>
              <w:rPr>
                <w:rFonts w:hint="eastAsia"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color w:val="000000" w:themeColor="text1"/>
                <w:kern w:val="0"/>
                <w:sz w:val="24"/>
                <w14:textFill>
                  <w14:solidFill>
                    <w14:schemeClr w14:val="tx1"/>
                  </w14:solidFill>
                </w14:textFill>
              </w:rPr>
              <w:t>25</w:t>
            </w:r>
          </w:p>
        </w:tc>
        <w:tc>
          <w:tcPr>
            <w:tcW w:w="1406" w:type="dxa"/>
            <w:vAlign w:val="center"/>
          </w:tcPr>
          <w:p w14:paraId="6FACE374">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1年</w:t>
            </w:r>
          </w:p>
        </w:tc>
      </w:tr>
      <w:tr w14:paraId="3B6CA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1151" w:type="dxa"/>
            <w:vMerge w:val="continue"/>
            <w:vAlign w:val="center"/>
          </w:tcPr>
          <w:p w14:paraId="247E13E4">
            <w:pPr>
              <w:widowControl/>
              <w:spacing w:line="360" w:lineRule="auto"/>
              <w:jc w:val="center"/>
              <w:rPr>
                <w:rFonts w:hint="eastAsia" w:cs="宋体" w:asciiTheme="minorEastAsia" w:hAnsiTheme="minorEastAsia" w:eastAsiaTheme="minorEastAsia"/>
                <w:kern w:val="0"/>
                <w:sz w:val="24"/>
              </w:rPr>
            </w:pPr>
          </w:p>
        </w:tc>
        <w:tc>
          <w:tcPr>
            <w:tcW w:w="1084" w:type="dxa"/>
            <w:vAlign w:val="center"/>
          </w:tcPr>
          <w:p w14:paraId="13CDD950">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主机安全加固</w:t>
            </w:r>
          </w:p>
        </w:tc>
        <w:tc>
          <w:tcPr>
            <w:tcW w:w="3777" w:type="dxa"/>
            <w:vAlign w:val="center"/>
          </w:tcPr>
          <w:p w14:paraId="5B16907A">
            <w:pPr>
              <w:widowControl/>
              <w:spacing w:line="360" w:lineRule="auto"/>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针对漏扫或等级测评结果对操作系统进行安全加固，用以解决等级测评结果中所显示的漏洞。</w:t>
            </w:r>
          </w:p>
        </w:tc>
        <w:tc>
          <w:tcPr>
            <w:tcW w:w="875" w:type="dxa"/>
            <w:vAlign w:val="center"/>
          </w:tcPr>
          <w:p w14:paraId="0BB17DED">
            <w:pPr>
              <w:widowControl/>
              <w:spacing w:line="360" w:lineRule="auto"/>
              <w:jc w:val="center"/>
              <w:rPr>
                <w:rFonts w:hint="eastAsia"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color w:val="000000" w:themeColor="text1"/>
                <w:kern w:val="0"/>
                <w:sz w:val="24"/>
                <w14:textFill>
                  <w14:solidFill>
                    <w14:schemeClr w14:val="tx1"/>
                  </w14:solidFill>
                </w14:textFill>
              </w:rPr>
              <w:t>1台</w:t>
            </w:r>
          </w:p>
        </w:tc>
        <w:tc>
          <w:tcPr>
            <w:tcW w:w="1064" w:type="dxa"/>
            <w:vAlign w:val="center"/>
          </w:tcPr>
          <w:p w14:paraId="3338AC43">
            <w:pPr>
              <w:widowControl/>
              <w:spacing w:line="360" w:lineRule="auto"/>
              <w:jc w:val="center"/>
              <w:rPr>
                <w:rFonts w:hint="eastAsia"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color w:val="000000" w:themeColor="text1"/>
                <w:kern w:val="0"/>
                <w:sz w:val="24"/>
                <w14:textFill>
                  <w14:solidFill>
                    <w14:schemeClr w14:val="tx1"/>
                  </w14:solidFill>
                </w14:textFill>
              </w:rPr>
              <w:t>25</w:t>
            </w:r>
          </w:p>
        </w:tc>
        <w:tc>
          <w:tcPr>
            <w:tcW w:w="1406" w:type="dxa"/>
            <w:vAlign w:val="center"/>
          </w:tcPr>
          <w:p w14:paraId="203564E7">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4次</w:t>
            </w:r>
          </w:p>
        </w:tc>
      </w:tr>
      <w:tr w14:paraId="27E40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0" w:hRule="atLeast"/>
        </w:trPr>
        <w:tc>
          <w:tcPr>
            <w:tcW w:w="1151" w:type="dxa"/>
            <w:vMerge w:val="continue"/>
            <w:vAlign w:val="center"/>
          </w:tcPr>
          <w:p w14:paraId="5365161A">
            <w:pPr>
              <w:widowControl/>
              <w:spacing w:line="360" w:lineRule="auto"/>
              <w:jc w:val="center"/>
              <w:rPr>
                <w:rFonts w:hint="eastAsia" w:cs="宋体" w:asciiTheme="minorEastAsia" w:hAnsiTheme="minorEastAsia" w:eastAsiaTheme="minorEastAsia"/>
                <w:kern w:val="0"/>
                <w:sz w:val="24"/>
              </w:rPr>
            </w:pPr>
          </w:p>
        </w:tc>
        <w:tc>
          <w:tcPr>
            <w:tcW w:w="1084" w:type="dxa"/>
            <w:vAlign w:val="center"/>
          </w:tcPr>
          <w:p w14:paraId="680DC945">
            <w:pPr>
              <w:widowControl/>
              <w:spacing w:line="360" w:lineRule="auto"/>
              <w:jc w:val="center"/>
              <w:rPr>
                <w:rFonts w:hint="eastAsia" w:cs="宋体" w:asciiTheme="minorEastAsia" w:hAnsiTheme="minorEastAsia" w:eastAsiaTheme="minorEastAsia"/>
                <w:kern w:val="0"/>
                <w:sz w:val="24"/>
              </w:rPr>
            </w:pPr>
            <w:r>
              <w:rPr>
                <w:rFonts w:hint="eastAsia" w:cs="宋体" w:asciiTheme="minorEastAsia" w:hAnsiTheme="minorEastAsia" w:eastAsiaTheme="minorEastAsia"/>
                <w:kern w:val="0"/>
                <w:sz w:val="24"/>
              </w:rPr>
              <w:t>CDN加速</w:t>
            </w:r>
          </w:p>
        </w:tc>
        <w:tc>
          <w:tcPr>
            <w:tcW w:w="3777" w:type="dxa"/>
            <w:vAlign w:val="center"/>
          </w:tcPr>
          <w:p w14:paraId="73EF567F">
            <w:pPr>
              <w:widowControl/>
              <w:spacing w:line="360" w:lineRule="auto"/>
              <w:rPr>
                <w:rFonts w:hint="eastAsia"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通过租用CDN服务将网页、图片等静态资源和音视频内容缓存到靠近用户的位置进行分发，使用户就近访问数据，减少延迟、提升加载速度并降低源服务器压力。</w:t>
            </w:r>
          </w:p>
        </w:tc>
        <w:tc>
          <w:tcPr>
            <w:tcW w:w="875" w:type="dxa"/>
            <w:vAlign w:val="center"/>
          </w:tcPr>
          <w:p w14:paraId="3FD63EB2">
            <w:pPr>
              <w:widowControl/>
              <w:spacing w:line="360" w:lineRule="auto"/>
              <w:jc w:val="center"/>
              <w:rPr>
                <w:rFonts w:hint="eastAsia" w:cs="宋体" w:asciiTheme="minorEastAsia" w:hAnsiTheme="minorEastAsia" w:eastAsiaTheme="minorEastAsia"/>
                <w:color w:val="000000" w:themeColor="text1"/>
                <w:kern w:val="0"/>
                <w:sz w:val="24"/>
                <w14:textFill>
                  <w14:solidFill>
                    <w14:schemeClr w14:val="tx1"/>
                  </w14:solidFill>
                </w14:textFill>
              </w:rPr>
            </w:pPr>
            <w:r>
              <w:rPr>
                <w:rFonts w:hint="eastAsia" w:cs="宋体" w:asciiTheme="minorEastAsia" w:hAnsiTheme="minorEastAsia" w:eastAsiaTheme="minorEastAsia"/>
                <w:color w:val="000000" w:themeColor="text1"/>
                <w:kern w:val="0"/>
                <w:sz w:val="24"/>
                <w14:textFill>
                  <w14:solidFill>
                    <w14:schemeClr w14:val="tx1"/>
                  </w14:solidFill>
                </w14:textFill>
              </w:rPr>
              <w:t>1GB</w:t>
            </w:r>
          </w:p>
        </w:tc>
        <w:tc>
          <w:tcPr>
            <w:tcW w:w="1064" w:type="dxa"/>
            <w:vAlign w:val="center"/>
          </w:tcPr>
          <w:p w14:paraId="1930168C">
            <w:pPr>
              <w:widowControl/>
              <w:spacing w:line="360" w:lineRule="auto"/>
              <w:jc w:val="center"/>
              <w:rPr>
                <w:rFonts w:hint="eastAsia" w:cs="宋体" w:asciiTheme="minorEastAsia" w:hAnsiTheme="minorEastAsia" w:eastAsiaTheme="minorEastAsia"/>
                <w:color w:val="000000" w:themeColor="text1"/>
                <w:kern w:val="0"/>
                <w:sz w:val="24"/>
                <w14:textFill>
                  <w14:solidFill>
                    <w14:schemeClr w14:val="tx1"/>
                  </w14:solidFill>
                </w14:textFill>
              </w:rPr>
            </w:pPr>
            <w:r>
              <w:rPr>
                <w:rFonts w:cs="宋体" w:asciiTheme="minorEastAsia" w:hAnsiTheme="minorEastAsia" w:eastAsiaTheme="minorEastAsia"/>
                <w:color w:val="000000" w:themeColor="text1"/>
                <w:kern w:val="0"/>
                <w:sz w:val="24"/>
                <w14:textFill>
                  <w14:solidFill>
                    <w14:schemeClr w14:val="tx1"/>
                  </w14:solidFill>
                </w14:textFill>
              </w:rPr>
              <w:t>900000</w:t>
            </w:r>
          </w:p>
        </w:tc>
        <w:tc>
          <w:tcPr>
            <w:tcW w:w="1406" w:type="dxa"/>
            <w:vAlign w:val="center"/>
          </w:tcPr>
          <w:p w14:paraId="64DDB134">
            <w:pPr>
              <w:widowControl/>
              <w:spacing w:line="360" w:lineRule="auto"/>
              <w:jc w:val="center"/>
              <w:rPr>
                <w:rFonts w:hint="eastAsia" w:cs="宋体" w:asciiTheme="minorEastAsia" w:hAnsiTheme="minorEastAsia" w:eastAsiaTheme="minorEastAsia"/>
                <w:color w:val="000000"/>
                <w:kern w:val="0"/>
                <w:sz w:val="24"/>
              </w:rPr>
            </w:pPr>
            <w:r>
              <w:rPr>
                <w:rFonts w:hint="eastAsia" w:cs="宋体" w:asciiTheme="minorEastAsia" w:hAnsiTheme="minorEastAsia" w:eastAsiaTheme="minorEastAsia"/>
                <w:color w:val="000000"/>
                <w:kern w:val="0"/>
                <w:sz w:val="24"/>
              </w:rPr>
              <w:t>1年</w:t>
            </w:r>
          </w:p>
        </w:tc>
      </w:tr>
    </w:tbl>
    <w:p w14:paraId="2DF17A3B">
      <w:pPr>
        <w:pStyle w:val="6"/>
        <w:rPr>
          <w:rStyle w:val="14"/>
          <w:b w:val="0"/>
          <w:sz w:val="24"/>
          <w:szCs w:val="24"/>
          <w:u w:val="none"/>
        </w:rPr>
      </w:pPr>
      <w:r>
        <w:rPr>
          <w:rStyle w:val="14"/>
          <w:rFonts w:hint="eastAsia"/>
          <w:b w:val="0"/>
          <w:sz w:val="24"/>
          <w:szCs w:val="24"/>
          <w:u w:val="none"/>
        </w:rPr>
        <w:t>（二）项目背景</w:t>
      </w:r>
    </w:p>
    <w:p w14:paraId="7023E6A3">
      <w:pPr>
        <w:spacing w:line="360" w:lineRule="auto"/>
        <w:ind w:firstLine="480" w:firstLineChars="200"/>
        <w:rPr>
          <w:sz w:val="24"/>
        </w:rPr>
      </w:pPr>
      <w:r>
        <w:rPr>
          <w:rFonts w:hint="eastAsia"/>
          <w:sz w:val="24"/>
        </w:rPr>
        <w:t>本项目立足北京市“三医”联动战略与妇幼健康服务升级需要。现有北京市妇幼保健网络信息系统已部署在政务云环境，底层采用x86架构，核心软硬件依赖非国产产品，数据库使用 DB2，尚未完成信创环境迁移适配，与国家及北京市信创工作部署要求存在差距。为贯彻落实《北京市大数据和云计算发展行动计划(2016一2020年)》和《北京市市级政务云管理办法的通知》相关要求，保障系统业务平稳运行、提升云上安全保障能力，拟租用北京市级政务云基础资源及扩展安全服务，支撑北京市妇幼保健网络信息系统从非国产化环境向国产化环境迁移，包括在 ARM 架构、国产操作系统、中间件、数据库等信创环境开展适配改造与数据迁移工作，保障业务连续、数据完整，全面提升系统自主可控水平，为构建覆盖全生命周期的智慧妇幼服务体系提供稳定可靠的支撑。</w:t>
      </w:r>
    </w:p>
    <w:p w14:paraId="1FECDF15">
      <w:pPr>
        <w:pStyle w:val="5"/>
        <w:numPr>
          <w:ilvl w:val="0"/>
          <w:numId w:val="2"/>
        </w:numPr>
        <w:jc w:val="left"/>
        <w:rPr>
          <w:rFonts w:hint="eastAsia" w:ascii="黑体" w:hAnsi="黑体" w:cs="黑体"/>
          <w:sz w:val="24"/>
        </w:rPr>
      </w:pPr>
      <w:r>
        <w:rPr>
          <w:rFonts w:hint="eastAsia" w:ascii="黑体" w:hAnsi="黑体" w:cs="黑体"/>
          <w:sz w:val="24"/>
        </w:rPr>
        <w:t>商务要求</w:t>
      </w:r>
      <w:bookmarkEnd w:id="1"/>
    </w:p>
    <w:p w14:paraId="717D5992">
      <w:pPr>
        <w:pStyle w:val="6"/>
        <w:numPr>
          <w:ilvl w:val="0"/>
          <w:numId w:val="5"/>
        </w:numPr>
        <w:rPr>
          <w:rFonts w:hint="eastAsia" w:ascii="楷体" w:hAnsi="楷体" w:eastAsia="楷体" w:cs="楷体"/>
          <w:u w:val="none"/>
        </w:rPr>
      </w:pPr>
      <w:bookmarkStart w:id="2" w:name="_Toc21910"/>
      <w:bookmarkStart w:id="3" w:name="_Toc23035"/>
      <w:r>
        <w:rPr>
          <w:rFonts w:hint="eastAsia" w:ascii="楷体" w:hAnsi="楷体" w:eastAsia="楷体" w:cs="楷体"/>
          <w:u w:val="none"/>
        </w:rPr>
        <w:t>采购标的服务时间及地点</w:t>
      </w:r>
    </w:p>
    <w:p w14:paraId="624744BD"/>
    <w:p w14:paraId="5D36DE5A">
      <w:pPr>
        <w:pStyle w:val="15"/>
        <w:ind w:firstLine="720" w:firstLineChars="300"/>
        <w:rPr>
          <w:rFonts w:hint="eastAsia" w:ascii="宋体" w:hAnsi="宋体" w:cs="宋体"/>
          <w:bCs/>
          <w:sz w:val="24"/>
          <w:szCs w:val="24"/>
        </w:rPr>
      </w:pPr>
      <w:r>
        <w:rPr>
          <w:rFonts w:ascii="宋体" w:hAnsi="宋体" w:cs="宋体"/>
          <w:bCs/>
          <w:sz w:val="24"/>
          <w:szCs w:val="24"/>
        </w:rPr>
        <w:t>1.</w:t>
      </w:r>
      <w:r>
        <w:rPr>
          <w:rFonts w:hint="eastAsia" w:ascii="宋体" w:hAnsi="宋体" w:cs="宋体"/>
          <w:bCs/>
          <w:sz w:val="24"/>
          <w:szCs w:val="24"/>
        </w:rPr>
        <w:t>服务时间：12个月。具体实施日期采购方另有要求的，以双方约定时间为准。</w:t>
      </w:r>
      <w:bookmarkEnd w:id="2"/>
      <w:bookmarkEnd w:id="3"/>
    </w:p>
    <w:p w14:paraId="69A0745B">
      <w:pPr>
        <w:pStyle w:val="15"/>
        <w:ind w:firstLine="720" w:firstLineChars="300"/>
        <w:rPr>
          <w:rFonts w:hint="eastAsia" w:ascii="宋体" w:hAnsi="宋体" w:cs="宋体"/>
          <w:bCs/>
          <w:sz w:val="24"/>
          <w:szCs w:val="24"/>
        </w:rPr>
      </w:pPr>
      <w:r>
        <w:rPr>
          <w:rFonts w:hint="eastAsia" w:ascii="宋体" w:hAnsi="宋体" w:cs="宋体"/>
          <w:bCs/>
          <w:sz w:val="24"/>
          <w:szCs w:val="24"/>
        </w:rPr>
        <w:t>2</w:t>
      </w:r>
      <w:r>
        <w:rPr>
          <w:rFonts w:ascii="宋体" w:hAnsi="宋体" w:cs="宋体"/>
          <w:bCs/>
          <w:sz w:val="24"/>
          <w:szCs w:val="24"/>
        </w:rPr>
        <w:t>.</w:t>
      </w:r>
      <w:r>
        <w:rPr>
          <w:rFonts w:hint="eastAsia" w:ascii="宋体" w:hAnsi="宋体" w:cs="宋体"/>
          <w:bCs/>
          <w:sz w:val="24"/>
          <w:szCs w:val="24"/>
        </w:rPr>
        <w:t>服务地点：北京</w:t>
      </w:r>
      <w:r>
        <w:rPr>
          <w:rFonts w:hint="eastAsia" w:ascii="宋体" w:hAnsi="宋体" w:cs="宋体"/>
          <w:bCs/>
          <w:color w:val="auto"/>
          <w:sz w:val="24"/>
          <w:szCs w:val="24"/>
        </w:rPr>
        <w:t>市</w:t>
      </w:r>
      <w:r>
        <w:rPr>
          <w:rFonts w:hint="eastAsia" w:ascii="宋体" w:hAnsi="宋体" w:cs="宋体"/>
          <w:bCs/>
          <w:color w:val="auto"/>
          <w:sz w:val="24"/>
        </w:rPr>
        <w:t>政务云机房。</w:t>
      </w:r>
    </w:p>
    <w:p w14:paraId="3F15B855">
      <w:pPr>
        <w:pStyle w:val="6"/>
        <w:numPr>
          <w:ilvl w:val="0"/>
          <w:numId w:val="5"/>
        </w:numPr>
        <w:rPr>
          <w:rFonts w:hint="eastAsia" w:ascii="楷体" w:hAnsi="楷体" w:eastAsia="楷体" w:cs="楷体"/>
          <w:u w:val="none"/>
        </w:rPr>
      </w:pPr>
      <w:r>
        <w:rPr>
          <w:rFonts w:hint="eastAsia" w:ascii="楷体" w:hAnsi="楷体" w:eastAsia="楷体" w:cs="楷体"/>
          <w:u w:val="none"/>
        </w:rPr>
        <w:t>付款条件</w:t>
      </w:r>
    </w:p>
    <w:p w14:paraId="71CE0F75">
      <w:pPr>
        <w:pStyle w:val="7"/>
        <w:numPr>
          <w:ilvl w:val="0"/>
          <w:numId w:val="6"/>
        </w:numPr>
        <w:rPr>
          <w:rFonts w:hint="eastAsia" w:ascii="宋体" w:hAnsi="宋体" w:cs="宋体"/>
          <w:bCs/>
          <w:kern w:val="2"/>
          <w:szCs w:val="24"/>
        </w:rPr>
      </w:pPr>
      <w:r>
        <w:rPr>
          <w:rFonts w:hint="eastAsia" w:ascii="宋体" w:hAnsi="宋体" w:cs="宋体"/>
          <w:bCs/>
          <w:kern w:val="2"/>
          <w:szCs w:val="24"/>
        </w:rPr>
        <w:t>付款进度</w:t>
      </w:r>
    </w:p>
    <w:p w14:paraId="3A3EDBF0">
      <w:pPr>
        <w:spacing w:line="360" w:lineRule="auto"/>
        <w:ind w:firstLine="420"/>
        <w:rPr>
          <w:rFonts w:hint="eastAsia" w:ascii="宋体" w:hAnsi="宋体" w:cs="宋体"/>
          <w:bCs/>
          <w:sz w:val="24"/>
        </w:rPr>
      </w:pPr>
      <w:r>
        <w:rPr>
          <w:rFonts w:hint="eastAsia" w:ascii="宋体" w:hAnsi="宋体" w:cs="宋体"/>
          <w:bCs/>
          <w:sz w:val="24"/>
        </w:rPr>
        <w:t>第一次付款：合同生效且财政资金到位后,采购人收到供应商正式足额发票后的10个工作日内，支付不超过总合同款40%的款项；</w:t>
      </w:r>
    </w:p>
    <w:p w14:paraId="492DBACB">
      <w:pPr>
        <w:spacing w:line="360" w:lineRule="auto"/>
        <w:ind w:firstLine="420"/>
        <w:rPr>
          <w:rFonts w:hint="eastAsia" w:ascii="宋体" w:hAnsi="宋体" w:cs="宋体"/>
          <w:bCs/>
          <w:sz w:val="24"/>
        </w:rPr>
      </w:pPr>
      <w:r>
        <w:rPr>
          <w:rFonts w:hint="eastAsia" w:ascii="宋体" w:hAnsi="宋体" w:cs="宋体"/>
          <w:bCs/>
          <w:sz w:val="24"/>
        </w:rPr>
        <w:t>第二次付款：项目通过最终验收后，采购人收到供应商正式足额发票后10个工作日内，支付剩余款项。</w:t>
      </w:r>
    </w:p>
    <w:p w14:paraId="728AEB34">
      <w:pPr>
        <w:pStyle w:val="7"/>
        <w:numPr>
          <w:ilvl w:val="0"/>
          <w:numId w:val="6"/>
        </w:numPr>
        <w:rPr>
          <w:rFonts w:hint="eastAsia" w:ascii="宋体" w:hAnsi="宋体" w:cs="宋体"/>
          <w:bCs/>
          <w:kern w:val="2"/>
          <w:szCs w:val="24"/>
        </w:rPr>
      </w:pPr>
      <w:r>
        <w:rPr>
          <w:rFonts w:hint="eastAsia" w:ascii="宋体" w:hAnsi="宋体" w:cs="宋体"/>
          <w:bCs/>
          <w:kern w:val="2"/>
          <w:szCs w:val="24"/>
        </w:rPr>
        <w:t>付款方式</w:t>
      </w:r>
    </w:p>
    <w:p w14:paraId="43206718">
      <w:pPr>
        <w:ind w:left="420"/>
        <w:rPr>
          <w:sz w:val="24"/>
        </w:rPr>
      </w:pPr>
      <w:r>
        <w:rPr>
          <w:rFonts w:hint="eastAsia"/>
          <w:sz w:val="24"/>
        </w:rPr>
        <w:t>银行转账方式</w:t>
      </w:r>
    </w:p>
    <w:p w14:paraId="6EF52427">
      <w:pPr>
        <w:pStyle w:val="7"/>
        <w:numPr>
          <w:ilvl w:val="0"/>
          <w:numId w:val="6"/>
        </w:numPr>
        <w:rPr>
          <w:rFonts w:hint="eastAsia" w:ascii="宋体" w:hAnsi="宋体" w:cs="宋体"/>
          <w:bCs/>
          <w:kern w:val="2"/>
          <w:szCs w:val="24"/>
        </w:rPr>
      </w:pPr>
      <w:r>
        <w:rPr>
          <w:rFonts w:hint="eastAsia" w:ascii="宋体" w:hAnsi="宋体" w:cs="宋体"/>
          <w:bCs/>
          <w:kern w:val="2"/>
          <w:szCs w:val="24"/>
        </w:rPr>
        <w:t>付款要求</w:t>
      </w:r>
    </w:p>
    <w:p w14:paraId="11E55510">
      <w:pPr>
        <w:spacing w:line="360" w:lineRule="auto"/>
        <w:ind w:firstLine="420" w:firstLineChars="175"/>
        <w:rPr>
          <w:rFonts w:hint="eastAsia" w:asciiTheme="minorEastAsia" w:hAnsiTheme="minorEastAsia" w:eastAsiaTheme="minorEastAsia"/>
          <w:sz w:val="24"/>
        </w:rPr>
      </w:pPr>
      <w:r>
        <w:rPr>
          <w:rFonts w:hint="eastAsia" w:asciiTheme="minorEastAsia" w:hAnsiTheme="minorEastAsia" w:eastAsiaTheme="minorEastAsia"/>
          <w:sz w:val="24"/>
        </w:rPr>
        <w:t>供应商必须在采购人支付每笔款项前提供符合税法规定并符合采购人财务要求的正规合法有效的税务发票，采购人收到上述发票后10 个工作日内将款项支付给供应商，否则采购人有权暂不付款，并且不承担违约责任。</w:t>
      </w:r>
    </w:p>
    <w:p w14:paraId="55318A3E"/>
    <w:p w14:paraId="454187B7">
      <w:pPr>
        <w:pStyle w:val="2"/>
        <w:rPr>
          <w:rFonts w:hint="eastAsia"/>
        </w:rPr>
      </w:pPr>
    </w:p>
    <w:p w14:paraId="377CC542">
      <w:pPr>
        <w:pStyle w:val="5"/>
        <w:numPr>
          <w:ilvl w:val="0"/>
          <w:numId w:val="2"/>
        </w:numPr>
        <w:jc w:val="left"/>
        <w:rPr>
          <w:rFonts w:hint="eastAsia" w:ascii="黑体" w:hAnsi="黑体" w:cs="黑体"/>
          <w:sz w:val="24"/>
        </w:rPr>
      </w:pPr>
      <w:bookmarkStart w:id="4" w:name="_Toc29872"/>
      <w:r>
        <w:rPr>
          <w:rFonts w:hint="eastAsia" w:ascii="黑体" w:hAnsi="黑体" w:cs="黑体"/>
          <w:sz w:val="24"/>
        </w:rPr>
        <w:t>技术要求</w:t>
      </w:r>
    </w:p>
    <w:p w14:paraId="4664E676">
      <w:pPr>
        <w:pStyle w:val="6"/>
        <w:numPr>
          <w:ilvl w:val="0"/>
          <w:numId w:val="7"/>
        </w:numPr>
        <w:rPr>
          <w:rFonts w:hint="eastAsia" w:ascii="楷体" w:hAnsi="楷体" w:eastAsia="楷体" w:cs="楷体"/>
          <w:u w:val="none"/>
        </w:rPr>
      </w:pPr>
      <w:r>
        <w:rPr>
          <w:rFonts w:hint="eastAsia" w:ascii="楷体" w:hAnsi="楷体" w:eastAsia="楷体" w:cs="楷体"/>
          <w:u w:val="none"/>
        </w:rPr>
        <w:t>基本要求</w:t>
      </w:r>
    </w:p>
    <w:p w14:paraId="103E832A">
      <w:pPr>
        <w:pStyle w:val="7"/>
        <w:numPr>
          <w:ilvl w:val="0"/>
          <w:numId w:val="8"/>
        </w:numPr>
        <w:rPr>
          <w:rFonts w:hint="eastAsia" w:ascii="宋体" w:hAnsi="宋体" w:cs="宋体"/>
          <w:b/>
          <w:bCs/>
          <w:kern w:val="2"/>
          <w:szCs w:val="24"/>
        </w:rPr>
      </w:pPr>
      <w:r>
        <w:rPr>
          <w:rFonts w:hint="eastAsia" w:ascii="宋体" w:hAnsi="宋体" w:cs="宋体"/>
          <w:b/>
          <w:bCs/>
          <w:kern w:val="2"/>
          <w:szCs w:val="24"/>
        </w:rPr>
        <w:t>服务目标</w:t>
      </w:r>
    </w:p>
    <w:p w14:paraId="1F2340E0">
      <w:pPr>
        <w:spacing w:line="360" w:lineRule="auto"/>
        <w:ind w:firstLine="420"/>
        <w:rPr>
          <w:rFonts w:hint="eastAsia" w:asciiTheme="minorEastAsia" w:hAnsiTheme="minorEastAsia" w:eastAsiaTheme="minorEastAsia"/>
          <w:sz w:val="24"/>
        </w:rPr>
      </w:pPr>
      <w:r>
        <w:rPr>
          <w:rFonts w:hint="eastAsia" w:asciiTheme="minorEastAsia" w:hAnsiTheme="minorEastAsia" w:eastAsiaTheme="minorEastAsia"/>
          <w:sz w:val="24"/>
        </w:rPr>
        <w:t>本项目根据运行需求，针对北京妇幼保健院在北京市市级政务云上运行的信息系统，</w:t>
      </w:r>
    </w:p>
    <w:p w14:paraId="7FBC9FF1">
      <w:pPr>
        <w:spacing w:line="360" w:lineRule="auto"/>
        <w:rPr>
          <w:rFonts w:hint="eastAsia" w:asciiTheme="minorEastAsia" w:hAnsiTheme="minorEastAsia" w:eastAsiaTheme="minorEastAsia"/>
          <w:sz w:val="24"/>
        </w:rPr>
      </w:pPr>
      <w:r>
        <w:rPr>
          <w:rFonts w:hint="eastAsia" w:asciiTheme="minorEastAsia" w:hAnsiTheme="minorEastAsia" w:eastAsiaTheme="minorEastAsia"/>
          <w:sz w:val="24"/>
        </w:rPr>
        <w:t>提供满足系统运行所需要的国产化云计算服务，包括云主机、存储、网络、安全等层面的相关资源，充分保障系统可用性及连续性，提升妇幼健康服务质量。</w:t>
      </w:r>
      <w:r>
        <w:rPr>
          <w:rFonts w:asciiTheme="minorEastAsia" w:hAnsiTheme="minorEastAsia" w:eastAsiaTheme="minorEastAsia"/>
          <w:sz w:val="24"/>
        </w:rPr>
        <w:t>中标人须提供国产化政务云环境，完成现有系统从非国产环境向国产化环境的整体迁移与适配支撑。迁移范围包括</w:t>
      </w:r>
      <w:r>
        <w:rPr>
          <w:rFonts w:hint="eastAsia" w:asciiTheme="minorEastAsia" w:hAnsiTheme="minorEastAsia" w:eastAsiaTheme="minorEastAsia"/>
          <w:sz w:val="24"/>
        </w:rPr>
        <w:t>但不限于</w:t>
      </w:r>
      <w:r>
        <w:rPr>
          <w:rFonts w:asciiTheme="minorEastAsia" w:hAnsiTheme="minorEastAsia" w:eastAsiaTheme="minorEastAsia"/>
          <w:sz w:val="24"/>
        </w:rPr>
        <w:t>应用系统、数据、接口及相关配套资源的全量迁移、割接、测试、试运行和验收</w:t>
      </w:r>
      <w:r>
        <w:rPr>
          <w:rFonts w:hint="eastAsia" w:asciiTheme="minorEastAsia" w:hAnsiTheme="minorEastAsia" w:eastAsiaTheme="minorEastAsia"/>
          <w:sz w:val="24"/>
        </w:rPr>
        <w:t>。</w:t>
      </w:r>
    </w:p>
    <w:p w14:paraId="00A618E0">
      <w:pPr>
        <w:pStyle w:val="7"/>
        <w:numPr>
          <w:ilvl w:val="0"/>
          <w:numId w:val="8"/>
        </w:numPr>
        <w:rPr>
          <w:rFonts w:hint="eastAsia" w:ascii="宋体" w:hAnsi="宋体" w:cs="宋体"/>
          <w:b/>
          <w:bCs/>
          <w:kern w:val="2"/>
          <w:szCs w:val="24"/>
        </w:rPr>
      </w:pPr>
      <w:r>
        <w:rPr>
          <w:rFonts w:hint="eastAsia" w:ascii="宋体" w:hAnsi="宋体" w:cs="宋体"/>
          <w:b/>
          <w:bCs/>
          <w:kern w:val="2"/>
          <w:szCs w:val="24"/>
        </w:rPr>
        <w:t>执行的标准和规范</w:t>
      </w:r>
    </w:p>
    <w:p w14:paraId="767D4F0A">
      <w:pPr>
        <w:snapToGrid w:val="0"/>
        <w:spacing w:line="360" w:lineRule="auto"/>
        <w:rPr>
          <w:rFonts w:hint="eastAsia" w:ascii="宋体" w:hAnsi="宋体" w:cs="宋体"/>
          <w:b/>
          <w:bCs/>
          <w:sz w:val="24"/>
        </w:rPr>
      </w:pPr>
      <w:r>
        <w:rPr>
          <w:rFonts w:hint="eastAsia" w:ascii="宋体" w:hAnsi="宋体" w:cs="宋体"/>
          <w:b/>
          <w:bCs/>
          <w:sz w:val="24"/>
        </w:rPr>
        <w:t>2</w:t>
      </w:r>
      <w:r>
        <w:rPr>
          <w:rFonts w:ascii="宋体" w:hAnsi="宋体" w:cs="宋体"/>
          <w:b/>
          <w:bCs/>
          <w:sz w:val="24"/>
        </w:rPr>
        <w:t xml:space="preserve">.1 </w:t>
      </w:r>
      <w:r>
        <w:rPr>
          <w:rFonts w:hint="eastAsia" w:ascii="宋体" w:hAnsi="宋体" w:cs="宋体"/>
          <w:b/>
          <w:bCs/>
          <w:sz w:val="24"/>
        </w:rPr>
        <w:t>国家及北京市有关政策</w:t>
      </w:r>
    </w:p>
    <w:p w14:paraId="7F14EE03">
      <w:pPr>
        <w:snapToGrid w:val="0"/>
        <w:spacing w:line="360" w:lineRule="auto"/>
        <w:ind w:firstLine="480" w:firstLineChars="200"/>
        <w:rPr>
          <w:rFonts w:hint="eastAsia" w:ascii="宋体" w:hAnsi="宋体" w:cs="宋体"/>
          <w:bCs/>
          <w:sz w:val="24"/>
        </w:rPr>
      </w:pPr>
      <w:r>
        <w:rPr>
          <w:rFonts w:hint="eastAsia" w:ascii="宋体" w:hAnsi="宋体" w:cs="宋体"/>
          <w:bCs/>
          <w:sz w:val="24"/>
        </w:rPr>
        <w:t>《关键信息基础设施安全保护条例》（中华人民共和国国务院令第745号）</w:t>
      </w:r>
    </w:p>
    <w:p w14:paraId="60FBE279">
      <w:pPr>
        <w:pStyle w:val="8"/>
        <w:snapToGrid w:val="0"/>
        <w:spacing w:line="360" w:lineRule="auto"/>
        <w:ind w:firstLine="480"/>
        <w:rPr>
          <w:rFonts w:hint="eastAsia" w:hAnsi="宋体" w:cs="宋体"/>
          <w:bCs/>
        </w:rPr>
      </w:pPr>
      <w:r>
        <w:rPr>
          <w:rFonts w:hint="eastAsia" w:hAnsi="宋体" w:cs="宋体"/>
          <w:bCs/>
        </w:rPr>
        <w:t>《国家政务信息化项目建设管理办法》（国办发〔2019〕57号）</w:t>
      </w:r>
    </w:p>
    <w:p w14:paraId="3A2C2B3A">
      <w:pPr>
        <w:snapToGrid w:val="0"/>
        <w:spacing w:line="360" w:lineRule="auto"/>
        <w:ind w:firstLine="480" w:firstLineChars="200"/>
        <w:rPr>
          <w:rFonts w:hint="eastAsia" w:ascii="宋体" w:hAnsi="宋体" w:cs="宋体"/>
          <w:bCs/>
          <w:sz w:val="24"/>
        </w:rPr>
      </w:pPr>
      <w:r>
        <w:rPr>
          <w:rFonts w:ascii="宋体" w:hAnsi="宋体" w:cs="宋体"/>
          <w:sz w:val="24"/>
        </w:rPr>
        <w:t>《政府采购需求管理办法》(财库〔2021〕22号)</w:t>
      </w:r>
    </w:p>
    <w:p w14:paraId="4B831FCB">
      <w:pPr>
        <w:snapToGrid w:val="0"/>
        <w:spacing w:line="360" w:lineRule="auto"/>
        <w:ind w:firstLine="480" w:firstLineChars="200"/>
        <w:rPr>
          <w:rFonts w:hint="eastAsia" w:ascii="宋体" w:hAnsi="宋体" w:cs="宋体"/>
          <w:bCs/>
          <w:sz w:val="24"/>
        </w:rPr>
      </w:pPr>
      <w:r>
        <w:rPr>
          <w:rFonts w:ascii="宋体" w:hAnsi="宋体" w:cs="宋体"/>
          <w:sz w:val="24"/>
        </w:rPr>
        <w:t>《关于促进政府采购公平竞争优化营商环境的通知》（财库〔2019〕38号）</w:t>
      </w:r>
    </w:p>
    <w:p w14:paraId="006792C8">
      <w:pPr>
        <w:snapToGrid w:val="0"/>
        <w:spacing w:line="360" w:lineRule="auto"/>
        <w:ind w:firstLine="480" w:firstLineChars="200"/>
        <w:rPr>
          <w:rFonts w:hint="eastAsia" w:ascii="宋体" w:hAnsi="宋体" w:cs="宋体"/>
          <w:sz w:val="24"/>
        </w:rPr>
      </w:pPr>
      <w:r>
        <w:rPr>
          <w:rFonts w:ascii="宋体" w:hAnsi="宋体" w:cs="宋体"/>
          <w:sz w:val="24"/>
        </w:rPr>
        <w:t>《关于进一步提高政府采购透明度和采购效率相关事项的通知》（财办库〔2023〕243号）</w:t>
      </w:r>
    </w:p>
    <w:p w14:paraId="2076A294">
      <w:pPr>
        <w:snapToGrid w:val="0"/>
        <w:spacing w:line="360" w:lineRule="auto"/>
        <w:ind w:firstLine="480" w:firstLineChars="200"/>
        <w:rPr>
          <w:rFonts w:hint="eastAsia" w:ascii="宋体" w:hAnsi="宋体" w:cs="宋体"/>
          <w:bCs/>
          <w:sz w:val="24"/>
        </w:rPr>
      </w:pPr>
      <w:r>
        <w:rPr>
          <w:rFonts w:hint="eastAsia" w:ascii="宋体" w:hAnsi="宋体" w:cs="宋体"/>
          <w:bCs/>
          <w:sz w:val="24"/>
        </w:rPr>
        <w:t>《工业和信息化部信息通信管理局关于督促互联网网络接入服务企业依法持证经营的通知》（工信管函〔2018〕84号）</w:t>
      </w:r>
    </w:p>
    <w:p w14:paraId="0247C9C8">
      <w:pPr>
        <w:snapToGrid w:val="0"/>
        <w:spacing w:line="360" w:lineRule="auto"/>
        <w:ind w:firstLine="480" w:firstLineChars="200"/>
        <w:rPr>
          <w:rFonts w:hint="eastAsia" w:ascii="宋体" w:hAnsi="宋体" w:cs="宋体"/>
          <w:bCs/>
          <w:sz w:val="24"/>
        </w:rPr>
      </w:pPr>
      <w:r>
        <w:rPr>
          <w:rFonts w:hint="eastAsia" w:ascii="宋体" w:hAnsi="宋体" w:cs="宋体"/>
          <w:bCs/>
          <w:sz w:val="24"/>
        </w:rPr>
        <w:t>《云计算服务安全评估办法》（国家互联网信息办公室、国家发展和改革委员会、工业和信息化部、财政部公告2019年2号）</w:t>
      </w:r>
    </w:p>
    <w:p w14:paraId="1714C07F">
      <w:pPr>
        <w:snapToGrid w:val="0"/>
        <w:spacing w:line="360" w:lineRule="auto"/>
        <w:ind w:firstLine="480" w:firstLineChars="200"/>
        <w:rPr>
          <w:rFonts w:hint="eastAsia" w:ascii="宋体" w:hAnsi="宋体" w:cs="宋体"/>
          <w:bCs/>
          <w:sz w:val="24"/>
        </w:rPr>
      </w:pPr>
      <w:r>
        <w:rPr>
          <w:rFonts w:hint="eastAsia" w:ascii="宋体" w:hAnsi="宋体" w:cs="宋体"/>
          <w:bCs/>
          <w:sz w:val="24"/>
        </w:rPr>
        <w:t>《关于加强党政部门云计算服务网络安全管理的意见》（中网办发文〔2014〕14号）</w:t>
      </w:r>
    </w:p>
    <w:p w14:paraId="12297C84">
      <w:pPr>
        <w:snapToGrid w:val="0"/>
        <w:spacing w:line="360" w:lineRule="auto"/>
        <w:ind w:firstLine="480" w:firstLineChars="200"/>
      </w:pPr>
      <w:r>
        <w:rPr>
          <w:rFonts w:hint="eastAsia" w:ascii="宋体" w:hAnsi="宋体" w:cs="宋体"/>
          <w:bCs/>
          <w:sz w:val="24"/>
        </w:rPr>
        <w:t>《基于云计算的电子政务公共平台顶层设计指南》</w:t>
      </w:r>
    </w:p>
    <w:p w14:paraId="5C9A9D28">
      <w:pPr>
        <w:snapToGrid w:val="0"/>
        <w:spacing w:line="360" w:lineRule="auto"/>
        <w:ind w:firstLine="480" w:firstLineChars="200"/>
        <w:rPr>
          <w:rFonts w:hint="eastAsia" w:ascii="宋体" w:hAnsi="宋体" w:cs="宋体"/>
          <w:bCs/>
          <w:sz w:val="24"/>
        </w:rPr>
      </w:pPr>
      <w:r>
        <w:rPr>
          <w:rFonts w:ascii="宋体" w:hAnsi="宋体" w:cs="宋体"/>
          <w:sz w:val="24"/>
        </w:rPr>
        <w:t>《北京市财政局关于落实好政府采购支持中小企业发展的通知（京财采购〔2022〕1143</w:t>
      </w:r>
      <w:r>
        <w:rPr>
          <w:rFonts w:hint="eastAsia" w:ascii="宋体" w:hAnsi="宋体" w:cs="宋体"/>
          <w:sz w:val="24"/>
        </w:rPr>
        <w:t>号）</w:t>
      </w:r>
    </w:p>
    <w:p w14:paraId="328BF321">
      <w:pPr>
        <w:pStyle w:val="8"/>
        <w:snapToGrid w:val="0"/>
        <w:spacing w:line="360" w:lineRule="auto"/>
        <w:ind w:firstLine="480"/>
        <w:rPr>
          <w:rFonts w:hint="eastAsia" w:hAnsi="宋体" w:cs="宋体"/>
          <w:bCs/>
        </w:rPr>
      </w:pPr>
      <w:r>
        <w:rPr>
          <w:rFonts w:hint="eastAsia" w:hAnsi="宋体" w:cs="宋体"/>
          <w:color w:val="000000"/>
        </w:rPr>
        <w:t>《关于印发&lt;关于推进我市政务信息系统整合共享的实施方案&gt;的通知》（京经信委发〔2017〕89号）</w:t>
      </w:r>
    </w:p>
    <w:p w14:paraId="3DFB0C89">
      <w:pPr>
        <w:pStyle w:val="8"/>
        <w:snapToGrid w:val="0"/>
        <w:spacing w:line="360" w:lineRule="auto"/>
        <w:ind w:firstLine="480"/>
        <w:rPr>
          <w:rFonts w:hint="eastAsia" w:hAnsi="宋体" w:cs="宋体"/>
        </w:rPr>
      </w:pPr>
      <w:r>
        <w:rPr>
          <w:rFonts w:hint="eastAsia" w:hAnsi="宋体" w:cs="宋体"/>
          <w:color w:val="000000"/>
        </w:rPr>
        <w:t>《北京市人民政府关于印发&lt;北京市政务信息资源管理办法（试行）&gt;的通知》（京政发〔2017〕37号）</w:t>
      </w:r>
    </w:p>
    <w:p w14:paraId="5DEE1A82">
      <w:pPr>
        <w:pStyle w:val="8"/>
        <w:snapToGrid w:val="0"/>
        <w:spacing w:line="360" w:lineRule="auto"/>
        <w:ind w:firstLine="480"/>
        <w:rPr>
          <w:rFonts w:hint="eastAsia" w:hAnsi="宋体" w:cs="宋体"/>
        </w:rPr>
      </w:pPr>
      <w:r>
        <w:rPr>
          <w:rFonts w:hint="eastAsia" w:hAnsi="宋体" w:cs="宋体"/>
        </w:rPr>
        <w:t>《北京市政务网络和数据安全管理办法》（京经信发〔2023〕57号）</w:t>
      </w:r>
    </w:p>
    <w:p w14:paraId="127BE8B6">
      <w:pPr>
        <w:pStyle w:val="8"/>
        <w:snapToGrid w:val="0"/>
        <w:spacing w:line="360" w:lineRule="auto"/>
        <w:ind w:firstLine="480"/>
        <w:rPr>
          <w:rFonts w:hint="eastAsia" w:hAnsi="宋体" w:cs="宋体"/>
        </w:rPr>
      </w:pPr>
      <w:r>
        <w:rPr>
          <w:rFonts w:hint="eastAsia" w:hAnsi="宋体" w:cs="宋体"/>
        </w:rPr>
        <w:t>《北京市“十四五”时期智慧城市建设控制性规划要求（试行）》（京大数据发〔2021〕2号）</w:t>
      </w:r>
    </w:p>
    <w:p w14:paraId="3D0C64B2">
      <w:pPr>
        <w:pStyle w:val="8"/>
        <w:snapToGrid w:val="0"/>
        <w:ind w:firstLine="480"/>
        <w:rPr>
          <w:rFonts w:hint="eastAsia" w:hAnsi="宋体" w:cs="宋体"/>
        </w:rPr>
      </w:pPr>
    </w:p>
    <w:p w14:paraId="369B4EC8">
      <w:pPr>
        <w:snapToGrid w:val="0"/>
        <w:spacing w:line="360" w:lineRule="auto"/>
        <w:rPr>
          <w:rFonts w:hint="eastAsia" w:ascii="宋体" w:hAnsi="宋体" w:cs="宋体"/>
          <w:b/>
          <w:bCs/>
          <w:sz w:val="24"/>
        </w:rPr>
      </w:pPr>
      <w:r>
        <w:rPr>
          <w:rFonts w:hint="eastAsia" w:ascii="宋体" w:hAnsi="宋体" w:cs="宋体"/>
          <w:b/>
          <w:bCs/>
          <w:sz w:val="24"/>
        </w:rPr>
        <w:t>2</w:t>
      </w:r>
      <w:r>
        <w:rPr>
          <w:rFonts w:ascii="宋体" w:hAnsi="宋体" w:cs="宋体"/>
          <w:b/>
          <w:bCs/>
          <w:sz w:val="24"/>
        </w:rPr>
        <w:t xml:space="preserve">.2 </w:t>
      </w:r>
      <w:r>
        <w:rPr>
          <w:rFonts w:hint="eastAsia" w:ascii="宋体" w:hAnsi="宋体" w:cs="宋体"/>
          <w:b/>
          <w:bCs/>
          <w:sz w:val="24"/>
        </w:rPr>
        <w:t>国家相关标准</w:t>
      </w:r>
    </w:p>
    <w:p w14:paraId="7F2A1F20">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《国家电子政务外网安全接入平台技术规范》</w:t>
      </w:r>
    </w:p>
    <w:p w14:paraId="0DF911FA">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《信息技术—云计算—云服务质量评价指标》（GB/T 37738-2019）</w:t>
      </w:r>
    </w:p>
    <w:p w14:paraId="27336755">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《信息技术—云计算—云服务计量指标》（GB/T 37735-2019）</w:t>
      </w:r>
    </w:p>
    <w:p w14:paraId="7A0FF49A">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《信息技术—云计算—云服务采购指南》（GB/T 37734-2019）</w:t>
      </w:r>
    </w:p>
    <w:p w14:paraId="5127B826">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《信息技术—云计算—云存储系统服务接口功能》（GB/T 37732-2019）</w:t>
      </w:r>
    </w:p>
    <w:p w14:paraId="7BD05B8C">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《信息技术—云计算—云资源监控通用要求》（GB/T 37736-2019）</w:t>
      </w:r>
    </w:p>
    <w:p w14:paraId="03551096">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《信息技术—云计算—云平台间应用和数据迁移指南》（GB/T 37740-2019）</w:t>
      </w:r>
    </w:p>
    <w:p w14:paraId="7169EE61">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《信息技术—云计算—云服务交付要求》（GB/T 37741-2019）</w:t>
      </w:r>
    </w:p>
    <w:p w14:paraId="07EAFFAC">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《信息系统灾难恢复规范》（GB/T 20988-2007）</w:t>
      </w:r>
    </w:p>
    <w:p w14:paraId="5D5F1A69">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《信息安全技术 云计算服务安全能力要求》（GB/T 31168-2014）</w:t>
      </w:r>
    </w:p>
    <w:p w14:paraId="24851F70">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《信息安全技术 网络安全等级保护定级指南》（GB/T 22240-2020）</w:t>
      </w:r>
    </w:p>
    <w:p w14:paraId="2213D7BE">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《信息安全技术 网络安全等级保护基本要求》（GB/T 22239-2019）</w:t>
      </w:r>
    </w:p>
    <w:p w14:paraId="6E485582">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《信息安全技术 网络安全等级保护测评要求》（GB/T 28448-2019）</w:t>
      </w:r>
    </w:p>
    <w:p w14:paraId="680552FC">
      <w:pPr>
        <w:tabs>
          <w:tab w:val="left" w:pos="210"/>
        </w:tabs>
        <w:snapToGrid w:val="0"/>
        <w:spacing w:line="360" w:lineRule="auto"/>
        <w:ind w:left="425"/>
        <w:rPr>
          <w:rFonts w:hint="eastAsia" w:ascii="宋体" w:hAnsi="宋体" w:cs="宋体"/>
          <w:sz w:val="24"/>
        </w:rPr>
      </w:pPr>
      <w:r>
        <w:rPr>
          <w:rFonts w:hint="eastAsia" w:ascii="宋体" w:hAnsi="宋体" w:cs="宋体"/>
          <w:bCs/>
          <w:sz w:val="24"/>
        </w:rPr>
        <w:t>《信息安全技术 信息系统密码应用基本要求》（GB/T39786-2021）</w:t>
      </w:r>
    </w:p>
    <w:p w14:paraId="2F4D8A01">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《信息安全技术 信息安全风险评估方法》（GB/T 20984-2022）</w:t>
      </w:r>
    </w:p>
    <w:p w14:paraId="4CB416E3">
      <w:pPr>
        <w:tabs>
          <w:tab w:val="left" w:pos="210"/>
        </w:tabs>
        <w:snapToGrid w:val="0"/>
        <w:spacing w:line="360" w:lineRule="auto"/>
        <w:ind w:left="425"/>
        <w:rPr>
          <w:rFonts w:hint="eastAsia" w:ascii="宋体" w:hAnsi="宋体" w:cs="宋体"/>
          <w:sz w:val="24"/>
        </w:rPr>
      </w:pPr>
      <w:r>
        <w:rPr>
          <w:rFonts w:hint="eastAsia" w:ascii="宋体" w:hAnsi="宋体" w:cs="宋体"/>
          <w:bCs/>
          <w:sz w:val="24"/>
        </w:rPr>
        <w:t>《信息安全技术 云计算服务安全指南》（GB/T 31167-2014）</w:t>
      </w:r>
    </w:p>
    <w:p w14:paraId="33DEEA17">
      <w:pPr>
        <w:tabs>
          <w:tab w:val="left" w:pos="210"/>
        </w:tabs>
        <w:snapToGrid w:val="0"/>
        <w:spacing w:line="360" w:lineRule="auto"/>
        <w:ind w:left="425"/>
        <w:rPr>
          <w:rFonts w:hint="eastAsia" w:ascii="宋体" w:hAnsi="宋体" w:cs="宋体"/>
          <w:sz w:val="24"/>
        </w:rPr>
      </w:pPr>
      <w:r>
        <w:rPr>
          <w:rFonts w:hint="eastAsia" w:ascii="宋体" w:hAnsi="宋体" w:cs="宋体"/>
          <w:bCs/>
          <w:sz w:val="24"/>
        </w:rPr>
        <w:t>《信息安全技术 政府网站云计算服务安全指南》（GB/T 38249—2019）</w:t>
      </w:r>
    </w:p>
    <w:p w14:paraId="09C75637">
      <w:pPr>
        <w:tabs>
          <w:tab w:val="left" w:pos="210"/>
        </w:tabs>
        <w:snapToGrid w:val="0"/>
        <w:spacing w:line="360" w:lineRule="auto"/>
        <w:ind w:left="425"/>
        <w:rPr>
          <w:rFonts w:hint="eastAsia" w:ascii="宋体" w:hAnsi="宋体" w:cs="宋体"/>
          <w:sz w:val="24"/>
        </w:rPr>
      </w:pPr>
      <w:r>
        <w:rPr>
          <w:rFonts w:hint="eastAsia" w:ascii="宋体" w:hAnsi="宋体" w:cs="宋体"/>
          <w:bCs/>
          <w:sz w:val="24"/>
        </w:rPr>
        <w:t>《信息安全技术 云计算安全参考架构》（GB/T 35279—2017）</w:t>
      </w:r>
    </w:p>
    <w:p w14:paraId="3F433800">
      <w:pPr>
        <w:tabs>
          <w:tab w:val="left" w:pos="210"/>
        </w:tabs>
        <w:snapToGrid w:val="0"/>
        <w:spacing w:line="360" w:lineRule="auto"/>
        <w:ind w:left="425"/>
        <w:rPr>
          <w:rFonts w:hint="eastAsia" w:ascii="宋体" w:hAnsi="宋体" w:cs="宋体"/>
          <w:sz w:val="24"/>
        </w:rPr>
      </w:pPr>
      <w:r>
        <w:rPr>
          <w:rFonts w:hint="eastAsia" w:ascii="宋体" w:hAnsi="宋体" w:cs="宋体"/>
          <w:bCs/>
          <w:sz w:val="24"/>
        </w:rPr>
        <w:t>《信息安全技术 云计算服务安全能力评估方法》GB/T 34942—2017</w:t>
      </w:r>
    </w:p>
    <w:p w14:paraId="10C81E70">
      <w:pPr>
        <w:tabs>
          <w:tab w:val="left" w:pos="210"/>
        </w:tabs>
        <w:snapToGrid w:val="0"/>
        <w:spacing w:line="360" w:lineRule="auto"/>
        <w:ind w:left="425"/>
        <w:rPr>
          <w:rFonts w:hint="eastAsia" w:ascii="宋体" w:hAnsi="宋体" w:cs="宋体"/>
          <w:sz w:val="24"/>
        </w:rPr>
      </w:pPr>
      <w:r>
        <w:rPr>
          <w:rFonts w:hint="eastAsia" w:ascii="宋体" w:hAnsi="宋体" w:cs="宋体"/>
          <w:bCs/>
          <w:sz w:val="24"/>
        </w:rPr>
        <w:t>《信息安全技术 云计算服务运行监管框架》（GB/T 37972—2019）</w:t>
      </w:r>
    </w:p>
    <w:p w14:paraId="68445845">
      <w:pPr>
        <w:tabs>
          <w:tab w:val="left" w:pos="210"/>
        </w:tabs>
        <w:snapToGrid w:val="0"/>
        <w:spacing w:line="360" w:lineRule="auto"/>
        <w:ind w:left="425"/>
        <w:rPr>
          <w:rFonts w:hint="eastAsia" w:ascii="宋体" w:hAnsi="宋体" w:cs="宋体"/>
          <w:sz w:val="24"/>
        </w:rPr>
      </w:pPr>
      <w:r>
        <w:rPr>
          <w:rFonts w:hint="eastAsia" w:ascii="宋体" w:hAnsi="宋体" w:cs="宋体"/>
          <w:bCs/>
          <w:sz w:val="24"/>
        </w:rPr>
        <w:t>《信息技术 云资源监控指标体系》（GB/T 37938-2019）</w:t>
      </w:r>
    </w:p>
    <w:p w14:paraId="20FB4801">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《电子信息系统机房设计规范》（GB50174-2017）</w:t>
      </w:r>
    </w:p>
    <w:p w14:paraId="63060848">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《数据中心电信基础设施标准》（ANSI/TIA-942）</w:t>
      </w:r>
    </w:p>
    <w:p w14:paraId="79789BA7">
      <w:pPr>
        <w:tabs>
          <w:tab w:val="left" w:pos="210"/>
        </w:tabs>
        <w:snapToGrid w:val="0"/>
        <w:spacing w:line="360" w:lineRule="auto"/>
        <w:ind w:left="425"/>
        <w:rPr>
          <w:rFonts w:hint="eastAsia" w:ascii="宋体" w:hAnsi="宋体" w:cs="宋体"/>
          <w:bCs/>
          <w:sz w:val="24"/>
        </w:rPr>
      </w:pPr>
      <w:r>
        <w:rPr>
          <w:rFonts w:hint="eastAsia" w:ascii="宋体" w:hAnsi="宋体" w:cs="宋体"/>
          <w:bCs/>
          <w:sz w:val="24"/>
        </w:rPr>
        <w:t>《综合布线系统工程设计规范》（GB 50311—2016）</w:t>
      </w:r>
    </w:p>
    <w:p w14:paraId="22F84C48">
      <w:pPr>
        <w:tabs>
          <w:tab w:val="left" w:pos="210"/>
        </w:tabs>
        <w:snapToGrid w:val="0"/>
        <w:spacing w:line="360" w:lineRule="auto"/>
        <w:ind w:left="425"/>
        <w:rPr>
          <w:rFonts w:hint="eastAsia" w:ascii="宋体" w:hAnsi="宋体" w:cs="宋体"/>
          <w:sz w:val="24"/>
        </w:rPr>
      </w:pPr>
      <w:r>
        <w:rPr>
          <w:rFonts w:hint="eastAsia" w:ascii="宋体" w:hAnsi="宋体" w:cs="宋体"/>
          <w:bCs/>
          <w:sz w:val="24"/>
        </w:rPr>
        <w:t>《云计算关键领域安全指南V4.0》</w:t>
      </w:r>
    </w:p>
    <w:p w14:paraId="2A932E50">
      <w:pPr>
        <w:snapToGrid w:val="0"/>
        <w:spacing w:line="360" w:lineRule="auto"/>
        <w:ind w:left="425"/>
        <w:rPr>
          <w:rFonts w:hint="eastAsia" w:ascii="宋体" w:hAnsi="宋体" w:cs="宋体"/>
          <w:b/>
          <w:bCs/>
          <w:sz w:val="24"/>
        </w:rPr>
      </w:pPr>
      <w:r>
        <w:rPr>
          <w:rFonts w:hint="eastAsia" w:ascii="宋体" w:hAnsi="宋体" w:cs="宋体"/>
          <w:b/>
          <w:bCs/>
          <w:sz w:val="24"/>
        </w:rPr>
        <w:t>2</w:t>
      </w:r>
      <w:r>
        <w:rPr>
          <w:rFonts w:ascii="宋体" w:hAnsi="宋体" w:cs="宋体"/>
          <w:b/>
          <w:bCs/>
          <w:sz w:val="24"/>
        </w:rPr>
        <w:t xml:space="preserve">.3 </w:t>
      </w:r>
      <w:r>
        <w:rPr>
          <w:rFonts w:hint="eastAsia" w:ascii="宋体" w:hAnsi="宋体" w:cs="宋体"/>
          <w:b/>
          <w:bCs/>
          <w:sz w:val="24"/>
        </w:rPr>
        <w:t>北京市相关标准</w:t>
      </w:r>
    </w:p>
    <w:p w14:paraId="6B6489D4">
      <w:pPr>
        <w:pStyle w:val="8"/>
        <w:snapToGrid w:val="0"/>
        <w:spacing w:line="360" w:lineRule="auto"/>
        <w:ind w:left="425" w:firstLine="0"/>
        <w:rPr>
          <w:rFonts w:hint="eastAsia" w:hAnsi="宋体" w:cs="宋体"/>
          <w:bCs/>
        </w:rPr>
      </w:pPr>
      <w:r>
        <w:rPr>
          <w:rFonts w:hint="eastAsia" w:hAnsi="宋体" w:cs="宋体"/>
          <w:bCs/>
        </w:rPr>
        <w:t>《政务云平台建设技术要求》（DB11/T 2169-2023）</w:t>
      </w:r>
    </w:p>
    <w:p w14:paraId="0B0870E5">
      <w:pPr>
        <w:snapToGrid w:val="0"/>
        <w:spacing w:line="360" w:lineRule="auto"/>
        <w:ind w:left="425"/>
        <w:rPr>
          <w:rFonts w:hint="eastAsia" w:ascii="宋体" w:hAnsi="宋体" w:cs="宋体"/>
          <w:bCs/>
          <w:sz w:val="24"/>
        </w:rPr>
      </w:pPr>
      <w:r>
        <w:rPr>
          <w:rFonts w:hint="eastAsia" w:ascii="宋体" w:hAnsi="宋体" w:cs="宋体"/>
          <w:bCs/>
          <w:sz w:val="24"/>
        </w:rPr>
        <w:t xml:space="preserve">《北京市政务云安全技术规范 </w:t>
      </w:r>
      <w:r>
        <w:rPr>
          <w:rFonts w:hint="eastAsia" w:ascii="宋体" w:hAnsi="宋体" w:cs="宋体"/>
          <w:sz w:val="24"/>
        </w:rPr>
        <w:t>IaaS云计算平台分册</w:t>
      </w:r>
      <w:r>
        <w:rPr>
          <w:rFonts w:hint="eastAsia" w:ascii="宋体" w:hAnsi="宋体" w:cs="宋体"/>
          <w:bCs/>
          <w:sz w:val="24"/>
        </w:rPr>
        <w:t>》</w:t>
      </w:r>
    </w:p>
    <w:p w14:paraId="5DDFC3CD">
      <w:pPr>
        <w:snapToGrid w:val="0"/>
        <w:spacing w:line="360" w:lineRule="auto"/>
        <w:ind w:left="425"/>
        <w:rPr>
          <w:rFonts w:hint="eastAsia" w:ascii="宋体" w:hAnsi="宋体" w:cs="宋体"/>
          <w:bCs/>
          <w:sz w:val="24"/>
        </w:rPr>
      </w:pPr>
      <w:r>
        <w:rPr>
          <w:rFonts w:hint="eastAsia" w:ascii="宋体" w:hAnsi="宋体" w:cs="宋体"/>
          <w:bCs/>
          <w:sz w:val="24"/>
        </w:rPr>
        <w:t xml:space="preserve">《北京市政务云安全技术规范 </w:t>
      </w:r>
      <w:r>
        <w:rPr>
          <w:rFonts w:hint="eastAsia" w:ascii="宋体" w:hAnsi="宋体" w:cs="宋体"/>
          <w:sz w:val="24"/>
        </w:rPr>
        <w:t>IaaS云计算平台安全监管接口分册</w:t>
      </w:r>
      <w:r>
        <w:rPr>
          <w:rFonts w:hint="eastAsia" w:ascii="宋体" w:hAnsi="宋体" w:cs="宋体"/>
          <w:bCs/>
          <w:sz w:val="24"/>
        </w:rPr>
        <w:t>》</w:t>
      </w:r>
    </w:p>
    <w:p w14:paraId="27D71110">
      <w:pPr>
        <w:snapToGrid w:val="0"/>
        <w:spacing w:line="360" w:lineRule="auto"/>
        <w:ind w:left="425"/>
        <w:rPr>
          <w:rFonts w:hint="eastAsia" w:ascii="宋体" w:hAnsi="宋体" w:cs="宋体"/>
          <w:bCs/>
          <w:sz w:val="24"/>
        </w:rPr>
      </w:pPr>
      <w:r>
        <w:rPr>
          <w:rFonts w:hint="eastAsia" w:ascii="宋体" w:hAnsi="宋体" w:cs="宋体"/>
          <w:bCs/>
          <w:sz w:val="24"/>
        </w:rPr>
        <w:t xml:space="preserve">《北京市政务云安全技术规范 </w:t>
      </w:r>
      <w:r>
        <w:rPr>
          <w:rFonts w:hint="eastAsia" w:ascii="宋体" w:hAnsi="宋体" w:cs="宋体"/>
          <w:sz w:val="24"/>
        </w:rPr>
        <w:t>信息安全服务接口分册</w:t>
      </w:r>
      <w:r>
        <w:rPr>
          <w:rFonts w:hint="eastAsia" w:ascii="宋体" w:hAnsi="宋体" w:cs="宋体"/>
          <w:bCs/>
          <w:sz w:val="24"/>
        </w:rPr>
        <w:t>》</w:t>
      </w:r>
    </w:p>
    <w:p w14:paraId="1526B646">
      <w:pPr>
        <w:pStyle w:val="2"/>
        <w:rPr>
          <w:rFonts w:hint="eastAsia"/>
          <w:b/>
        </w:rPr>
      </w:pPr>
      <w:r>
        <w:rPr>
          <w:rFonts w:hint="eastAsia" w:cs="宋体"/>
          <w:b/>
          <w:kern w:val="0"/>
        </w:rPr>
        <w:t>注：服务标准涉及的国家标准及北京市标准有更新的，执行最新标准。</w:t>
      </w:r>
    </w:p>
    <w:p w14:paraId="7A488358">
      <w:pPr>
        <w:pStyle w:val="6"/>
        <w:numPr>
          <w:ilvl w:val="0"/>
          <w:numId w:val="7"/>
        </w:numPr>
        <w:spacing w:line="360" w:lineRule="auto"/>
        <w:rPr>
          <w:rFonts w:hint="eastAsia" w:ascii="楷体" w:hAnsi="楷体" w:eastAsia="楷体" w:cs="楷体"/>
          <w:u w:val="none"/>
        </w:rPr>
      </w:pPr>
      <w:r>
        <w:rPr>
          <w:rFonts w:hint="eastAsia" w:ascii="楷体" w:hAnsi="楷体" w:eastAsia="楷体" w:cs="楷体"/>
          <w:u w:val="none"/>
        </w:rPr>
        <w:t>服务内容及要求</w:t>
      </w:r>
    </w:p>
    <w:p w14:paraId="1B1BFB03">
      <w:pPr>
        <w:pStyle w:val="7"/>
        <w:numPr>
          <w:ilvl w:val="0"/>
          <w:numId w:val="9"/>
        </w:numPr>
        <w:spacing w:line="360" w:lineRule="auto"/>
        <w:rPr>
          <w:rFonts w:hint="eastAsia" w:ascii="楷体" w:hAnsi="楷体" w:eastAsia="楷体" w:cs="楷体"/>
          <w:b/>
        </w:rPr>
      </w:pPr>
      <w:r>
        <w:rPr>
          <w:rFonts w:hint="eastAsia" w:ascii="楷体" w:hAnsi="楷体" w:eastAsia="楷体" w:cs="楷体"/>
          <w:b/>
        </w:rPr>
        <w:t>云主机服务</w:t>
      </w:r>
    </w:p>
    <w:p w14:paraId="1B79703E">
      <w:pPr>
        <w:spacing w:line="360" w:lineRule="auto"/>
        <w:ind w:firstLine="482" w:firstLineChars="200"/>
        <w:rPr>
          <w:rFonts w:hint="eastAsia" w:ascii="宋体" w:hAnsi="宋体" w:cs="宋体"/>
          <w:b/>
          <w:bCs/>
          <w:sz w:val="24"/>
        </w:rPr>
      </w:pPr>
      <w:r>
        <w:rPr>
          <w:rFonts w:hint="eastAsia" w:ascii="宋体" w:hAnsi="宋体" w:cs="宋体"/>
          <w:b/>
          <w:bCs/>
          <w:sz w:val="24"/>
        </w:rPr>
        <w:t>1.1服务内容</w:t>
      </w:r>
    </w:p>
    <w:p w14:paraId="1CD3BF4F">
      <w:pPr>
        <w:snapToGrid w:val="0"/>
        <w:spacing w:line="360" w:lineRule="auto"/>
        <w:ind w:firstLine="480" w:firstLineChars="200"/>
        <w:rPr>
          <w:rFonts w:hint="eastAsia" w:ascii="宋体" w:hAnsi="宋体" w:cs="宋体"/>
          <w:bCs/>
          <w:sz w:val="24"/>
        </w:rPr>
      </w:pPr>
      <w:r>
        <w:rPr>
          <w:rFonts w:hint="eastAsia" w:ascii="宋体" w:hAnsi="宋体" w:cs="宋体"/>
          <w:bCs/>
          <w:sz w:val="24"/>
        </w:rPr>
        <w:t>按照采购人的具体需求，提供云主机服务，按需求对CPU及内存进行动态调整，实现合理的计算资源配置。在提供服务过程中做好与采购人和对应项目应用开发厂商的协调沟通工作。</w:t>
      </w:r>
    </w:p>
    <w:p w14:paraId="025F09CD">
      <w:pPr>
        <w:spacing w:line="360" w:lineRule="auto"/>
        <w:ind w:firstLine="482" w:firstLineChars="200"/>
        <w:rPr>
          <w:rFonts w:hint="eastAsia" w:ascii="宋体" w:hAnsi="宋体" w:cs="宋体"/>
          <w:b/>
          <w:bCs/>
          <w:sz w:val="24"/>
        </w:rPr>
      </w:pPr>
      <w:r>
        <w:rPr>
          <w:rFonts w:hint="eastAsia" w:ascii="宋体" w:hAnsi="宋体" w:cs="宋体"/>
          <w:b/>
          <w:bCs/>
          <w:sz w:val="24"/>
        </w:rPr>
        <w:t>1.2服务标准</w:t>
      </w:r>
    </w:p>
    <w:p w14:paraId="1307B79F">
      <w:pPr>
        <w:pStyle w:val="8"/>
        <w:snapToGrid w:val="0"/>
        <w:spacing w:line="360" w:lineRule="auto"/>
        <w:ind w:firstLine="480"/>
        <w:rPr>
          <w:rFonts w:hint="eastAsia" w:hAnsi="宋体" w:cs="宋体"/>
        </w:rPr>
      </w:pPr>
      <w:r>
        <w:rPr>
          <w:rFonts w:hint="eastAsia" w:hAnsi="宋体" w:cs="宋体"/>
        </w:rPr>
        <w:t>1.2.1 云主机应实现物理机的全部功能，如具有CPU、存储、内存、网卡等资源，可以指定单独的IP地址；</w:t>
      </w:r>
    </w:p>
    <w:p w14:paraId="2A1C0071">
      <w:pPr>
        <w:pStyle w:val="8"/>
        <w:snapToGrid w:val="0"/>
        <w:spacing w:line="360" w:lineRule="auto"/>
        <w:ind w:firstLine="480"/>
        <w:rPr>
          <w:rFonts w:hint="eastAsia" w:hAnsi="宋体" w:cs="宋体"/>
        </w:rPr>
      </w:pPr>
      <w:r>
        <w:rPr>
          <w:rFonts w:hint="eastAsia" w:hAnsi="宋体" w:cs="宋体"/>
        </w:rPr>
        <w:t>1.2.2 支持存储裸设备映射（RDM），可以将存储设备上的LUN直接映射给虚拟机使用，并且支持SCSI指令使用透传模式或者非透传模式；</w:t>
      </w:r>
    </w:p>
    <w:p w14:paraId="0F49C9F1">
      <w:pPr>
        <w:pStyle w:val="8"/>
        <w:snapToGrid w:val="0"/>
        <w:spacing w:line="360" w:lineRule="auto"/>
        <w:ind w:firstLine="480"/>
        <w:rPr>
          <w:rFonts w:hint="eastAsia" w:hAnsi="宋体" w:cs="宋体"/>
        </w:rPr>
      </w:pPr>
      <w:r>
        <w:rPr>
          <w:rFonts w:hint="eastAsia" w:hAnsi="宋体" w:cs="宋体"/>
        </w:rPr>
        <w:t>1.2.3 应满足云主机之间、CPU之间隔离保护要求；</w:t>
      </w:r>
    </w:p>
    <w:p w14:paraId="1CD4E2B1">
      <w:pPr>
        <w:pStyle w:val="8"/>
        <w:snapToGrid w:val="0"/>
        <w:spacing w:line="360" w:lineRule="auto"/>
        <w:ind w:firstLine="480"/>
        <w:rPr>
          <w:rFonts w:hint="eastAsia" w:hAnsi="宋体" w:cs="宋体"/>
        </w:rPr>
      </w:pPr>
      <w:r>
        <w:rPr>
          <w:rFonts w:hint="eastAsia" w:hAnsi="宋体" w:cs="宋体"/>
        </w:rPr>
        <w:t>1.2.4 支持资源的动态调整，根据业务的负载情况实现业务系统虚拟机的动态扩展和回收；</w:t>
      </w:r>
    </w:p>
    <w:p w14:paraId="2E09665C">
      <w:pPr>
        <w:pStyle w:val="8"/>
        <w:snapToGrid w:val="0"/>
        <w:spacing w:line="360" w:lineRule="auto"/>
        <w:ind w:firstLine="480"/>
        <w:rPr>
          <w:rFonts w:hint="eastAsia" w:hAnsi="宋体" w:cs="宋体"/>
        </w:rPr>
      </w:pPr>
      <w:r>
        <w:rPr>
          <w:rFonts w:hint="eastAsia" w:hAnsi="宋体" w:cs="宋体"/>
        </w:rPr>
        <w:t>1.2.5 支持异构虚拟化能力；</w:t>
      </w:r>
    </w:p>
    <w:p w14:paraId="39A8AAE5">
      <w:pPr>
        <w:pStyle w:val="8"/>
        <w:snapToGrid w:val="0"/>
        <w:spacing w:line="360" w:lineRule="auto"/>
        <w:ind w:firstLine="480"/>
        <w:rPr>
          <w:rFonts w:hint="eastAsia" w:hAnsi="宋体" w:cs="宋体"/>
        </w:rPr>
      </w:pPr>
      <w:r>
        <w:rPr>
          <w:rFonts w:hint="eastAsia" w:hAnsi="宋体" w:cs="宋体"/>
        </w:rPr>
        <w:t>1.2.6 云主机出现故障时，支持自动重启或者迁移，保障业务连续性；</w:t>
      </w:r>
    </w:p>
    <w:p w14:paraId="16B0D402">
      <w:pPr>
        <w:pStyle w:val="8"/>
        <w:snapToGrid w:val="0"/>
        <w:spacing w:line="360" w:lineRule="auto"/>
        <w:ind w:firstLine="480"/>
        <w:rPr>
          <w:rFonts w:hint="eastAsia" w:hAnsi="宋体" w:cs="宋体"/>
        </w:rPr>
      </w:pPr>
      <w:r>
        <w:rPr>
          <w:rFonts w:hint="eastAsia" w:hAnsi="宋体" w:cs="宋体"/>
        </w:rPr>
        <w:t>1.2.7 支持虚拟机热迁移，可在不同代CPU资源池中进行虚拟机热迁移；</w:t>
      </w:r>
    </w:p>
    <w:p w14:paraId="18C208C7">
      <w:pPr>
        <w:pStyle w:val="8"/>
        <w:snapToGrid w:val="0"/>
        <w:spacing w:line="360" w:lineRule="auto"/>
        <w:ind w:firstLine="480"/>
        <w:rPr>
          <w:rFonts w:hint="eastAsia" w:hAnsi="宋体" w:cs="宋体"/>
        </w:rPr>
      </w:pPr>
      <w:r>
        <w:rPr>
          <w:rFonts w:hint="eastAsia" w:hAnsi="宋体" w:cs="宋体"/>
        </w:rPr>
        <w:t>1.2.8 云计算资源性能要求包括但不限于如下：</w:t>
      </w:r>
    </w:p>
    <w:p w14:paraId="66D768AC">
      <w:pPr>
        <w:pStyle w:val="8"/>
        <w:snapToGrid w:val="0"/>
        <w:spacing w:line="360" w:lineRule="auto"/>
        <w:ind w:firstLine="480"/>
        <w:rPr>
          <w:rFonts w:hint="eastAsia" w:hAnsi="宋体" w:cs="宋体"/>
        </w:rPr>
      </w:pPr>
      <w:r>
        <w:rPr>
          <w:rFonts w:hint="eastAsia" w:hAnsi="宋体" w:cs="宋体"/>
        </w:rPr>
        <w:t>1.2.8.1 物理服务器CPU主频应不低于2.40GHz；</w:t>
      </w:r>
    </w:p>
    <w:p w14:paraId="70D77908">
      <w:pPr>
        <w:pStyle w:val="8"/>
        <w:snapToGrid w:val="0"/>
        <w:spacing w:line="360" w:lineRule="auto"/>
        <w:ind w:firstLine="480"/>
        <w:rPr>
          <w:rFonts w:hint="eastAsia" w:hAnsi="宋体" w:cs="宋体"/>
        </w:rPr>
      </w:pPr>
      <w:r>
        <w:rPr>
          <w:rFonts w:hint="eastAsia" w:hAnsi="宋体" w:cs="宋体"/>
        </w:rPr>
        <w:t>1.2.8.2 主机内存硬件配置不低于DDR4-2400MHz；</w:t>
      </w:r>
    </w:p>
    <w:p w14:paraId="154B0CFD">
      <w:pPr>
        <w:pStyle w:val="8"/>
        <w:snapToGrid w:val="0"/>
        <w:spacing w:line="360" w:lineRule="auto"/>
        <w:ind w:firstLine="480"/>
        <w:rPr>
          <w:rFonts w:hint="eastAsia" w:hAnsi="宋体" w:cs="宋体"/>
        </w:rPr>
      </w:pPr>
      <w:r>
        <w:rPr>
          <w:rFonts w:hint="eastAsia" w:hAnsi="宋体" w:cs="宋体"/>
        </w:rPr>
        <w:t>1.2.8.3可用性不低于99.99%。</w:t>
      </w:r>
    </w:p>
    <w:p w14:paraId="7B3DFABB">
      <w:pPr>
        <w:pStyle w:val="7"/>
        <w:numPr>
          <w:ilvl w:val="0"/>
          <w:numId w:val="9"/>
        </w:numPr>
        <w:spacing w:line="360" w:lineRule="auto"/>
        <w:rPr>
          <w:rFonts w:hint="eastAsia" w:ascii="楷体" w:hAnsi="楷体" w:eastAsia="楷体" w:cs="楷体"/>
          <w:b/>
        </w:rPr>
      </w:pPr>
      <w:r>
        <w:rPr>
          <w:rFonts w:hint="eastAsia" w:ascii="楷体" w:hAnsi="楷体" w:eastAsia="楷体" w:cs="楷体"/>
          <w:b/>
        </w:rPr>
        <w:t>存储服务</w:t>
      </w:r>
    </w:p>
    <w:p w14:paraId="13C8DA50">
      <w:pPr>
        <w:spacing w:line="360" w:lineRule="auto"/>
        <w:ind w:firstLine="482" w:firstLineChars="200"/>
        <w:rPr>
          <w:rFonts w:hint="eastAsia" w:ascii="宋体" w:hAnsi="宋体" w:cs="宋体"/>
          <w:b/>
          <w:bCs/>
          <w:sz w:val="24"/>
        </w:rPr>
      </w:pPr>
      <w:r>
        <w:rPr>
          <w:rFonts w:hint="eastAsia" w:ascii="宋体" w:hAnsi="宋体" w:cs="宋体"/>
          <w:b/>
          <w:bCs/>
          <w:sz w:val="24"/>
        </w:rPr>
        <w:t>2.1服务内容</w:t>
      </w:r>
    </w:p>
    <w:p w14:paraId="1B6BE4A4">
      <w:pPr>
        <w:pStyle w:val="8"/>
        <w:snapToGrid w:val="0"/>
        <w:spacing w:line="360" w:lineRule="auto"/>
        <w:ind w:firstLine="480"/>
        <w:rPr>
          <w:rFonts w:hint="eastAsia" w:hAnsi="宋体" w:cs="宋体"/>
        </w:rPr>
      </w:pPr>
      <w:r>
        <w:rPr>
          <w:rFonts w:hint="eastAsia" w:hAnsi="宋体" w:cs="宋体"/>
        </w:rPr>
        <w:t>按照采购人的具体需求，提供存储服务，包括：普通性能存储、高性能存储、静态存储和本地备份服务，实现合理的存储资源配置。在提供政务云存储的服务过程中需做好采购人和对应项目应用开发厂商的协调沟通工作。</w:t>
      </w:r>
    </w:p>
    <w:p w14:paraId="152F1630">
      <w:pPr>
        <w:spacing w:line="360" w:lineRule="auto"/>
        <w:ind w:firstLine="482" w:firstLineChars="200"/>
        <w:rPr>
          <w:rFonts w:hint="eastAsia" w:ascii="宋体" w:hAnsi="宋体" w:cs="宋体"/>
          <w:b/>
          <w:bCs/>
          <w:sz w:val="24"/>
        </w:rPr>
      </w:pPr>
      <w:r>
        <w:rPr>
          <w:rFonts w:hint="eastAsia" w:ascii="宋体" w:hAnsi="宋体" w:cs="宋体"/>
          <w:b/>
          <w:bCs/>
          <w:sz w:val="24"/>
        </w:rPr>
        <w:t>2.2服务标准</w:t>
      </w:r>
    </w:p>
    <w:p w14:paraId="4A72E22A">
      <w:pPr>
        <w:pStyle w:val="8"/>
        <w:snapToGrid w:val="0"/>
        <w:spacing w:line="360" w:lineRule="auto"/>
        <w:ind w:firstLine="480"/>
        <w:rPr>
          <w:rFonts w:hint="eastAsia" w:hAnsi="宋体" w:cs="宋体"/>
        </w:rPr>
      </w:pPr>
      <w:r>
        <w:rPr>
          <w:rFonts w:hint="eastAsia" w:hAnsi="宋体" w:cs="宋体"/>
        </w:rPr>
        <w:t>2.2.1支持结构化数据、半结构化数据和非结构化数据等多种数据类型存储；</w:t>
      </w:r>
    </w:p>
    <w:p w14:paraId="345B3DF9">
      <w:pPr>
        <w:pStyle w:val="8"/>
        <w:snapToGrid w:val="0"/>
        <w:spacing w:line="360" w:lineRule="auto"/>
        <w:ind w:firstLine="480"/>
        <w:rPr>
          <w:rFonts w:hint="eastAsia" w:hAnsi="宋体" w:cs="宋体"/>
        </w:rPr>
      </w:pPr>
      <w:r>
        <w:rPr>
          <w:rFonts w:hint="eastAsia" w:hAnsi="宋体" w:cs="宋体"/>
        </w:rPr>
        <w:t>2.2.2支持块存储、对象存储、文件存储等多种存储方法，满足数据备份、视频存储等不同应用场景使用要求；</w:t>
      </w:r>
    </w:p>
    <w:p w14:paraId="2B6555B2">
      <w:pPr>
        <w:pStyle w:val="8"/>
        <w:snapToGrid w:val="0"/>
        <w:spacing w:line="360" w:lineRule="auto"/>
        <w:ind w:firstLine="480"/>
        <w:rPr>
          <w:rFonts w:hint="eastAsia" w:hAnsi="宋体" w:cs="宋体"/>
        </w:rPr>
      </w:pPr>
      <w:r>
        <w:rPr>
          <w:rFonts w:hint="eastAsia" w:hAnsi="宋体" w:cs="宋体"/>
        </w:rPr>
        <w:t>2.2.3支持存储资源扩展能力，例如：PB级扩展；</w:t>
      </w:r>
    </w:p>
    <w:p w14:paraId="69955824">
      <w:pPr>
        <w:pStyle w:val="8"/>
        <w:snapToGrid w:val="0"/>
        <w:spacing w:line="360" w:lineRule="auto"/>
        <w:ind w:firstLine="480"/>
        <w:rPr>
          <w:rFonts w:hint="eastAsia" w:hAnsi="宋体" w:cs="宋体"/>
        </w:rPr>
      </w:pPr>
      <w:r>
        <w:rPr>
          <w:rFonts w:hint="eastAsia" w:hAnsi="宋体" w:cs="宋体"/>
        </w:rPr>
        <w:t>2.2.4支持磁盘容错技术，如磁盘故障后节点的自动平衡和重构、硬盘故障检测和处理、集群节点出现单盘故障时不影响业务运行等；</w:t>
      </w:r>
    </w:p>
    <w:p w14:paraId="21634C0D">
      <w:pPr>
        <w:pStyle w:val="8"/>
        <w:snapToGrid w:val="0"/>
        <w:spacing w:line="360" w:lineRule="auto"/>
        <w:ind w:firstLine="480"/>
        <w:rPr>
          <w:rFonts w:hint="eastAsia" w:hAnsi="宋体" w:cs="宋体"/>
        </w:rPr>
      </w:pPr>
      <w:r>
        <w:rPr>
          <w:rFonts w:hint="eastAsia" w:hAnsi="宋体" w:cs="宋体"/>
        </w:rPr>
        <w:t>2.2.5存储资源性能要求包括但不限于如下：</w:t>
      </w:r>
    </w:p>
    <w:p w14:paraId="79694292">
      <w:pPr>
        <w:pStyle w:val="8"/>
        <w:snapToGrid w:val="0"/>
        <w:spacing w:line="360" w:lineRule="auto"/>
        <w:ind w:firstLine="480"/>
        <w:rPr>
          <w:rFonts w:hint="eastAsia" w:hAnsi="宋体" w:cs="宋体"/>
        </w:rPr>
      </w:pPr>
      <w:r>
        <w:rPr>
          <w:rFonts w:hint="eastAsia" w:hAnsi="宋体" w:cs="宋体"/>
        </w:rPr>
        <w:t>2.2.5.1吞吐量：高性能存储系统的读写带宽应不低于1000MB/s,IOPS不低于20000;普通性能存储系统的读写带宽应不低于200MB/s，IOPS不低于1000。</w:t>
      </w:r>
    </w:p>
    <w:p w14:paraId="562BCF8D">
      <w:pPr>
        <w:pStyle w:val="8"/>
        <w:snapToGrid w:val="0"/>
        <w:spacing w:line="360" w:lineRule="auto"/>
        <w:ind w:firstLine="480"/>
        <w:rPr>
          <w:rFonts w:hint="eastAsia" w:hAnsi="宋体" w:cs="宋体"/>
        </w:rPr>
      </w:pPr>
      <w:r>
        <w:rPr>
          <w:rFonts w:hint="eastAsia" w:hAnsi="宋体" w:cs="宋体"/>
        </w:rPr>
        <w:t>2.2.5.2支持高可靠性，可靠性不低于99.9999%；</w:t>
      </w:r>
    </w:p>
    <w:p w14:paraId="69C63F71">
      <w:pPr>
        <w:pStyle w:val="7"/>
        <w:numPr>
          <w:ilvl w:val="0"/>
          <w:numId w:val="9"/>
        </w:numPr>
        <w:spacing w:line="360" w:lineRule="auto"/>
        <w:rPr>
          <w:rFonts w:hint="eastAsia" w:ascii="楷体" w:hAnsi="楷体" w:eastAsia="楷体" w:cs="楷体"/>
          <w:b/>
        </w:rPr>
      </w:pPr>
      <w:r>
        <w:rPr>
          <w:rFonts w:hint="eastAsia" w:ascii="楷体" w:hAnsi="楷体" w:eastAsia="楷体" w:cs="楷体"/>
          <w:b/>
        </w:rPr>
        <w:t>网络服务</w:t>
      </w:r>
    </w:p>
    <w:p w14:paraId="757CCF7A">
      <w:pPr>
        <w:spacing w:line="360" w:lineRule="auto"/>
        <w:ind w:firstLine="482" w:firstLineChars="200"/>
        <w:rPr>
          <w:rFonts w:hint="eastAsia" w:ascii="宋体" w:hAnsi="宋体" w:cs="宋体"/>
          <w:b/>
          <w:bCs/>
          <w:sz w:val="24"/>
        </w:rPr>
      </w:pPr>
      <w:r>
        <w:rPr>
          <w:rFonts w:hint="eastAsia" w:ascii="宋体" w:hAnsi="宋体" w:cs="宋体"/>
          <w:b/>
          <w:bCs/>
          <w:sz w:val="24"/>
        </w:rPr>
        <w:t>3.1服务内容</w:t>
      </w:r>
    </w:p>
    <w:p w14:paraId="50307E12">
      <w:pPr>
        <w:pStyle w:val="8"/>
        <w:snapToGrid w:val="0"/>
        <w:spacing w:line="360" w:lineRule="auto"/>
        <w:ind w:firstLine="480"/>
        <w:rPr>
          <w:rFonts w:hint="eastAsia" w:hAnsi="宋体" w:cs="宋体"/>
        </w:rPr>
      </w:pPr>
      <w:r>
        <w:rPr>
          <w:rFonts w:hint="eastAsia" w:hAnsi="宋体" w:cs="宋体"/>
        </w:rPr>
        <w:t>3.1.1 提供互联网链路带宽服务、互联网IP地址租用服务，并提供相应的网络域名备案服务，配合应用开发厂商提供网络策略配置服务；</w:t>
      </w:r>
    </w:p>
    <w:p w14:paraId="6F615107">
      <w:pPr>
        <w:pStyle w:val="8"/>
        <w:snapToGrid w:val="0"/>
        <w:spacing w:line="360" w:lineRule="auto"/>
        <w:ind w:firstLine="480"/>
        <w:rPr>
          <w:rFonts w:hint="eastAsia" w:hAnsi="宋体" w:cs="宋体"/>
        </w:rPr>
      </w:pPr>
      <w:r>
        <w:rPr>
          <w:rFonts w:hint="eastAsia" w:hAnsi="宋体" w:cs="宋体"/>
        </w:rPr>
        <w:t>3.1.2 远程接入服务，提供互联网远程接入服务，每个账号结合身份验证接入堡垒机维护应用系统；</w:t>
      </w:r>
    </w:p>
    <w:p w14:paraId="036E673E">
      <w:pPr>
        <w:pStyle w:val="8"/>
        <w:snapToGrid w:val="0"/>
        <w:spacing w:line="360" w:lineRule="auto"/>
        <w:ind w:firstLine="480"/>
        <w:rPr>
          <w:rFonts w:hint="eastAsia" w:hAnsi="宋体" w:cs="宋体"/>
        </w:rPr>
      </w:pPr>
      <w:r>
        <w:rPr>
          <w:rFonts w:hint="eastAsia" w:hAnsi="宋体" w:cs="宋体"/>
        </w:rPr>
        <w:t>3.1.3 主机负载均衡服务，提供主机负载均衡服务；</w:t>
      </w:r>
    </w:p>
    <w:p w14:paraId="3D7B6601">
      <w:pPr>
        <w:pStyle w:val="8"/>
        <w:snapToGrid w:val="0"/>
        <w:spacing w:line="360" w:lineRule="auto"/>
        <w:ind w:firstLine="480"/>
        <w:rPr>
          <w:rFonts w:hint="eastAsia" w:hAnsi="宋体" w:cs="宋体"/>
        </w:rPr>
      </w:pPr>
      <w:r>
        <w:rPr>
          <w:rFonts w:hint="eastAsia" w:hAnsi="宋体" w:cs="宋体"/>
        </w:rPr>
        <w:t>3.1.4 VPN服务，提供SSL VPN接入服务，用户通过SSL VPN访问业务系统；</w:t>
      </w:r>
    </w:p>
    <w:p w14:paraId="4204FBD8">
      <w:pPr>
        <w:pStyle w:val="8"/>
        <w:snapToGrid w:val="0"/>
        <w:spacing w:line="360" w:lineRule="auto"/>
        <w:ind w:firstLine="480"/>
        <w:rPr>
          <w:rFonts w:hint="eastAsia" w:hAnsi="宋体" w:cs="宋体"/>
        </w:rPr>
      </w:pPr>
      <w:r>
        <w:rPr>
          <w:rFonts w:hint="eastAsia" w:hAnsi="宋体" w:cs="宋体"/>
        </w:rPr>
        <w:t>3.1.5 SSL证书服务，提供SSL证书；</w:t>
      </w:r>
    </w:p>
    <w:p w14:paraId="543E723F">
      <w:pPr>
        <w:pStyle w:val="8"/>
        <w:snapToGrid w:val="0"/>
        <w:spacing w:line="360" w:lineRule="auto"/>
        <w:ind w:firstLine="480"/>
        <w:rPr>
          <w:rFonts w:hint="eastAsia" w:hAnsi="宋体" w:cs="宋体"/>
        </w:rPr>
      </w:pPr>
      <w:r>
        <w:rPr>
          <w:rFonts w:hint="eastAsia" w:hAnsi="宋体" w:cs="宋体"/>
        </w:rPr>
        <w:t>3.1.6 WAF防护服务，在网站前端架设WAF防护服务，保证用户网站对已知安全隐患进行防护，实时升级漏洞补丁，配置防护策略，可起到前端防护作用。</w:t>
      </w:r>
    </w:p>
    <w:p w14:paraId="7AB1C07C">
      <w:pPr>
        <w:spacing w:line="360" w:lineRule="auto"/>
        <w:ind w:firstLine="482" w:firstLineChars="200"/>
        <w:rPr>
          <w:rFonts w:hint="eastAsia" w:ascii="宋体" w:hAnsi="宋体" w:cs="宋体"/>
          <w:b/>
          <w:bCs/>
          <w:sz w:val="24"/>
        </w:rPr>
      </w:pPr>
      <w:r>
        <w:rPr>
          <w:rFonts w:hint="eastAsia" w:ascii="宋体" w:hAnsi="宋体" w:cs="宋体"/>
          <w:b/>
          <w:bCs/>
          <w:sz w:val="24"/>
        </w:rPr>
        <w:t>3.2服务标准</w:t>
      </w:r>
    </w:p>
    <w:p w14:paraId="103260F1">
      <w:pPr>
        <w:pStyle w:val="8"/>
        <w:snapToGrid w:val="0"/>
        <w:spacing w:line="360" w:lineRule="auto"/>
        <w:ind w:firstLine="480"/>
        <w:rPr>
          <w:rFonts w:hint="eastAsia" w:hAnsi="宋体" w:cs="宋体"/>
        </w:rPr>
      </w:pPr>
      <w:r>
        <w:rPr>
          <w:rFonts w:hint="eastAsia" w:hAnsi="宋体" w:cs="宋体"/>
        </w:rPr>
        <w:t>网络系统提供稳定的数据传输能力，一般要求如下：</w:t>
      </w:r>
    </w:p>
    <w:p w14:paraId="77BDB5D2">
      <w:pPr>
        <w:pStyle w:val="8"/>
        <w:snapToGrid w:val="0"/>
        <w:spacing w:line="360" w:lineRule="auto"/>
        <w:ind w:firstLine="480"/>
        <w:rPr>
          <w:rFonts w:hint="eastAsia" w:hAnsi="宋体" w:cs="宋体"/>
        </w:rPr>
      </w:pPr>
      <w:r>
        <w:rPr>
          <w:rFonts w:hint="eastAsia" w:hAnsi="宋体" w:cs="宋体"/>
        </w:rPr>
        <w:t>3.2.1具备多运营商网络接入服务的能力；</w:t>
      </w:r>
    </w:p>
    <w:p w14:paraId="43F522F0">
      <w:pPr>
        <w:pStyle w:val="8"/>
        <w:snapToGrid w:val="0"/>
        <w:spacing w:line="360" w:lineRule="auto"/>
        <w:ind w:firstLine="480"/>
        <w:rPr>
          <w:rFonts w:hint="eastAsia" w:hAnsi="宋体" w:cs="宋体"/>
        </w:rPr>
      </w:pPr>
      <w:r>
        <w:rPr>
          <w:rFonts w:hint="eastAsia" w:hAnsi="宋体" w:cs="宋体"/>
        </w:rPr>
        <w:t>3.2.2数据中心组网架构设计可采用大二层网络架构，支持云主机无障碍动态迁移；</w:t>
      </w:r>
    </w:p>
    <w:p w14:paraId="2E4A2F86">
      <w:pPr>
        <w:pStyle w:val="8"/>
        <w:snapToGrid w:val="0"/>
        <w:spacing w:line="360" w:lineRule="auto"/>
        <w:ind w:firstLine="480"/>
        <w:rPr>
          <w:rFonts w:hint="eastAsia" w:hAnsi="宋体" w:cs="宋体"/>
        </w:rPr>
      </w:pPr>
      <w:r>
        <w:rPr>
          <w:rFonts w:hint="eastAsia" w:hAnsi="宋体" w:cs="宋体"/>
        </w:rPr>
        <w:t>3.2.3应采用集群部署网络控制，以保障升级时业务不中断；</w:t>
      </w:r>
    </w:p>
    <w:p w14:paraId="6F0DF574">
      <w:pPr>
        <w:pStyle w:val="8"/>
        <w:snapToGrid w:val="0"/>
        <w:spacing w:line="360" w:lineRule="auto"/>
        <w:ind w:firstLine="480"/>
        <w:rPr>
          <w:rFonts w:hint="eastAsia" w:hAnsi="宋体" w:cs="宋体"/>
        </w:rPr>
      </w:pPr>
      <w:r>
        <w:rPr>
          <w:rFonts w:hint="eastAsia" w:hAnsi="宋体" w:cs="宋体"/>
        </w:rPr>
        <w:t>3.2.4应实现自动化动态网络资源调配和隔离，支持与互联网、电子政务外网及行业部门专网的连接；</w:t>
      </w:r>
    </w:p>
    <w:p w14:paraId="058E51D0">
      <w:pPr>
        <w:pStyle w:val="8"/>
        <w:snapToGrid w:val="0"/>
        <w:spacing w:line="360" w:lineRule="auto"/>
        <w:ind w:firstLine="480"/>
        <w:rPr>
          <w:rFonts w:hint="eastAsia" w:hAnsi="宋体" w:cs="宋体"/>
        </w:rPr>
      </w:pPr>
      <w:r>
        <w:rPr>
          <w:rFonts w:hint="eastAsia" w:hAnsi="宋体" w:cs="宋体"/>
        </w:rPr>
        <w:t>3.2.5可支持IPv6地址分配，满足业务系统IPv6要求；</w:t>
      </w:r>
    </w:p>
    <w:p w14:paraId="3FE556FA">
      <w:pPr>
        <w:pStyle w:val="8"/>
        <w:snapToGrid w:val="0"/>
        <w:spacing w:line="360" w:lineRule="auto"/>
        <w:ind w:firstLine="480"/>
        <w:rPr>
          <w:rFonts w:hint="eastAsia" w:hAnsi="宋体" w:cs="宋体"/>
        </w:rPr>
      </w:pPr>
      <w:r>
        <w:rPr>
          <w:rFonts w:hint="eastAsia" w:hAnsi="宋体" w:cs="宋体"/>
        </w:rPr>
        <w:t>3.2.6具备边界防火墙和VPC防火墙隔离能力，分别针对不同的流量进行安全策略防护与配置；</w:t>
      </w:r>
    </w:p>
    <w:p w14:paraId="5C469A6C">
      <w:pPr>
        <w:pStyle w:val="8"/>
        <w:snapToGrid w:val="0"/>
        <w:spacing w:line="360" w:lineRule="auto"/>
        <w:ind w:firstLine="480"/>
        <w:rPr>
          <w:rFonts w:hint="eastAsia" w:hAnsi="宋体" w:cs="宋体"/>
        </w:rPr>
      </w:pPr>
      <w:r>
        <w:rPr>
          <w:rFonts w:hint="eastAsia" w:hAnsi="宋体" w:cs="宋体"/>
        </w:rPr>
        <w:t>3.2.7具备高可用虚拟IP能力，在集群或主备场景下，云主机可绑定高可用虚拟IP，达到高可用访问效果；</w:t>
      </w:r>
    </w:p>
    <w:p w14:paraId="1B9F06C4">
      <w:pPr>
        <w:pStyle w:val="8"/>
        <w:snapToGrid w:val="0"/>
        <w:spacing w:line="360" w:lineRule="auto"/>
        <w:ind w:firstLine="480"/>
        <w:rPr>
          <w:rFonts w:hint="eastAsia" w:hAnsi="宋体" w:cs="宋体"/>
        </w:rPr>
      </w:pPr>
      <w:r>
        <w:rPr>
          <w:rFonts w:hint="eastAsia" w:hAnsi="宋体" w:cs="宋体"/>
        </w:rPr>
        <w:t>3.2.8采用双活网络架构，降低单点故障带来的稳定风险；为入云系统划分安全区域，合理制定访问规则；</w:t>
      </w:r>
    </w:p>
    <w:p w14:paraId="3ED34566">
      <w:pPr>
        <w:pStyle w:val="8"/>
        <w:snapToGrid w:val="0"/>
        <w:spacing w:line="360" w:lineRule="auto"/>
        <w:ind w:firstLine="480"/>
        <w:rPr>
          <w:rFonts w:hint="eastAsia" w:hAnsi="宋体" w:cs="宋体"/>
        </w:rPr>
      </w:pPr>
      <w:r>
        <w:rPr>
          <w:rFonts w:hint="eastAsia" w:hAnsi="宋体" w:cs="宋体"/>
        </w:rPr>
        <w:t>3.2.9网络系统性能要求包括但不限于如下：云内骨干线路带宽不低于10Gb/s；服务器业务带宽不低于1Gb/s；平均可用性不低于99.9%；</w:t>
      </w:r>
    </w:p>
    <w:p w14:paraId="4A1A3CBC">
      <w:pPr>
        <w:pStyle w:val="8"/>
        <w:snapToGrid w:val="0"/>
        <w:spacing w:line="360" w:lineRule="auto"/>
        <w:ind w:firstLine="480"/>
        <w:rPr>
          <w:rFonts w:hint="eastAsia" w:hAnsi="宋体" w:cs="宋体"/>
        </w:rPr>
      </w:pPr>
      <w:r>
        <w:rPr>
          <w:rFonts w:hint="eastAsia" w:hAnsi="宋体" w:cs="宋体"/>
        </w:rPr>
        <w:t>3.2.10远程接入服务支持基于IP/IP段、用户/用户组、资产/资产组、协议、危险级别等组合策略进行访问控制，对于不合法的行为予以阻断；可基于运维账号的登陆时间和资产登陆时间进行访问控制；可基于运维操作命令进行访问控制；可基于主机、用户、IP地址控制审计日志的访问权限。</w:t>
      </w:r>
    </w:p>
    <w:p w14:paraId="6B98DA9A">
      <w:pPr>
        <w:pStyle w:val="7"/>
        <w:numPr>
          <w:ilvl w:val="0"/>
          <w:numId w:val="9"/>
        </w:numPr>
        <w:spacing w:line="360" w:lineRule="auto"/>
        <w:rPr>
          <w:rFonts w:hint="eastAsia" w:ascii="楷体" w:hAnsi="楷体" w:eastAsia="楷体" w:cs="楷体"/>
          <w:b/>
        </w:rPr>
      </w:pPr>
      <w:r>
        <w:rPr>
          <w:rFonts w:hint="eastAsia" w:ascii="楷体" w:hAnsi="楷体" w:eastAsia="楷体" w:cs="楷体"/>
          <w:b/>
        </w:rPr>
        <w:t>基础软件支撑服务</w:t>
      </w:r>
    </w:p>
    <w:p w14:paraId="62072BC5">
      <w:pPr>
        <w:spacing w:line="360" w:lineRule="auto"/>
        <w:ind w:firstLine="482" w:firstLineChars="200"/>
        <w:rPr>
          <w:rFonts w:hint="eastAsia" w:ascii="宋体" w:hAnsi="宋体" w:cs="宋体"/>
          <w:b/>
          <w:bCs/>
          <w:sz w:val="24"/>
        </w:rPr>
      </w:pPr>
      <w:r>
        <w:rPr>
          <w:rFonts w:hint="eastAsia" w:ascii="宋体" w:hAnsi="宋体" w:cs="宋体"/>
          <w:b/>
          <w:bCs/>
          <w:sz w:val="24"/>
        </w:rPr>
        <w:t>4.1服务内容</w:t>
      </w:r>
    </w:p>
    <w:p w14:paraId="48271F13">
      <w:pPr>
        <w:pStyle w:val="8"/>
        <w:snapToGrid w:val="0"/>
        <w:spacing w:line="360" w:lineRule="auto"/>
        <w:ind w:firstLine="480"/>
        <w:rPr>
          <w:rFonts w:hint="eastAsia" w:hAnsi="宋体" w:cs="宋体"/>
        </w:rPr>
      </w:pPr>
      <w:r>
        <w:rPr>
          <w:rFonts w:hint="eastAsia" w:hAnsi="宋体" w:cs="宋体"/>
        </w:rPr>
        <w:t>按照采购人的需求提供国产操作系统套餐租用服务，提供操作系统的安装部署。在提供服务的过程中需做好与采购人及对应信息系统建设厂商的协调对接工作。</w:t>
      </w:r>
    </w:p>
    <w:p w14:paraId="1FDFF512">
      <w:pPr>
        <w:spacing w:line="360" w:lineRule="auto"/>
        <w:ind w:firstLine="482" w:firstLineChars="200"/>
        <w:rPr>
          <w:rFonts w:hint="eastAsia" w:ascii="宋体" w:hAnsi="宋体" w:cs="宋体"/>
          <w:b/>
          <w:bCs/>
          <w:sz w:val="24"/>
        </w:rPr>
      </w:pPr>
      <w:r>
        <w:rPr>
          <w:rFonts w:hint="eastAsia" w:ascii="宋体" w:hAnsi="宋体" w:cs="宋体"/>
          <w:b/>
          <w:bCs/>
          <w:sz w:val="24"/>
        </w:rPr>
        <w:t>4.2服务标准</w:t>
      </w:r>
    </w:p>
    <w:p w14:paraId="6DC96CDB">
      <w:pPr>
        <w:pStyle w:val="8"/>
        <w:snapToGrid w:val="0"/>
        <w:spacing w:line="360" w:lineRule="auto"/>
        <w:ind w:firstLine="480"/>
        <w:rPr>
          <w:rFonts w:hint="eastAsia" w:hAnsi="宋体" w:cs="宋体"/>
        </w:rPr>
      </w:pPr>
      <w:r>
        <w:rPr>
          <w:rFonts w:hint="eastAsia" w:hAnsi="宋体" w:cs="宋体"/>
        </w:rPr>
        <w:t>提供国产主流商业操作系统服务，支持银河麒麟/中标麒麟/统信等各种主流版本，并提供操作系统的安装部署和各种故障处理。</w:t>
      </w:r>
    </w:p>
    <w:p w14:paraId="63620C09">
      <w:pPr>
        <w:pStyle w:val="7"/>
        <w:numPr>
          <w:ilvl w:val="0"/>
          <w:numId w:val="9"/>
        </w:numPr>
        <w:spacing w:line="360" w:lineRule="auto"/>
        <w:rPr>
          <w:rFonts w:hint="eastAsia" w:ascii="楷体" w:hAnsi="楷体" w:eastAsia="楷体" w:cs="楷体"/>
          <w:b/>
        </w:rPr>
      </w:pPr>
      <w:r>
        <w:rPr>
          <w:rFonts w:hint="eastAsia" w:ascii="楷体" w:hAnsi="楷体" w:eastAsia="楷体" w:cs="楷体"/>
          <w:b/>
        </w:rPr>
        <w:t>安全服务</w:t>
      </w:r>
    </w:p>
    <w:p w14:paraId="4374A67C">
      <w:pPr>
        <w:spacing w:line="360" w:lineRule="auto"/>
        <w:ind w:firstLine="482" w:firstLineChars="200"/>
        <w:rPr>
          <w:rFonts w:hint="eastAsia" w:ascii="宋体" w:hAnsi="宋体" w:cs="宋体"/>
          <w:b/>
          <w:bCs/>
          <w:sz w:val="24"/>
        </w:rPr>
      </w:pPr>
      <w:r>
        <w:rPr>
          <w:rFonts w:hint="eastAsia" w:ascii="宋体" w:hAnsi="宋体" w:cs="宋体"/>
          <w:b/>
          <w:bCs/>
          <w:sz w:val="24"/>
        </w:rPr>
        <w:t>5.1服务内容</w:t>
      </w:r>
    </w:p>
    <w:p w14:paraId="6D23CE7E">
      <w:pPr>
        <w:pStyle w:val="8"/>
        <w:snapToGrid w:val="0"/>
        <w:spacing w:line="360" w:lineRule="auto"/>
        <w:ind w:firstLine="480"/>
        <w:rPr>
          <w:rFonts w:hint="eastAsia" w:hAnsi="宋体" w:cs="宋体"/>
        </w:rPr>
      </w:pPr>
      <w:r>
        <w:rPr>
          <w:rFonts w:hint="eastAsia" w:hAnsi="宋体" w:cs="宋体"/>
        </w:rPr>
        <w:t>安全是政务云的红线，应按照网络安全等级保护、关键信息基础设施保护、个人信息保护及数据安全保护等要求建设安全技术防护体系和安全管理体系，加强数据的安全管理，防止重要或敏感数据泄露或被滥用，并建立应急处置体系，强化各领域平台安全管控，在深化数据融合应用的同时保障安全。安全服务主要内容包含：</w:t>
      </w:r>
    </w:p>
    <w:p w14:paraId="11B5A3C0">
      <w:pPr>
        <w:pStyle w:val="8"/>
        <w:snapToGrid w:val="0"/>
        <w:spacing w:line="360" w:lineRule="auto"/>
        <w:ind w:firstLine="480"/>
        <w:rPr>
          <w:rFonts w:hint="eastAsia" w:hAnsi="宋体" w:cs="宋体"/>
        </w:rPr>
      </w:pPr>
      <w:r>
        <w:rPr>
          <w:rFonts w:hint="eastAsia" w:hAnsi="宋体" w:cs="宋体"/>
        </w:rPr>
        <w:t>5.1.1主机杀毒</w:t>
      </w:r>
    </w:p>
    <w:p w14:paraId="0057A67D">
      <w:pPr>
        <w:pStyle w:val="8"/>
        <w:snapToGrid w:val="0"/>
        <w:spacing w:line="360" w:lineRule="auto"/>
        <w:ind w:firstLine="480"/>
        <w:rPr>
          <w:rFonts w:hint="eastAsia" w:hAnsi="宋体" w:cs="宋体"/>
        </w:rPr>
      </w:pPr>
      <w:r>
        <w:rPr>
          <w:rFonts w:hint="eastAsia" w:hAnsi="宋体" w:cs="宋体"/>
        </w:rPr>
        <w:t>对云主机进行定期的病毒查杀，杀毒软件集中控制，对网络性能无影响。</w:t>
      </w:r>
    </w:p>
    <w:p w14:paraId="3D9AC38E">
      <w:pPr>
        <w:pStyle w:val="8"/>
        <w:snapToGrid w:val="0"/>
        <w:spacing w:line="360" w:lineRule="auto"/>
        <w:ind w:firstLine="480"/>
        <w:rPr>
          <w:rFonts w:hint="eastAsia" w:hAnsi="宋体" w:cs="宋体"/>
        </w:rPr>
      </w:pPr>
      <w:r>
        <w:rPr>
          <w:rFonts w:hint="eastAsia" w:hAnsi="宋体" w:cs="宋体"/>
        </w:rPr>
        <w:t>5.1.2网页防篡改服务</w:t>
      </w:r>
    </w:p>
    <w:p w14:paraId="754CF6A0">
      <w:pPr>
        <w:pStyle w:val="8"/>
        <w:snapToGrid w:val="0"/>
        <w:spacing w:line="360" w:lineRule="auto"/>
        <w:ind w:firstLine="480"/>
        <w:rPr>
          <w:rFonts w:hint="eastAsia" w:hAnsi="宋体" w:cs="宋体"/>
        </w:rPr>
      </w:pPr>
      <w:r>
        <w:rPr>
          <w:rFonts w:hint="eastAsia" w:hAnsi="宋体" w:cs="宋体"/>
        </w:rPr>
        <w:t>提供网页防篡改服务，通过防篡改软件对用户页面进行实时防护，做到静态页面的实时同步，减少用户页面被恶意篡改的可能性，在提供服务的过程中需做好与采购人和对应信息系统建设厂商的协调沟通工作。</w:t>
      </w:r>
    </w:p>
    <w:p w14:paraId="249E50C3">
      <w:pPr>
        <w:pStyle w:val="8"/>
        <w:snapToGrid w:val="0"/>
        <w:spacing w:line="360" w:lineRule="auto"/>
        <w:ind w:firstLine="480"/>
        <w:rPr>
          <w:rFonts w:hint="eastAsia" w:hAnsi="宋体" w:cs="宋体"/>
        </w:rPr>
      </w:pPr>
      <w:r>
        <w:rPr>
          <w:rFonts w:hint="eastAsia" w:hAnsi="宋体" w:cs="宋体"/>
        </w:rPr>
        <w:t>5.1.3主机防护服务</w:t>
      </w:r>
      <w:r>
        <w:rPr>
          <w:rFonts w:hint="eastAsia" w:hAnsi="宋体" w:cs="宋体"/>
        </w:rPr>
        <w:tab/>
      </w:r>
    </w:p>
    <w:p w14:paraId="688D0D66">
      <w:pPr>
        <w:pStyle w:val="8"/>
        <w:snapToGrid w:val="0"/>
        <w:spacing w:line="360" w:lineRule="auto"/>
        <w:ind w:firstLine="480"/>
        <w:rPr>
          <w:rFonts w:hint="eastAsia" w:hAnsi="宋体" w:cs="宋体"/>
        </w:rPr>
      </w:pPr>
      <w:r>
        <w:rPr>
          <w:rFonts w:hint="eastAsia" w:hAnsi="宋体" w:cs="宋体"/>
        </w:rPr>
        <w:t>提供符合等保三级要求的主机权限管理及安全防护。</w:t>
      </w:r>
    </w:p>
    <w:p w14:paraId="0647E39D">
      <w:pPr>
        <w:pStyle w:val="8"/>
        <w:snapToGrid w:val="0"/>
        <w:spacing w:line="360" w:lineRule="auto"/>
        <w:ind w:firstLine="480"/>
        <w:rPr>
          <w:rFonts w:hint="eastAsia" w:hAnsi="宋体" w:cs="宋体"/>
        </w:rPr>
      </w:pPr>
      <w:r>
        <w:rPr>
          <w:rFonts w:hint="eastAsia" w:hAnsi="宋体" w:cs="宋体"/>
        </w:rPr>
        <w:t>5.1.4数据库审计服务</w:t>
      </w:r>
    </w:p>
    <w:p w14:paraId="0EF3C48C">
      <w:pPr>
        <w:pStyle w:val="8"/>
        <w:snapToGrid w:val="0"/>
        <w:spacing w:line="360" w:lineRule="auto"/>
        <w:ind w:firstLine="480"/>
        <w:rPr>
          <w:rFonts w:hint="eastAsia" w:hAnsi="宋体" w:cs="宋体"/>
        </w:rPr>
      </w:pPr>
      <w:r>
        <w:rPr>
          <w:rFonts w:hint="eastAsia" w:hAnsi="宋体" w:cs="宋体"/>
        </w:rPr>
        <w:t>提供数据库审计服务，对数据库操作行为进行细粒度审计的合规性管理，对数据库遭受到的风险行为进行告警，对攻击行为进行阻断。对用户访问数据库行为的记录进行分析和汇报，生成合规报告并可对事故开展追根溯源。在提供服务的过程中需做好与采购人和对应信息系统建设厂商的协调沟通工作。</w:t>
      </w:r>
    </w:p>
    <w:p w14:paraId="38C7DF6A">
      <w:pPr>
        <w:pStyle w:val="8"/>
        <w:snapToGrid w:val="0"/>
        <w:spacing w:line="360" w:lineRule="auto"/>
        <w:ind w:firstLine="480"/>
        <w:rPr>
          <w:rFonts w:hint="eastAsia" w:hAnsi="宋体" w:cs="宋体"/>
        </w:rPr>
      </w:pPr>
      <w:r>
        <w:rPr>
          <w:rFonts w:hint="eastAsia" w:hAnsi="宋体" w:cs="宋体"/>
        </w:rPr>
        <w:t>5.1.5主机漏洞扫描</w:t>
      </w:r>
    </w:p>
    <w:p w14:paraId="66D2B3F5">
      <w:pPr>
        <w:pStyle w:val="8"/>
        <w:snapToGrid w:val="0"/>
        <w:spacing w:line="360" w:lineRule="auto"/>
        <w:ind w:firstLine="480"/>
        <w:rPr>
          <w:rFonts w:hint="eastAsia" w:hAnsi="宋体" w:cs="宋体"/>
        </w:rPr>
      </w:pPr>
      <w:r>
        <w:rPr>
          <w:rFonts w:hint="eastAsia" w:hAnsi="宋体" w:cs="宋体"/>
        </w:rPr>
        <w:t>提供针对主机层面的安全扫描服务，每台主机每季度开展1次主机漏洞扫描服务，并反馈相关结果。</w:t>
      </w:r>
    </w:p>
    <w:p w14:paraId="3C4E9EA9">
      <w:pPr>
        <w:pStyle w:val="8"/>
        <w:snapToGrid w:val="0"/>
        <w:spacing w:line="360" w:lineRule="auto"/>
        <w:ind w:firstLine="480"/>
        <w:rPr>
          <w:rFonts w:hint="eastAsia" w:hAnsi="宋体" w:cs="宋体"/>
        </w:rPr>
      </w:pPr>
      <w:r>
        <w:rPr>
          <w:rFonts w:hint="eastAsia" w:hAnsi="宋体" w:cs="宋体"/>
        </w:rPr>
        <w:t>5.1.6主机日志分析</w:t>
      </w:r>
    </w:p>
    <w:p w14:paraId="2F299F60">
      <w:pPr>
        <w:pStyle w:val="8"/>
        <w:snapToGrid w:val="0"/>
        <w:spacing w:line="360" w:lineRule="auto"/>
        <w:ind w:firstLine="480"/>
        <w:rPr>
          <w:rFonts w:hint="eastAsia" w:hAnsi="宋体" w:cs="宋体"/>
        </w:rPr>
      </w:pPr>
      <w:r>
        <w:rPr>
          <w:rFonts w:hint="eastAsia" w:hAnsi="宋体" w:cs="宋体"/>
        </w:rPr>
        <w:t>针对操作系统进行日志收集，分析主机安全情况及资源使用情况。</w:t>
      </w:r>
    </w:p>
    <w:p w14:paraId="6AD3E184">
      <w:pPr>
        <w:pStyle w:val="8"/>
        <w:snapToGrid w:val="0"/>
        <w:spacing w:line="360" w:lineRule="auto"/>
        <w:ind w:firstLine="480"/>
        <w:rPr>
          <w:rFonts w:hint="eastAsia" w:hAnsi="宋体" w:cs="宋体"/>
        </w:rPr>
      </w:pPr>
      <w:r>
        <w:rPr>
          <w:rFonts w:hint="eastAsia" w:hAnsi="宋体" w:cs="宋体"/>
        </w:rPr>
        <w:t>5.1.7主机安全加固</w:t>
      </w:r>
    </w:p>
    <w:p w14:paraId="5D7F7545">
      <w:pPr>
        <w:pStyle w:val="8"/>
        <w:snapToGrid w:val="0"/>
        <w:spacing w:line="360" w:lineRule="auto"/>
        <w:ind w:firstLine="480"/>
        <w:rPr>
          <w:rFonts w:hint="eastAsia" w:hAnsi="宋体" w:cs="宋体"/>
        </w:rPr>
      </w:pPr>
      <w:r>
        <w:rPr>
          <w:rFonts w:hint="eastAsia" w:hAnsi="宋体" w:cs="宋体"/>
        </w:rPr>
        <w:t>提供主机安全加固服务，针对漏扫或等级保护测评结果对操作系统进行安全加固。每台主机每季度开展1次主机安全加固服务。</w:t>
      </w:r>
    </w:p>
    <w:p w14:paraId="7DC2BCB1">
      <w:pPr>
        <w:pStyle w:val="8"/>
        <w:snapToGrid w:val="0"/>
        <w:spacing w:line="360" w:lineRule="auto"/>
        <w:ind w:firstLine="480"/>
        <w:rPr>
          <w:rFonts w:hint="eastAsia" w:hAnsi="宋体" w:cs="宋体"/>
        </w:rPr>
      </w:pPr>
      <w:r>
        <w:rPr>
          <w:rFonts w:hint="eastAsia" w:hAnsi="宋体" w:cs="宋体"/>
        </w:rPr>
        <w:t>5.1.8 CDN加速</w:t>
      </w:r>
    </w:p>
    <w:p w14:paraId="32CDD055">
      <w:pPr>
        <w:pStyle w:val="8"/>
        <w:snapToGrid w:val="0"/>
        <w:spacing w:line="360" w:lineRule="auto"/>
        <w:ind w:firstLine="480"/>
        <w:rPr>
          <w:rFonts w:hint="eastAsia" w:hAnsi="宋体" w:cs="宋体"/>
        </w:rPr>
      </w:pPr>
      <w:r>
        <w:rPr>
          <w:rFonts w:hint="eastAsia" w:hAnsi="宋体" w:cs="宋体"/>
        </w:rPr>
        <w:t>提供CDN加速服务，将网页、图片等静态资源和音视频内容缓存到靠近用户的位置进行分发，使用户就近访问数据，减少延迟，提升加载速度并降低源服务器压力。</w:t>
      </w:r>
    </w:p>
    <w:p w14:paraId="1CBE1470">
      <w:pPr>
        <w:spacing w:line="360" w:lineRule="auto"/>
        <w:ind w:firstLine="482" w:firstLineChars="200"/>
        <w:rPr>
          <w:rFonts w:hint="eastAsia" w:ascii="宋体" w:hAnsi="宋体" w:cs="宋体"/>
          <w:b/>
          <w:bCs/>
          <w:sz w:val="24"/>
        </w:rPr>
      </w:pPr>
      <w:r>
        <w:rPr>
          <w:rFonts w:hint="eastAsia" w:ascii="宋体" w:hAnsi="宋体" w:cs="宋体"/>
          <w:b/>
          <w:bCs/>
          <w:sz w:val="24"/>
        </w:rPr>
        <w:t>5.2服务标准</w:t>
      </w:r>
    </w:p>
    <w:p w14:paraId="4322D212">
      <w:pPr>
        <w:pStyle w:val="8"/>
        <w:snapToGrid w:val="0"/>
        <w:spacing w:line="360" w:lineRule="auto"/>
        <w:ind w:firstLine="480"/>
        <w:rPr>
          <w:rFonts w:hint="eastAsia" w:hAnsi="宋体" w:cs="宋体"/>
        </w:rPr>
      </w:pPr>
      <w:r>
        <w:rPr>
          <w:rFonts w:hint="eastAsia" w:hAnsi="宋体" w:cs="宋体"/>
        </w:rPr>
        <w:t>5.2.1 投标人所投云平台具备完备的安全防护体系和安全防护设备，具有成熟的安全运维方案，应保证各业务应用系统的支撑环境，包括但不限于服务器、网络、存储以及相关物理环境，应能满足不低于网络安全等级保护（GB/T22239-2019）第三级要求，并积极配合采购人根据各业务系统具体等保需求，开展相应等保评估、检查、整改等工作。</w:t>
      </w:r>
    </w:p>
    <w:p w14:paraId="29E1DE06">
      <w:pPr>
        <w:pStyle w:val="8"/>
        <w:snapToGrid w:val="0"/>
        <w:spacing w:line="360" w:lineRule="auto"/>
        <w:ind w:firstLine="480"/>
        <w:rPr>
          <w:rFonts w:hint="eastAsia" w:hAnsi="宋体" w:cs="宋体"/>
        </w:rPr>
      </w:pPr>
      <w:r>
        <w:rPr>
          <w:rFonts w:hint="eastAsia" w:hAnsi="宋体" w:cs="宋体"/>
        </w:rPr>
        <w:t>5.2.2 投标人需利用监控系统或人工对机房环境、硬件设备及应用系统的运行情况进行7*24小时的不间断巡检监控，及时发现安全隐患，通知相关人员及时处理，并形成监控报告。每周反馈日志审计和数据库审计报告，进行总结分析。</w:t>
      </w:r>
    </w:p>
    <w:p w14:paraId="590F4BB8">
      <w:pPr>
        <w:pStyle w:val="8"/>
        <w:snapToGrid w:val="0"/>
        <w:spacing w:line="360" w:lineRule="auto"/>
        <w:ind w:firstLine="480"/>
        <w:rPr>
          <w:rFonts w:hint="eastAsia" w:hAnsi="宋体" w:cs="宋体"/>
        </w:rPr>
      </w:pPr>
      <w:r>
        <w:rPr>
          <w:rFonts w:hint="eastAsia" w:hAnsi="宋体" w:cs="宋体"/>
        </w:rPr>
        <w:t>5.2.3 投标人承担云平台数据防篡改、防丢失的安全责任。业务数据未经采购人同意，不得离开云机房。投标人未经允许不得对云平台上的任何数据进行非法截取、加工、分析处理或提供给第三方机构。投标人在未经过用户邮件、书面材料确认前提下，不能查看、修改、拷贝用户业务系统文件和数据；各业务系统、数据归属于采购人，投标人无权支配。</w:t>
      </w:r>
    </w:p>
    <w:p w14:paraId="3AD8ACE2">
      <w:pPr>
        <w:pStyle w:val="8"/>
        <w:snapToGrid w:val="0"/>
        <w:spacing w:line="360" w:lineRule="auto"/>
        <w:ind w:firstLine="480"/>
        <w:rPr>
          <w:rFonts w:hint="eastAsia" w:hAnsi="宋体" w:cs="宋体"/>
        </w:rPr>
      </w:pPr>
      <w:r>
        <w:rPr>
          <w:rFonts w:hint="eastAsia" w:hAnsi="宋体" w:cs="宋体"/>
        </w:rPr>
        <w:t>5.2.4 投标人需保证安全技术服务能力不低于所承载的信息系统的最高级别，并通过GB/T 22239相应等级的测评；符合GB/T 34080.1，GB/T 34080.2，GB/T 34080.3，GB/T 34080.4中的规定；通过商用密码应用安全性评估，商用密码应用安全性评估参考GB/T 39786-2021中相应等级规定，保障政务云平台的整体安全；</w:t>
      </w:r>
    </w:p>
    <w:p w14:paraId="256D282E">
      <w:pPr>
        <w:pStyle w:val="8"/>
        <w:snapToGrid w:val="0"/>
        <w:spacing w:line="360" w:lineRule="auto"/>
        <w:ind w:firstLine="480"/>
        <w:rPr>
          <w:rFonts w:hint="eastAsia" w:hAnsi="宋体" w:cs="宋体"/>
        </w:rPr>
      </w:pPr>
      <w:r>
        <w:rPr>
          <w:rFonts w:hint="eastAsia" w:hAnsi="宋体" w:cs="宋体"/>
        </w:rPr>
        <w:t>5.2.5 投标人应坚持制度和技术并重，建立健全网络和数据安全管理制度，落实网络和数据安全管理要求。采取相应技术措施，保障网络免受干扰、破坏或者未经授权的访问，防止数据泄露或者被窃取、篡改、破坏。</w:t>
      </w:r>
    </w:p>
    <w:p w14:paraId="67AB2A86">
      <w:pPr>
        <w:pStyle w:val="8"/>
        <w:snapToGrid w:val="0"/>
        <w:spacing w:line="360" w:lineRule="auto"/>
        <w:ind w:firstLine="480"/>
        <w:rPr>
          <w:rFonts w:hint="eastAsia" w:hAnsi="宋体" w:cs="宋体"/>
        </w:rPr>
      </w:pPr>
      <w:r>
        <w:rPr>
          <w:rFonts w:hint="eastAsia" w:hAnsi="宋体" w:cs="宋体"/>
        </w:rPr>
        <w:t>5.2.6 对于关键信息基础设施，应当落实网络安全审查要求，采购网络产品和服务的，应当预判该产品和服务投入使用后可能带来的国家安全风险，确保采购安全可信的网络产品和服务。影响或者可能影响国家安全的，应当申报网络安全审查。</w:t>
      </w:r>
    </w:p>
    <w:p w14:paraId="2C8B5144">
      <w:pPr>
        <w:pStyle w:val="8"/>
        <w:snapToGrid w:val="0"/>
        <w:spacing w:line="360" w:lineRule="auto"/>
        <w:ind w:firstLine="480"/>
        <w:rPr>
          <w:rFonts w:hint="eastAsia" w:hAnsi="宋体" w:cs="宋体"/>
        </w:rPr>
      </w:pPr>
      <w:r>
        <w:rPr>
          <w:rFonts w:hint="eastAsia" w:hAnsi="宋体" w:cs="宋体"/>
        </w:rPr>
        <w:t>5.2.7 投标人应明确接触网络和信息系统、数据时的申请及审批流程，做好实名登记、权限控制、保密协议签署等管理。</w:t>
      </w:r>
    </w:p>
    <w:p w14:paraId="77B95778">
      <w:pPr>
        <w:pStyle w:val="8"/>
        <w:snapToGrid w:val="0"/>
        <w:spacing w:line="360" w:lineRule="auto"/>
        <w:ind w:firstLine="480"/>
        <w:rPr>
          <w:rFonts w:hint="eastAsia" w:hAnsi="宋体" w:cs="宋体"/>
        </w:rPr>
      </w:pPr>
      <w:r>
        <w:rPr>
          <w:rFonts w:hint="eastAsia" w:hAnsi="宋体" w:cs="宋体"/>
        </w:rPr>
        <w:t>5.2.8 在服务期内，承载政务云平台的软硬件应在原厂维保期限内。</w:t>
      </w:r>
    </w:p>
    <w:p w14:paraId="1C5D9886">
      <w:pPr>
        <w:pStyle w:val="7"/>
        <w:numPr>
          <w:ilvl w:val="0"/>
          <w:numId w:val="9"/>
        </w:numPr>
        <w:spacing w:line="360" w:lineRule="auto"/>
        <w:rPr>
          <w:rFonts w:hint="eastAsia" w:ascii="楷体" w:hAnsi="楷体" w:eastAsia="楷体" w:cs="楷体"/>
          <w:b/>
        </w:rPr>
      </w:pPr>
      <w:r>
        <w:rPr>
          <w:rFonts w:hint="eastAsia" w:ascii="楷体" w:hAnsi="楷体" w:eastAsia="楷体" w:cs="楷体"/>
          <w:b/>
        </w:rPr>
        <w:t>运维服务</w:t>
      </w:r>
    </w:p>
    <w:p w14:paraId="4DB0FEF5">
      <w:pPr>
        <w:spacing w:line="360" w:lineRule="auto"/>
        <w:ind w:firstLine="482" w:firstLineChars="200"/>
        <w:rPr>
          <w:rFonts w:hint="eastAsia" w:ascii="宋体" w:hAnsi="宋体" w:cs="宋体"/>
          <w:b/>
          <w:bCs/>
          <w:sz w:val="24"/>
        </w:rPr>
      </w:pPr>
      <w:r>
        <w:rPr>
          <w:rFonts w:hint="eastAsia" w:ascii="宋体" w:hAnsi="宋体" w:cs="宋体"/>
          <w:b/>
          <w:bCs/>
          <w:sz w:val="24"/>
        </w:rPr>
        <w:t>6.1服务内容</w:t>
      </w:r>
    </w:p>
    <w:p w14:paraId="1A31D246">
      <w:pPr>
        <w:pStyle w:val="8"/>
        <w:snapToGrid w:val="0"/>
        <w:spacing w:line="360" w:lineRule="auto"/>
        <w:ind w:firstLine="480"/>
        <w:rPr>
          <w:rFonts w:hint="eastAsia" w:hAnsi="宋体" w:cs="宋体"/>
        </w:rPr>
      </w:pPr>
      <w:r>
        <w:rPr>
          <w:rFonts w:hint="eastAsia" w:hAnsi="宋体" w:cs="宋体"/>
        </w:rPr>
        <w:t>6.1.1 负责机房环境资源、云平台硬件资产、虚拟化资产的管理工作；</w:t>
      </w:r>
    </w:p>
    <w:p w14:paraId="045C9609">
      <w:pPr>
        <w:pStyle w:val="8"/>
        <w:snapToGrid w:val="0"/>
        <w:spacing w:line="360" w:lineRule="auto"/>
        <w:ind w:firstLine="480"/>
        <w:rPr>
          <w:rFonts w:hint="eastAsia" w:hAnsi="宋体" w:cs="宋体"/>
        </w:rPr>
      </w:pPr>
      <w:r>
        <w:rPr>
          <w:rFonts w:hint="eastAsia" w:hAnsi="宋体" w:cs="宋体"/>
        </w:rPr>
        <w:t>6.1.2 信息系统入云、上线、变更、退出等各阶段的备案与信息变更等工作；</w:t>
      </w:r>
    </w:p>
    <w:p w14:paraId="6EF47922">
      <w:pPr>
        <w:pStyle w:val="8"/>
        <w:snapToGrid w:val="0"/>
        <w:spacing w:line="360" w:lineRule="auto"/>
        <w:ind w:firstLine="480"/>
        <w:rPr>
          <w:rFonts w:hint="eastAsia" w:hAnsi="宋体" w:cs="宋体"/>
        </w:rPr>
      </w:pPr>
      <w:r>
        <w:rPr>
          <w:rFonts w:hint="eastAsia" w:hAnsi="宋体" w:cs="宋体"/>
        </w:rPr>
        <w:t>6.1.3 执行云平台变更申请、审批流程；</w:t>
      </w:r>
    </w:p>
    <w:p w14:paraId="33D81174">
      <w:pPr>
        <w:pStyle w:val="8"/>
        <w:snapToGrid w:val="0"/>
        <w:spacing w:line="360" w:lineRule="auto"/>
        <w:ind w:firstLine="480"/>
        <w:rPr>
          <w:rFonts w:hint="eastAsia" w:hAnsi="宋体" w:cs="宋体"/>
        </w:rPr>
      </w:pPr>
      <w:r>
        <w:rPr>
          <w:rFonts w:hint="eastAsia" w:hAnsi="宋体" w:cs="宋体"/>
        </w:rPr>
        <w:t>6.1.4 云平台网络资源管理，针对内部地址使用情况、云平台专线接入情况、政务外网资源使用情况等做好统计工作；</w:t>
      </w:r>
    </w:p>
    <w:p w14:paraId="03224B9D">
      <w:pPr>
        <w:pStyle w:val="8"/>
        <w:snapToGrid w:val="0"/>
        <w:spacing w:line="360" w:lineRule="auto"/>
        <w:ind w:firstLine="480"/>
        <w:rPr>
          <w:rFonts w:hint="eastAsia" w:hAnsi="宋体" w:cs="宋体"/>
        </w:rPr>
      </w:pPr>
      <w:r>
        <w:rPr>
          <w:rFonts w:hint="eastAsia" w:hAnsi="宋体" w:cs="宋体"/>
        </w:rPr>
        <w:t>6.1.5 服务期内，投标人须配备运维团队，提供可靠的售后服务保障。投标人针对采购人要求的云平台运维服务相关内容，需指定专业技术能力较强的工程师，根据采购人要求配合开展相关维护服务；</w:t>
      </w:r>
    </w:p>
    <w:p w14:paraId="55BB698D">
      <w:pPr>
        <w:pStyle w:val="8"/>
        <w:snapToGrid w:val="0"/>
        <w:spacing w:line="360" w:lineRule="auto"/>
        <w:ind w:firstLine="480"/>
        <w:rPr>
          <w:rFonts w:hint="eastAsia" w:hAnsi="宋体" w:cs="宋体"/>
        </w:rPr>
      </w:pPr>
      <w:r>
        <w:rPr>
          <w:rFonts w:hint="eastAsia" w:hAnsi="宋体" w:cs="宋体"/>
        </w:rPr>
        <w:t>6</w:t>
      </w:r>
      <w:r>
        <w:rPr>
          <w:rFonts w:hAnsi="宋体" w:cs="宋体"/>
        </w:rPr>
        <w:t xml:space="preserve">.1.6 </w:t>
      </w:r>
      <w:r>
        <w:rPr>
          <w:rFonts w:hint="eastAsia" w:hAnsi="宋体" w:cs="宋体"/>
        </w:rPr>
        <w:t>自租用期开始的12个月内，每月的最后一周内向采购人提供云平台运行状态报告，至少应包括本包技术要求服务清单中的各类监测内容及以下两方面内容。一是提供本月针对本项目部署环境的硬件等方面的监测报告；二是提供下个月或之后即将进行的，与采购人系统运行相关的安全事件、工程施工、功能或者性能调整工作；</w:t>
      </w:r>
    </w:p>
    <w:p w14:paraId="11CD23D0">
      <w:pPr>
        <w:pStyle w:val="8"/>
        <w:snapToGrid w:val="0"/>
        <w:spacing w:line="360" w:lineRule="auto"/>
        <w:ind w:firstLine="480"/>
        <w:rPr>
          <w:rFonts w:hint="eastAsia" w:hAnsi="宋体" w:cs="宋体"/>
        </w:rPr>
      </w:pPr>
      <w:r>
        <w:rPr>
          <w:rFonts w:hint="eastAsia" w:hAnsi="宋体" w:cs="宋体"/>
        </w:rPr>
        <w:t>6.</w:t>
      </w:r>
      <w:r>
        <w:rPr>
          <w:rFonts w:hAnsi="宋体" w:cs="宋体"/>
        </w:rPr>
        <w:t>1</w:t>
      </w:r>
      <w:r>
        <w:rPr>
          <w:rFonts w:hint="eastAsia" w:hAnsi="宋体" w:cs="宋体"/>
        </w:rPr>
        <w:t>.7投标人应提供云主机资源、物理机资源等备用资源，保证服务期内系统平稳的过渡和运行。</w:t>
      </w:r>
    </w:p>
    <w:p w14:paraId="05E3A806">
      <w:pPr>
        <w:spacing w:line="360" w:lineRule="auto"/>
        <w:ind w:firstLine="482" w:firstLineChars="200"/>
        <w:rPr>
          <w:rFonts w:hint="eastAsia" w:ascii="宋体" w:hAnsi="宋体" w:cs="宋体"/>
          <w:b/>
          <w:bCs/>
          <w:sz w:val="24"/>
        </w:rPr>
      </w:pPr>
      <w:r>
        <w:rPr>
          <w:rFonts w:hint="eastAsia" w:ascii="宋体" w:hAnsi="宋体" w:cs="宋体"/>
          <w:b/>
          <w:bCs/>
          <w:sz w:val="24"/>
        </w:rPr>
        <w:t>6.2服务标准</w:t>
      </w:r>
    </w:p>
    <w:p w14:paraId="09B1B045">
      <w:pPr>
        <w:pStyle w:val="8"/>
        <w:snapToGrid w:val="0"/>
        <w:spacing w:line="360" w:lineRule="auto"/>
        <w:ind w:firstLine="480"/>
        <w:rPr>
          <w:rFonts w:hint="eastAsia" w:hAnsi="宋体" w:cs="宋体"/>
        </w:rPr>
      </w:pPr>
      <w:r>
        <w:rPr>
          <w:rFonts w:hint="eastAsia" w:hAnsi="宋体" w:cs="宋体"/>
        </w:rPr>
        <w:t>6.2.1投标人应当提供高效的系统维护服务，有效防范系统风险，系统对应负责人7*24小时电话畅通，能够在系统发生除宕机外的其他故障问题时，能够协调人力资源在1小时内到达政务云机房现场提供服务。系统发生宕机问题时，投标人应在30分钟内响应，在4个小时之内使系统恢复正常，故障处理完毕后提供相关系统宕机报告。</w:t>
      </w:r>
    </w:p>
    <w:p w14:paraId="00C4027D">
      <w:pPr>
        <w:pStyle w:val="8"/>
        <w:snapToGrid w:val="0"/>
        <w:spacing w:line="360" w:lineRule="auto"/>
        <w:ind w:firstLine="480"/>
        <w:rPr>
          <w:rFonts w:hint="eastAsia" w:hAnsi="宋体" w:cs="宋体"/>
        </w:rPr>
      </w:pPr>
      <w:r>
        <w:rPr>
          <w:rFonts w:hint="eastAsia" w:hAnsi="宋体" w:cs="宋体"/>
        </w:rPr>
        <w:t>6.2.2 为保障业务高峰期内系统平稳运行，缓解系统高峰期内因业务发生量增大而带来系统压力风险，要求投标人根据业务周期性特点，加大运维保障力度，保证在业务高峰期内系统平稳运行。</w:t>
      </w:r>
    </w:p>
    <w:p w14:paraId="7AA02A75">
      <w:pPr>
        <w:pStyle w:val="8"/>
        <w:snapToGrid w:val="0"/>
        <w:spacing w:line="360" w:lineRule="auto"/>
        <w:ind w:firstLine="480"/>
        <w:rPr>
          <w:rFonts w:hint="eastAsia" w:hAnsi="宋体" w:cs="宋体"/>
        </w:rPr>
      </w:pPr>
      <w:r>
        <w:rPr>
          <w:rFonts w:hint="eastAsia" w:hAnsi="宋体" w:cs="宋体"/>
        </w:rPr>
        <w:t>6.2.</w:t>
      </w:r>
      <w:r>
        <w:rPr>
          <w:rFonts w:hAnsi="宋体" w:cs="宋体"/>
        </w:rPr>
        <w:t>3</w:t>
      </w:r>
      <w:r>
        <w:rPr>
          <w:rFonts w:hint="eastAsia" w:hAnsi="宋体" w:cs="宋体"/>
        </w:rPr>
        <w:t xml:space="preserve"> 重点保障时期重要信息系统云主机资源调整时间不超过1小时，针对重点保障时期的重要信息系统重要云主机，投标人应按采购人要求进行实时监控，超过预警阈值时主动上调云资源，并第一时间通知采购人进行相应操作，确保系统平稳运行。</w:t>
      </w:r>
    </w:p>
    <w:p w14:paraId="6D89BB6B">
      <w:pPr>
        <w:pStyle w:val="8"/>
        <w:snapToGrid w:val="0"/>
        <w:spacing w:line="360" w:lineRule="auto"/>
        <w:ind w:firstLine="480"/>
        <w:rPr>
          <w:rFonts w:hint="eastAsia" w:hAnsi="宋体" w:cs="宋体"/>
        </w:rPr>
      </w:pPr>
      <w:r>
        <w:rPr>
          <w:rFonts w:hint="eastAsia" w:hAnsi="宋体" w:cs="宋体"/>
        </w:rPr>
        <w:t>6.2.</w:t>
      </w:r>
      <w:r>
        <w:rPr>
          <w:rFonts w:hAnsi="宋体" w:cs="宋体"/>
        </w:rPr>
        <w:t>4</w:t>
      </w:r>
      <w:r>
        <w:rPr>
          <w:rFonts w:hint="eastAsia" w:hAnsi="宋体" w:cs="宋体"/>
        </w:rPr>
        <w:t xml:space="preserve"> 按照国家、北京市相关规定和信息安全技术标准及规范要求, 落实安全保障措施, 通过信息安全测评机构的测评和政务云安全审查。</w:t>
      </w:r>
    </w:p>
    <w:p w14:paraId="57E7F96C">
      <w:pPr>
        <w:pStyle w:val="8"/>
        <w:snapToGrid w:val="0"/>
        <w:spacing w:line="360" w:lineRule="auto"/>
        <w:ind w:firstLine="480"/>
        <w:rPr>
          <w:rFonts w:hint="eastAsia" w:hAnsi="宋体" w:cs="宋体"/>
        </w:rPr>
      </w:pPr>
      <w:r>
        <w:rPr>
          <w:rFonts w:hint="eastAsia" w:hAnsi="宋体" w:cs="宋体"/>
        </w:rPr>
        <w:t>6.2.</w:t>
      </w:r>
      <w:r>
        <w:rPr>
          <w:rFonts w:hAnsi="宋体" w:cs="宋体"/>
        </w:rPr>
        <w:t>5</w:t>
      </w:r>
      <w:r>
        <w:rPr>
          <w:rFonts w:hint="eastAsia" w:hAnsi="宋体" w:cs="宋体"/>
        </w:rPr>
        <w:t>投标人应明确运维操作规范和工作流程。定期开展文档查阅、漏洞扫描等多种形式的安全自查，排查政务网络和信息系统可能存在的安全漏洞，以及木马、后门、病毒等隐患风险，及时进行整改加固，切实防范安全风险。</w:t>
      </w:r>
    </w:p>
    <w:p w14:paraId="79588051">
      <w:pPr>
        <w:pStyle w:val="8"/>
        <w:snapToGrid w:val="0"/>
        <w:spacing w:line="360" w:lineRule="auto"/>
        <w:ind w:firstLine="480"/>
        <w:rPr>
          <w:rFonts w:hint="eastAsia" w:hAnsi="宋体" w:cs="宋体"/>
        </w:rPr>
      </w:pPr>
      <w:r>
        <w:rPr>
          <w:rFonts w:hint="eastAsia" w:hAnsi="宋体" w:cs="宋体"/>
        </w:rPr>
        <w:t>6.2.6除不可抗力或计划内维护作业造成的政务云服务中断外,政务云实行24小时不间断运行。</w:t>
      </w:r>
    </w:p>
    <w:p w14:paraId="533FACB2">
      <w:pPr>
        <w:pStyle w:val="7"/>
        <w:numPr>
          <w:ilvl w:val="0"/>
          <w:numId w:val="9"/>
        </w:numPr>
        <w:spacing w:line="360" w:lineRule="auto"/>
        <w:rPr>
          <w:rFonts w:hint="eastAsia" w:ascii="楷体" w:hAnsi="楷体" w:eastAsia="楷体" w:cs="楷体"/>
          <w:b/>
        </w:rPr>
      </w:pPr>
      <w:r>
        <w:rPr>
          <w:rFonts w:hint="eastAsia" w:ascii="楷体" w:hAnsi="楷体" w:eastAsia="楷体" w:cs="楷体"/>
          <w:b/>
        </w:rPr>
        <w:t>备份服务</w:t>
      </w:r>
    </w:p>
    <w:p w14:paraId="4CD0F983">
      <w:pPr>
        <w:spacing w:line="360" w:lineRule="auto"/>
        <w:ind w:firstLine="482" w:firstLineChars="200"/>
        <w:rPr>
          <w:rFonts w:hint="eastAsia" w:ascii="宋体" w:hAnsi="宋体" w:cs="宋体"/>
          <w:b/>
          <w:bCs/>
          <w:sz w:val="24"/>
        </w:rPr>
      </w:pPr>
      <w:r>
        <w:rPr>
          <w:rFonts w:hint="eastAsia" w:ascii="宋体" w:hAnsi="宋体" w:cs="宋体"/>
          <w:b/>
          <w:bCs/>
          <w:sz w:val="24"/>
        </w:rPr>
        <w:t>7.1服务内容</w:t>
      </w:r>
    </w:p>
    <w:p w14:paraId="0800F00F">
      <w:pPr>
        <w:pStyle w:val="8"/>
        <w:snapToGrid w:val="0"/>
        <w:spacing w:line="360" w:lineRule="auto"/>
        <w:ind w:firstLine="480"/>
        <w:rPr>
          <w:rFonts w:hint="eastAsia" w:hAnsi="宋体" w:cs="宋体"/>
        </w:rPr>
      </w:pPr>
      <w:r>
        <w:rPr>
          <w:rFonts w:hint="eastAsia" w:hAnsi="宋体" w:cs="宋体"/>
        </w:rPr>
        <w:t>投标人需具有本地和同城异地数据级备份能力，并配合采购人完成数据级容灾演练及恢复等工作。</w:t>
      </w:r>
    </w:p>
    <w:p w14:paraId="27061E48">
      <w:pPr>
        <w:spacing w:line="360" w:lineRule="auto"/>
        <w:ind w:firstLine="482" w:firstLineChars="200"/>
        <w:rPr>
          <w:rFonts w:hint="eastAsia" w:ascii="宋体" w:hAnsi="宋体" w:cs="宋体"/>
          <w:b/>
          <w:bCs/>
          <w:sz w:val="24"/>
        </w:rPr>
      </w:pPr>
      <w:r>
        <w:rPr>
          <w:rFonts w:hint="eastAsia" w:ascii="宋体" w:hAnsi="宋体" w:cs="宋体"/>
          <w:b/>
          <w:bCs/>
          <w:sz w:val="24"/>
        </w:rPr>
        <w:t>7.2服务标准</w:t>
      </w:r>
    </w:p>
    <w:p w14:paraId="30C477CA">
      <w:pPr>
        <w:pStyle w:val="8"/>
        <w:snapToGrid w:val="0"/>
        <w:spacing w:line="360" w:lineRule="auto"/>
        <w:ind w:firstLine="480"/>
        <w:rPr>
          <w:rFonts w:hint="eastAsia" w:hAnsi="宋体" w:cs="宋体"/>
        </w:rPr>
      </w:pPr>
      <w:r>
        <w:rPr>
          <w:rFonts w:hint="eastAsia" w:hAnsi="宋体" w:cs="宋体"/>
        </w:rPr>
        <w:t>按照采购人的各个应用系统对资源的备份需求通过备份策略实现对用户数据（文件、操作系统、数据库）的本地备份（不包含备份存储空间费用），默认提供非结构化数据保护与文件备份保护。备份应满足如下要求:</w:t>
      </w:r>
    </w:p>
    <w:p w14:paraId="7C344CBB">
      <w:pPr>
        <w:pStyle w:val="8"/>
        <w:snapToGrid w:val="0"/>
        <w:spacing w:line="360" w:lineRule="auto"/>
        <w:ind w:firstLine="480"/>
        <w:rPr>
          <w:rFonts w:hint="eastAsia" w:hAnsi="宋体" w:cs="宋体"/>
        </w:rPr>
      </w:pPr>
      <w:r>
        <w:rPr>
          <w:rFonts w:hint="eastAsia" w:hAnsi="宋体" w:cs="宋体"/>
        </w:rPr>
        <w:t>7.2.1 备份介质本身具备高可用性和冗余性。</w:t>
      </w:r>
    </w:p>
    <w:p w14:paraId="7D70A5A7">
      <w:pPr>
        <w:pStyle w:val="8"/>
        <w:snapToGrid w:val="0"/>
        <w:spacing w:line="360" w:lineRule="auto"/>
        <w:ind w:firstLine="480"/>
        <w:rPr>
          <w:rFonts w:hint="eastAsia" w:hAnsi="宋体" w:cs="宋体"/>
        </w:rPr>
      </w:pPr>
      <w:r>
        <w:rPr>
          <w:rFonts w:hint="eastAsia" w:hAnsi="宋体" w:cs="宋体"/>
        </w:rPr>
        <w:t>7.2.2 备份方式包括完整备份、差异备份和增量备份。</w:t>
      </w:r>
    </w:p>
    <w:p w14:paraId="65900475">
      <w:pPr>
        <w:pStyle w:val="8"/>
        <w:snapToGrid w:val="0"/>
        <w:spacing w:line="360" w:lineRule="auto"/>
        <w:ind w:firstLine="480"/>
        <w:rPr>
          <w:rFonts w:hint="eastAsia" w:hAnsi="宋体" w:cs="宋体"/>
        </w:rPr>
      </w:pPr>
      <w:r>
        <w:rPr>
          <w:rFonts w:hint="eastAsia" w:hAnsi="宋体" w:cs="宋体"/>
        </w:rPr>
        <w:t>7.2.3 支持Windows系列操作系统、Linux主流系统操作系统、主流数据库软件、主流中间件软件、结构化数据以及非结构化数据等备份对象。</w:t>
      </w:r>
    </w:p>
    <w:p w14:paraId="6107E208">
      <w:pPr>
        <w:pStyle w:val="8"/>
        <w:snapToGrid w:val="0"/>
        <w:spacing w:line="360" w:lineRule="auto"/>
        <w:ind w:firstLine="480"/>
        <w:rPr>
          <w:rFonts w:hint="eastAsia" w:hAnsi="宋体" w:cs="宋体"/>
        </w:rPr>
      </w:pPr>
      <w:r>
        <w:rPr>
          <w:rFonts w:hint="eastAsia" w:hAnsi="宋体" w:cs="宋体"/>
        </w:rPr>
        <w:t>7.2.4 支持建立统一的备份管理系统，用来管理本地备份和异地备份。</w:t>
      </w:r>
    </w:p>
    <w:p w14:paraId="06772B78">
      <w:pPr>
        <w:pStyle w:val="8"/>
        <w:snapToGrid w:val="0"/>
        <w:spacing w:line="360" w:lineRule="auto"/>
        <w:ind w:firstLine="480"/>
        <w:rPr>
          <w:rFonts w:hint="eastAsia" w:hAnsi="宋体" w:cs="宋体"/>
        </w:rPr>
      </w:pPr>
      <w:r>
        <w:rPr>
          <w:rFonts w:hint="eastAsia" w:hAnsi="宋体" w:cs="宋体"/>
        </w:rPr>
        <w:t>7.2.5 投标人应提供对备份过程状态、备份结果提供运维监控保障服务，确保备份任务执行成功以及备份的数据完整性。</w:t>
      </w:r>
    </w:p>
    <w:p w14:paraId="24CB56EA">
      <w:pPr>
        <w:pStyle w:val="7"/>
        <w:numPr>
          <w:ilvl w:val="0"/>
          <w:numId w:val="9"/>
        </w:numPr>
        <w:spacing w:line="360" w:lineRule="auto"/>
        <w:rPr>
          <w:rFonts w:hint="eastAsia" w:ascii="楷体" w:hAnsi="楷体" w:eastAsia="楷体" w:cs="楷体"/>
          <w:b/>
        </w:rPr>
      </w:pPr>
      <w:r>
        <w:rPr>
          <w:rFonts w:hint="eastAsia" w:ascii="楷体" w:hAnsi="楷体" w:eastAsia="楷体" w:cs="楷体"/>
          <w:b/>
        </w:rPr>
        <w:t>日志服务</w:t>
      </w:r>
    </w:p>
    <w:p w14:paraId="27D20AF4">
      <w:pPr>
        <w:spacing w:line="360" w:lineRule="auto"/>
        <w:ind w:firstLine="482" w:firstLineChars="200"/>
        <w:rPr>
          <w:rFonts w:hint="eastAsia" w:ascii="宋体" w:hAnsi="宋体" w:cs="宋体"/>
          <w:b/>
          <w:bCs/>
          <w:sz w:val="24"/>
        </w:rPr>
      </w:pPr>
      <w:r>
        <w:rPr>
          <w:rFonts w:hint="eastAsia" w:ascii="宋体" w:hAnsi="宋体" w:cs="宋体"/>
          <w:b/>
          <w:bCs/>
          <w:sz w:val="24"/>
        </w:rPr>
        <w:t>8.1服务内容</w:t>
      </w:r>
    </w:p>
    <w:p w14:paraId="3FFAF21B">
      <w:pPr>
        <w:pStyle w:val="8"/>
        <w:snapToGrid w:val="0"/>
        <w:spacing w:line="360" w:lineRule="auto"/>
        <w:ind w:firstLine="480"/>
        <w:rPr>
          <w:rFonts w:hint="eastAsia" w:hAnsi="宋体" w:cs="宋体"/>
        </w:rPr>
      </w:pPr>
      <w:r>
        <w:rPr>
          <w:rFonts w:hint="eastAsia" w:hAnsi="宋体" w:cs="宋体"/>
        </w:rPr>
        <w:t>日志是发现问题、定位问题的重要信息，投标人提供统一的日志平台服务，针对操作系统进行日志收集，用于了解主机安全情况及资源使用情况，具体内容如下：</w:t>
      </w:r>
    </w:p>
    <w:p w14:paraId="1926C9E1">
      <w:pPr>
        <w:pStyle w:val="8"/>
        <w:snapToGrid w:val="0"/>
        <w:spacing w:line="360" w:lineRule="auto"/>
        <w:ind w:firstLine="480"/>
        <w:rPr>
          <w:rFonts w:hint="eastAsia" w:hAnsi="宋体" w:cs="宋体"/>
        </w:rPr>
      </w:pPr>
      <w:r>
        <w:rPr>
          <w:rFonts w:hint="eastAsia" w:hAnsi="宋体" w:cs="宋体"/>
        </w:rPr>
        <w:t>8.1.1 提供对日志的可视化管理、组合过滤查询的能力；</w:t>
      </w:r>
    </w:p>
    <w:p w14:paraId="001B8EF0">
      <w:pPr>
        <w:pStyle w:val="8"/>
        <w:snapToGrid w:val="0"/>
        <w:spacing w:line="360" w:lineRule="auto"/>
        <w:ind w:firstLine="480"/>
        <w:rPr>
          <w:rFonts w:hint="eastAsia" w:hAnsi="宋体" w:cs="宋体"/>
        </w:rPr>
      </w:pPr>
      <w:r>
        <w:rPr>
          <w:rFonts w:hint="eastAsia" w:hAnsi="宋体" w:cs="宋体"/>
        </w:rPr>
        <w:t>8.1.2 支持用户自定义解析规则和解析规则组，并预制多种解析规则实现日志数据解析；</w:t>
      </w:r>
    </w:p>
    <w:p w14:paraId="3C474AA1">
      <w:pPr>
        <w:pStyle w:val="8"/>
        <w:snapToGrid w:val="0"/>
        <w:spacing w:line="360" w:lineRule="auto"/>
        <w:ind w:firstLine="480"/>
        <w:rPr>
          <w:rFonts w:hint="eastAsia" w:hAnsi="宋体" w:cs="宋体"/>
        </w:rPr>
      </w:pPr>
      <w:r>
        <w:rPr>
          <w:rFonts w:hint="eastAsia" w:hAnsi="宋体" w:cs="宋体"/>
        </w:rPr>
        <w:t>8.1.3 日志数据冷热数据分离存储，支持分别配置冷数据和热数据保存时间，也可支持永久保存；</w:t>
      </w:r>
    </w:p>
    <w:p w14:paraId="1606DA3C">
      <w:pPr>
        <w:pStyle w:val="8"/>
        <w:snapToGrid w:val="0"/>
        <w:spacing w:line="360" w:lineRule="auto"/>
        <w:ind w:firstLine="480"/>
        <w:rPr>
          <w:rFonts w:hint="eastAsia" w:hAnsi="宋体" w:cs="宋体"/>
        </w:rPr>
      </w:pPr>
      <w:r>
        <w:rPr>
          <w:rFonts w:hint="eastAsia" w:hAnsi="宋体" w:cs="宋体"/>
        </w:rPr>
        <w:t>8.1.4 为了提高存储资源利用率，支持日志投递功能，按JSON、CSV等转存格式转储日志数据到共享存储。</w:t>
      </w:r>
    </w:p>
    <w:p w14:paraId="1FEEE632">
      <w:pPr>
        <w:spacing w:line="360" w:lineRule="auto"/>
        <w:ind w:firstLine="482" w:firstLineChars="200"/>
        <w:rPr>
          <w:rFonts w:hint="eastAsia" w:ascii="宋体" w:hAnsi="宋体" w:cs="宋体"/>
          <w:b/>
          <w:bCs/>
          <w:sz w:val="24"/>
        </w:rPr>
      </w:pPr>
      <w:r>
        <w:rPr>
          <w:rFonts w:hint="eastAsia" w:ascii="宋体" w:hAnsi="宋体" w:cs="宋体"/>
          <w:b/>
          <w:bCs/>
          <w:sz w:val="24"/>
        </w:rPr>
        <w:t>10.2服务标准</w:t>
      </w:r>
    </w:p>
    <w:p w14:paraId="2B01E10F">
      <w:pPr>
        <w:pStyle w:val="8"/>
        <w:snapToGrid w:val="0"/>
        <w:spacing w:line="360" w:lineRule="auto"/>
        <w:ind w:firstLine="480"/>
        <w:rPr>
          <w:rFonts w:hint="eastAsia" w:hAnsi="宋体" w:cs="宋体"/>
        </w:rPr>
      </w:pPr>
      <w:r>
        <w:rPr>
          <w:rFonts w:hint="eastAsia" w:hAnsi="宋体" w:cs="宋体"/>
        </w:rPr>
        <w:t>对主机系统日志进行采集分析处理，用于发现各种安全威胁、异常行为事件。主机系统日志应集中存储，且日志存储时间不低于6个月。</w:t>
      </w:r>
    </w:p>
    <w:p w14:paraId="0223CE93">
      <w:pPr>
        <w:pStyle w:val="7"/>
        <w:numPr>
          <w:ilvl w:val="0"/>
          <w:numId w:val="9"/>
        </w:numPr>
        <w:spacing w:line="360" w:lineRule="auto"/>
        <w:rPr>
          <w:rFonts w:hint="eastAsia" w:ascii="楷体" w:hAnsi="楷体" w:eastAsia="楷体" w:cs="楷体"/>
          <w:b/>
        </w:rPr>
      </w:pPr>
      <w:r>
        <w:rPr>
          <w:rFonts w:hint="eastAsia" w:ascii="楷体" w:hAnsi="楷体" w:eastAsia="楷体" w:cs="楷体"/>
          <w:b/>
        </w:rPr>
        <w:t>迁移服务</w:t>
      </w:r>
    </w:p>
    <w:p w14:paraId="32B893E0">
      <w:pPr>
        <w:spacing w:line="360" w:lineRule="auto"/>
        <w:ind w:firstLine="482" w:firstLineChars="200"/>
        <w:rPr>
          <w:rFonts w:hint="eastAsia" w:ascii="宋体" w:hAnsi="宋体" w:cs="宋体"/>
          <w:b/>
          <w:bCs/>
          <w:sz w:val="24"/>
        </w:rPr>
      </w:pPr>
      <w:r>
        <w:rPr>
          <w:rFonts w:hint="eastAsia" w:ascii="宋体" w:hAnsi="宋体" w:cs="宋体"/>
          <w:b/>
          <w:bCs/>
          <w:sz w:val="24"/>
        </w:rPr>
        <w:t>9.1服务内容</w:t>
      </w:r>
    </w:p>
    <w:p w14:paraId="6E0DD43D">
      <w:pPr>
        <w:pStyle w:val="8"/>
        <w:snapToGrid w:val="0"/>
        <w:spacing w:line="360" w:lineRule="auto"/>
        <w:ind w:firstLine="480"/>
        <w:rPr>
          <w:rFonts w:hint="eastAsia" w:hAnsi="宋体" w:cs="宋体"/>
        </w:rPr>
      </w:pPr>
      <w:r>
        <w:rPr>
          <w:rFonts w:hint="eastAsia" w:hAnsi="宋体" w:cs="宋体"/>
        </w:rPr>
        <w:t>投标人需提供整体的业务上云迁移服务，应支持云主机迁移、物理主机迁移、单机数据库迁移、高可用数据库迁移等迁移场景。负责需求调研、架构规划设计、应用迁移部署等工作。</w:t>
      </w:r>
    </w:p>
    <w:p w14:paraId="23940D2A">
      <w:pPr>
        <w:spacing w:line="360" w:lineRule="auto"/>
        <w:ind w:firstLine="482" w:firstLineChars="200"/>
        <w:rPr>
          <w:rFonts w:hint="eastAsia" w:ascii="宋体" w:hAnsi="宋体" w:cs="宋体"/>
          <w:bCs/>
          <w:color w:val="000000"/>
          <w:sz w:val="24"/>
          <w:lang w:bidi="ar"/>
        </w:rPr>
      </w:pPr>
      <w:r>
        <w:rPr>
          <w:rFonts w:hint="eastAsia" w:ascii="宋体" w:hAnsi="宋体" w:cs="宋体"/>
          <w:b/>
          <w:bCs/>
          <w:sz w:val="24"/>
        </w:rPr>
        <w:t>9.2服务标准</w:t>
      </w:r>
    </w:p>
    <w:p w14:paraId="01C9D868">
      <w:pPr>
        <w:pStyle w:val="8"/>
        <w:snapToGrid w:val="0"/>
        <w:spacing w:line="360" w:lineRule="auto"/>
        <w:ind w:firstLine="480"/>
        <w:rPr>
          <w:rFonts w:hint="eastAsia" w:hAnsi="宋体" w:cs="宋体"/>
          <w:lang w:val="zh-CN"/>
        </w:rPr>
      </w:pPr>
      <w:r>
        <w:rPr>
          <w:rFonts w:hint="eastAsia" w:hAnsi="宋体" w:cs="宋体"/>
          <w:lang w:val="zh-CN"/>
        </w:rPr>
        <w:t>本项目涉及的业务系统为采购人在用的生产系统，目前在北京市政务云上平稳运行，因此业务连续性是首要的保障需求。</w:t>
      </w:r>
    </w:p>
    <w:p w14:paraId="377FC095">
      <w:pPr>
        <w:pStyle w:val="8"/>
        <w:snapToGrid w:val="0"/>
        <w:spacing w:line="360" w:lineRule="auto"/>
        <w:ind w:firstLine="480"/>
        <w:rPr>
          <w:rFonts w:hint="eastAsia" w:hAnsi="宋体" w:cs="宋体"/>
          <w:lang w:val="zh-CN"/>
        </w:rPr>
      </w:pPr>
      <w:r>
        <w:rPr>
          <w:rFonts w:hint="eastAsia" w:hAnsi="宋体" w:cs="宋体"/>
          <w:lang w:val="zh-CN"/>
        </w:rPr>
        <w:t>具体要求如下：</w:t>
      </w:r>
    </w:p>
    <w:p w14:paraId="3B0BF3D1">
      <w:pPr>
        <w:pStyle w:val="8"/>
        <w:snapToGrid w:val="0"/>
        <w:spacing w:line="360" w:lineRule="auto"/>
        <w:ind w:firstLine="480"/>
        <w:rPr>
          <w:rFonts w:hint="eastAsia" w:hAnsi="宋体" w:cs="宋体"/>
          <w:lang w:val="zh-CN"/>
        </w:rPr>
      </w:pPr>
      <w:r>
        <w:rPr>
          <w:rFonts w:hint="eastAsia" w:hAnsi="宋体" w:cs="宋体"/>
        </w:rPr>
        <w:t>9.2.1</w:t>
      </w:r>
      <w:r>
        <w:rPr>
          <w:rFonts w:hint="eastAsia" w:hAnsi="宋体" w:cs="宋体"/>
          <w:lang w:val="zh-CN"/>
        </w:rPr>
        <w:t>投标人编制业务连续性服务方案。</w:t>
      </w:r>
    </w:p>
    <w:p w14:paraId="549561AE">
      <w:pPr>
        <w:pStyle w:val="8"/>
        <w:snapToGrid w:val="0"/>
        <w:spacing w:line="360" w:lineRule="auto"/>
        <w:ind w:firstLine="480"/>
        <w:rPr>
          <w:rFonts w:hint="eastAsia" w:hAnsi="宋体" w:cs="宋体"/>
          <w:lang w:val="zh-CN"/>
        </w:rPr>
      </w:pPr>
      <w:r>
        <w:rPr>
          <w:rFonts w:hint="eastAsia" w:hAnsi="宋体" w:cs="宋体"/>
        </w:rPr>
        <w:t>9.2.2</w:t>
      </w:r>
      <w:r>
        <w:rPr>
          <w:rFonts w:hint="eastAsia" w:hAnsi="宋体" w:cs="宋体"/>
          <w:lang w:val="zh-CN"/>
        </w:rPr>
        <w:t>投标人在连续性服务方案中还需提供切实可行的迁移部署服务方案。投标人以迁移时间窗口与进度要求为总约束，合理规划，科学组织。迁移部署服务方案应包括：</w:t>
      </w:r>
    </w:p>
    <w:p w14:paraId="01D1385E">
      <w:pPr>
        <w:pStyle w:val="8"/>
        <w:numPr>
          <w:ilvl w:val="0"/>
          <w:numId w:val="10"/>
        </w:numPr>
        <w:snapToGrid w:val="0"/>
        <w:spacing w:line="360" w:lineRule="auto"/>
        <w:rPr>
          <w:rFonts w:hint="eastAsia" w:hAnsi="宋体" w:cs="宋体"/>
          <w:lang w:val="zh-CN"/>
        </w:rPr>
      </w:pPr>
      <w:r>
        <w:rPr>
          <w:rFonts w:hint="eastAsia" w:hAnsi="宋体" w:cs="宋体"/>
          <w:lang w:val="zh-CN"/>
        </w:rPr>
        <w:t>资源部署与迁移保障：政务云资源配置、应用迁移、数据迁移、测试验证、业务割接、风险评估、迁移期间安全保障、迁移期间应急保障、迁移期间运维保障、网络连接、联调测试等内容。</w:t>
      </w:r>
    </w:p>
    <w:p w14:paraId="526C0DB1">
      <w:pPr>
        <w:pStyle w:val="8"/>
        <w:numPr>
          <w:ilvl w:val="0"/>
          <w:numId w:val="10"/>
        </w:numPr>
        <w:snapToGrid w:val="0"/>
        <w:spacing w:line="360" w:lineRule="auto"/>
        <w:rPr>
          <w:rFonts w:hint="eastAsia" w:hAnsi="宋体" w:cs="宋体"/>
          <w:lang w:val="zh-CN"/>
        </w:rPr>
      </w:pPr>
      <w:r>
        <w:rPr>
          <w:rFonts w:hint="eastAsia" w:hAnsi="宋体" w:cs="宋体"/>
          <w:lang w:val="zh-CN"/>
        </w:rPr>
        <w:t>业务连续性评估与保障：针对系统迁移过程中容易造成业务系统中断的环节，包含互联网及政务外网IP变更割接、业务数据同步及切换上线、功能业务验证及回退等，进行评估，提出详细解决方案，</w:t>
      </w:r>
    </w:p>
    <w:p w14:paraId="16562B34">
      <w:pPr>
        <w:pStyle w:val="8"/>
        <w:numPr>
          <w:ilvl w:val="0"/>
          <w:numId w:val="10"/>
        </w:numPr>
        <w:snapToGrid w:val="0"/>
        <w:spacing w:line="360" w:lineRule="auto"/>
        <w:rPr>
          <w:rFonts w:hint="eastAsia" w:hAnsi="宋体" w:cs="宋体"/>
          <w:lang w:val="zh-CN"/>
        </w:rPr>
      </w:pPr>
      <w:r>
        <w:rPr>
          <w:rFonts w:hint="eastAsia" w:hAnsi="宋体" w:cs="宋体"/>
          <w:lang w:val="zh-CN"/>
        </w:rPr>
        <w:t>需采购人配合的工作：明确需要采购人配合方案执行的具体工作内容、需要采购人投入方案执行的人员数量、需要采购人配合方案执行的工作日和法定节假日时间。</w:t>
      </w:r>
    </w:p>
    <w:p w14:paraId="02C42397">
      <w:pPr>
        <w:pStyle w:val="8"/>
        <w:snapToGrid w:val="0"/>
        <w:spacing w:line="360" w:lineRule="auto"/>
        <w:ind w:firstLine="480"/>
        <w:rPr>
          <w:rFonts w:hint="eastAsia" w:hAnsi="宋体" w:cs="宋体"/>
          <w:lang w:val="zh-CN"/>
        </w:rPr>
      </w:pPr>
      <w:r>
        <w:rPr>
          <w:rFonts w:hint="eastAsia" w:hAnsi="宋体" w:cs="宋体"/>
        </w:rPr>
        <w:t>9.2.3</w:t>
      </w:r>
      <w:r>
        <w:rPr>
          <w:rFonts w:hint="eastAsia" w:hAnsi="宋体" w:cs="宋体"/>
          <w:lang w:val="zh-CN"/>
        </w:rPr>
        <w:t>★投标人承诺针对已经运行在政务云平台上的所有应用系统，投标人负责承担系统迁移涉及的相关工作并提供应急保障措施，以确保迁移过程中数据不丢失、系统业务不中断。并承诺合同生效后2个工作日内提供系统所需资源且做好迁移前的准备，20个工作日内完成全部系统迁移部署工作，保证现有业务系统可平滑迁移至中标人云平台。（</w:t>
      </w:r>
      <w:r>
        <w:rPr>
          <w:rFonts w:hint="eastAsia" w:hAnsi="宋体" w:cs="宋体"/>
        </w:rPr>
        <w:t>提供“承诺函”并加盖投标人公章</w:t>
      </w:r>
      <w:r>
        <w:rPr>
          <w:rFonts w:hint="eastAsia" w:hAnsi="宋体" w:cs="宋体"/>
          <w:lang w:val="zh-CN"/>
        </w:rPr>
        <w:t>）</w:t>
      </w:r>
    </w:p>
    <w:p w14:paraId="4B74569B">
      <w:pPr>
        <w:rPr>
          <w:rFonts w:hint="eastAsia" w:ascii="宋体" w:hAnsi="宋体" w:cs="宋体"/>
          <w:sz w:val="24"/>
        </w:rPr>
      </w:pPr>
    </w:p>
    <w:p w14:paraId="492B5645">
      <w:pPr>
        <w:pStyle w:val="7"/>
        <w:numPr>
          <w:ilvl w:val="0"/>
          <w:numId w:val="9"/>
        </w:numPr>
        <w:rPr>
          <w:rFonts w:hint="eastAsia" w:ascii="楷体" w:hAnsi="楷体" w:eastAsia="楷体" w:cs="楷体"/>
          <w:b/>
        </w:rPr>
      </w:pPr>
      <w:r>
        <w:rPr>
          <w:rFonts w:hint="eastAsia" w:ascii="楷体" w:hAnsi="楷体" w:eastAsia="楷体" w:cs="楷体"/>
          <w:b/>
        </w:rPr>
        <w:t>培训服务</w:t>
      </w:r>
    </w:p>
    <w:p w14:paraId="1E99665E">
      <w:pPr>
        <w:pStyle w:val="8"/>
        <w:snapToGrid w:val="0"/>
        <w:spacing w:line="360" w:lineRule="auto"/>
        <w:ind w:firstLine="480"/>
        <w:rPr>
          <w:rFonts w:hint="eastAsia" w:hAnsi="宋体" w:cs="宋体"/>
        </w:rPr>
      </w:pPr>
      <w:r>
        <w:rPr>
          <w:rFonts w:hint="eastAsia" w:hAnsi="宋体" w:cs="宋体"/>
        </w:rPr>
        <w:t>投标人提供云服务操作手册，并为采购人提供必要的使用培训，至少提供以下内容：</w:t>
      </w:r>
    </w:p>
    <w:p w14:paraId="7DF8DAB1">
      <w:pPr>
        <w:pStyle w:val="8"/>
        <w:snapToGrid w:val="0"/>
        <w:spacing w:line="360" w:lineRule="auto"/>
        <w:ind w:firstLine="480"/>
        <w:rPr>
          <w:rFonts w:hint="eastAsia" w:hAnsi="宋体" w:cs="宋体"/>
        </w:rPr>
      </w:pPr>
      <w:r>
        <w:rPr>
          <w:rFonts w:hint="eastAsia" w:hAnsi="宋体" w:cs="宋体"/>
        </w:rPr>
        <w:t>10.1.1 面向项目管理人员、系统管理人员的培训，确保此类人员能清晰地了解云平台的设计理念和设计方法，掌握云平台的整体结构，以及各类云资源的申请、审核、开通、回收等管理流程。</w:t>
      </w:r>
    </w:p>
    <w:p w14:paraId="4EEAC17E">
      <w:pPr>
        <w:pStyle w:val="8"/>
        <w:snapToGrid w:val="0"/>
        <w:spacing w:line="360" w:lineRule="auto"/>
        <w:ind w:firstLine="480"/>
        <w:rPr>
          <w:rFonts w:hint="eastAsia" w:hAnsi="宋体" w:cs="宋体"/>
        </w:rPr>
      </w:pPr>
      <w:r>
        <w:rPr>
          <w:rFonts w:hint="eastAsia" w:hAnsi="宋体" w:cs="宋体"/>
        </w:rPr>
        <w:t>10.1.2 面向系统维护人员的培训，确保此类人员能理解和掌握云平台的相关技术知识，能够熟练地维护云平台，快速定位和解决系统出现的问题，保证云平台服务期间正常运转，并持续提高运维服务质量。</w:t>
      </w:r>
    </w:p>
    <w:p w14:paraId="1F0DEF18">
      <w:pPr>
        <w:pStyle w:val="8"/>
        <w:snapToGrid w:val="0"/>
        <w:spacing w:line="360" w:lineRule="auto"/>
        <w:ind w:firstLine="480"/>
        <w:rPr>
          <w:rFonts w:hint="eastAsia" w:hAnsi="宋体" w:cs="宋体"/>
        </w:rPr>
      </w:pPr>
      <w:r>
        <w:rPr>
          <w:rFonts w:hint="eastAsia" w:hAnsi="宋体" w:cs="宋体"/>
        </w:rPr>
        <w:t>10.1.3 本单位人员的安全培训教育，确保工作人员符合岗位要求。</w:t>
      </w:r>
    </w:p>
    <w:p w14:paraId="749A29E8">
      <w:pPr>
        <w:pStyle w:val="8"/>
        <w:snapToGrid w:val="0"/>
        <w:spacing w:line="360" w:lineRule="auto"/>
        <w:ind w:firstLine="480"/>
        <w:rPr>
          <w:rFonts w:hint="eastAsia" w:hAnsi="宋体" w:cs="宋体"/>
        </w:rPr>
      </w:pPr>
      <w:r>
        <w:rPr>
          <w:rFonts w:hint="eastAsia" w:hAnsi="宋体" w:cs="宋体"/>
        </w:rPr>
        <w:t>10.1.4 云平台维护人员的定期业务培训和保密培训，重保前的业务培训和应急保障培训等。</w:t>
      </w:r>
    </w:p>
    <w:p w14:paraId="5946A057">
      <w:pPr>
        <w:pStyle w:val="8"/>
        <w:snapToGrid w:val="0"/>
        <w:spacing w:line="360" w:lineRule="auto"/>
        <w:ind w:firstLine="480"/>
        <w:rPr>
          <w:rFonts w:hint="eastAsia" w:hAnsi="宋体" w:cs="宋体"/>
        </w:rPr>
      </w:pPr>
      <w:r>
        <w:rPr>
          <w:rFonts w:hint="eastAsia" w:hAnsi="宋体" w:cs="宋体"/>
        </w:rPr>
        <w:t>10.1.5 面向管理单位的培训，确保此类人员充分了解云平台的技术架构、服务水平等。</w:t>
      </w:r>
    </w:p>
    <w:p w14:paraId="57D4D32A">
      <w:pPr>
        <w:pStyle w:val="7"/>
        <w:numPr>
          <w:ilvl w:val="0"/>
          <w:numId w:val="9"/>
        </w:numPr>
        <w:rPr>
          <w:rFonts w:hint="eastAsia" w:ascii="楷体" w:hAnsi="楷体" w:eastAsia="楷体" w:cs="楷体"/>
          <w:b/>
        </w:rPr>
      </w:pPr>
      <w:r>
        <w:rPr>
          <w:rFonts w:hint="eastAsia" w:ascii="楷体" w:hAnsi="楷体" w:eastAsia="楷体" w:cs="楷体"/>
          <w:b/>
        </w:rPr>
        <w:t>项目团队要求</w:t>
      </w:r>
    </w:p>
    <w:p w14:paraId="129D0D34">
      <w:pPr>
        <w:pStyle w:val="8"/>
        <w:numPr>
          <w:ilvl w:val="1"/>
          <w:numId w:val="11"/>
        </w:numPr>
        <w:tabs>
          <w:tab w:val="left" w:pos="312"/>
        </w:tabs>
        <w:snapToGrid w:val="0"/>
        <w:spacing w:line="360" w:lineRule="auto"/>
        <w:jc w:val="both"/>
        <w:rPr>
          <w:rFonts w:hint="eastAsia" w:hAnsi="宋体" w:cs="宋体"/>
        </w:rPr>
      </w:pPr>
      <w:r>
        <w:rPr>
          <w:rFonts w:hint="eastAsia" w:hAnsi="宋体" w:cs="宋体"/>
        </w:rPr>
        <w:t>服务期内，投标人须设有7×24小时电话响应服务，</w:t>
      </w:r>
      <w:r>
        <w:rPr>
          <w:rFonts w:ascii="Segoe UI" w:hAnsi="Segoe UI" w:cs="Segoe UI"/>
          <w:color w:val="0F1115"/>
          <w:shd w:val="clear" w:color="auto" w:fill="FFFFFF"/>
        </w:rPr>
        <w:t>并配备专职运维团队提供售后服务保障。投标人须在投标文件中提交</w:t>
      </w:r>
      <w:r>
        <w:rPr>
          <w:rStyle w:val="12"/>
          <w:rFonts w:ascii="Segoe UI" w:hAnsi="Segoe UI" w:cs="Segoe UI"/>
          <w:b w:val="0"/>
          <w:color w:val="0F1115"/>
          <w:shd w:val="clear" w:color="auto" w:fill="FFFFFF"/>
        </w:rPr>
        <w:t>团队组织架构图、岗位职责说明及人员简历</w:t>
      </w:r>
      <w:r>
        <w:rPr>
          <w:rFonts w:ascii="Segoe UI" w:hAnsi="Segoe UI" w:cs="Segoe UI"/>
          <w:b/>
          <w:color w:val="0F1115"/>
          <w:shd w:val="clear" w:color="auto" w:fill="FFFFFF"/>
        </w:rPr>
        <w:t>，</w:t>
      </w:r>
      <w:r>
        <w:rPr>
          <w:rFonts w:ascii="Segoe UI" w:hAnsi="Segoe UI" w:cs="Segoe UI"/>
          <w:color w:val="0F1115"/>
          <w:shd w:val="clear" w:color="auto" w:fill="FFFFFF"/>
        </w:rPr>
        <w:t>明确各成员职责分工。团队整体须具备与本项目相关的运维或系统迁移项目经验</w:t>
      </w:r>
      <w:r>
        <w:rPr>
          <w:rFonts w:hint="eastAsia" w:hAnsi="宋体" w:cs="宋体"/>
        </w:rPr>
        <w:t>。</w:t>
      </w:r>
    </w:p>
    <w:p w14:paraId="2E103CB0">
      <w:pPr>
        <w:pStyle w:val="8"/>
        <w:numPr>
          <w:ilvl w:val="1"/>
          <w:numId w:val="11"/>
        </w:numPr>
        <w:snapToGrid w:val="0"/>
        <w:spacing w:line="360" w:lineRule="auto"/>
        <w:jc w:val="both"/>
        <w:rPr>
          <w:rFonts w:hint="eastAsia" w:hAnsi="宋体" w:cs="宋体"/>
        </w:rPr>
      </w:pPr>
      <w:r>
        <w:rPr>
          <w:rFonts w:hint="eastAsia" w:hAnsi="宋体" w:cs="宋体"/>
        </w:rPr>
        <w:t>采购人有权对不满足要求的人员要求投标人进行更换。</w:t>
      </w:r>
      <w:r>
        <w:rPr>
          <w:rStyle w:val="12"/>
          <w:rFonts w:ascii="Segoe UI" w:hAnsi="Segoe UI" w:cs="Segoe UI"/>
          <w:b w:val="0"/>
          <w:color w:val="0F1115"/>
          <w:shd w:val="clear" w:color="auto" w:fill="FFFFFF"/>
        </w:rPr>
        <w:t>“不满足要求”包括但不限于：实际</w:t>
      </w:r>
      <w:r>
        <w:rPr>
          <w:rStyle w:val="12"/>
          <w:rFonts w:hint="eastAsia" w:ascii="Segoe UI" w:hAnsi="Segoe UI" w:cs="Segoe UI"/>
          <w:b w:val="0"/>
          <w:color w:val="0F1115"/>
          <w:shd w:val="clear" w:color="auto" w:fill="FFFFFF"/>
        </w:rPr>
        <w:t>团队</w:t>
      </w:r>
      <w:r>
        <w:rPr>
          <w:rStyle w:val="12"/>
          <w:rFonts w:ascii="Segoe UI" w:hAnsi="Segoe UI" w:cs="Segoe UI"/>
          <w:b w:val="0"/>
          <w:color w:val="0F1115"/>
          <w:shd w:val="clear" w:color="auto" w:fill="FFFFFF"/>
        </w:rPr>
        <w:t>人员资质、学历、经验与投标文件承诺不符；不能胜任岗位职责经书面指出后仍无明显改善；因个人原因导致工作节点连续延误2次以上</w:t>
      </w:r>
      <w:r>
        <w:rPr>
          <w:rStyle w:val="12"/>
          <w:rFonts w:hint="eastAsia" w:ascii="Segoe UI" w:hAnsi="Segoe UI" w:cs="Segoe UI"/>
          <w:b w:val="0"/>
          <w:color w:val="0F1115"/>
          <w:shd w:val="clear" w:color="auto" w:fill="FFFFFF"/>
        </w:rPr>
        <w:t>。</w:t>
      </w:r>
      <w:r>
        <w:rPr>
          <w:rFonts w:ascii="Segoe UI" w:hAnsi="Segoe UI" w:cs="Segoe UI"/>
          <w:color w:val="0F1115"/>
          <w:shd w:val="clear" w:color="auto" w:fill="FFFFFF"/>
        </w:rPr>
        <w:t>投标人应在收到采购人书面更换通知后 </w:t>
      </w:r>
      <w:r>
        <w:rPr>
          <w:rStyle w:val="12"/>
          <w:rFonts w:ascii="Segoe UI" w:hAnsi="Segoe UI" w:cs="Segoe UI"/>
          <w:b w:val="0"/>
          <w:color w:val="0F1115"/>
          <w:shd w:val="clear" w:color="auto" w:fill="FFFFFF"/>
        </w:rPr>
        <w:t>5个工作日内</w:t>
      </w:r>
      <w:r>
        <w:rPr>
          <w:rFonts w:ascii="Segoe UI" w:hAnsi="Segoe UI" w:cs="Segoe UI"/>
          <w:b/>
          <w:color w:val="0F1115"/>
          <w:shd w:val="clear" w:color="auto" w:fill="FFFFFF"/>
        </w:rPr>
        <w:t> </w:t>
      </w:r>
      <w:r>
        <w:rPr>
          <w:rFonts w:ascii="Segoe UI" w:hAnsi="Segoe UI" w:cs="Segoe UI"/>
          <w:color w:val="0F1115"/>
          <w:shd w:val="clear" w:color="auto" w:fill="FFFFFF"/>
        </w:rPr>
        <w:t>完成更换，更换人员资质和经验不得低于原人员，且须保证项目进度不受影响。若采购人认为工期和质量无法确保，投标人须在收到书面通知后 </w:t>
      </w:r>
      <w:r>
        <w:rPr>
          <w:rStyle w:val="12"/>
          <w:rFonts w:ascii="Segoe UI" w:hAnsi="Segoe UI" w:cs="Segoe UI"/>
          <w:b w:val="0"/>
          <w:color w:val="0F1115"/>
          <w:shd w:val="clear" w:color="auto" w:fill="FFFFFF"/>
        </w:rPr>
        <w:t>5个工作日内</w:t>
      </w:r>
      <w:r>
        <w:rPr>
          <w:rFonts w:ascii="Segoe UI" w:hAnsi="Segoe UI" w:cs="Segoe UI"/>
          <w:b/>
          <w:color w:val="0F1115"/>
          <w:shd w:val="clear" w:color="auto" w:fill="FFFFFF"/>
        </w:rPr>
        <w:t> </w:t>
      </w:r>
      <w:r>
        <w:rPr>
          <w:rFonts w:ascii="Segoe UI" w:hAnsi="Segoe UI" w:cs="Segoe UI"/>
          <w:color w:val="0F1115"/>
          <w:shd w:val="clear" w:color="auto" w:fill="FFFFFF"/>
        </w:rPr>
        <w:t>增加项目人员。</w:t>
      </w:r>
    </w:p>
    <w:p w14:paraId="3FF4F9A3">
      <w:pPr>
        <w:pStyle w:val="8"/>
        <w:numPr>
          <w:ilvl w:val="1"/>
          <w:numId w:val="11"/>
        </w:numPr>
        <w:snapToGrid w:val="0"/>
        <w:spacing w:line="360" w:lineRule="auto"/>
        <w:jc w:val="both"/>
        <w:rPr>
          <w:rFonts w:hint="eastAsia" w:hAnsi="宋体" w:cs="宋体"/>
        </w:rPr>
      </w:pPr>
      <w:r>
        <w:rPr>
          <w:rFonts w:hint="eastAsia" w:hAnsi="宋体" w:cs="宋体"/>
        </w:rPr>
        <w:t>投标人承诺项目团队全体成员要在项目正式验收前专职承担本项目相应工作。未经采购人许可不得变更，如确需变更应至少提前1个月通知采购人，并同时向采购人推荐能力和岗位对等的人员并做好工作交接。</w:t>
      </w:r>
    </w:p>
    <w:p w14:paraId="3419C9EB">
      <w:pPr>
        <w:pStyle w:val="8"/>
        <w:numPr>
          <w:ilvl w:val="1"/>
          <w:numId w:val="11"/>
        </w:numPr>
        <w:snapToGrid w:val="0"/>
        <w:spacing w:line="360" w:lineRule="auto"/>
        <w:jc w:val="both"/>
        <w:rPr>
          <w:rFonts w:hint="eastAsia" w:hAnsi="宋体" w:cs="宋体"/>
        </w:rPr>
      </w:pPr>
      <w:r>
        <w:rPr>
          <w:rFonts w:hint="eastAsia" w:hAnsi="宋体" w:cs="宋体"/>
        </w:rPr>
        <w:t>投标人承诺，拟投入本项目的项目团队人员将服从采购人的工作安排与管理，保证人员投入本项目的工作时间及任务饱满。项目实施期间，项目团队人员所产生的食宿、交通、通讯、社保费用均由投标人承担。</w:t>
      </w:r>
    </w:p>
    <w:p w14:paraId="3A01A132">
      <w:pPr>
        <w:pStyle w:val="8"/>
        <w:numPr>
          <w:ilvl w:val="1"/>
          <w:numId w:val="11"/>
        </w:numPr>
        <w:snapToGrid w:val="0"/>
        <w:spacing w:line="360" w:lineRule="auto"/>
        <w:jc w:val="both"/>
        <w:rPr>
          <w:rFonts w:hint="eastAsia" w:hAnsi="宋体" w:cs="宋体"/>
        </w:rPr>
      </w:pPr>
      <w:r>
        <w:rPr>
          <w:rFonts w:hint="eastAsia" w:hAnsi="宋体" w:cs="宋体"/>
        </w:rPr>
        <w:t>投标人须提供专业的技术团队为本项目提供服务，</w:t>
      </w:r>
      <w:r>
        <w:rPr>
          <w:rFonts w:ascii="Segoe UI" w:hAnsi="Segoe UI" w:cs="Segoe UI"/>
          <w:color w:val="0F1115"/>
          <w:shd w:val="clear" w:color="auto" w:fill="FFFFFF"/>
        </w:rPr>
        <w:t>具体岗位及要求如下：</w:t>
      </w:r>
    </w:p>
    <w:p w14:paraId="47A62A54">
      <w:pPr>
        <w:pStyle w:val="8"/>
        <w:snapToGrid w:val="0"/>
        <w:spacing w:line="360" w:lineRule="auto"/>
        <w:ind w:left="420" w:firstLine="720" w:firstLineChars="300"/>
        <w:jc w:val="both"/>
        <w:rPr>
          <w:rFonts w:hint="eastAsia" w:hAnsi="宋体" w:cs="宋体"/>
        </w:rPr>
      </w:pPr>
      <w:r>
        <w:t>①</w:t>
      </w:r>
      <w:r>
        <w:rPr>
          <w:rFonts w:hAnsi="宋体" w:cs="宋体"/>
        </w:rPr>
        <w:t xml:space="preserve"> </w:t>
      </w:r>
      <w:r>
        <w:rPr>
          <w:rFonts w:hint="eastAsia" w:hAnsi="宋体" w:cs="宋体"/>
        </w:rPr>
        <w:t>项目经理（1名，专职），负责项目执行过程中的把控、工作分派及问题处理等，须具备项目统筹管理能力。</w:t>
      </w:r>
    </w:p>
    <w:p w14:paraId="0FE938D7">
      <w:pPr>
        <w:pStyle w:val="8"/>
        <w:snapToGrid w:val="0"/>
        <w:spacing w:line="360" w:lineRule="auto"/>
        <w:ind w:left="420" w:firstLine="720" w:firstLineChars="300"/>
        <w:jc w:val="both"/>
        <w:rPr>
          <w:rFonts w:hint="eastAsia" w:hAnsi="宋体" w:cs="宋体"/>
        </w:rPr>
      </w:pPr>
      <w:r>
        <w:t>②</w:t>
      </w:r>
      <w:r>
        <w:rPr>
          <w:rFonts w:hAnsi="宋体" w:cs="宋体"/>
        </w:rPr>
        <w:t xml:space="preserve"> </w:t>
      </w:r>
      <w:r>
        <w:rPr>
          <w:rFonts w:hint="eastAsia" w:hAnsi="宋体" w:cs="宋体"/>
        </w:rPr>
        <w:t>技术负责人（1名，专职），负责本项目系统迁移和运维过程中的安全、网络策略处置、资源等技术难题，须具备云平台总体技术能力。</w:t>
      </w:r>
    </w:p>
    <w:p w14:paraId="5C63FED5">
      <w:pPr>
        <w:pStyle w:val="8"/>
        <w:snapToGrid w:val="0"/>
        <w:spacing w:line="360" w:lineRule="auto"/>
        <w:ind w:left="420" w:firstLine="720" w:firstLineChars="300"/>
        <w:jc w:val="both"/>
      </w:pPr>
      <w:r>
        <w:t>③</w:t>
      </w:r>
      <w:r>
        <w:rPr>
          <w:rFonts w:hAnsi="宋体" w:cs="宋体"/>
        </w:rPr>
        <w:t xml:space="preserve"> </w:t>
      </w:r>
      <w:r>
        <w:rPr>
          <w:rFonts w:hint="eastAsia" w:hAnsi="宋体" w:cs="宋体"/>
        </w:rPr>
        <w:t>团队其他人员（不少于3名），负责实施过程运维、安全等技术保障工作，须具备网络策略处置、资源及运维保障等能力。</w:t>
      </w:r>
    </w:p>
    <w:p w14:paraId="77071670">
      <w:pPr>
        <w:pStyle w:val="8"/>
        <w:snapToGrid w:val="0"/>
        <w:spacing w:line="360" w:lineRule="auto"/>
        <w:ind w:firstLine="480"/>
        <w:rPr>
          <w:rFonts w:hint="eastAsia" w:hAnsi="宋体" w:cs="宋体"/>
        </w:rPr>
      </w:pPr>
    </w:p>
    <w:p w14:paraId="1D873846">
      <w:pPr>
        <w:pStyle w:val="6"/>
        <w:rPr>
          <w:rFonts w:hint="eastAsia" w:ascii="楷体" w:hAnsi="楷体" w:eastAsia="楷体" w:cs="楷体"/>
          <w:u w:val="none"/>
        </w:rPr>
      </w:pPr>
      <w:r>
        <w:rPr>
          <w:rFonts w:hint="eastAsia" w:ascii="楷体" w:hAnsi="楷体" w:eastAsia="楷体" w:cs="楷体"/>
          <w:u w:val="none"/>
        </w:rPr>
        <w:t>（三）验收服务标准</w:t>
      </w:r>
    </w:p>
    <w:p w14:paraId="1139284C">
      <w:pPr>
        <w:pStyle w:val="7"/>
        <w:numPr>
          <w:ilvl w:val="0"/>
          <w:numId w:val="12"/>
        </w:numPr>
        <w:rPr>
          <w:rFonts w:hint="eastAsia" w:ascii="楷体" w:hAnsi="楷体" w:eastAsia="楷体" w:cs="楷体"/>
          <w:b/>
        </w:rPr>
      </w:pPr>
      <w:r>
        <w:rPr>
          <w:rFonts w:hint="eastAsia" w:ascii="楷体" w:hAnsi="楷体" w:eastAsia="楷体" w:cs="楷体"/>
          <w:b/>
        </w:rPr>
        <w:t>服务绩效指标</w:t>
      </w:r>
    </w:p>
    <w:p w14:paraId="58CBB4BD">
      <w:pPr>
        <w:pStyle w:val="2"/>
        <w:numPr>
          <w:ilvl w:val="1"/>
          <w:numId w:val="13"/>
        </w:numPr>
        <w:snapToGrid w:val="0"/>
        <w:rPr>
          <w:rFonts w:hint="eastAsia" w:cs="宋体"/>
        </w:rPr>
      </w:pPr>
      <w:r>
        <w:rPr>
          <w:rFonts w:hint="eastAsia" w:cs="宋体"/>
        </w:rPr>
        <w:t>云服务全年整体可用性≥99.9%；</w:t>
      </w:r>
    </w:p>
    <w:p w14:paraId="19E19B4B">
      <w:pPr>
        <w:pStyle w:val="2"/>
        <w:numPr>
          <w:ilvl w:val="1"/>
          <w:numId w:val="13"/>
        </w:numPr>
        <w:snapToGrid w:val="0"/>
        <w:spacing w:line="360" w:lineRule="auto"/>
        <w:rPr>
          <w:rFonts w:hint="eastAsia" w:cs="宋体"/>
        </w:rPr>
      </w:pPr>
      <w:r>
        <w:rPr>
          <w:rFonts w:hint="eastAsia" w:cs="宋体"/>
        </w:rPr>
        <w:t>故障响应率100%（</w:t>
      </w:r>
      <w:r>
        <w:rPr>
          <w:rFonts w:ascii="Segoe UI" w:hAnsi="Segoe UI" w:cs="Segoe UI"/>
          <w:color w:val="0F1115"/>
          <w:shd w:val="clear" w:color="auto" w:fill="FFFFFF"/>
        </w:rPr>
        <w:t>“响应”是指</w:t>
      </w:r>
      <w:r>
        <w:rPr>
          <w:rFonts w:hint="eastAsia" w:ascii="Segoe UI" w:hAnsi="Segoe UI" w:cs="Segoe UI"/>
          <w:color w:val="0F1115"/>
          <w:shd w:val="clear" w:color="auto" w:fill="FFFFFF"/>
        </w:rPr>
        <w:t>供应商</w:t>
      </w:r>
      <w:r>
        <w:rPr>
          <w:rFonts w:ascii="Segoe UI" w:hAnsi="Segoe UI" w:cs="Segoe UI"/>
          <w:color w:val="0F1115"/>
          <w:shd w:val="clear" w:color="auto" w:fill="FFFFFF"/>
        </w:rPr>
        <w:t>通过电话、邮件或即时通讯工具向采购人确认收到故障通知，并启动处置流程</w:t>
      </w:r>
      <w:r>
        <w:rPr>
          <w:rFonts w:hint="eastAsia" w:cs="宋体"/>
        </w:rPr>
        <w:t>）；</w:t>
      </w:r>
    </w:p>
    <w:p w14:paraId="7F0F3D8C">
      <w:pPr>
        <w:pStyle w:val="2"/>
        <w:numPr>
          <w:ilvl w:val="1"/>
          <w:numId w:val="13"/>
        </w:numPr>
        <w:snapToGrid w:val="0"/>
        <w:spacing w:line="360" w:lineRule="auto"/>
        <w:rPr>
          <w:rFonts w:hint="eastAsia" w:cs="宋体"/>
        </w:rPr>
      </w:pPr>
      <w:r>
        <w:rPr>
          <w:rFonts w:hint="eastAsia" w:cs="宋体"/>
        </w:rPr>
        <w:t>故障解决率1</w:t>
      </w:r>
      <w:r>
        <w:rPr>
          <w:rFonts w:cs="宋体"/>
        </w:rPr>
        <w:t>00%</w:t>
      </w:r>
      <w:r>
        <w:rPr>
          <w:rFonts w:hint="eastAsia" w:cs="宋体"/>
        </w:rPr>
        <w:t>（</w:t>
      </w:r>
      <w:r>
        <w:rPr>
          <w:rFonts w:ascii="Segoe UI" w:hAnsi="Segoe UI" w:cs="Segoe UI"/>
          <w:color w:val="0F1115"/>
          <w:shd w:val="clear" w:color="auto" w:fill="FFFFFF"/>
        </w:rPr>
        <w:t>“解决”是指故障根因已排除、业务功能恢复正常，并经采购人确认</w:t>
      </w:r>
      <w:r>
        <w:rPr>
          <w:rFonts w:hint="eastAsia" w:cs="宋体"/>
        </w:rPr>
        <w:t>）；</w:t>
      </w:r>
    </w:p>
    <w:p w14:paraId="06B911A2">
      <w:pPr>
        <w:pStyle w:val="2"/>
        <w:numPr>
          <w:ilvl w:val="1"/>
          <w:numId w:val="13"/>
        </w:numPr>
        <w:snapToGrid w:val="0"/>
        <w:spacing w:line="360" w:lineRule="auto"/>
        <w:rPr>
          <w:rFonts w:hint="eastAsia" w:cs="宋体"/>
        </w:rPr>
      </w:pPr>
      <w:r>
        <w:rPr>
          <w:rFonts w:hint="eastAsia" w:cs="宋体"/>
        </w:rPr>
        <w:t>应急响应时间≤5分钟（系统遭受严重的损失，造成长时间中断或局部瘫痪，业务处理能力受到极大影响的事件1分钟内响应）。</w:t>
      </w:r>
    </w:p>
    <w:p w14:paraId="04E62B61">
      <w:pPr>
        <w:pStyle w:val="7"/>
        <w:numPr>
          <w:ilvl w:val="0"/>
          <w:numId w:val="12"/>
        </w:numPr>
        <w:spacing w:line="360" w:lineRule="auto"/>
        <w:rPr>
          <w:rFonts w:hint="eastAsia" w:ascii="楷体" w:hAnsi="楷体" w:eastAsia="楷体" w:cs="楷体"/>
          <w:b/>
        </w:rPr>
      </w:pPr>
      <w:r>
        <w:rPr>
          <w:rFonts w:hint="eastAsia" w:ascii="楷体" w:hAnsi="楷体" w:eastAsia="楷体" w:cs="楷体"/>
          <w:b/>
        </w:rPr>
        <w:t>项目验收要求</w:t>
      </w:r>
    </w:p>
    <w:p w14:paraId="0D1ACC35">
      <w:pPr>
        <w:snapToGrid w:val="0"/>
        <w:spacing w:line="360" w:lineRule="auto"/>
        <w:ind w:firstLine="480" w:firstLineChars="200"/>
        <w:rPr>
          <w:rFonts w:hint="eastAsia" w:ascii="宋体" w:hAnsi="宋体" w:cs="宋体"/>
          <w:bCs/>
          <w:sz w:val="24"/>
        </w:rPr>
      </w:pPr>
      <w:r>
        <w:rPr>
          <w:rFonts w:hint="eastAsia" w:ascii="宋体" w:hAnsi="宋体" w:cs="宋体"/>
          <w:sz w:val="24"/>
        </w:rPr>
        <w:t>（1）</w:t>
      </w:r>
      <w:r>
        <w:rPr>
          <w:rFonts w:hint="eastAsia" w:ascii="宋体" w:hAnsi="宋体" w:cs="宋体"/>
          <w:bCs/>
          <w:sz w:val="24"/>
        </w:rPr>
        <w:t>投标人所提供的北京市市级政务云基础资源服务应遵循客观、科学、合理的原则。</w:t>
      </w:r>
    </w:p>
    <w:p w14:paraId="5818C7EC">
      <w:pPr>
        <w:snapToGrid w:val="0"/>
        <w:spacing w:line="360" w:lineRule="auto"/>
        <w:ind w:firstLine="480" w:firstLineChars="200"/>
        <w:rPr>
          <w:rFonts w:hint="eastAsia" w:ascii="宋体" w:hAnsi="宋体" w:cs="宋体"/>
          <w:bCs/>
          <w:sz w:val="24"/>
        </w:rPr>
      </w:pPr>
      <w:r>
        <w:rPr>
          <w:rFonts w:hint="eastAsia" w:ascii="宋体" w:hAnsi="宋体" w:cs="宋体"/>
          <w:sz w:val="24"/>
        </w:rPr>
        <w:t>（2）</w:t>
      </w:r>
      <w:r>
        <w:rPr>
          <w:rFonts w:hint="eastAsia" w:ascii="宋体" w:hAnsi="宋体" w:cs="宋体"/>
          <w:bCs/>
          <w:sz w:val="24"/>
        </w:rPr>
        <w:t>投标人所提供资源应满足采购文件规定的要求。保证合同期内系统安全稳定运行，不因硬件故障导致服务中断12小时及以上。</w:t>
      </w:r>
    </w:p>
    <w:p w14:paraId="49BA8B31">
      <w:pPr>
        <w:snapToGrid w:val="0"/>
        <w:spacing w:line="360" w:lineRule="auto"/>
        <w:ind w:firstLine="480" w:firstLineChars="200"/>
        <w:rPr>
          <w:rFonts w:hint="eastAsia" w:ascii="宋体" w:hAnsi="宋体" w:cs="宋体"/>
          <w:bCs/>
          <w:sz w:val="24"/>
        </w:rPr>
      </w:pPr>
      <w:r>
        <w:rPr>
          <w:rFonts w:hint="eastAsia" w:ascii="宋体" w:hAnsi="宋体" w:cs="宋体"/>
          <w:sz w:val="24"/>
        </w:rPr>
        <w:t>（3）</w:t>
      </w:r>
      <w:r>
        <w:rPr>
          <w:rFonts w:hint="eastAsia" w:ascii="宋体" w:hAnsi="宋体" w:cs="宋体"/>
          <w:bCs/>
          <w:sz w:val="24"/>
        </w:rPr>
        <w:t>服务期满后10个工作日开始对合同项目进行验收，投标人应当在采购人指定的验收日前向采购人提交验收报告。验收报告的内容包括但不限于，合同规定的各项服务清单，各系统设备运行情况。</w:t>
      </w:r>
    </w:p>
    <w:p w14:paraId="3245340F">
      <w:pPr>
        <w:pStyle w:val="8"/>
        <w:snapToGrid w:val="0"/>
        <w:spacing w:line="360" w:lineRule="auto"/>
        <w:ind w:firstLine="480"/>
        <w:jc w:val="both"/>
        <w:rPr>
          <w:rFonts w:hint="eastAsia" w:hAnsi="宋体" w:cs="宋体"/>
        </w:rPr>
      </w:pPr>
      <w:r>
        <w:rPr>
          <w:rFonts w:hint="eastAsia" w:hAnsi="宋体" w:cs="宋体"/>
        </w:rPr>
        <w:t>（4）服务期届满，投标人按照采购人要求完成所有项目，各项记录、报告等文档齐全，无任何系统遗留问题，并通过由采购人组织的专家验收评审，方可通过验收。</w:t>
      </w:r>
    </w:p>
    <w:p w14:paraId="31E0C239">
      <w:pPr>
        <w:pStyle w:val="6"/>
        <w:rPr>
          <w:rFonts w:hint="eastAsia" w:ascii="楷体" w:hAnsi="楷体" w:eastAsia="楷体" w:cs="楷体"/>
          <w:u w:val="none"/>
        </w:rPr>
      </w:pPr>
      <w:r>
        <w:rPr>
          <w:rFonts w:hint="eastAsia" w:ascii="楷体" w:hAnsi="楷体" w:eastAsia="楷体" w:cs="楷体"/>
          <w:u w:val="none"/>
        </w:rPr>
        <w:t>（四）其他要求</w:t>
      </w:r>
    </w:p>
    <w:bookmarkEnd w:id="4"/>
    <w:p w14:paraId="6B0854EE">
      <w:pPr>
        <w:pStyle w:val="7"/>
        <w:numPr>
          <w:ilvl w:val="0"/>
          <w:numId w:val="14"/>
        </w:numPr>
        <w:rPr>
          <w:rFonts w:hint="eastAsia" w:ascii="黑体" w:hAnsi="黑体" w:cs="黑体"/>
          <w:b/>
        </w:rPr>
      </w:pPr>
      <w:bookmarkStart w:id="5" w:name="_Toc24575"/>
      <w:r>
        <w:rPr>
          <w:rFonts w:hint="eastAsia" w:ascii="黑体" w:hAnsi="黑体" w:cs="黑体"/>
          <w:b/>
        </w:rPr>
        <w:t>保密要求</w:t>
      </w:r>
      <w:bookmarkEnd w:id="5"/>
    </w:p>
    <w:p w14:paraId="39AF2BE5">
      <w:pPr>
        <w:pStyle w:val="8"/>
        <w:snapToGrid w:val="0"/>
        <w:spacing w:line="360" w:lineRule="auto"/>
        <w:rPr>
          <w:rFonts w:hint="eastAsia" w:hAnsi="宋体" w:cs="宋体"/>
        </w:rPr>
      </w:pPr>
      <w:r>
        <w:rPr>
          <w:rFonts w:hint="eastAsia" w:hAnsi="宋体" w:cs="宋体"/>
        </w:rPr>
        <w:t>（1）投标人因承接本合同约定项目所知悉的该项目信息或采购人信息，以及在项目实施过程中所产生的与该项目有关的全部信息均为采购人的保密信息，投标人应按照采购人关于保密工作的相关要求，对上述保密信息承担保密义务。投标人须严格遵守信息安全规定，不得利用系统维护服务时的便利对采购人数据及其他信息擅自修改或透漏给第三方。</w:t>
      </w:r>
    </w:p>
    <w:p w14:paraId="1033B1C2">
      <w:pPr>
        <w:pStyle w:val="8"/>
        <w:snapToGrid w:val="0"/>
        <w:spacing w:line="360" w:lineRule="auto"/>
        <w:rPr>
          <w:rFonts w:hint="eastAsia" w:hAnsi="宋体" w:cs="宋体"/>
        </w:rPr>
      </w:pPr>
      <w:r>
        <w:rPr>
          <w:rFonts w:hint="eastAsia" w:hAnsi="宋体" w:cs="宋体"/>
        </w:rPr>
        <w:t>（2</w:t>
      </w:r>
      <w:r>
        <w:rPr>
          <w:rFonts w:hAnsi="宋体" w:cs="宋体"/>
        </w:rPr>
        <w:t>）</w:t>
      </w:r>
      <w:r>
        <w:rPr>
          <w:rFonts w:hint="eastAsia" w:hAnsi="宋体" w:cs="宋体"/>
        </w:rPr>
        <w:t>投标人应对上述保密信息予以妥善保存，并保证仅将其用于与完成本合同项下约定项目实施有关的用途或目的。在缺少相关保密条款约定时，对上述保密信息,投标人应至少采取适用于对自己商业秘密进行保护的同等保护措施和审慎程度进行保密。</w:t>
      </w:r>
    </w:p>
    <w:p w14:paraId="2A37107B">
      <w:pPr>
        <w:pStyle w:val="8"/>
        <w:snapToGrid w:val="0"/>
        <w:spacing w:line="360" w:lineRule="auto"/>
        <w:rPr>
          <w:rFonts w:hint="eastAsia" w:hAnsi="宋体" w:cs="宋体"/>
        </w:rPr>
      </w:pPr>
      <w:r>
        <w:rPr>
          <w:rFonts w:hint="eastAsia" w:hAnsi="宋体" w:cs="宋体"/>
        </w:rPr>
        <w:t>（3</w:t>
      </w:r>
      <w:r>
        <w:rPr>
          <w:rFonts w:hAnsi="宋体" w:cs="宋体"/>
        </w:rPr>
        <w:t>）</w:t>
      </w:r>
      <w:r>
        <w:rPr>
          <w:rFonts w:hint="eastAsia" w:hAnsi="宋体" w:cs="宋体"/>
        </w:rPr>
        <w:t>投标人保证将保密信息的披露范围严格控制在直接从事该项目工作且因工作需要有必要知悉保密信息的工作人员范围内,对投标人非从事该项目的人员一律严格保密。</w:t>
      </w:r>
    </w:p>
    <w:p w14:paraId="1D801095">
      <w:pPr>
        <w:pStyle w:val="8"/>
        <w:snapToGrid w:val="0"/>
        <w:spacing w:line="360" w:lineRule="auto"/>
        <w:rPr>
          <w:rFonts w:hint="eastAsia" w:hAnsi="宋体" w:cs="宋体"/>
        </w:rPr>
      </w:pPr>
      <w:r>
        <w:rPr>
          <w:rFonts w:hint="eastAsia" w:hAnsi="宋体" w:cs="宋体"/>
        </w:rPr>
        <w:t>（4</w:t>
      </w:r>
      <w:r>
        <w:rPr>
          <w:rFonts w:hAnsi="宋体" w:cs="宋体"/>
        </w:rPr>
        <w:t>）</w:t>
      </w:r>
      <w:r>
        <w:rPr>
          <w:rFonts w:hint="eastAsia" w:hAnsi="宋体" w:cs="宋体"/>
        </w:rPr>
        <w:t>投标人应保证在向其工作人员披露采购人的保密信息前，认真做好员工的保密教育工作，明确告知其将知悉的为采购人的保密信息，并明确告知其需承担的保密义务及泄密所应承担的法律责任，并要求全体参与该项目的人员签署书面《保密协议》。</w:t>
      </w:r>
    </w:p>
    <w:p w14:paraId="5508EC0F">
      <w:pPr>
        <w:pStyle w:val="8"/>
        <w:snapToGrid w:val="0"/>
        <w:spacing w:line="360" w:lineRule="auto"/>
        <w:rPr>
          <w:rFonts w:hint="eastAsia" w:hAnsi="宋体" w:cs="宋体"/>
        </w:rPr>
      </w:pPr>
      <w:r>
        <w:rPr>
          <w:rFonts w:hint="eastAsia" w:hAnsi="宋体" w:cs="宋体"/>
        </w:rPr>
        <w:t>（5</w:t>
      </w:r>
      <w:r>
        <w:rPr>
          <w:rFonts w:hAnsi="宋体" w:cs="宋体"/>
        </w:rPr>
        <w:t>）</w:t>
      </w:r>
      <w:r>
        <w:rPr>
          <w:rFonts w:hint="eastAsia" w:hAnsi="宋体" w:cs="宋体"/>
        </w:rPr>
        <w:t>任何时间内，一经采购人提出要求，投标人应按照采购人指示在收到采购人书面通知后 5 日内将含有保密信息的所有文件或其他资料归还采购人，且不得擅自复制留存。</w:t>
      </w:r>
    </w:p>
    <w:p w14:paraId="5254E3AC">
      <w:pPr>
        <w:pStyle w:val="8"/>
        <w:snapToGrid w:val="0"/>
        <w:spacing w:line="360" w:lineRule="auto"/>
        <w:rPr>
          <w:rFonts w:hint="eastAsia" w:hAnsi="宋体" w:cs="宋体"/>
        </w:rPr>
      </w:pPr>
      <w:r>
        <w:rPr>
          <w:rFonts w:hint="eastAsia" w:hAnsi="宋体" w:cs="宋体"/>
        </w:rPr>
        <w:t>（6</w:t>
      </w:r>
      <w:r>
        <w:rPr>
          <w:rFonts w:hAnsi="宋体" w:cs="宋体"/>
        </w:rPr>
        <w:t>）</w:t>
      </w:r>
      <w:r>
        <w:rPr>
          <w:rFonts w:hint="eastAsia" w:hAnsi="宋体" w:cs="宋体"/>
        </w:rPr>
        <w:t>非经采购人特别授权，采购人向投标人提供的任何保密信息并不包括授予投标人该保密信息包含的任何专利权、商标权、著作权、商业秘密或其它类型的知识产权。</w:t>
      </w:r>
    </w:p>
    <w:p w14:paraId="1DAF30BA">
      <w:pPr>
        <w:pStyle w:val="8"/>
        <w:snapToGrid w:val="0"/>
        <w:spacing w:line="360" w:lineRule="auto"/>
        <w:rPr>
          <w:rFonts w:hint="eastAsia" w:hAnsi="宋体" w:cs="宋体"/>
        </w:rPr>
      </w:pPr>
      <w:r>
        <w:rPr>
          <w:rFonts w:hint="eastAsia" w:hAnsi="宋体" w:cs="宋体"/>
        </w:rPr>
        <w:t>（7</w:t>
      </w:r>
      <w:r>
        <w:rPr>
          <w:rFonts w:hAnsi="宋体" w:cs="宋体"/>
        </w:rPr>
        <w:t>）</w:t>
      </w:r>
      <w:r>
        <w:rPr>
          <w:rFonts w:hint="eastAsia" w:hAnsi="宋体" w:cs="宋体"/>
        </w:rPr>
        <w:t>投标人承担上述保密义务的期限为合同有效期间及合同终止后2年，承担上述保密义务的责任主体为投标人（含投标人服务人员）。</w:t>
      </w:r>
    </w:p>
    <w:p w14:paraId="64ED10FB">
      <w:pPr>
        <w:pStyle w:val="8"/>
        <w:snapToGrid w:val="0"/>
        <w:spacing w:line="360" w:lineRule="auto"/>
        <w:rPr>
          <w:rFonts w:hint="eastAsia" w:hAnsi="宋体" w:cs="宋体"/>
        </w:rPr>
      </w:pPr>
      <w:r>
        <w:rPr>
          <w:rFonts w:hint="eastAsia" w:hAnsi="宋体" w:cs="宋体"/>
        </w:rPr>
        <w:t>（8</w:t>
      </w:r>
      <w:r>
        <w:rPr>
          <w:rFonts w:hAnsi="宋体" w:cs="宋体"/>
        </w:rPr>
        <w:t>）</w:t>
      </w:r>
      <w:r>
        <w:rPr>
          <w:rFonts w:hint="eastAsia" w:hAnsi="宋体" w:cs="宋体"/>
        </w:rPr>
        <w:t>在签订和履行合同过程中从采购人处获知的技术和商业秘密，无论在合同期限内亦或是合同终止后，均应遵守国家有关版权、专利、商标等知识产权方面的法律规定，尊重需求方的知识产权，对所知悉的采购人的技术秘密和商业秘密负有保密责任。</w:t>
      </w:r>
    </w:p>
    <w:p w14:paraId="75B15CF9">
      <w:pPr>
        <w:pStyle w:val="8"/>
        <w:snapToGrid w:val="0"/>
        <w:spacing w:line="360" w:lineRule="auto"/>
        <w:rPr>
          <w:rFonts w:hint="eastAsia" w:hAnsi="宋体" w:cs="宋体"/>
        </w:rPr>
      </w:pPr>
      <w:r>
        <w:rPr>
          <w:rFonts w:hint="eastAsia" w:hAnsi="宋体" w:cs="宋体"/>
        </w:rPr>
        <w:t>（9</w:t>
      </w:r>
      <w:r>
        <w:rPr>
          <w:rFonts w:hAnsi="宋体" w:cs="宋体"/>
        </w:rPr>
        <w:t>）</w:t>
      </w:r>
      <w:r>
        <w:rPr>
          <w:rFonts w:hint="eastAsia" w:hAnsi="宋体" w:cs="宋体"/>
        </w:rPr>
        <w:t>投标人应当对获悉的政务数据、个人信息等予以保密，不得用于其他用途，不得泄露、出售或者非法向他人提供。</w:t>
      </w:r>
    </w:p>
    <w:p w14:paraId="184A26E4">
      <w:pPr>
        <w:pStyle w:val="7"/>
        <w:numPr>
          <w:ilvl w:val="0"/>
          <w:numId w:val="14"/>
        </w:numPr>
        <w:rPr>
          <w:rFonts w:hint="eastAsia" w:ascii="黑体" w:hAnsi="黑体" w:cs="黑体"/>
          <w:b/>
        </w:rPr>
      </w:pPr>
      <w:bookmarkStart w:id="6" w:name="_Toc29944"/>
      <w:r>
        <w:rPr>
          <w:rFonts w:hint="eastAsia" w:ascii="黑体" w:hAnsi="黑体" w:cs="黑体"/>
          <w:b/>
        </w:rPr>
        <w:t>文档要求</w:t>
      </w:r>
    </w:p>
    <w:p w14:paraId="5E883FC0">
      <w:pPr>
        <w:pStyle w:val="15"/>
        <w:autoSpaceDE w:val="0"/>
        <w:autoSpaceDN w:val="0"/>
        <w:adjustRightInd w:val="0"/>
        <w:spacing w:line="360" w:lineRule="auto"/>
        <w:ind w:firstLineChars="175"/>
        <w:rPr>
          <w:rFonts w:ascii="宋体" w:cs="宋体"/>
          <w:kern w:val="0"/>
          <w:sz w:val="24"/>
        </w:rPr>
      </w:pPr>
      <w:r>
        <w:rPr>
          <w:rFonts w:hint="eastAsia" w:ascii="宋体" w:cs="宋体"/>
          <w:kern w:val="0"/>
          <w:sz w:val="24"/>
        </w:rPr>
        <w:t>全年运行维护服务结束后，投标人按要求提交服务总结报告，对全年工作进行总结，服务总结报告内容包括但不限于采购需求服务内容中要求的服务成果文件以及期间开展工作的过程记录等，以便采购人全面准确的了解维护服务实施情况。</w:t>
      </w:r>
    </w:p>
    <w:p w14:paraId="2C028091">
      <w:pPr>
        <w:pStyle w:val="15"/>
        <w:autoSpaceDE w:val="0"/>
        <w:autoSpaceDN w:val="0"/>
        <w:adjustRightInd w:val="0"/>
        <w:spacing w:line="360" w:lineRule="auto"/>
        <w:ind w:left="420" w:firstLine="0" w:firstLineChars="0"/>
        <w:rPr>
          <w:rFonts w:ascii="宋体" w:cs="宋体"/>
          <w:kern w:val="0"/>
          <w:sz w:val="24"/>
        </w:rPr>
      </w:pPr>
      <w:r>
        <w:rPr>
          <w:rFonts w:hint="eastAsia" w:ascii="宋体" w:cs="宋体"/>
          <w:kern w:val="0"/>
          <w:sz w:val="24"/>
        </w:rPr>
        <w:t>投标人每月结束后的</w:t>
      </w:r>
      <w:r>
        <w:rPr>
          <w:rFonts w:ascii="宋体" w:cs="宋体"/>
          <w:kern w:val="0"/>
          <w:sz w:val="24"/>
        </w:rPr>
        <w:t xml:space="preserve">10 </w:t>
      </w:r>
      <w:r>
        <w:rPr>
          <w:rFonts w:hint="eastAsia" w:ascii="宋体" w:cs="宋体"/>
          <w:kern w:val="0"/>
          <w:sz w:val="24"/>
        </w:rPr>
        <w:t>个工作日内，向采购人提供《月度服务总结报告》，以便</w:t>
      </w:r>
    </w:p>
    <w:p w14:paraId="770B1004">
      <w:pPr>
        <w:autoSpaceDE w:val="0"/>
        <w:autoSpaceDN w:val="0"/>
        <w:adjustRightInd w:val="0"/>
        <w:spacing w:line="360" w:lineRule="auto"/>
        <w:rPr>
          <w:rFonts w:ascii="宋体" w:cs="宋体"/>
          <w:kern w:val="0"/>
          <w:sz w:val="24"/>
        </w:rPr>
      </w:pPr>
      <w:r>
        <w:rPr>
          <w:rFonts w:hint="eastAsia" w:ascii="宋体" w:cs="宋体"/>
          <w:kern w:val="0"/>
          <w:sz w:val="24"/>
        </w:rPr>
        <w:t>采购人全面准确的了解维保服务实施情况。</w:t>
      </w:r>
    </w:p>
    <w:p w14:paraId="7E726562">
      <w:pPr>
        <w:pStyle w:val="15"/>
        <w:autoSpaceDE w:val="0"/>
        <w:autoSpaceDN w:val="0"/>
        <w:adjustRightInd w:val="0"/>
        <w:spacing w:line="360" w:lineRule="auto"/>
        <w:ind w:left="420" w:firstLine="0" w:firstLineChars="0"/>
        <w:rPr>
          <w:rFonts w:ascii="宋体" w:cs="宋体"/>
          <w:kern w:val="0"/>
          <w:sz w:val="24"/>
        </w:rPr>
      </w:pPr>
      <w:r>
        <w:rPr>
          <w:rFonts w:hint="eastAsia" w:ascii="宋体" w:cs="宋体"/>
          <w:kern w:val="0"/>
          <w:sz w:val="24"/>
        </w:rPr>
        <w:t>《月度服务总结》内容包括但不限于以下内容：</w:t>
      </w:r>
    </w:p>
    <w:p w14:paraId="05A84B3A">
      <w:pPr>
        <w:pStyle w:val="15"/>
        <w:autoSpaceDE w:val="0"/>
        <w:autoSpaceDN w:val="0"/>
        <w:adjustRightInd w:val="0"/>
        <w:spacing w:line="360" w:lineRule="auto"/>
        <w:ind w:left="420" w:firstLine="0" w:firstLineChars="0"/>
        <w:rPr>
          <w:rFonts w:ascii="宋体" w:cs="宋体"/>
          <w:kern w:val="0"/>
          <w:sz w:val="24"/>
        </w:rPr>
      </w:pPr>
      <w:r>
        <w:rPr>
          <w:rFonts w:hint="eastAsia" w:ascii="宋体" w:cs="宋体"/>
          <w:kern w:val="0"/>
          <w:sz w:val="24"/>
        </w:rPr>
        <w:t>（</w:t>
      </w:r>
      <w:r>
        <w:rPr>
          <w:rFonts w:ascii="宋体" w:cs="宋体"/>
          <w:kern w:val="0"/>
          <w:sz w:val="24"/>
        </w:rPr>
        <w:t>1</w:t>
      </w:r>
      <w:r>
        <w:rPr>
          <w:rFonts w:hint="eastAsia" w:ascii="宋体" w:cs="宋体"/>
          <w:kern w:val="0"/>
          <w:sz w:val="24"/>
        </w:rPr>
        <w:t>）服务情况的总结。对上个月度的所提供服务整体运行情况进行总结，统计服</w:t>
      </w:r>
    </w:p>
    <w:p w14:paraId="46FE63FA">
      <w:pPr>
        <w:autoSpaceDE w:val="0"/>
        <w:autoSpaceDN w:val="0"/>
        <w:adjustRightInd w:val="0"/>
        <w:spacing w:line="360" w:lineRule="auto"/>
        <w:rPr>
          <w:rFonts w:ascii="宋体" w:cs="宋体"/>
          <w:kern w:val="0"/>
          <w:sz w:val="24"/>
        </w:rPr>
      </w:pPr>
      <w:r>
        <w:rPr>
          <w:rFonts w:hint="eastAsia" w:ascii="宋体" w:cs="宋体"/>
          <w:kern w:val="0"/>
          <w:sz w:val="24"/>
        </w:rPr>
        <w:t>务内容开展情况及云资源利用率；评估每项服务的开展效果；总结分析遗留问题处理情况。</w:t>
      </w:r>
    </w:p>
    <w:p w14:paraId="284E3F1F">
      <w:pPr>
        <w:pStyle w:val="15"/>
        <w:autoSpaceDE w:val="0"/>
        <w:autoSpaceDN w:val="0"/>
        <w:adjustRightInd w:val="0"/>
        <w:spacing w:line="360" w:lineRule="auto"/>
        <w:ind w:left="420" w:firstLine="0" w:firstLineChars="0"/>
        <w:rPr>
          <w:rFonts w:ascii="宋体" w:cs="宋体"/>
          <w:kern w:val="0"/>
          <w:sz w:val="24"/>
        </w:rPr>
      </w:pPr>
      <w:r>
        <w:rPr>
          <w:rFonts w:hint="eastAsia" w:ascii="宋体" w:cs="宋体"/>
          <w:kern w:val="0"/>
          <w:sz w:val="24"/>
        </w:rPr>
        <w:t>（</w:t>
      </w:r>
      <w:r>
        <w:rPr>
          <w:rFonts w:ascii="宋体" w:cs="宋体"/>
          <w:kern w:val="0"/>
          <w:sz w:val="24"/>
        </w:rPr>
        <w:t>2</w:t>
      </w:r>
      <w:r>
        <w:rPr>
          <w:rFonts w:hint="eastAsia" w:ascii="宋体" w:cs="宋体"/>
          <w:kern w:val="0"/>
          <w:sz w:val="24"/>
        </w:rPr>
        <w:t>）故障统计及分析。对本月所提供服务范围内发生的故障进行统计分析，对故</w:t>
      </w:r>
    </w:p>
    <w:p w14:paraId="6EEE6E07">
      <w:pPr>
        <w:autoSpaceDE w:val="0"/>
        <w:autoSpaceDN w:val="0"/>
        <w:adjustRightInd w:val="0"/>
        <w:spacing w:line="360" w:lineRule="auto"/>
        <w:rPr>
          <w:rFonts w:ascii="宋体" w:cs="宋体"/>
          <w:kern w:val="0"/>
          <w:sz w:val="24"/>
        </w:rPr>
      </w:pPr>
      <w:r>
        <w:rPr>
          <w:rFonts w:hint="eastAsia" w:ascii="宋体" w:cs="宋体"/>
          <w:kern w:val="0"/>
          <w:sz w:val="24"/>
        </w:rPr>
        <w:t>障的发生原因、处理过程和处理结果进行详细说明，并给出预防该类故障再次发生的建议；</w:t>
      </w:r>
    </w:p>
    <w:p w14:paraId="6755BFAE">
      <w:pPr>
        <w:pStyle w:val="15"/>
        <w:spacing w:line="360" w:lineRule="auto"/>
        <w:ind w:left="-67" w:leftChars="-32"/>
        <w:rPr>
          <w:rFonts w:hint="eastAsia" w:hAnsi="宋体"/>
          <w:bCs/>
        </w:rPr>
      </w:pPr>
      <w:r>
        <w:rPr>
          <w:rFonts w:hint="eastAsia" w:ascii="宋体" w:cs="宋体"/>
          <w:kern w:val="0"/>
          <w:sz w:val="24"/>
        </w:rPr>
        <w:t>（</w:t>
      </w:r>
      <w:r>
        <w:rPr>
          <w:rFonts w:ascii="宋体" w:cs="宋体"/>
          <w:kern w:val="0"/>
          <w:sz w:val="24"/>
        </w:rPr>
        <w:t>3</w:t>
      </w:r>
      <w:r>
        <w:rPr>
          <w:rFonts w:hint="eastAsia" w:ascii="宋体" w:cs="宋体"/>
          <w:kern w:val="0"/>
          <w:sz w:val="24"/>
        </w:rPr>
        <w:t>）计划执行分析。分析项目计划执行情况，对计划未执行项或未按时执行项进行</w:t>
      </w:r>
      <w:r>
        <w:rPr>
          <w:rFonts w:hint="eastAsia" w:ascii="宋体" w:cs="宋体"/>
          <w:sz w:val="24"/>
        </w:rPr>
        <w:t>原因分析，分析隐含问题。当出现服务质量问题，需提出分析报告和整改措施。</w:t>
      </w:r>
      <w:bookmarkEnd w:id="6"/>
    </w:p>
    <w:p w14:paraId="1114587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Times New Roman Bold">
    <w:altName w:val="Times New Roman"/>
    <w:panose1 w:val="02020803070505020304"/>
    <w:charset w:val="00"/>
    <w:family w:val="auto"/>
    <w:pitch w:val="default"/>
    <w:sig w:usb0="00000000" w:usb1="00000000" w:usb2="00000009" w:usb3="00000000" w:csb0="400001FF" w:csb1="FFFF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10022FF" w:usb1="C000E47F" w:usb2="00000029" w:usb3="00000000"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0A1C6">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58FB32">
                          <w:pPr>
                            <w:pStyle w:val="9"/>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E58FB32">
                    <w:pPr>
                      <w:pStyle w:val="9"/>
                    </w:pPr>
                    <w:r>
                      <w:fldChar w:fldCharType="begin"/>
                    </w:r>
                    <w:r>
                      <w:instrText xml:space="preserve"> PAGE  \* MERGEFORMAT </w:instrText>
                    </w:r>
                    <w:r>
                      <w:fldChar w:fldCharType="separate"/>
                    </w:r>
                    <w:r>
                      <w:t>39</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5C2E3">
    <w:pPr>
      <w:pStyle w:val="9"/>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800505">
                          <w:pPr>
                            <w:pStyle w:val="9"/>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6800505">
                    <w:pPr>
                      <w:pStyle w:val="9"/>
                    </w:pPr>
                    <w:r>
                      <w:fldChar w:fldCharType="begin"/>
                    </w:r>
                    <w:r>
                      <w:instrText xml:space="preserve"> PAGE  \* MERGEFORMAT </w:instrText>
                    </w:r>
                    <w:r>
                      <w:fldChar w:fldCharType="separate"/>
                    </w:r>
                    <w:r>
                      <w:t>43</w:t>
                    </w:r>
                    <w:r>
                      <w:fldChar w:fldCharType="end"/>
                    </w:r>
                  </w:p>
                </w:txbxContent>
              </v:textbox>
            </v:shape>
          </w:pict>
        </mc:Fallback>
      </mc:AlternateContent>
    </w:r>
    <w:r>
      <w:rPr>
        <w:rFonts w:hint="eastAsia"/>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B15019"/>
    <w:multiLevelType w:val="multilevel"/>
    <w:tmpl w:val="07B1501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0E382C75"/>
    <w:multiLevelType w:val="multilevel"/>
    <w:tmpl w:val="0E382C75"/>
    <w:lvl w:ilvl="0" w:tentative="0">
      <w:start w:val="1"/>
      <w:numFmt w:val="chineseCountingThousand"/>
      <w:lvlText w:val="%1、"/>
      <w:lvlJc w:val="left"/>
      <w:pPr>
        <w:ind w:left="630" w:hanging="420"/>
      </w:p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2">
    <w:nsid w:val="18635258"/>
    <w:multiLevelType w:val="multilevel"/>
    <w:tmpl w:val="18635258"/>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A7B1356"/>
    <w:multiLevelType w:val="multilevel"/>
    <w:tmpl w:val="1A7B1356"/>
    <w:lvl w:ilvl="0" w:tentative="0">
      <w:start w:val="1"/>
      <w:numFmt w:val="japaneseCounting"/>
      <w:lvlText w:val="（%1）"/>
      <w:lvlJc w:val="left"/>
      <w:pPr>
        <w:ind w:left="765" w:hanging="76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BD43B5D"/>
    <w:multiLevelType w:val="multilevel"/>
    <w:tmpl w:val="1BD43B5D"/>
    <w:lvl w:ilvl="0" w:tentative="0">
      <w:start w:val="1"/>
      <w:numFmt w:val="decimal"/>
      <w:lvlText w:val="（%1）"/>
      <w:lvlJc w:val="left"/>
      <w:pPr>
        <w:ind w:left="420" w:hanging="420"/>
      </w:pPr>
      <w:rPr>
        <w:rFonts w:hint="default"/>
      </w:rPr>
    </w:lvl>
    <w:lvl w:ilvl="1" w:tentative="0">
      <w:start w:val="1"/>
      <w:numFmt w:val="decimal"/>
      <w:lvlText w:val="（%2）"/>
      <w:lvlJc w:val="left"/>
      <w:pPr>
        <w:ind w:left="840" w:hanging="4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1FCD4497"/>
    <w:multiLevelType w:val="multilevel"/>
    <w:tmpl w:val="1FCD4497"/>
    <w:lvl w:ilvl="0" w:tentative="0">
      <w:start w:val="1"/>
      <w:numFmt w:val="chineseCountingThousand"/>
      <w:lvlText w:val="%1、"/>
      <w:lvlJc w:val="left"/>
      <w:pPr>
        <w:ind w:left="420" w:hanging="420"/>
      </w:pPr>
      <w:rPr>
        <w:rFonts w:hint="eastAsia" w:ascii="Times New Roman Bold" w:hAnsi="Times New Roman Bold" w:cs="Times New Roman Bold"/>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5221164"/>
    <w:multiLevelType w:val="multilevel"/>
    <w:tmpl w:val="35221164"/>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7">
    <w:nsid w:val="390E0636"/>
    <w:multiLevelType w:val="multilevel"/>
    <w:tmpl w:val="390E0636"/>
    <w:lvl w:ilvl="0" w:tentative="0">
      <w:start w:val="1"/>
      <w:numFmt w:val="decimal"/>
      <w:lvlText w:val="%1."/>
      <w:lvlJc w:val="left"/>
      <w:pPr>
        <w:ind w:left="420" w:hanging="420"/>
      </w:pPr>
    </w:lvl>
    <w:lvl w:ilvl="1" w:tentative="0">
      <w:start w:val="1"/>
      <w:numFmt w:val="decimal"/>
      <w:isLgl/>
      <w:lvlText w:val="%1.%2"/>
      <w:lvlJc w:val="left"/>
      <w:pPr>
        <w:ind w:left="600" w:hanging="60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1080" w:hanging="108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440" w:hanging="1440"/>
      </w:pPr>
      <w:rPr>
        <w:rFonts w:hint="default"/>
      </w:rPr>
    </w:lvl>
    <w:lvl w:ilvl="6" w:tentative="0">
      <w:start w:val="1"/>
      <w:numFmt w:val="decimal"/>
      <w:isLgl/>
      <w:lvlText w:val="%1.%2.%3.%4.%5.%6.%7"/>
      <w:lvlJc w:val="left"/>
      <w:pPr>
        <w:ind w:left="1800" w:hanging="1800"/>
      </w:pPr>
      <w:rPr>
        <w:rFonts w:hint="default"/>
      </w:rPr>
    </w:lvl>
    <w:lvl w:ilvl="7" w:tentative="0">
      <w:start w:val="1"/>
      <w:numFmt w:val="decimal"/>
      <w:isLgl/>
      <w:lvlText w:val="%1.%2.%3.%4.%5.%6.%7.%8"/>
      <w:lvlJc w:val="left"/>
      <w:pPr>
        <w:ind w:left="1800" w:hanging="1800"/>
      </w:pPr>
      <w:rPr>
        <w:rFonts w:hint="default"/>
      </w:rPr>
    </w:lvl>
    <w:lvl w:ilvl="8" w:tentative="0">
      <w:start w:val="1"/>
      <w:numFmt w:val="decimal"/>
      <w:isLgl/>
      <w:lvlText w:val="%1.%2.%3.%4.%5.%6.%7.%8.%9"/>
      <w:lvlJc w:val="left"/>
      <w:pPr>
        <w:ind w:left="2160" w:hanging="2160"/>
      </w:pPr>
      <w:rPr>
        <w:rFonts w:hint="default"/>
      </w:rPr>
    </w:lvl>
  </w:abstractNum>
  <w:abstractNum w:abstractNumId="8">
    <w:nsid w:val="3AF934A5"/>
    <w:multiLevelType w:val="multilevel"/>
    <w:tmpl w:val="3AF934A5"/>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A2510AC"/>
    <w:multiLevelType w:val="multilevel"/>
    <w:tmpl w:val="5A2510AC"/>
    <w:lvl w:ilvl="0" w:tentative="0">
      <w:start w:val="1"/>
      <w:numFmt w:val="japaneseCounting"/>
      <w:lvlText w:val="（%1）"/>
      <w:lvlJc w:val="left"/>
      <w:pPr>
        <w:ind w:left="765" w:hanging="76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A44080D"/>
    <w:multiLevelType w:val="multilevel"/>
    <w:tmpl w:val="6A44080D"/>
    <w:lvl w:ilvl="0" w:tentative="0">
      <w:start w:val="1"/>
      <w:numFmt w:val="decimal"/>
      <w:lvlText w:val="（%1）"/>
      <w:lvlJc w:val="left"/>
      <w:pPr>
        <w:ind w:left="900" w:hanging="420"/>
      </w:pPr>
      <w:rPr>
        <w:rFonts w:hint="default"/>
      </w:rPr>
    </w:lvl>
    <w:lvl w:ilvl="1" w:tentative="0">
      <w:start w:val="1"/>
      <w:numFmt w:val="decimal"/>
      <w:lvlText w:val="（%2）"/>
      <w:lvlJc w:val="left"/>
      <w:pPr>
        <w:ind w:left="1320" w:hanging="42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6D2A2354"/>
    <w:multiLevelType w:val="multilevel"/>
    <w:tmpl w:val="6D2A2354"/>
    <w:lvl w:ilvl="0" w:tentative="0">
      <w:start w:val="1"/>
      <w:numFmt w:val="decimal"/>
      <w:lvlText w:val="%1."/>
      <w:lvlJc w:val="left"/>
      <w:pPr>
        <w:ind w:left="420" w:hanging="420"/>
      </w:pPr>
    </w:lvl>
    <w:lvl w:ilvl="1" w:tentative="0">
      <w:start w:val="1"/>
      <w:numFmt w:val="decimal"/>
      <w:lvlText w:val="（%2）"/>
      <w:lvlJc w:val="left"/>
      <w:pPr>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1A10E0F"/>
    <w:multiLevelType w:val="multilevel"/>
    <w:tmpl w:val="71A10E0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7D2C67BF"/>
    <w:multiLevelType w:val="multilevel"/>
    <w:tmpl w:val="7D2C67B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5"/>
  </w:num>
  <w:num w:numId="2">
    <w:abstractNumId w:val="1"/>
  </w:num>
  <w:num w:numId="3">
    <w:abstractNumId w:val="2"/>
  </w:num>
  <w:num w:numId="4">
    <w:abstractNumId w:val="13"/>
  </w:num>
  <w:num w:numId="5">
    <w:abstractNumId w:val="3"/>
  </w:num>
  <w:num w:numId="6">
    <w:abstractNumId w:val="8"/>
  </w:num>
  <w:num w:numId="7">
    <w:abstractNumId w:val="9"/>
  </w:num>
  <w:num w:numId="8">
    <w:abstractNumId w:val="12"/>
  </w:num>
  <w:num w:numId="9">
    <w:abstractNumId w:val="7"/>
  </w:num>
  <w:num w:numId="10">
    <w:abstractNumId w:val="6"/>
  </w:num>
  <w:num w:numId="11">
    <w:abstractNumId w:val="4"/>
  </w:num>
  <w:num w:numId="12">
    <w:abstractNumId w:val="11"/>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BA1E51"/>
    <w:rsid w:val="05BA1E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1"/>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1"/>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qFormat/>
    <w:uiPriority w:val="0"/>
    <w:pPr>
      <w:keepNext/>
      <w:keepLines/>
      <w:adjustRightInd w:val="0"/>
      <w:spacing w:before="280" w:after="290" w:line="376" w:lineRule="atLeast"/>
      <w:textAlignment w:val="baseline"/>
      <w:outlineLvl w:val="3"/>
    </w:pPr>
    <w:rPr>
      <w:kern w:val="0"/>
      <w:sz w:val="24"/>
      <w:szCs w:val="20"/>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tabs>
        <w:tab w:val="left" w:pos="567"/>
      </w:tabs>
      <w:spacing w:before="120" w:line="22" w:lineRule="atLeast"/>
    </w:pPr>
    <w:rPr>
      <w:rFonts w:ascii="宋体" w:hAnsi="宋体"/>
      <w:sz w:val="24"/>
    </w:rPr>
  </w:style>
  <w:style w:type="paragraph" w:customStyle="1" w:styleId="3">
    <w:name w:val="目录 11"/>
    <w:next w:val="1"/>
    <w:qFormat/>
    <w:uiPriority w:val="0"/>
    <w:pPr>
      <w:wordWrap w:val="0"/>
      <w:jc w:val="both"/>
    </w:pPr>
    <w:rPr>
      <w:rFonts w:ascii="Calibri" w:hAnsi="Calibri" w:eastAsia="宋体" w:cs="Calibri"/>
      <w:sz w:val="21"/>
      <w:szCs w:val="22"/>
      <w:lang w:val="en-US" w:eastAsia="zh-CN" w:bidi="ar-SA"/>
    </w:rPr>
  </w:style>
  <w:style w:type="paragraph" w:styleId="8">
    <w:name w:val="Normal Indent"/>
    <w:basedOn w:val="1"/>
    <w:qFormat/>
    <w:uiPriority w:val="0"/>
    <w:pPr>
      <w:autoSpaceDE w:val="0"/>
      <w:autoSpaceDN w:val="0"/>
      <w:adjustRightInd w:val="0"/>
      <w:ind w:firstLine="420"/>
      <w:jc w:val="left"/>
    </w:pPr>
    <w:rPr>
      <w:rFonts w:ascii="宋体"/>
      <w:sz w:val="24"/>
    </w:rPr>
  </w:style>
  <w:style w:type="paragraph" w:styleId="9">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character" w:styleId="12">
    <w:name w:val="Strong"/>
    <w:qFormat/>
    <w:uiPriority w:val="22"/>
    <w:rPr>
      <w:b/>
      <w:bCs/>
    </w:rPr>
  </w:style>
  <w:style w:type="paragraph" w:customStyle="1" w:styleId="13">
    <w:name w:val="正文 + 宋体"/>
    <w:basedOn w:val="1"/>
    <w:qFormat/>
    <w:uiPriority w:val="0"/>
    <w:pPr>
      <w:widowControl/>
      <w:ind w:left="360" w:hanging="360"/>
      <w:jc w:val="left"/>
    </w:pPr>
    <w:rPr>
      <w:rFonts w:ascii="宋体" w:hAnsi="宋体" w:cs="宋体"/>
      <w:b/>
      <w:bCs/>
      <w:color w:val="000000"/>
      <w:kern w:val="0"/>
      <w:sz w:val="18"/>
      <w:szCs w:val="18"/>
    </w:rPr>
  </w:style>
  <w:style w:type="character" w:customStyle="1" w:styleId="14">
    <w:name w:val="标题 3 Char Char"/>
    <w:qFormat/>
    <w:uiPriority w:val="0"/>
    <w:rPr>
      <w:rFonts w:eastAsia="宋体"/>
      <w:b/>
      <w:bCs/>
      <w:kern w:val="2"/>
      <w:sz w:val="32"/>
      <w:szCs w:val="32"/>
      <w:lang w:val="en-US" w:eastAsia="zh-CN" w:bidi="ar-SA"/>
    </w:rPr>
  </w:style>
  <w:style w:type="paragraph" w:styleId="15">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2026-10-16T02:57:00Z</dcterms:created>
  <dc:creator>高</dc:creator>
  <cp:lastModifiedBy>高</cp:lastModifiedBy>
  <dcterms:modified xsi:type="dcterms:W3CDTF">2026-10-16T02:58:05Z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ECCFAA7653D64A3498C3427D83C456FA_11</vt:lpwstr>
  </property>
  <property fmtid="{D5CDD505-2E9C-101B-9397-08002B2CF9AE}" pid="4" name="KSOTemplateDocerSaveRecord">
    <vt:lpwstr>eyJoZGlkIjoiZDAzMTVhNzdjOTQxODk0MzU2MGE0MzMxMTMxOWUxMTMiLCJ1c2VySWQiOiI0NjYwNDMyMDYifQ==</vt:lpwstr>
  </property>
</Properties>
</file>