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7B097">
      <w:pPr>
        <w:snapToGrid w:val="0"/>
        <w:spacing w:line="360" w:lineRule="auto"/>
        <w:jc w:val="center"/>
        <w:outlineLvl w:val="0"/>
        <w:rPr>
          <w:rFonts w:ascii="仿宋" w:hAnsi="仿宋" w:eastAsia="仿宋" w:cs="仿宋"/>
          <w:b/>
          <w:sz w:val="40"/>
          <w:szCs w:val="40"/>
        </w:rPr>
      </w:pPr>
      <w:bookmarkStart w:id="0" w:name="_Toc229437482"/>
      <w:bookmarkStart w:id="1" w:name="_Toc227684378"/>
      <w:r>
        <w:rPr>
          <w:rFonts w:hint="eastAsia" w:ascii="仿宋" w:hAnsi="仿宋" w:eastAsia="仿宋" w:cs="仿宋"/>
          <w:b/>
          <w:sz w:val="40"/>
          <w:szCs w:val="40"/>
        </w:rPr>
        <w:t>采购需求</w:t>
      </w:r>
      <w:bookmarkEnd w:id="0"/>
      <w:bookmarkEnd w:id="1"/>
    </w:p>
    <w:p w14:paraId="1693C60D">
      <w:pPr>
        <w:widowControl/>
        <w:snapToGrid w:val="0"/>
        <w:spacing w:line="360" w:lineRule="auto"/>
        <w:jc w:val="left"/>
        <w:rPr>
          <w:rFonts w:ascii="仿宋" w:hAnsi="仿宋" w:eastAsia="仿宋" w:cs="仿宋"/>
          <w:b/>
          <w:sz w:val="24"/>
        </w:rPr>
      </w:pPr>
      <w:r>
        <w:rPr>
          <w:rFonts w:hint="eastAsia" w:ascii="仿宋" w:hAnsi="仿宋" w:eastAsia="仿宋" w:cs="仿宋"/>
          <w:b/>
          <w:sz w:val="24"/>
        </w:rPr>
        <w:t>一、采购标的</w:t>
      </w:r>
    </w:p>
    <w:p w14:paraId="28673DF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（一）采购标的（货物需求一览表或简要服务内容及数量）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39"/>
        <w:gridCol w:w="3086"/>
        <w:gridCol w:w="1175"/>
        <w:gridCol w:w="934"/>
        <w:gridCol w:w="1439"/>
      </w:tblGrid>
      <w:tr w14:paraId="4EA9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698" w:type="dxa"/>
            <w:tcBorders>
              <w:tl2br w:val="nil"/>
              <w:tr2bl w:val="nil"/>
            </w:tcBorders>
            <w:noWrap/>
            <w:vAlign w:val="center"/>
          </w:tcPr>
          <w:p w14:paraId="1E8E4355">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包号</w:t>
            </w:r>
          </w:p>
        </w:tc>
        <w:tc>
          <w:tcPr>
            <w:tcW w:w="939" w:type="dxa"/>
            <w:tcBorders>
              <w:tl2br w:val="nil"/>
              <w:tr2bl w:val="nil"/>
            </w:tcBorders>
            <w:vAlign w:val="center"/>
          </w:tcPr>
          <w:p w14:paraId="404D5621">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品目号</w:t>
            </w:r>
          </w:p>
        </w:tc>
        <w:tc>
          <w:tcPr>
            <w:tcW w:w="3086" w:type="dxa"/>
            <w:tcBorders>
              <w:tl2br w:val="nil"/>
              <w:tr2bl w:val="nil"/>
            </w:tcBorders>
            <w:noWrap/>
            <w:vAlign w:val="center"/>
          </w:tcPr>
          <w:p w14:paraId="3B6F91E0">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标的名称</w:t>
            </w:r>
          </w:p>
        </w:tc>
        <w:tc>
          <w:tcPr>
            <w:tcW w:w="1175" w:type="dxa"/>
            <w:tcBorders>
              <w:tl2br w:val="nil"/>
              <w:tr2bl w:val="nil"/>
            </w:tcBorders>
            <w:noWrap/>
            <w:vAlign w:val="center"/>
          </w:tcPr>
          <w:p w14:paraId="33A58E6F">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数量</w:t>
            </w:r>
          </w:p>
        </w:tc>
        <w:tc>
          <w:tcPr>
            <w:tcW w:w="934" w:type="dxa"/>
            <w:tcBorders>
              <w:tl2br w:val="nil"/>
              <w:tr2bl w:val="nil"/>
            </w:tcBorders>
            <w:vAlign w:val="center"/>
          </w:tcPr>
          <w:p w14:paraId="607E15D0">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单位</w:t>
            </w:r>
          </w:p>
        </w:tc>
        <w:tc>
          <w:tcPr>
            <w:tcW w:w="1439" w:type="dxa"/>
            <w:tcBorders>
              <w:tl2br w:val="nil"/>
              <w:tr2bl w:val="nil"/>
            </w:tcBorders>
            <w:vAlign w:val="center"/>
          </w:tcPr>
          <w:p w14:paraId="5288A67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kern w:val="0"/>
                <w:sz w:val="24"/>
              </w:rPr>
              <w:t>是否接受进口产品</w:t>
            </w:r>
          </w:p>
        </w:tc>
      </w:tr>
      <w:tr w14:paraId="0D22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98" w:type="dxa"/>
            <w:tcBorders>
              <w:tl2br w:val="nil"/>
              <w:tr2bl w:val="nil"/>
            </w:tcBorders>
            <w:noWrap/>
            <w:vAlign w:val="center"/>
          </w:tcPr>
          <w:p w14:paraId="3C444125">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 w:val="24"/>
              </w:rPr>
            </w:pPr>
            <w:r>
              <w:rPr>
                <w:rFonts w:hint="eastAsia" w:ascii="仿宋" w:hAnsi="仿宋" w:eastAsia="仿宋" w:cs="仿宋"/>
                <w:bCs/>
                <w:sz w:val="24"/>
              </w:rPr>
              <w:t>2</w:t>
            </w:r>
          </w:p>
        </w:tc>
        <w:tc>
          <w:tcPr>
            <w:tcW w:w="939" w:type="dxa"/>
            <w:tcBorders>
              <w:tl2br w:val="nil"/>
              <w:tr2bl w:val="nil"/>
            </w:tcBorders>
            <w:vAlign w:val="center"/>
          </w:tcPr>
          <w:p w14:paraId="569EE8FC">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2-1</w:t>
            </w:r>
          </w:p>
        </w:tc>
        <w:tc>
          <w:tcPr>
            <w:tcW w:w="3086" w:type="dxa"/>
            <w:tcBorders>
              <w:tl2br w:val="nil"/>
              <w:tr2bl w:val="nil"/>
            </w:tcBorders>
            <w:noWrap/>
            <w:vAlign w:val="center"/>
          </w:tcPr>
          <w:p w14:paraId="5B8CFD7B">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热合机</w:t>
            </w:r>
          </w:p>
        </w:tc>
        <w:tc>
          <w:tcPr>
            <w:tcW w:w="1175" w:type="dxa"/>
            <w:tcBorders>
              <w:tl2br w:val="nil"/>
              <w:tr2bl w:val="nil"/>
            </w:tcBorders>
            <w:noWrap/>
            <w:vAlign w:val="center"/>
          </w:tcPr>
          <w:p w14:paraId="021CD2FD">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20</w:t>
            </w:r>
          </w:p>
        </w:tc>
        <w:tc>
          <w:tcPr>
            <w:tcW w:w="934" w:type="dxa"/>
            <w:tcBorders>
              <w:tl2br w:val="nil"/>
              <w:tr2bl w:val="nil"/>
            </w:tcBorders>
            <w:vAlign w:val="center"/>
          </w:tcPr>
          <w:p w14:paraId="68C62E55">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7B18190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否</w:t>
            </w:r>
          </w:p>
        </w:tc>
      </w:tr>
    </w:tbl>
    <w:p w14:paraId="7B584095">
      <w:pPr>
        <w:snapToGrid w:val="0"/>
        <w:spacing w:line="360" w:lineRule="auto"/>
        <w:ind w:firstLine="482" w:firstLineChars="200"/>
        <w:rPr>
          <w:rFonts w:ascii="仿宋" w:hAnsi="仿宋" w:eastAsia="仿宋" w:cs="仿宋"/>
          <w:b/>
          <w:bCs/>
          <w:sz w:val="24"/>
        </w:rPr>
      </w:pPr>
    </w:p>
    <w:p w14:paraId="292BD847">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（二）项目背景/项目概述（如有）</w:t>
      </w:r>
    </w:p>
    <w:p w14:paraId="0A144806">
      <w:pPr>
        <w:snapToGrid w:val="0"/>
        <w:spacing w:line="360" w:lineRule="auto"/>
        <w:ind w:firstLine="480" w:firstLineChars="200"/>
        <w:rPr>
          <w:rFonts w:ascii="仿宋" w:hAnsi="仿宋" w:eastAsia="仿宋" w:cs="仿宋"/>
          <w:bCs/>
          <w:sz w:val="24"/>
        </w:rPr>
      </w:pPr>
      <w:r>
        <w:rPr>
          <w:rFonts w:hint="eastAsia" w:ascii="仿宋" w:hAnsi="仿宋" w:eastAsia="仿宋"/>
          <w:sz w:val="24"/>
        </w:rPr>
        <w:t>本次招标采购是为北京市红十字血液中心购置</w:t>
      </w:r>
      <w:r>
        <w:rPr>
          <w:rFonts w:hint="eastAsia" w:ascii="仿宋" w:hAnsi="仿宋" w:eastAsia="仿宋"/>
          <w:sz w:val="24"/>
          <w:lang w:val="en-US" w:eastAsia="zh-CN"/>
        </w:rPr>
        <w:t>采血点设备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0173DCD">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21A9F765">
      <w:pPr>
        <w:snapToGrid w:val="0"/>
        <w:spacing w:line="360" w:lineRule="auto"/>
        <w:ind w:firstLine="482" w:firstLineChars="200"/>
        <w:rPr>
          <w:rFonts w:ascii="仿宋" w:hAnsi="仿宋" w:eastAsia="仿宋" w:cs="仿宋"/>
          <w:b/>
          <w:bCs/>
          <w:sz w:val="28"/>
          <w:szCs w:val="28"/>
        </w:rPr>
      </w:pPr>
      <w:r>
        <w:rPr>
          <w:rFonts w:hint="eastAsia" w:ascii="仿宋" w:hAnsi="仿宋" w:eastAsia="仿宋" w:cs="仿宋"/>
          <w:b/>
          <w:bCs/>
          <w:sz w:val="24"/>
        </w:rPr>
        <w:t>（一）交付（实施）的时间（期限）和地点（范围）</w:t>
      </w:r>
    </w:p>
    <w:p w14:paraId="00EB1E8A">
      <w:pPr>
        <w:snapToGrid w:val="0"/>
        <w:spacing w:line="360" w:lineRule="auto"/>
        <w:ind w:firstLine="480" w:firstLineChars="200"/>
        <w:rPr>
          <w:rFonts w:hint="eastAsia" w:ascii="仿宋_GB2312" w:hAnsi="Times New Roman" w:eastAsia="仿宋_GB2312" w:cs="Times New Roman"/>
          <w:sz w:val="24"/>
          <w:lang w:val="en-US" w:eastAsia="zh-CN"/>
        </w:rPr>
      </w:pPr>
      <w:r>
        <w:rPr>
          <w:rFonts w:hint="eastAsia" w:ascii="仿宋" w:hAnsi="仿宋" w:eastAsia="仿宋" w:cs="仿宋"/>
          <w:bCs/>
          <w:sz w:val="24"/>
        </w:rPr>
        <w:t>1、</w:t>
      </w:r>
      <w:r>
        <w:rPr>
          <w:rFonts w:hint="eastAsia" w:ascii="仿宋" w:hAnsi="仿宋" w:eastAsia="仿宋" w:cs="仿宋"/>
          <w:bCs/>
          <w:sz w:val="24"/>
          <w:lang w:val="en-US" w:eastAsia="zh-CN"/>
        </w:rPr>
        <w:t>交付时间：第2包：投标人</w:t>
      </w:r>
      <w:r>
        <w:rPr>
          <w:rFonts w:hint="eastAsia" w:ascii="仿宋_GB2312" w:hAnsi="Times New Roman" w:eastAsia="仿宋_GB2312" w:cs="Times New Roman"/>
          <w:sz w:val="24"/>
        </w:rPr>
        <w:t>负责办理运输和保险，将货物运抵现场。有关运输和保险的一切费用由</w:t>
      </w:r>
      <w:r>
        <w:rPr>
          <w:rFonts w:hint="eastAsia" w:ascii="仿宋_GB2312" w:eastAsia="仿宋_GB2312" w:cs="Times New Roman"/>
          <w:sz w:val="24"/>
          <w:lang w:val="en-US" w:eastAsia="zh-CN"/>
        </w:rPr>
        <w:t>投标人</w:t>
      </w:r>
      <w:r>
        <w:rPr>
          <w:rFonts w:hint="eastAsia" w:ascii="仿宋_GB2312" w:hAnsi="Times New Roman" w:eastAsia="仿宋_GB2312" w:cs="Times New Roman"/>
          <w:sz w:val="24"/>
        </w:rPr>
        <w:t>承担。合同签订后</w:t>
      </w:r>
      <w:r>
        <w:rPr>
          <w:rFonts w:hint="eastAsia" w:ascii="仿宋_GB2312" w:hAnsi="Times New Roman" w:eastAsia="仿宋_GB2312" w:cs="Times New Roman"/>
          <w:sz w:val="24"/>
          <w:highlight w:val="none"/>
          <w:u w:val="none"/>
        </w:rPr>
        <w:t>30</w:t>
      </w:r>
      <w:r>
        <w:rPr>
          <w:rFonts w:hint="eastAsia" w:ascii="仿宋_GB2312" w:hAnsi="Times New Roman" w:eastAsia="仿宋_GB2312" w:cs="Times New Roman"/>
          <w:sz w:val="24"/>
          <w:highlight w:val="none"/>
        </w:rPr>
        <w:t>日</w:t>
      </w:r>
      <w:r>
        <w:rPr>
          <w:rFonts w:hint="eastAsia" w:ascii="仿宋_GB2312" w:hAnsi="Times New Roman" w:eastAsia="仿宋_GB2312" w:cs="Times New Roman"/>
          <w:sz w:val="24"/>
        </w:rPr>
        <w:t>内</w:t>
      </w:r>
      <w:r>
        <w:rPr>
          <w:rFonts w:hint="eastAsia" w:ascii="仿宋_GB2312" w:eastAsia="仿宋_GB2312" w:cs="Times New Roman"/>
          <w:sz w:val="24"/>
          <w:lang w:eastAsia="zh-CN"/>
        </w:rPr>
        <w:t>。</w:t>
      </w:r>
      <w:r>
        <w:rPr>
          <w:rFonts w:hint="eastAsia" w:ascii="仿宋_GB2312" w:hAnsi="Times New Roman" w:eastAsia="仿宋_GB2312" w:cs="Times New Roman"/>
          <w:sz w:val="24"/>
        </w:rPr>
        <w:t>货物运抵</w:t>
      </w:r>
      <w:r>
        <w:rPr>
          <w:rFonts w:hint="eastAsia" w:ascii="仿宋_GB2312" w:eastAsia="仿宋_GB2312" w:cs="Times New Roman"/>
          <w:sz w:val="24"/>
          <w:lang w:val="en-US" w:eastAsia="zh-CN"/>
        </w:rPr>
        <w:t>采购人</w:t>
      </w:r>
      <w:r>
        <w:rPr>
          <w:rFonts w:hint="eastAsia" w:ascii="仿宋_GB2312" w:hAnsi="Times New Roman" w:eastAsia="仿宋_GB2312" w:cs="Times New Roman"/>
          <w:sz w:val="24"/>
        </w:rPr>
        <w:t>指定现场前的风险由卖方承担。</w:t>
      </w:r>
    </w:p>
    <w:p w14:paraId="6B68E47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2、交付地点：北京市红十字血液中心（</w:t>
      </w:r>
      <w:r>
        <w:rPr>
          <w:rFonts w:hint="eastAsia" w:ascii="仿宋_GB2312" w:eastAsia="仿宋_GB2312" w:hAnsiTheme="minorHAnsi"/>
          <w:sz w:val="24"/>
        </w:rPr>
        <w:t>北京市海淀区北三环中路37号</w:t>
      </w:r>
      <w:r>
        <w:rPr>
          <w:rFonts w:hint="eastAsia" w:ascii="仿宋" w:hAnsi="仿宋" w:eastAsia="仿宋" w:cs="仿宋"/>
          <w:bCs/>
          <w:sz w:val="24"/>
        </w:rPr>
        <w:t>）。</w:t>
      </w:r>
    </w:p>
    <w:p w14:paraId="381F329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（二）付款条件（进度和方式）</w:t>
      </w:r>
    </w:p>
    <w:p w14:paraId="18AABB24">
      <w:pPr>
        <w:spacing w:line="360" w:lineRule="auto"/>
        <w:ind w:firstLine="480"/>
        <w:rPr>
          <w:rFonts w:ascii="仿宋" w:hAnsi="仿宋" w:eastAsia="仿宋" w:cs="仿宋"/>
          <w:b/>
          <w:bCs/>
          <w:sz w:val="24"/>
        </w:rPr>
      </w:pPr>
      <w:r>
        <w:rPr>
          <w:rFonts w:hint="eastAsia" w:ascii="仿宋" w:hAnsi="仿宋" w:eastAsia="仿宋"/>
          <w:sz w:val="24"/>
        </w:rPr>
        <w:t>参照合同文本中的付款方式及进度执行。</w:t>
      </w:r>
    </w:p>
    <w:p w14:paraId="49A512EE">
      <w:pPr>
        <w:pStyle w:val="2"/>
        <w:rPr>
          <w:b/>
        </w:rPr>
      </w:pPr>
    </w:p>
    <w:p w14:paraId="3D7F6CB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（三）包装和运输</w:t>
      </w:r>
    </w:p>
    <w:p w14:paraId="07EAC0D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w:t>
      </w:r>
      <w:r>
        <w:rPr>
          <w:rFonts w:hint="eastAsia" w:ascii="仿宋_GB2312" w:hAnsi="宋体" w:eastAsia="仿宋_GB2312"/>
          <w:sz w:val="24"/>
        </w:rPr>
        <w:t>《关于印发〈商品包装政府采购需求标准（试行）〉、〈快递包装政府采购需求标准（试行）〉的通知》（财办库﹝2020﹞123号）</w:t>
      </w:r>
      <w:r>
        <w:rPr>
          <w:rFonts w:hint="eastAsia" w:ascii="仿宋" w:hAnsi="仿宋" w:eastAsia="仿宋" w:cs="仿宋"/>
          <w:bCs/>
          <w:sz w:val="24"/>
        </w:rPr>
        <w:t>的规定。</w:t>
      </w:r>
    </w:p>
    <w:p w14:paraId="12DD06C3">
      <w:pPr>
        <w:snapToGrid w:val="0"/>
        <w:spacing w:line="360" w:lineRule="auto"/>
        <w:ind w:firstLine="480" w:firstLineChars="200"/>
        <w:rPr>
          <w:rFonts w:ascii="仿宋" w:hAnsi="仿宋" w:eastAsia="仿宋" w:cs="仿宋"/>
          <w:bCs/>
          <w:sz w:val="24"/>
        </w:rPr>
      </w:pPr>
    </w:p>
    <w:p w14:paraId="4D5137A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（四）售后服务（质保期）</w:t>
      </w:r>
    </w:p>
    <w:p w14:paraId="04240763">
      <w:pPr>
        <w:snapToGrid w:val="0"/>
        <w:spacing w:line="360" w:lineRule="auto"/>
        <w:ind w:firstLine="480" w:firstLineChars="200"/>
        <w:rPr>
          <w:rFonts w:hint="eastAsia" w:ascii="仿宋" w:hAnsi="仿宋" w:eastAsia="仿宋" w:cs="Times New Roman"/>
          <w:sz w:val="24"/>
          <w:lang w:val="en-US" w:eastAsia="zh-CN"/>
        </w:rPr>
      </w:pPr>
      <w:r>
        <w:rPr>
          <w:rFonts w:hint="eastAsia" w:ascii="仿宋" w:hAnsi="仿宋" w:eastAsia="仿宋" w:cs="Times New Roman"/>
          <w:sz w:val="24"/>
          <w:lang w:val="en-US" w:eastAsia="zh-CN"/>
        </w:rPr>
        <w:t>第2包：货物质保期72个月，自验收合格之日起计算。</w:t>
      </w:r>
    </w:p>
    <w:p w14:paraId="7AC51FCE">
      <w:pPr>
        <w:snapToGrid w:val="0"/>
        <w:spacing w:line="360" w:lineRule="auto"/>
        <w:ind w:firstLine="480" w:firstLineChars="200"/>
        <w:rPr>
          <w:rFonts w:hint="default" w:ascii="仿宋_GB2312" w:eastAsia="仿宋_GB2312" w:cs="Times New Roman" w:hAnsiTheme="minorHAnsi"/>
          <w:kern w:val="2"/>
          <w:sz w:val="24"/>
          <w:szCs w:val="22"/>
          <w:lang w:val="en-US" w:eastAsia="zh-CN" w:bidi="ar-SA"/>
        </w:rPr>
      </w:pPr>
    </w:p>
    <w:p w14:paraId="40AB448B">
      <w:pPr>
        <w:pStyle w:val="2"/>
      </w:pPr>
    </w:p>
    <w:p w14:paraId="5863E0D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23D2007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（一）基本要求</w:t>
      </w:r>
    </w:p>
    <w:p w14:paraId="32BC2D4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1、采购标的需实现的功能或者目标</w:t>
      </w:r>
    </w:p>
    <w:p w14:paraId="57901163">
      <w:pPr>
        <w:snapToGrid w:val="0"/>
        <w:spacing w:line="360" w:lineRule="auto"/>
        <w:ind w:firstLine="480" w:firstLineChars="200"/>
        <w:rPr>
          <w:rFonts w:ascii="仿宋" w:hAnsi="仿宋" w:eastAsia="仿宋"/>
          <w:sz w:val="24"/>
        </w:rPr>
      </w:pPr>
      <w:r>
        <w:rPr>
          <w:rFonts w:hint="eastAsia" w:ascii="仿宋" w:hAnsi="仿宋" w:eastAsia="仿宋"/>
          <w:sz w:val="24"/>
        </w:rPr>
        <w:t>本次招标采购是为北京市红十字血液中心购置</w:t>
      </w:r>
      <w:r>
        <w:rPr>
          <w:rFonts w:hint="eastAsia" w:ascii="仿宋" w:hAnsi="仿宋" w:eastAsia="仿宋"/>
          <w:sz w:val="24"/>
          <w:lang w:val="en-US" w:eastAsia="zh-CN"/>
        </w:rPr>
        <w:t>采血点设备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51D18906">
      <w:pPr>
        <w:pStyle w:val="2"/>
      </w:pPr>
    </w:p>
    <w:p w14:paraId="45C59A65">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2、需执行的国家相关标准、行业标准、地方标准或者其他标准、规范</w:t>
      </w:r>
    </w:p>
    <w:p w14:paraId="7E0B9D61">
      <w:pPr>
        <w:spacing w:line="360" w:lineRule="auto"/>
        <w:ind w:firstLine="480" w:firstLineChars="200"/>
        <w:rPr>
          <w:rFonts w:ascii="仿宋" w:hAnsi="仿宋" w:eastAsia="仿宋"/>
          <w:kern w:val="0"/>
          <w:sz w:val="24"/>
        </w:rPr>
      </w:pPr>
      <w:r>
        <w:rPr>
          <w:rFonts w:hint="eastAsia" w:ascii="仿宋" w:hAnsi="仿宋" w:eastAsia="仿宋"/>
          <w:kern w:val="0"/>
          <w:sz w:val="24"/>
        </w:rPr>
        <w:t>★1.投标产品属于医疗器械的，应按原国家食品药品监督管理总局颁发的《医疗器械注册管理办法》，办理医疗器械注册证或者办理备案，投标人须提供医疗器械注册证复印件或备案凭证。</w:t>
      </w:r>
    </w:p>
    <w:p w14:paraId="2DA2F328">
      <w:pPr>
        <w:spacing w:line="360" w:lineRule="auto"/>
        <w:ind w:firstLine="480" w:firstLineChars="200"/>
        <w:rPr>
          <w:rFonts w:ascii="仿宋" w:hAnsi="仿宋" w:eastAsia="仿宋"/>
          <w:kern w:val="0"/>
          <w:sz w:val="24"/>
        </w:rPr>
      </w:pPr>
      <w:r>
        <w:rPr>
          <w:rFonts w:hint="eastAsia" w:ascii="仿宋" w:hAnsi="仿宋" w:eastAsia="仿宋"/>
          <w:kern w:val="0"/>
          <w:sz w:val="24"/>
        </w:rPr>
        <w:t>★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78EA3C99">
      <w:pPr>
        <w:spacing w:line="360" w:lineRule="auto"/>
        <w:ind w:firstLine="480" w:firstLineChars="200"/>
        <w:rPr>
          <w:rFonts w:ascii="仿宋" w:hAnsi="仿宋" w:eastAsia="仿宋"/>
          <w:kern w:val="0"/>
          <w:sz w:val="24"/>
        </w:rPr>
      </w:pPr>
      <w:r>
        <w:rPr>
          <w:rFonts w:hint="eastAsia" w:ascii="仿宋" w:hAnsi="仿宋" w:eastAsia="仿宋"/>
          <w:kern w:val="0"/>
          <w:sz w:val="24"/>
        </w:rPr>
        <w:t>★3.投标产品属于辐射或射线类的设备或材料的，需提供投标人的辐射安全许可证复印件（不适用的情况除外）。投标产品属于压力容器的，投标人需要根据国家特种设备制造相关管理规定，提供投标产品制造商的特种设备制造许可证（压力容器）。</w:t>
      </w:r>
    </w:p>
    <w:p w14:paraId="65762CE7">
      <w:pPr>
        <w:spacing w:line="360" w:lineRule="auto"/>
        <w:ind w:firstLine="480" w:firstLineChars="200"/>
        <w:rPr>
          <w:rFonts w:ascii="仿宋" w:hAnsi="仿宋" w:eastAsia="仿宋"/>
          <w:kern w:val="0"/>
          <w:sz w:val="24"/>
        </w:rPr>
      </w:pPr>
      <w:r>
        <w:rPr>
          <w:rFonts w:hint="eastAsia" w:ascii="仿宋" w:hAnsi="仿宋" w:eastAsia="仿宋"/>
          <w:kern w:val="0"/>
          <w:sz w:val="24"/>
        </w:rPr>
        <w:t>★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A8A0625">
      <w:pPr>
        <w:pStyle w:val="7"/>
        <w:spacing w:beforeLines="50" w:line="360" w:lineRule="auto"/>
        <w:ind w:firstLine="480" w:firstLineChars="200"/>
        <w:rPr>
          <w:rFonts w:ascii="仿宋" w:hAnsi="仿宋" w:eastAsia="仿宋"/>
          <w:b/>
          <w:szCs w:val="24"/>
        </w:rPr>
      </w:pPr>
      <w:r>
        <w:rPr>
          <w:rFonts w:hint="eastAsia" w:ascii="仿宋" w:hAnsi="仿宋" w:eastAsia="仿宋"/>
          <w:kern w:val="0"/>
        </w:rPr>
        <w:t>5．投标产品的包装应符合《财政部等三部门联合印发商品包装和快递包装政府采购需求标准（试行）》（财办库〔2020〕123号）的规定。</w:t>
      </w:r>
    </w:p>
    <w:p w14:paraId="6D2F8A0B">
      <w:pPr>
        <w:pStyle w:val="2"/>
        <w:rPr>
          <w:rFonts w:ascii="仿宋" w:hAnsi="仿宋" w:eastAsia="仿宋"/>
          <w:b/>
        </w:rPr>
      </w:pPr>
    </w:p>
    <w:p w14:paraId="5823076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14:paraId="4A0A8A09">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1、采购标的需满足的性能、材料、结构、外观、质量、安全、技术规格、物理特性等要求：</w:t>
      </w:r>
    </w:p>
    <w:p w14:paraId="4483DC8E"/>
    <w:p w14:paraId="038B76BA">
      <w:pPr>
        <w:snapToGrid w:val="0"/>
        <w:spacing w:line="360" w:lineRule="auto"/>
        <w:ind w:firstLine="482" w:firstLineChars="200"/>
        <w:jc w:val="center"/>
        <w:rPr>
          <w:rFonts w:hint="eastAsia" w:ascii="仿宋" w:hAnsi="仿宋" w:eastAsia="仿宋" w:cs="仿宋"/>
          <w:b/>
          <w:bCs/>
          <w:sz w:val="24"/>
          <w:lang w:val="en-US" w:eastAsia="zh-CN"/>
        </w:rPr>
      </w:pPr>
      <w:r>
        <w:rPr>
          <w:rFonts w:ascii="仿宋" w:hAnsi="仿宋" w:eastAsia="仿宋" w:cs="仿宋"/>
          <w:b/>
          <w:bCs/>
          <w:sz w:val="24"/>
        </w:rPr>
        <w:t>第</w:t>
      </w:r>
      <w:r>
        <w:rPr>
          <w:rFonts w:hint="eastAsia" w:ascii="仿宋" w:hAnsi="仿宋" w:eastAsia="仿宋" w:cs="仿宋"/>
          <w:b/>
          <w:bCs/>
          <w:sz w:val="24"/>
        </w:rPr>
        <w:t xml:space="preserve">2包 </w:t>
      </w:r>
      <w:r>
        <w:rPr>
          <w:rFonts w:ascii="仿宋" w:hAnsi="仿宋" w:eastAsia="仿宋" w:cs="仿宋"/>
          <w:b/>
          <w:bCs/>
          <w:sz w:val="24"/>
        </w:rPr>
        <w:t>品目</w:t>
      </w:r>
      <w:r>
        <w:rPr>
          <w:rFonts w:hint="eastAsia" w:ascii="仿宋" w:hAnsi="仿宋" w:eastAsia="仿宋" w:cs="仿宋"/>
          <w:b/>
          <w:bCs/>
          <w:sz w:val="24"/>
        </w:rPr>
        <w:t>2-1</w:t>
      </w:r>
      <w:r>
        <w:rPr>
          <w:rFonts w:hint="eastAsia" w:ascii="仿宋" w:hAnsi="仿宋" w:eastAsia="仿宋" w:cs="仿宋"/>
          <w:b/>
          <w:bCs/>
          <w:sz w:val="24"/>
          <w:lang w:val="en-US" w:eastAsia="zh-CN"/>
        </w:rPr>
        <w:t>热合机</w:t>
      </w:r>
    </w:p>
    <w:p w14:paraId="5C0E35B1">
      <w:pPr>
        <w:snapToGrid w:val="0"/>
        <w:spacing w:line="360" w:lineRule="auto"/>
        <w:ind w:firstLine="482" w:firstLineChars="200"/>
        <w:jc w:val="center"/>
        <w:rPr>
          <w:rFonts w:hint="default" w:ascii="仿宋" w:hAnsi="仿宋" w:eastAsia="仿宋" w:cs="仿宋"/>
          <w:b/>
          <w:bCs/>
          <w:sz w:val="24"/>
          <w:lang w:val="en-US" w:eastAsia="zh-CN"/>
        </w:rPr>
      </w:pPr>
      <w:r>
        <w:rPr>
          <w:rFonts w:hint="eastAsia" w:ascii="仿宋" w:hAnsi="仿宋" w:eastAsia="仿宋" w:cs="仿宋"/>
          <w:b/>
          <w:bCs/>
          <w:sz w:val="24"/>
        </w:rPr>
        <w:t>数量：</w:t>
      </w:r>
      <w:r>
        <w:rPr>
          <w:rFonts w:hint="eastAsia" w:ascii="仿宋" w:hAnsi="仿宋" w:eastAsia="仿宋" w:cs="仿宋"/>
          <w:b/>
          <w:bCs/>
          <w:sz w:val="24"/>
          <w:lang w:val="en-US" w:eastAsia="zh-CN"/>
        </w:rPr>
        <w:t>20台/套</w:t>
      </w:r>
    </w:p>
    <w:p w14:paraId="3C122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一、基本性能参数</w:t>
      </w:r>
    </w:p>
    <w:p w14:paraId="7211FC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1.工作原理：高频射频热合（非明火，熔断+封口一体）</w:t>
      </w:r>
      <w:r>
        <w:rPr>
          <w:rFonts w:hint="eastAsia" w:ascii="仿宋" w:hAnsi="仿宋" w:eastAsia="仿宋" w:cs="仿宋"/>
          <w:sz w:val="24"/>
          <w:lang w:eastAsia="zh-CN"/>
        </w:rPr>
        <w:t>；</w:t>
      </w:r>
    </w:p>
    <w:p w14:paraId="2A75D0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2.适用管路：PVC医用血袋管路，外径3～6mm，壁厚0.3～0.8mm</w:t>
      </w:r>
      <w:r>
        <w:rPr>
          <w:rFonts w:hint="eastAsia" w:ascii="仿宋" w:hAnsi="仿宋" w:eastAsia="仿宋" w:cs="仿宋"/>
          <w:sz w:val="24"/>
          <w:lang w:eastAsia="zh-CN"/>
        </w:rPr>
        <w:t>；</w:t>
      </w:r>
    </w:p>
    <w:p w14:paraId="1B12C53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lang w:eastAsia="zh-CN"/>
        </w:rPr>
      </w:pPr>
      <w:r>
        <w:rPr>
          <w:rFonts w:hint="eastAsia" w:ascii="仿宋" w:hAnsi="仿宋" w:eastAsia="仿宋" w:cs="仿宋"/>
          <w:kern w:val="0"/>
          <w:sz w:val="24"/>
          <w:szCs w:val="24"/>
        </w:rPr>
        <w:t>#</w:t>
      </w:r>
      <w:r>
        <w:rPr>
          <w:rFonts w:hint="eastAsia" w:ascii="仿宋" w:hAnsi="仿宋" w:eastAsia="仿宋" w:cs="仿宋"/>
          <w:sz w:val="24"/>
        </w:rPr>
        <w:t>3.热合方式：机械触发，自动熔断封口</w:t>
      </w:r>
      <w:r>
        <w:rPr>
          <w:rFonts w:hint="eastAsia" w:ascii="仿宋" w:hAnsi="仿宋" w:eastAsia="仿宋" w:cs="仿宋"/>
          <w:sz w:val="24"/>
          <w:lang w:eastAsia="zh-CN"/>
        </w:rPr>
        <w:t>；</w:t>
      </w:r>
    </w:p>
    <w:p w14:paraId="3B86C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4.热合时间：0.3–2s可调</w:t>
      </w:r>
      <w:r>
        <w:rPr>
          <w:rFonts w:hint="eastAsia" w:ascii="仿宋" w:hAnsi="仿宋" w:eastAsia="仿宋" w:cs="仿宋"/>
          <w:sz w:val="24"/>
          <w:lang w:eastAsia="zh-CN"/>
        </w:rPr>
        <w:t>；</w:t>
      </w:r>
    </w:p>
    <w:p w14:paraId="593838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5.封口质量：封口严密无渗漏、无碳化、无毛刺</w:t>
      </w:r>
      <w:r>
        <w:rPr>
          <w:rFonts w:hint="eastAsia" w:ascii="仿宋" w:hAnsi="仿宋" w:eastAsia="仿宋" w:cs="仿宋"/>
          <w:sz w:val="24"/>
          <w:lang w:eastAsia="zh-CN"/>
        </w:rPr>
        <w:t>；</w:t>
      </w:r>
    </w:p>
    <w:p w14:paraId="6F6765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二、电气与功率参数</w:t>
      </w:r>
    </w:p>
    <w:p w14:paraId="3EE2B8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1.输入电源：AC220V±10%，50Hz±2%</w:t>
      </w:r>
      <w:r>
        <w:rPr>
          <w:rFonts w:hint="eastAsia" w:ascii="仿宋" w:hAnsi="仿宋" w:eastAsia="仿宋" w:cs="仿宋"/>
          <w:sz w:val="24"/>
          <w:lang w:eastAsia="zh-CN"/>
        </w:rPr>
        <w:t>；</w:t>
      </w:r>
    </w:p>
    <w:p w14:paraId="2A8E10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2.工作室额定功率：≤250w</w:t>
      </w:r>
      <w:r>
        <w:rPr>
          <w:rFonts w:hint="eastAsia" w:ascii="仿宋" w:hAnsi="仿宋" w:eastAsia="仿宋" w:cs="仿宋"/>
          <w:sz w:val="24"/>
          <w:lang w:eastAsia="zh-CN"/>
        </w:rPr>
        <w:t>；</w:t>
      </w:r>
    </w:p>
    <w:p w14:paraId="296AE1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3.待机功耗：＜5W</w:t>
      </w:r>
      <w:r>
        <w:rPr>
          <w:rFonts w:hint="eastAsia" w:ascii="仿宋" w:hAnsi="仿宋" w:eastAsia="仿宋" w:cs="仿宋"/>
          <w:sz w:val="24"/>
          <w:lang w:eastAsia="zh-CN"/>
        </w:rPr>
        <w:t>；</w:t>
      </w:r>
    </w:p>
    <w:p w14:paraId="18A026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4.安全防护：漏电保护、防溅保护</w:t>
      </w:r>
      <w:r>
        <w:rPr>
          <w:rFonts w:hint="eastAsia" w:ascii="仿宋" w:hAnsi="仿宋" w:eastAsia="仿宋" w:cs="仿宋"/>
          <w:sz w:val="24"/>
          <w:lang w:eastAsia="zh-CN"/>
        </w:rPr>
        <w:t>；</w:t>
      </w:r>
    </w:p>
    <w:p w14:paraId="7B395A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三、结构与环境参数</w:t>
      </w:r>
    </w:p>
    <w:p w14:paraId="1165A31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lang w:eastAsia="zh-CN"/>
        </w:rPr>
      </w:pPr>
      <w:r>
        <w:rPr>
          <w:rFonts w:hint="eastAsia" w:ascii="仿宋" w:hAnsi="仿宋" w:eastAsia="仿宋" w:cs="仿宋"/>
          <w:kern w:val="0"/>
          <w:sz w:val="24"/>
          <w:szCs w:val="24"/>
        </w:rPr>
        <w:t>#</w:t>
      </w:r>
      <w:r>
        <w:rPr>
          <w:rFonts w:hint="eastAsia" w:ascii="仿宋" w:hAnsi="仿宋" w:eastAsia="仿宋" w:cs="仿宋"/>
          <w:sz w:val="24"/>
        </w:rPr>
        <w:t>1.外形尺寸：≤310×170×160mm</w:t>
      </w:r>
      <w:r>
        <w:rPr>
          <w:rFonts w:hint="eastAsia" w:ascii="仿宋" w:hAnsi="仿宋" w:eastAsia="仿宋" w:cs="仿宋"/>
          <w:sz w:val="24"/>
          <w:lang w:eastAsia="zh-CN"/>
        </w:rPr>
        <w:t>；</w:t>
      </w:r>
    </w:p>
    <w:p w14:paraId="33C03B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2.整机重量：</w:t>
      </w:r>
      <w:r>
        <w:rPr>
          <w:rFonts w:hint="eastAsia" w:ascii="仿宋" w:hAnsi="仿宋" w:eastAsia="仿宋" w:cs="仿宋"/>
          <w:sz w:val="24"/>
          <w:lang w:val="en-US" w:eastAsia="zh-CN"/>
        </w:rPr>
        <w:t>≤6</w:t>
      </w:r>
      <w:r>
        <w:rPr>
          <w:rFonts w:hint="eastAsia" w:ascii="仿宋" w:hAnsi="仿宋" w:eastAsia="仿宋" w:cs="仿宋"/>
          <w:sz w:val="24"/>
        </w:rPr>
        <w:t>kg</w:t>
      </w:r>
      <w:r>
        <w:rPr>
          <w:rFonts w:hint="eastAsia" w:ascii="仿宋" w:hAnsi="仿宋" w:eastAsia="仿宋" w:cs="仿宋"/>
          <w:sz w:val="24"/>
          <w:lang w:eastAsia="zh-CN"/>
        </w:rPr>
        <w:t>；</w:t>
      </w:r>
    </w:p>
    <w:p w14:paraId="35F7D4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3.工作温度：10～40℃</w:t>
      </w:r>
      <w:r>
        <w:rPr>
          <w:rFonts w:hint="eastAsia" w:ascii="仿宋" w:hAnsi="仿宋" w:eastAsia="仿宋" w:cs="仿宋"/>
          <w:sz w:val="24"/>
          <w:lang w:eastAsia="zh-CN"/>
        </w:rPr>
        <w:t>；</w:t>
      </w:r>
    </w:p>
    <w:p w14:paraId="4A3BE8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4.消毒方式：电极可75%酒精擦拭，整机可表面消毒</w:t>
      </w:r>
      <w:r>
        <w:rPr>
          <w:rFonts w:hint="eastAsia" w:ascii="仿宋" w:hAnsi="仿宋" w:eastAsia="仿宋" w:cs="仿宋"/>
          <w:sz w:val="24"/>
          <w:lang w:eastAsia="zh-CN"/>
        </w:rPr>
        <w:t>；</w:t>
      </w:r>
    </w:p>
    <w:p w14:paraId="0CFA02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四、合规与认证</w:t>
      </w:r>
    </w:p>
    <w:p w14:paraId="05BD44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.适配《血站技术操作规程》血袋管路热合要求</w:t>
      </w:r>
    </w:p>
    <w:p w14:paraId="5C71312B">
      <w:pPr>
        <w:snapToGrid w:val="0"/>
        <w:spacing w:line="360" w:lineRule="auto"/>
        <w:ind w:firstLine="482" w:firstLineChars="200"/>
        <w:jc w:val="center"/>
        <w:rPr>
          <w:rFonts w:ascii="仿宋" w:hAnsi="仿宋" w:eastAsia="仿宋" w:cs="仿宋"/>
          <w:b/>
          <w:bCs/>
          <w:sz w:val="24"/>
        </w:rPr>
      </w:pPr>
    </w:p>
    <w:p w14:paraId="3249D79C">
      <w:pPr>
        <w:snapToGrid w:val="0"/>
        <w:spacing w:line="360" w:lineRule="auto"/>
        <w:ind w:firstLine="482" w:firstLineChars="200"/>
        <w:jc w:val="center"/>
        <w:rPr>
          <w:rFonts w:hint="eastAsia" w:ascii="仿宋" w:hAnsi="仿宋" w:eastAsia="仿宋" w:cs="仿宋"/>
          <w:b/>
          <w:bCs/>
          <w:sz w:val="24"/>
          <w:lang w:val="en-US" w:eastAsia="zh-CN"/>
        </w:rPr>
      </w:pPr>
    </w:p>
    <w:p w14:paraId="08BC2A91">
      <w:pPr>
        <w:numPr>
          <w:ilvl w:val="0"/>
          <w:numId w:val="1"/>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采购标的需满足的服务标准、期限、效率等要求</w:t>
      </w:r>
    </w:p>
    <w:p w14:paraId="78806434">
      <w:pPr>
        <w:widowControl/>
        <w:spacing w:line="500" w:lineRule="exact"/>
        <w:ind w:firstLine="480" w:firstLineChars="200"/>
        <w:rPr>
          <w:rFonts w:hint="eastAsia" w:ascii="仿宋_GB2312" w:hAnsi="宋体" w:eastAsia="仿宋_GB2312" w:cs="Times New Roman"/>
          <w:sz w:val="24"/>
          <w:lang w:val="en-US" w:eastAsia="zh-CN"/>
        </w:rPr>
      </w:pPr>
      <w:r>
        <w:rPr>
          <w:rFonts w:hint="eastAsia" w:ascii="仿宋_GB2312" w:hAnsi="宋体" w:eastAsia="仿宋_GB2312" w:cs="Times New Roman"/>
          <w:sz w:val="24"/>
          <w:lang w:val="en-US" w:eastAsia="zh-CN"/>
        </w:rPr>
        <w:t>2.1合同项下技术资料(除合同特殊条款规定外)将以下列方式交付：合同生效后 7 天之内，投标人应将中文技术资料一套，如目录索引、产品说明书等提供给采购人。随同每批货物提供该批货物相关的资料。如果采购人确认投标人提供的技术资料不完整或在运输过程中丢失，投标人将在收到采购人通知后 5 天内将这些资料免费交给采购人。</w:t>
      </w:r>
    </w:p>
    <w:p w14:paraId="1CC247D0">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val="en-US" w:eastAsia="zh-CN"/>
        </w:rPr>
        <w:t>2.2</w:t>
      </w:r>
      <w:r>
        <w:rPr>
          <w:rFonts w:hint="eastAsia" w:ascii="仿宋_GB2312" w:hAnsi="宋体" w:eastAsia="仿宋_GB2312" w:cs="Times New Roman"/>
          <w:sz w:val="24"/>
        </w:rPr>
        <w:t>安装调试工作结束后，在</w:t>
      </w:r>
      <w:r>
        <w:rPr>
          <w:rFonts w:hint="eastAsia" w:ascii="仿宋_GB2312" w:hAnsi="宋体" w:eastAsia="仿宋_GB2312" w:cs="Times New Roman"/>
          <w:sz w:val="24"/>
          <w:lang w:val="en-US" w:eastAsia="zh-CN"/>
        </w:rPr>
        <w:t>采购人</w:t>
      </w:r>
      <w:r>
        <w:rPr>
          <w:rFonts w:hint="eastAsia" w:ascii="仿宋_GB2312" w:hAnsi="宋体" w:eastAsia="仿宋_GB2312" w:cs="Times New Roman"/>
          <w:sz w:val="24"/>
        </w:rPr>
        <w:t>现场进行免费培训，培训的具体内容包括：实机操作、故障排除、日常维护保养等，直到</w:t>
      </w:r>
      <w:r>
        <w:rPr>
          <w:rFonts w:hint="eastAsia" w:ascii="仿宋_GB2312" w:hAnsi="宋体" w:eastAsia="仿宋_GB2312" w:cs="Times New Roman"/>
          <w:sz w:val="24"/>
          <w:lang w:val="en-US" w:eastAsia="zh-CN"/>
        </w:rPr>
        <w:t>采购人</w:t>
      </w:r>
      <w:r>
        <w:rPr>
          <w:rFonts w:hint="eastAsia" w:ascii="仿宋_GB2312" w:hAnsi="宋体" w:eastAsia="仿宋_GB2312" w:cs="Times New Roman"/>
          <w:sz w:val="24"/>
        </w:rPr>
        <w:t>人员能够完全独立操作为止。</w:t>
      </w:r>
    </w:p>
    <w:p w14:paraId="42AA83FF">
      <w:pPr>
        <w:widowControl/>
        <w:spacing w:line="500" w:lineRule="exact"/>
        <w:ind w:firstLine="400" w:firstLineChars="200"/>
        <w:rPr>
          <w:rFonts w:hint="eastAsia" w:ascii="仿宋_GB2312" w:hAnsi="宋体" w:eastAsia="仿宋_GB2312" w:cs="Times New Roman"/>
          <w:sz w:val="24"/>
        </w:rPr>
      </w:pPr>
      <w:r>
        <w:rPr>
          <w:rFonts w:hint="eastAsia" w:ascii="Segoe UI" w:hAnsi="Segoe UI" w:eastAsia="宋体" w:cs="Segoe UI"/>
          <w:color w:val="FF0000"/>
          <w:kern w:val="0"/>
          <w:sz w:val="20"/>
          <w:szCs w:val="20"/>
          <w:shd w:val="clear" w:color="auto" w:fill="FFFFFF"/>
        </w:rPr>
        <w:t xml:space="preserve"> </w:t>
      </w:r>
      <w:r>
        <w:rPr>
          <w:rFonts w:hint="eastAsia" w:ascii="仿宋_GB2312" w:hAnsi="宋体" w:eastAsia="仿宋_GB2312" w:cs="Times New Roman"/>
          <w:sz w:val="24"/>
          <w:lang w:val="en-US" w:eastAsia="zh-CN"/>
        </w:rPr>
        <w:t xml:space="preserve"> 2.3投标人须保证系统</w:t>
      </w:r>
      <w:r>
        <w:rPr>
          <w:rFonts w:hint="eastAsia" w:ascii="仿宋_GB2312" w:hAnsi="宋体" w:eastAsia="仿宋_GB2312" w:cs="Times New Roman"/>
          <w:sz w:val="24"/>
        </w:rPr>
        <w:t>完全符合强制性的国家技术质量规范和合同规定的质量、规格、性能和技术规范等的要求。</w:t>
      </w:r>
    </w:p>
    <w:p w14:paraId="6833A8EB">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须保证所提供产品经在质量保证期之内，并须对由于产品质量而发生的任何问题负责。</w:t>
      </w:r>
    </w:p>
    <w:p w14:paraId="1E2C9E95">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根据</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按检验标准自己检验结果或委托有资质的相关质检机构的检验结果，发现系统的数量、质量、规格与合同不符；或者在质量保证期内，证实系统存在缺陷，包括潜在的缺陷或使用不符合要求的部分等，</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应尽快通知</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在收到通知后 24 小时内应答并解决问题。</w:t>
      </w:r>
    </w:p>
    <w:p w14:paraId="3539C039">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如果</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在收到通知后 24 小时内未应答或72小时内未解决问题，</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可采取必要的补救措施，但由此引发的风险和费用将由</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承担。</w:t>
      </w:r>
    </w:p>
    <w:p w14:paraId="17174D36">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365×24小时响应质量问题通知；</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接到通知后，必须在24小时内到达现场，一般问题24小时内给予解决、严重问题72小时内给予解决。因产品以外原因造成的问题</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承诺在最快的时间内解决。</w:t>
      </w:r>
    </w:p>
    <w:p w14:paraId="51B8D782">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 xml:space="preserve"> 在仪器使用前，当</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产品相关技术指标发生变化时，应及时通知</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。同时</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应提供主要零配件及工时费价目表，并保证此价目表至少</w:t>
      </w:r>
      <w:r>
        <w:rPr>
          <w:rFonts w:hint="eastAsia" w:ascii="仿宋_GB2312" w:hAnsi="宋体" w:eastAsia="仿宋_GB2312" w:cs="Times New Roman"/>
          <w:sz w:val="24"/>
          <w:lang w:eastAsia="zh-CN"/>
        </w:rPr>
        <w:t>五</w:t>
      </w:r>
      <w:r>
        <w:rPr>
          <w:rFonts w:hint="eastAsia" w:ascii="仿宋_GB2312" w:hAnsi="宋体" w:eastAsia="仿宋_GB2312" w:cs="Times New Roman"/>
          <w:sz w:val="24"/>
        </w:rPr>
        <w:t>年内有效。</w:t>
      </w:r>
    </w:p>
    <w:p w14:paraId="52544EB0">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提供实验室人员培训，确保实验人员操作符合要求，并能上岗操作。在仪器投入使用后，</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应能满足</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提出的培训要求。</w:t>
      </w:r>
    </w:p>
    <w:p w14:paraId="74293274">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保修期内</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应免费为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提供每季度一次维护并出具维护报告，每12个月提供一次年度维护校准，并提供年度维护校准报告。</w:t>
      </w:r>
    </w:p>
    <w:p w14:paraId="180433E5">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应在投标文件中声明终身售后服务方式和能力。</w:t>
      </w:r>
    </w:p>
    <w:p w14:paraId="3C7C3C79">
      <w:pPr>
        <w:widowControl/>
        <w:spacing w:line="500" w:lineRule="exact"/>
        <w:ind w:firstLine="480" w:firstLineChars="200"/>
        <w:rPr>
          <w:rFonts w:ascii="仿宋_GB2312" w:hAnsi="宋体" w:eastAsia="仿宋_GB2312"/>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应在投标文件中声明在不涉及硬件的情况下，优先免费为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提供升级软件。</w:t>
      </w:r>
    </w:p>
    <w:p w14:paraId="4CB96A05">
      <w:pPr>
        <w:pStyle w:val="2"/>
        <w:spacing w:line="360" w:lineRule="auto"/>
        <w:ind w:firstLine="480" w:firstLineChars="200"/>
        <w:rPr>
          <w:rFonts w:hint="default" w:eastAsia="宋体"/>
          <w:lang w:val="en-US" w:eastAsia="zh-CN"/>
        </w:rPr>
      </w:pPr>
    </w:p>
    <w:p w14:paraId="3AD3B1E9">
      <w:pPr>
        <w:pStyle w:val="2"/>
        <w:rPr>
          <w:b/>
        </w:rPr>
      </w:pPr>
    </w:p>
    <w:p w14:paraId="1E08F5D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3、为落实政府采购政策需满足的要求</w:t>
      </w:r>
    </w:p>
    <w:p w14:paraId="41B3511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05CEA5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E29ED0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7C5FAF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1B9CCF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B0EB679">
      <w:pPr>
        <w:snapToGrid w:val="0"/>
        <w:spacing w:line="360" w:lineRule="auto"/>
        <w:ind w:firstLine="480" w:firstLineChars="200"/>
        <w:rPr>
          <w:rFonts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34328651">
      <w:pPr>
        <w:pStyle w:val="2"/>
      </w:pPr>
    </w:p>
    <w:p w14:paraId="01CDE603">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4、采购标的的其他技术、服务等要求</w:t>
      </w:r>
    </w:p>
    <w:p w14:paraId="2D2BC674">
      <w:pPr>
        <w:spacing w:line="360" w:lineRule="auto"/>
        <w:ind w:firstLine="482" w:firstLineChars="200"/>
        <w:rPr>
          <w:rFonts w:ascii="仿宋" w:hAnsi="仿宋" w:eastAsia="仿宋"/>
          <w:b/>
          <w:sz w:val="24"/>
        </w:rPr>
      </w:pPr>
      <w:r>
        <w:rPr>
          <w:rFonts w:hint="eastAsia" w:ascii="仿宋" w:hAnsi="仿宋" w:eastAsia="仿宋"/>
          <w:b/>
          <w:sz w:val="24"/>
        </w:rPr>
        <w:t>4.1 投标人需要提供投标产品技术支持资料（或证明材料），并需要同时加盖投标人公章。对于技术规格中标注“#”号的技术参数，投标人须在投标文件中按照招标文件技术规格的要求提供技术应答的证明材料。对于投标人提供的投标文件技术应答未按本条款要求提供投标产品技术支持资料（或证明材料）的，或提供的投标产品技术支持资料（或证明材料）未按本条款要求加盖投标人公章的，评标委员会可不予承认，并可认为该技术应答不符合招标文件要求。由此产生的评标风险，由投标人承担。</w:t>
      </w:r>
    </w:p>
    <w:p w14:paraId="21A291AC">
      <w:pPr>
        <w:spacing w:line="360" w:lineRule="auto"/>
        <w:ind w:firstLine="482" w:firstLineChars="200"/>
        <w:rPr>
          <w:rFonts w:ascii="仿宋" w:hAnsi="仿宋" w:eastAsia="仿宋"/>
          <w:b/>
          <w:bCs w:val="0"/>
          <w:sz w:val="24"/>
        </w:rPr>
      </w:pPr>
      <w:r>
        <w:rPr>
          <w:rFonts w:hint="eastAsia" w:ascii="仿宋" w:hAnsi="仿宋" w:eastAsia="仿宋"/>
          <w:b/>
          <w:sz w:val="24"/>
        </w:rPr>
        <w:t>4.2</w:t>
      </w:r>
      <w:r>
        <w:rPr>
          <w:rFonts w:ascii="仿宋" w:hAnsi="仿宋" w:eastAsia="仿宋"/>
          <w:b/>
          <w:sz w:val="24"/>
        </w:rPr>
        <w:t>投标人须提供</w:t>
      </w:r>
      <w:r>
        <w:rPr>
          <w:rFonts w:hint="eastAsia" w:ascii="仿宋" w:hAnsi="仿宋" w:eastAsia="仿宋"/>
          <w:b/>
          <w:sz w:val="24"/>
          <w:lang w:val="en-US" w:eastAsia="zh-CN"/>
        </w:rPr>
        <w:t>售后服务、培训方案</w:t>
      </w:r>
      <w:r>
        <w:rPr>
          <w:rFonts w:hint="eastAsia" w:ascii="仿宋" w:hAnsi="仿宋" w:eastAsia="仿宋"/>
          <w:b/>
          <w:bCs w:val="0"/>
          <w:sz w:val="24"/>
          <w:lang w:val="en-US" w:eastAsia="zh-CN"/>
        </w:rPr>
        <w:t>、</w:t>
      </w:r>
      <w:r>
        <w:rPr>
          <w:rFonts w:hint="eastAsia" w:ascii="仿宋" w:hAnsi="仿宋" w:eastAsia="仿宋" w:cs="仿宋"/>
          <w:b/>
          <w:bCs w:val="0"/>
          <w:sz w:val="24"/>
          <w:szCs w:val="24"/>
        </w:rPr>
        <w:t>维修团队及响应时间</w:t>
      </w:r>
      <w:r>
        <w:rPr>
          <w:rFonts w:hint="eastAsia" w:ascii="仿宋" w:hAnsi="仿宋" w:eastAsia="仿宋" w:cs="仿宋"/>
          <w:b/>
          <w:bCs w:val="0"/>
          <w:sz w:val="24"/>
          <w:szCs w:val="24"/>
          <w:lang w:eastAsia="zh-CN"/>
        </w:rPr>
        <w:t>、</w:t>
      </w:r>
      <w:r>
        <w:rPr>
          <w:rFonts w:hint="eastAsia" w:ascii="仿宋" w:hAnsi="仿宋" w:eastAsia="仿宋" w:cs="仿宋"/>
          <w:b/>
          <w:bCs w:val="0"/>
          <w:sz w:val="24"/>
          <w:szCs w:val="24"/>
        </w:rPr>
        <w:t>零配件清单</w:t>
      </w:r>
      <w:r>
        <w:rPr>
          <w:rFonts w:hint="eastAsia" w:ascii="仿宋" w:hAnsi="仿宋" w:eastAsia="仿宋"/>
          <w:b/>
          <w:bCs w:val="0"/>
          <w:sz w:val="24"/>
        </w:rPr>
        <w:t>。</w:t>
      </w:r>
    </w:p>
    <w:p w14:paraId="7621ECC1">
      <w:pPr>
        <w:spacing w:before="120" w:line="360" w:lineRule="auto"/>
        <w:ind w:firstLine="480" w:firstLineChars="200"/>
      </w:pPr>
      <w:r>
        <w:rPr>
          <w:rFonts w:hint="eastAsia" w:ascii="仿宋" w:hAnsi="仿宋" w:eastAsia="仿宋"/>
          <w:sz w:val="24"/>
        </w:rPr>
        <w:t>4.3</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提供产品的设计、制作、工艺等，应不侵犯任何第三方的知识产权，代理销售的产品应具有合法有效的销售权，</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不得擅自使用</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的标志、技术、信息及其他资料，如因知识产权、代理销售权等纠纷引发的任何责任由</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自行承担，</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不承担任何责任。如因此给</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造成损失的，</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负责全额赔偿。</w:t>
      </w:r>
      <w:r>
        <w:rPr>
          <w:rFonts w:hint="eastAsia" w:ascii="仿宋_GB2312" w:hAnsi="Times New Roman" w:eastAsia="仿宋_GB2312" w:cs="Times New Roman"/>
          <w:sz w:val="24"/>
          <w:szCs w:val="24"/>
        </w:rPr>
        <w:t>保密方因签署或履行本合同而了解或接触到对方的商业秘密及其他保密资料或信息均应保守秘密，非经对方书面同意，任何一方不得向任何第三方泄露、给予或转让该保密信息。保密期限不以本合同期限为限，合同到期仍然要履行保密义务。</w:t>
      </w:r>
    </w:p>
    <w:p w14:paraId="4BA85DA2">
      <w:pPr>
        <w:snapToGrid w:val="0"/>
        <w:spacing w:line="360" w:lineRule="auto"/>
        <w:ind w:firstLine="480" w:firstLineChars="200"/>
        <w:rPr>
          <w:rFonts w:ascii="仿宋" w:hAnsi="仿宋" w:eastAsia="仿宋" w:cs="仿宋"/>
          <w:bCs/>
          <w:sz w:val="24"/>
        </w:rPr>
      </w:pPr>
    </w:p>
    <w:p w14:paraId="40777A41">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5、需由投标人提供设计方案、解决方案或者组织方案的采购项目，应当说明采购标的的功能、应用场景、目标等基本要求</w:t>
      </w:r>
    </w:p>
    <w:p w14:paraId="676B881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1CCE921F">
      <w:pPr>
        <w:pStyle w:val="2"/>
        <w:rPr>
          <w:rFonts w:ascii="仿宋" w:hAnsi="仿宋" w:eastAsia="仿宋"/>
        </w:rPr>
      </w:pPr>
    </w:p>
    <w:p w14:paraId="556FFEB2">
      <w:pPr>
        <w:numPr>
          <w:ilvl w:val="0"/>
          <w:numId w:val="2"/>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验收标准</w:t>
      </w:r>
    </w:p>
    <w:p w14:paraId="613F5F6F">
      <w:pPr>
        <w:numPr>
          <w:ilvl w:val="0"/>
          <w:numId w:val="0"/>
        </w:numPr>
        <w:snapToGrid w:val="0"/>
        <w:spacing w:line="360" w:lineRule="auto"/>
        <w:ind w:firstLine="482" w:firstLineChars="200"/>
        <w:rPr>
          <w:rFonts w:hint="default" w:ascii="仿宋" w:hAnsi="仿宋" w:eastAsia="仿宋" w:cs="仿宋"/>
          <w:b/>
          <w:bCs/>
          <w:sz w:val="24"/>
          <w:lang w:val="en-US" w:eastAsia="zh-CN"/>
        </w:rPr>
      </w:pPr>
      <w:r>
        <w:rPr>
          <w:rFonts w:hint="eastAsia" w:ascii="仿宋" w:hAnsi="仿宋" w:eastAsia="仿宋" w:cs="仿宋"/>
          <w:b/>
          <w:bCs/>
          <w:sz w:val="24"/>
          <w:lang w:val="en-US" w:eastAsia="zh-CN"/>
        </w:rPr>
        <w:t>第2包：</w:t>
      </w:r>
    </w:p>
    <w:p w14:paraId="6E26335A">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在交货前，</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应进行详细而全面的验收，并开具验收清单。但有关功能、性能等重要指标检验不应视为最终检验。</w:t>
      </w:r>
    </w:p>
    <w:p w14:paraId="66927094">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在</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将产品提交</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进行验收之前，必须保证</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本身已经对产品进行必要的检测。</w:t>
      </w:r>
    </w:p>
    <w:p w14:paraId="6521FF93">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 xml:space="preserve"> 仪器交货后，</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应负责仪器设备的安装、运行和性能确认，直至可以投入使用后移交</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，并向</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提供全部的确认数据和记录。</w:t>
      </w:r>
    </w:p>
    <w:p w14:paraId="269621AE">
      <w:pPr>
        <w:pStyle w:val="2"/>
      </w:pPr>
    </w:p>
    <w:p w14:paraId="0C36CF77">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72393401">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7388B1E7">
      <w:pPr>
        <w:numPr>
          <w:ilvl w:val="255"/>
          <w:numId w:val="0"/>
        </w:numPr>
        <w:snapToGrid w:val="0"/>
        <w:spacing w:line="360" w:lineRule="auto"/>
        <w:ind w:firstLine="480" w:firstLineChars="200"/>
        <w:rPr>
          <w:rFonts w:ascii="仿宋" w:hAnsi="仿宋" w:eastAsia="仿宋" w:cs="仿宋"/>
          <w:bCs/>
          <w:sz w:val="24"/>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1487A"/>
    <w:multiLevelType w:val="singleLevel"/>
    <w:tmpl w:val="0751487A"/>
    <w:lvl w:ilvl="0" w:tentative="0">
      <w:start w:val="3"/>
      <w:numFmt w:val="chineseCounting"/>
      <w:suff w:val="nothing"/>
      <w:lvlText w:val="（%1）"/>
      <w:lvlJc w:val="left"/>
      <w:rPr>
        <w:rFonts w:hint="eastAsia"/>
      </w:rPr>
    </w:lvl>
  </w:abstractNum>
  <w:abstractNum w:abstractNumId="1">
    <w:nsid w:val="5079EF94"/>
    <w:multiLevelType w:val="singleLevel"/>
    <w:tmpl w:val="5079EF9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B0DFD"/>
    <w:rsid w:val="13B21AD2"/>
    <w:rsid w:val="15B842CF"/>
    <w:rsid w:val="499B530F"/>
    <w:rsid w:val="652F7039"/>
    <w:rsid w:val="7DB54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styleId="6">
    <w:name w:val="List Paragraph"/>
    <w:basedOn w:val="1"/>
    <w:qFormat/>
    <w:uiPriority w:val="34"/>
    <w:pPr>
      <w:ind w:firstLine="420" w:firstLineChars="200"/>
    </w:pPr>
    <w:rPr>
      <w:rFonts w:ascii="Calibri" w:hAnsi="Calibri"/>
      <w:szCs w:val="22"/>
    </w:rPr>
  </w:style>
  <w:style w:type="paragraph" w:customStyle="1" w:styleId="7">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8469</Words>
  <Characters>9026</Characters>
  <Lines>0</Lines>
  <Paragraphs>0</Paragraphs>
  <TotalTime>0</TotalTime>
  <ScaleCrop>false</ScaleCrop>
  <LinksUpToDate>false</LinksUpToDate>
  <CharactersWithSpaces>9069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2026-06-16T03:52:00Z</dcterms:created>
  <dc:creator>Lenovo</dc:creator>
  <cp:lastModifiedBy>侯…</cp:lastModifiedBy>
  <dcterms:modified xsi:type="dcterms:W3CDTF">2026-11-02T03:36:20Z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eyJoZGlkIjoiZjdhNDViMWNhMGIyNjZlYWRhYzg5MWEyZGM3NWJlMzMiLCJ1c2VySWQiOiI0Nzk1NTExODAifQ==</vt:lpwstr>
  </property>
  <property fmtid="{D5CDD505-2E9C-101B-9397-08002B2CF9AE}" pid="4" name="ICV">
    <vt:lpwstr>7B8B4E242EFC47D288153EE271CE976A_12</vt:lpwstr>
  </property>
</Properties>
</file>