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ADB4A">
      <w:pPr>
        <w:pStyle w:val="3"/>
        <w:numPr>
          <w:ilvl w:val="0"/>
          <w:numId w:val="0"/>
        </w:numPr>
        <w:tabs>
          <w:tab w:val="left" w:pos="1630"/>
        </w:tabs>
        <w:spacing w:line="460" w:lineRule="exact"/>
        <w:ind w:left="8" w:leftChars="0"/>
        <w:jc w:val="center"/>
        <w:rPr>
          <w:b/>
          <w:bCs/>
        </w:rPr>
      </w:pPr>
      <w:bookmarkStart w:id="0" w:name="_Toc1685"/>
      <w:bookmarkStart w:id="1" w:name="_Toc10273"/>
      <w:r>
        <w:rPr>
          <w:rFonts w:hint="eastAsia"/>
          <w:b/>
          <w:bCs/>
        </w:rPr>
        <w:t>采购需求</w:t>
      </w:r>
      <w:bookmarkEnd w:id="0"/>
      <w:bookmarkEnd w:id="1"/>
    </w:p>
    <w:p w14:paraId="746B28C0"/>
    <w:p w14:paraId="4C01EFA5">
      <w:pPr>
        <w:pStyle w:val="2"/>
        <w:spacing w:before="1"/>
        <w:ind w:left="121"/>
        <w:rPr>
          <w:b/>
          <w:bCs/>
        </w:rPr>
      </w:pPr>
      <w:r>
        <w:rPr>
          <w:rFonts w:hint="eastAsia"/>
          <w:b/>
          <w:bCs/>
        </w:rPr>
        <w:t>一、采购标的</w:t>
      </w:r>
    </w:p>
    <w:p w14:paraId="2CBBB5EC">
      <w:pPr>
        <w:pStyle w:val="10"/>
        <w:tabs>
          <w:tab w:val="left" w:pos="470"/>
          <w:tab w:val="left" w:pos="7040"/>
        </w:tabs>
        <w:spacing w:before="154" w:line="338" w:lineRule="auto"/>
        <w:ind w:left="121" w:right="1830" w:firstLine="269" w:firstLineChars="100"/>
        <w:rPr>
          <w:sz w:val="24"/>
          <w:lang w:eastAsia="zh-CN"/>
        </w:rPr>
      </w:pPr>
      <w:r>
        <w:rPr>
          <w:rFonts w:hint="eastAsia"/>
          <w:spacing w:val="-2"/>
          <w:w w:val="114"/>
          <w:sz w:val="24"/>
          <w:szCs w:val="24"/>
          <w:lang w:eastAsia="zh-CN"/>
        </w:rPr>
        <w:t>1.</w:t>
      </w:r>
      <w:r>
        <w:rPr>
          <w:rFonts w:hint="eastAsia"/>
          <w:sz w:val="24"/>
          <w:lang w:eastAsia="zh-CN"/>
        </w:rPr>
        <w:t>采购标的（需求一览表）</w:t>
      </w:r>
    </w:p>
    <w:tbl>
      <w:tblPr>
        <w:tblStyle w:val="7"/>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2129"/>
        <w:gridCol w:w="1414"/>
        <w:gridCol w:w="4757"/>
      </w:tblGrid>
      <w:tr w14:paraId="38487E1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3" w:hRule="exact"/>
          <w:jc w:val="center"/>
        </w:trPr>
        <w:tc>
          <w:tcPr>
            <w:tcW w:w="792" w:type="dxa"/>
            <w:tcBorders>
              <w:top w:val="single" w:color="auto" w:sz="4" w:space="0"/>
              <w:left w:val="single" w:color="auto" w:sz="4" w:space="0"/>
              <w:bottom w:val="single" w:color="auto" w:sz="4" w:space="0"/>
              <w:right w:val="single" w:color="auto" w:sz="4" w:space="0"/>
            </w:tcBorders>
            <w:noWrap w:val="0"/>
            <w:vAlign w:val="center"/>
          </w:tcPr>
          <w:p w14:paraId="4AB507C4">
            <w:pPr>
              <w:jc w:val="center"/>
              <w:rPr>
                <w:b/>
                <w:bCs/>
                <w:color w:val="auto"/>
                <w:spacing w:val="0"/>
                <w:sz w:val="24"/>
                <w:szCs w:val="24"/>
                <w:highlight w:val="none"/>
              </w:rPr>
            </w:pPr>
            <w:r>
              <w:rPr>
                <w:rFonts w:hint="eastAsia"/>
                <w:b/>
                <w:bCs/>
                <w:color w:val="auto"/>
                <w:spacing w:val="0"/>
                <w:sz w:val="24"/>
                <w:szCs w:val="24"/>
                <w:highlight w:val="none"/>
              </w:rPr>
              <w:t>包号</w:t>
            </w:r>
          </w:p>
        </w:tc>
        <w:tc>
          <w:tcPr>
            <w:tcW w:w="2129" w:type="dxa"/>
            <w:tcBorders>
              <w:top w:val="single" w:color="auto" w:sz="4" w:space="0"/>
              <w:left w:val="single" w:color="auto" w:sz="4" w:space="0"/>
              <w:bottom w:val="single" w:color="auto" w:sz="4" w:space="0"/>
              <w:right w:val="single" w:color="auto" w:sz="4" w:space="0"/>
            </w:tcBorders>
            <w:noWrap w:val="0"/>
            <w:vAlign w:val="center"/>
          </w:tcPr>
          <w:p w14:paraId="46D72C8C">
            <w:pPr>
              <w:widowControl/>
              <w:jc w:val="center"/>
              <w:rPr>
                <w:b/>
                <w:bCs/>
                <w:color w:val="auto"/>
                <w:spacing w:val="0"/>
                <w:sz w:val="24"/>
                <w:szCs w:val="24"/>
                <w:highlight w:val="none"/>
              </w:rPr>
            </w:pPr>
            <w:r>
              <w:rPr>
                <w:rFonts w:hint="eastAsia"/>
                <w:b/>
                <w:bCs/>
                <w:color w:val="auto"/>
                <w:spacing w:val="0"/>
                <w:sz w:val="24"/>
                <w:szCs w:val="24"/>
                <w:highlight w:val="none"/>
              </w:rPr>
              <w:t>采购内容</w:t>
            </w:r>
          </w:p>
        </w:tc>
        <w:tc>
          <w:tcPr>
            <w:tcW w:w="1414" w:type="dxa"/>
            <w:tcBorders>
              <w:top w:val="single" w:color="auto" w:sz="4" w:space="0"/>
              <w:left w:val="single" w:color="auto" w:sz="4" w:space="0"/>
              <w:bottom w:val="single" w:color="auto" w:sz="4" w:space="0"/>
              <w:right w:val="single" w:color="auto" w:sz="4" w:space="0"/>
            </w:tcBorders>
            <w:noWrap w:val="0"/>
            <w:vAlign w:val="center"/>
          </w:tcPr>
          <w:p w14:paraId="4605E5ED">
            <w:pPr>
              <w:widowControl/>
              <w:jc w:val="center"/>
              <w:rPr>
                <w:b/>
                <w:bCs/>
                <w:color w:val="auto"/>
                <w:spacing w:val="0"/>
                <w:sz w:val="24"/>
                <w:szCs w:val="24"/>
                <w:highlight w:val="none"/>
              </w:rPr>
            </w:pPr>
            <w:r>
              <w:rPr>
                <w:rFonts w:hint="eastAsia"/>
                <w:b/>
                <w:bCs/>
                <w:color w:val="auto"/>
                <w:spacing w:val="0"/>
                <w:sz w:val="24"/>
                <w:szCs w:val="24"/>
                <w:highlight w:val="none"/>
              </w:rPr>
              <w:t>数量</w:t>
            </w:r>
          </w:p>
        </w:tc>
        <w:tc>
          <w:tcPr>
            <w:tcW w:w="4757" w:type="dxa"/>
            <w:tcBorders>
              <w:top w:val="single" w:color="auto" w:sz="4" w:space="0"/>
              <w:left w:val="single" w:color="auto" w:sz="4" w:space="0"/>
              <w:bottom w:val="single" w:color="auto" w:sz="4" w:space="0"/>
              <w:right w:val="single" w:color="auto" w:sz="4" w:space="0"/>
            </w:tcBorders>
            <w:noWrap w:val="0"/>
            <w:vAlign w:val="center"/>
          </w:tcPr>
          <w:p w14:paraId="697FB651">
            <w:pPr>
              <w:widowControl/>
              <w:jc w:val="center"/>
              <w:rPr>
                <w:rFonts w:hint="eastAsia" w:eastAsia="宋体"/>
                <w:b/>
                <w:bCs/>
                <w:color w:val="auto"/>
                <w:spacing w:val="0"/>
                <w:sz w:val="24"/>
                <w:szCs w:val="24"/>
                <w:highlight w:val="none"/>
                <w:lang w:eastAsia="zh-CN"/>
              </w:rPr>
            </w:pPr>
            <w:r>
              <w:rPr>
                <w:rFonts w:hint="eastAsia" w:eastAsia="宋体"/>
                <w:b/>
                <w:bCs/>
                <w:color w:val="auto"/>
                <w:spacing w:val="0"/>
                <w:sz w:val="24"/>
                <w:szCs w:val="24"/>
                <w:highlight w:val="none"/>
                <w:lang w:eastAsia="zh-CN"/>
              </w:rPr>
              <w:t>备注</w:t>
            </w:r>
          </w:p>
        </w:tc>
      </w:tr>
      <w:tr w14:paraId="37E047F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792" w:type="dxa"/>
            <w:tcBorders>
              <w:top w:val="single" w:color="auto" w:sz="4" w:space="0"/>
              <w:left w:val="single" w:color="auto" w:sz="4" w:space="0"/>
              <w:bottom w:val="single" w:color="auto" w:sz="4" w:space="0"/>
              <w:right w:val="single" w:color="auto" w:sz="4" w:space="0"/>
            </w:tcBorders>
            <w:noWrap w:val="0"/>
            <w:vAlign w:val="center"/>
          </w:tcPr>
          <w:p w14:paraId="4406B8ED">
            <w:pPr>
              <w:spacing w:before="120" w:beforeLines="50" w:line="360" w:lineRule="auto"/>
              <w:jc w:val="center"/>
              <w:rPr>
                <w:color w:val="auto"/>
                <w:spacing w:val="0"/>
                <w:sz w:val="24"/>
                <w:szCs w:val="24"/>
                <w:highlight w:val="none"/>
              </w:rPr>
            </w:pPr>
            <w:r>
              <w:rPr>
                <w:rFonts w:hint="eastAsia"/>
                <w:color w:val="auto"/>
                <w:spacing w:val="0"/>
                <w:sz w:val="24"/>
                <w:szCs w:val="24"/>
                <w:highlight w:val="none"/>
              </w:rPr>
              <w:t>1</w:t>
            </w:r>
          </w:p>
        </w:tc>
        <w:tc>
          <w:tcPr>
            <w:tcW w:w="2129" w:type="dxa"/>
            <w:tcBorders>
              <w:top w:val="single" w:color="auto" w:sz="4" w:space="0"/>
              <w:left w:val="single" w:color="auto" w:sz="4" w:space="0"/>
              <w:bottom w:val="single" w:color="auto" w:sz="4" w:space="0"/>
              <w:right w:val="single" w:color="auto" w:sz="4" w:space="0"/>
            </w:tcBorders>
            <w:noWrap w:val="0"/>
            <w:vAlign w:val="center"/>
          </w:tcPr>
          <w:p w14:paraId="5E46C6BA">
            <w:pPr>
              <w:widowControl/>
              <w:jc w:val="center"/>
              <w:textAlignment w:val="center"/>
              <w:rPr>
                <w:rFonts w:hint="default"/>
                <w:color w:val="auto"/>
                <w:spacing w:val="0"/>
                <w:sz w:val="24"/>
                <w:szCs w:val="24"/>
                <w:highlight w:val="none"/>
                <w:lang w:val="en-US" w:eastAsia="zh-CN"/>
              </w:rPr>
            </w:pPr>
            <w:r>
              <w:rPr>
                <w:rFonts w:hint="eastAsia" w:eastAsia="宋体"/>
                <w:color w:val="auto"/>
                <w:spacing w:val="0"/>
                <w:sz w:val="24"/>
                <w:szCs w:val="24"/>
                <w:highlight w:val="none"/>
                <w:lang w:eastAsia="zh-CN"/>
              </w:rPr>
              <w:t>应急病房安全运维服务</w:t>
            </w:r>
          </w:p>
        </w:tc>
        <w:tc>
          <w:tcPr>
            <w:tcW w:w="1414" w:type="dxa"/>
            <w:tcBorders>
              <w:top w:val="single" w:color="auto" w:sz="4" w:space="0"/>
              <w:left w:val="single" w:color="auto" w:sz="4" w:space="0"/>
              <w:bottom w:val="single" w:color="auto" w:sz="4" w:space="0"/>
              <w:right w:val="single" w:color="auto" w:sz="4" w:space="0"/>
            </w:tcBorders>
            <w:noWrap w:val="0"/>
            <w:vAlign w:val="center"/>
          </w:tcPr>
          <w:p w14:paraId="76CCBDA2">
            <w:pPr>
              <w:pStyle w:val="4"/>
              <w:jc w:val="center"/>
              <w:rPr>
                <w:color w:val="auto"/>
                <w:spacing w:val="0"/>
                <w:sz w:val="24"/>
                <w:szCs w:val="24"/>
                <w:highlight w:val="none"/>
                <w:lang w:eastAsia="zh-CN"/>
              </w:rPr>
            </w:pPr>
            <w:r>
              <w:rPr>
                <w:rFonts w:hint="eastAsia"/>
                <w:color w:val="auto"/>
                <w:spacing w:val="0"/>
                <w:sz w:val="24"/>
                <w:szCs w:val="24"/>
                <w:highlight w:val="none"/>
                <w:lang w:eastAsia="zh-CN"/>
              </w:rPr>
              <w:t>一项</w:t>
            </w:r>
          </w:p>
        </w:tc>
        <w:tc>
          <w:tcPr>
            <w:tcW w:w="4757" w:type="dxa"/>
            <w:tcBorders>
              <w:top w:val="single" w:color="auto" w:sz="4" w:space="0"/>
              <w:left w:val="single" w:color="auto" w:sz="4" w:space="0"/>
              <w:bottom w:val="single" w:color="auto" w:sz="4" w:space="0"/>
              <w:right w:val="single" w:color="auto" w:sz="4" w:space="0"/>
            </w:tcBorders>
            <w:noWrap w:val="0"/>
            <w:vAlign w:val="center"/>
          </w:tcPr>
          <w:p w14:paraId="1F82AFAA">
            <w:pPr>
              <w:pStyle w:val="4"/>
              <w:jc w:val="center"/>
              <w:rPr>
                <w:rFonts w:hint="eastAsia"/>
                <w:color w:val="auto"/>
                <w:spacing w:val="0"/>
                <w:sz w:val="24"/>
                <w:szCs w:val="24"/>
                <w:highlight w:val="none"/>
                <w:lang w:eastAsia="zh-CN"/>
              </w:rPr>
            </w:pPr>
            <w:r>
              <w:rPr>
                <w:rFonts w:hint="eastAsia"/>
                <w:color w:val="auto"/>
                <w:spacing w:val="0"/>
                <w:sz w:val="24"/>
                <w:szCs w:val="24"/>
                <w:highlight w:val="none"/>
                <w:lang w:eastAsia="zh-CN"/>
              </w:rPr>
              <w:t>本项目的资金来源为财政资金，如遇上级政策调整或其他不可抗力影响导致合同无法履行，自知悉一方通知对方之日起合同自动终止，双方依据已履行的义务办理结算。乙方未履约的相应合同款应自合同终止之日起10个工作日内退还甲方。</w:t>
            </w:r>
          </w:p>
        </w:tc>
      </w:tr>
    </w:tbl>
    <w:p w14:paraId="092BE3FD">
      <w:pPr>
        <w:pStyle w:val="11"/>
        <w:tabs>
          <w:tab w:val="left" w:pos="1197"/>
        </w:tabs>
        <w:spacing w:before="0" w:line="486" w:lineRule="exact"/>
        <w:ind w:left="0" w:right="233" w:firstLine="0"/>
        <w:jc w:val="both"/>
        <w:rPr>
          <w:rFonts w:hint="eastAsia"/>
          <w:b/>
          <w:bCs/>
          <w:sz w:val="24"/>
          <w:lang w:eastAsia="zh-CN"/>
        </w:rPr>
      </w:pPr>
    </w:p>
    <w:p w14:paraId="74828663">
      <w:pPr>
        <w:pStyle w:val="11"/>
        <w:tabs>
          <w:tab w:val="left" w:pos="1197"/>
        </w:tabs>
        <w:spacing w:before="0" w:line="486" w:lineRule="exact"/>
        <w:ind w:left="0" w:right="233" w:firstLine="0"/>
        <w:jc w:val="both"/>
        <w:rPr>
          <w:b/>
          <w:bCs/>
          <w:sz w:val="24"/>
          <w:lang w:eastAsia="zh-CN"/>
        </w:rPr>
      </w:pPr>
      <w:r>
        <w:rPr>
          <w:rFonts w:hint="eastAsia"/>
          <w:b/>
          <w:bCs/>
          <w:sz w:val="24"/>
          <w:lang w:eastAsia="zh-CN"/>
        </w:rPr>
        <w:t>二、商务要求</w:t>
      </w:r>
    </w:p>
    <w:p w14:paraId="4F52219A">
      <w:pPr>
        <w:pStyle w:val="11"/>
        <w:tabs>
          <w:tab w:val="left" w:pos="1197"/>
        </w:tabs>
        <w:spacing w:before="0" w:line="486" w:lineRule="exact"/>
        <w:ind w:left="0" w:right="233" w:firstLine="0"/>
        <w:jc w:val="both"/>
        <w:rPr>
          <w:b/>
          <w:bCs/>
          <w:sz w:val="24"/>
          <w:szCs w:val="24"/>
          <w:lang w:eastAsia="zh-CN"/>
        </w:rPr>
      </w:pPr>
      <w:r>
        <w:rPr>
          <w:rFonts w:hint="eastAsia"/>
          <w:b/>
          <w:bCs/>
          <w:sz w:val="24"/>
          <w:szCs w:val="24"/>
          <w:lang w:eastAsia="zh-CN"/>
        </w:rPr>
        <w:t>1.采购项目交付或者服务的时间和地点：</w:t>
      </w:r>
    </w:p>
    <w:p w14:paraId="5C2398EC">
      <w:pPr>
        <w:pStyle w:val="11"/>
        <w:tabs>
          <w:tab w:val="left" w:pos="1197"/>
        </w:tabs>
        <w:spacing w:before="0" w:line="486" w:lineRule="exact"/>
        <w:ind w:left="0" w:right="233" w:firstLine="0"/>
        <w:jc w:val="both"/>
        <w:rPr>
          <w:rFonts w:hint="eastAsia" w:eastAsia="宋体"/>
          <w:sz w:val="24"/>
          <w:szCs w:val="24"/>
          <w:lang w:val="en-US" w:eastAsia="zh-CN"/>
        </w:rPr>
      </w:pPr>
      <w:r>
        <w:rPr>
          <w:rFonts w:hint="eastAsia"/>
          <w:sz w:val="24"/>
          <w:szCs w:val="24"/>
          <w:lang w:eastAsia="zh-CN"/>
        </w:rPr>
        <w:t>1.1</w:t>
      </w:r>
      <w:r>
        <w:rPr>
          <w:rFonts w:hint="eastAsia"/>
          <w:sz w:val="24"/>
          <w:szCs w:val="24"/>
          <w:lang w:val="en-US" w:eastAsia="zh-CN"/>
        </w:rPr>
        <w:t>实施期限：自合同签订之日起1年</w:t>
      </w:r>
    </w:p>
    <w:p w14:paraId="0E2A914B">
      <w:pPr>
        <w:pStyle w:val="11"/>
        <w:tabs>
          <w:tab w:val="left" w:pos="1197"/>
        </w:tabs>
        <w:spacing w:before="0" w:line="486" w:lineRule="exact"/>
        <w:ind w:left="0" w:right="233" w:firstLine="0"/>
        <w:jc w:val="both"/>
        <w:rPr>
          <w:rFonts w:hint="default"/>
          <w:sz w:val="24"/>
          <w:szCs w:val="24"/>
          <w:lang w:val="en-US" w:eastAsia="zh-CN"/>
        </w:rPr>
      </w:pPr>
      <w:r>
        <w:rPr>
          <w:rFonts w:hint="eastAsia"/>
          <w:sz w:val="24"/>
          <w:szCs w:val="24"/>
          <w:lang w:eastAsia="zh-CN"/>
        </w:rPr>
        <w:t>1.2</w:t>
      </w:r>
      <w:r>
        <w:rPr>
          <w:rFonts w:hint="eastAsia"/>
          <w:sz w:val="24"/>
          <w:szCs w:val="24"/>
          <w:lang w:val="en-US" w:eastAsia="zh-CN"/>
        </w:rPr>
        <w:t>实施</w:t>
      </w:r>
      <w:r>
        <w:rPr>
          <w:rFonts w:hint="eastAsia"/>
          <w:sz w:val="24"/>
          <w:szCs w:val="24"/>
          <w:lang w:eastAsia="zh-CN"/>
        </w:rPr>
        <w:t>地点：</w:t>
      </w:r>
      <w:r>
        <w:rPr>
          <w:rFonts w:hint="eastAsia"/>
          <w:color w:val="auto"/>
          <w:sz w:val="24"/>
          <w:szCs w:val="24"/>
          <w:highlight w:val="none"/>
          <w:lang w:val="en-US" w:eastAsia="zh-CN"/>
        </w:rPr>
        <w:t>采购人指定地点</w:t>
      </w:r>
    </w:p>
    <w:p w14:paraId="21A0CAEF">
      <w:pPr>
        <w:pStyle w:val="11"/>
        <w:tabs>
          <w:tab w:val="left" w:pos="1197"/>
        </w:tabs>
        <w:spacing w:before="0" w:line="486" w:lineRule="exact"/>
        <w:ind w:left="0" w:right="233" w:firstLine="0"/>
        <w:jc w:val="both"/>
        <w:rPr>
          <w:rFonts w:hint="eastAsia"/>
          <w:sz w:val="24"/>
          <w:szCs w:val="24"/>
          <w:lang w:eastAsia="zh-CN"/>
        </w:rPr>
      </w:pPr>
      <w:r>
        <w:rPr>
          <w:rFonts w:hint="eastAsia"/>
          <w:b/>
          <w:bCs/>
          <w:sz w:val="24"/>
          <w:szCs w:val="24"/>
          <w:lang w:eastAsia="zh-CN"/>
        </w:rPr>
        <w:t>2.付款条件（进度和方式）</w:t>
      </w:r>
      <w:r>
        <w:rPr>
          <w:rFonts w:hint="eastAsia"/>
          <w:sz w:val="24"/>
          <w:szCs w:val="24"/>
          <w:lang w:eastAsia="zh-CN"/>
        </w:rPr>
        <w:t>：详见“拟签订的合同文本”。</w:t>
      </w:r>
    </w:p>
    <w:p w14:paraId="2815DF0F">
      <w:pPr>
        <w:pStyle w:val="10"/>
        <w:tabs>
          <w:tab w:val="left" w:pos="470"/>
        </w:tabs>
        <w:spacing w:before="0" w:line="486" w:lineRule="exact"/>
        <w:ind w:left="0" w:right="7155" w:firstLine="0"/>
        <w:jc w:val="both"/>
        <w:rPr>
          <w:rFonts w:hint="eastAsia"/>
          <w:b/>
          <w:bCs/>
          <w:sz w:val="24"/>
          <w:szCs w:val="24"/>
          <w:lang w:eastAsia="zh-CN"/>
        </w:rPr>
      </w:pPr>
    </w:p>
    <w:p w14:paraId="0895EF8A">
      <w:pPr>
        <w:pStyle w:val="10"/>
        <w:tabs>
          <w:tab w:val="left" w:pos="470"/>
        </w:tabs>
        <w:spacing w:before="0" w:line="486" w:lineRule="exact"/>
        <w:ind w:left="0" w:right="6546" w:rightChars="0" w:firstLine="0"/>
        <w:jc w:val="both"/>
        <w:rPr>
          <w:sz w:val="24"/>
          <w:szCs w:val="24"/>
          <w:highlight w:val="none"/>
          <w:lang w:eastAsia="zh-CN"/>
        </w:rPr>
      </w:pPr>
      <w:r>
        <w:rPr>
          <w:rFonts w:hint="eastAsia"/>
          <w:b/>
          <w:bCs/>
          <w:sz w:val="24"/>
          <w:szCs w:val="24"/>
          <w:highlight w:val="none"/>
          <w:lang w:eastAsia="zh-CN"/>
        </w:rPr>
        <w:t>三、技术要求</w:t>
      </w:r>
      <w:bookmarkStart w:id="12" w:name="_GoBack"/>
      <w:bookmarkEnd w:id="12"/>
    </w:p>
    <w:p w14:paraId="050672F9">
      <w:pPr>
        <w:spacing w:line="486" w:lineRule="exact"/>
        <w:ind w:firstLine="241" w:firstLineChars="100"/>
        <w:contextualSpacing/>
        <w:rPr>
          <w:b/>
          <w:bCs/>
          <w:sz w:val="24"/>
          <w:szCs w:val="24"/>
          <w:lang w:eastAsia="zh-CN"/>
        </w:rPr>
      </w:pPr>
      <w:r>
        <w:rPr>
          <w:rFonts w:hint="eastAsia" w:eastAsia="宋体"/>
          <w:b/>
          <w:bCs/>
          <w:sz w:val="24"/>
          <w:szCs w:val="24"/>
          <w:lang w:eastAsia="zh-CN"/>
        </w:rPr>
        <w:t>1. 基本要求</w:t>
      </w:r>
    </w:p>
    <w:p w14:paraId="323C8A0D">
      <w:pPr>
        <w:spacing w:line="486" w:lineRule="exact"/>
        <w:ind w:firstLine="241" w:firstLineChars="100"/>
        <w:contextualSpacing/>
        <w:rPr>
          <w:b/>
          <w:bCs/>
          <w:sz w:val="24"/>
          <w:szCs w:val="24"/>
          <w:lang w:eastAsia="zh-CN"/>
        </w:rPr>
      </w:pPr>
      <w:r>
        <w:rPr>
          <w:rFonts w:hint="eastAsia" w:eastAsia="宋体"/>
          <w:b/>
          <w:bCs/>
          <w:sz w:val="24"/>
          <w:szCs w:val="24"/>
          <w:lang w:eastAsia="zh-CN"/>
        </w:rPr>
        <w:t>1.1 采购标的需实现的功能或者目标</w:t>
      </w:r>
    </w:p>
    <w:p w14:paraId="59C1D869">
      <w:pPr>
        <w:adjustRightInd w:val="0"/>
        <w:spacing w:line="486" w:lineRule="exact"/>
        <w:ind w:firstLine="480" w:firstLineChars="200"/>
        <w:rPr>
          <w:rFonts w:hint="eastAsia"/>
          <w:sz w:val="24"/>
          <w:szCs w:val="24"/>
          <w:lang w:eastAsia="zh-CN"/>
        </w:rPr>
      </w:pPr>
      <w:r>
        <w:rPr>
          <w:rFonts w:hint="eastAsia" w:eastAsia="宋体"/>
          <w:sz w:val="24"/>
          <w:szCs w:val="24"/>
          <w:lang w:eastAsia="zh-CN"/>
        </w:rPr>
        <w:t>本次招标采购是为北京小汤山医院提供</w:t>
      </w:r>
      <w:r>
        <w:rPr>
          <w:rFonts w:hint="eastAsia" w:eastAsia="宋体"/>
          <w:sz w:val="24"/>
          <w:szCs w:val="24"/>
          <w:highlight w:val="none"/>
          <w:lang w:eastAsia="zh-CN"/>
        </w:rPr>
        <w:t>应急病房安全运维服务</w:t>
      </w:r>
      <w:r>
        <w:rPr>
          <w:rFonts w:hint="eastAsia" w:eastAsia="宋体"/>
          <w:sz w:val="24"/>
          <w:szCs w:val="24"/>
          <w:lang w:eastAsia="zh-CN"/>
        </w:rPr>
        <w:t>，供应商应根据招标文件所提出的技术规格和服务要求，以先进的技术、优良的服务和优惠的价格，充分显示自己的竞争实力。</w:t>
      </w:r>
    </w:p>
    <w:p w14:paraId="0BA98853">
      <w:pPr>
        <w:pStyle w:val="2"/>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lang w:eastAsia="zh-CN"/>
        </w:rPr>
      </w:pPr>
      <w:r>
        <w:rPr>
          <w:rFonts w:hint="eastAsia" w:ascii="宋体" w:hAnsi="宋体" w:eastAsia="宋体" w:cs="宋体"/>
          <w:sz w:val="24"/>
          <w:szCs w:val="24"/>
          <w:lang w:val="en-US" w:eastAsia="zh-CN" w:bidi="ar-SA"/>
        </w:rPr>
        <w:t>投标人应具备履行本项目合同所必需的专业技术能力和服务保障体系，熟悉医院信息系统运行环境，能够针对采购人院内在用的服务器、存储设备、网络设备、安全设备、虚拟化平台及终端等信息系统，提供稳定、连续、安全的运行维护技术支持、备件保障和故障应急处置服务。</w:t>
      </w:r>
    </w:p>
    <w:p w14:paraId="241D52C9">
      <w:pPr>
        <w:spacing w:line="486" w:lineRule="exact"/>
        <w:ind w:firstLine="241" w:firstLineChars="100"/>
        <w:contextualSpacing/>
        <w:rPr>
          <w:sz w:val="24"/>
          <w:szCs w:val="24"/>
          <w:lang w:eastAsia="zh-CN"/>
        </w:rPr>
      </w:pPr>
      <w:r>
        <w:rPr>
          <w:rFonts w:hint="eastAsia" w:eastAsia="宋体"/>
          <w:b/>
          <w:bCs/>
          <w:sz w:val="24"/>
          <w:szCs w:val="24"/>
          <w:lang w:eastAsia="zh-CN"/>
        </w:rPr>
        <w:t>1.2 需执行的国家相关标准、行业标准、地方标准或者其他标准、规范</w:t>
      </w:r>
    </w:p>
    <w:p w14:paraId="02C059D0">
      <w:pPr>
        <w:spacing w:line="486" w:lineRule="exact"/>
        <w:ind w:firstLine="480" w:firstLineChars="200"/>
        <w:contextualSpacing/>
        <w:rPr>
          <w:rFonts w:hint="eastAsia"/>
          <w:b w:val="0"/>
          <w:bCs w:val="0"/>
          <w:color w:val="auto"/>
          <w:sz w:val="24"/>
          <w:szCs w:val="24"/>
          <w:highlight w:val="none"/>
          <w:lang w:eastAsia="zh-CN"/>
        </w:rPr>
      </w:pPr>
      <w:r>
        <w:rPr>
          <w:rFonts w:hint="eastAsia" w:ascii="宋体" w:hAnsi="宋体" w:eastAsia="宋体" w:cs="宋体"/>
          <w:sz w:val="24"/>
          <w:szCs w:val="24"/>
          <w:lang w:val="en-US" w:eastAsia="zh-CN" w:bidi="ar-SA"/>
        </w:rPr>
        <w:t>投标人应严格遵守《中华人民共和国网络安全法》《中华人民共和国数据安全法》《中华人民共和国个人信息保护法》等法律法规，符合《网络安全等级保护基本要求》（GB/T 22239）及信息技术服务标准（ITSS，GB/T 28827 系列）等国家标准规范，执行卫生健康行业信息安全与医疗数据管理相关规定；在医院信息科统一管理下开展运维服务，确保信息系统连续稳定运行和患者数据安全，服务过程接受院方监督与考核。</w:t>
      </w:r>
    </w:p>
    <w:p w14:paraId="77CFD499">
      <w:pPr>
        <w:spacing w:line="486" w:lineRule="exact"/>
        <w:ind w:firstLine="480" w:firstLineChars="200"/>
        <w:contextualSpacing/>
        <w:rPr>
          <w:rFonts w:hint="eastAsia"/>
          <w:sz w:val="24"/>
          <w:szCs w:val="24"/>
          <w:highlight w:val="none"/>
          <w:lang w:val="en-US" w:eastAsia="zh-CN"/>
        </w:rPr>
      </w:pPr>
      <w:r>
        <w:rPr>
          <w:rFonts w:hint="eastAsia" w:eastAsia="宋体"/>
          <w:b w:val="0"/>
          <w:bCs w:val="0"/>
          <w:color w:val="auto"/>
          <w:sz w:val="24"/>
          <w:szCs w:val="24"/>
          <w:highlight w:val="none"/>
          <w:lang w:eastAsia="zh-CN"/>
        </w:rPr>
        <w:t>供应商应保证所提供的服务符合</w:t>
      </w:r>
      <w:r>
        <w:rPr>
          <w:rFonts w:hint="eastAsia" w:ascii="宋体" w:eastAsia="宋体"/>
          <w:b w:val="0"/>
          <w:bCs w:val="0"/>
          <w:color w:val="auto"/>
          <w:sz w:val="24"/>
          <w:szCs w:val="24"/>
          <w:highlight w:val="none"/>
          <w:lang w:val="en-US" w:eastAsia="zh-CN"/>
        </w:rPr>
        <w:t>其他</w:t>
      </w:r>
      <w:r>
        <w:rPr>
          <w:rFonts w:hint="eastAsia" w:eastAsia="宋体"/>
          <w:b w:val="0"/>
          <w:bCs w:val="0"/>
          <w:color w:val="auto"/>
          <w:sz w:val="24"/>
          <w:szCs w:val="24"/>
          <w:highlight w:val="none"/>
          <w:lang w:eastAsia="zh-CN"/>
        </w:rPr>
        <w:t>国家相关法律法规的要求。</w:t>
      </w:r>
    </w:p>
    <w:p w14:paraId="27DE15FF">
      <w:pPr>
        <w:spacing w:line="486" w:lineRule="exact"/>
        <w:ind w:firstLine="241" w:firstLineChars="100"/>
        <w:contextualSpacing/>
        <w:rPr>
          <w:b/>
          <w:bCs/>
          <w:sz w:val="24"/>
          <w:szCs w:val="24"/>
          <w:lang w:eastAsia="zh-CN"/>
        </w:rPr>
      </w:pPr>
      <w:r>
        <w:rPr>
          <w:rFonts w:hint="eastAsia" w:eastAsia="宋体"/>
          <w:b/>
          <w:bCs/>
          <w:sz w:val="24"/>
          <w:szCs w:val="24"/>
          <w:lang w:eastAsia="zh-CN"/>
        </w:rPr>
        <w:t>2.服务内容及要求</w:t>
      </w:r>
    </w:p>
    <w:p w14:paraId="0A2DCE1E">
      <w:pPr>
        <w:widowControl/>
        <w:spacing w:line="486" w:lineRule="exact"/>
        <w:ind w:left="-1" w:firstLine="241" w:firstLineChars="100"/>
        <w:contextualSpacing/>
        <w:rPr>
          <w:color w:val="00B0F0"/>
        </w:rPr>
      </w:pPr>
      <w:r>
        <w:rPr>
          <w:rFonts w:hint="eastAsia" w:ascii="宋体" w:eastAsia="宋体"/>
          <w:b/>
          <w:bCs/>
          <w:color w:val="auto"/>
          <w:sz w:val="24"/>
          <w:szCs w:val="24"/>
          <w:highlight w:val="none"/>
          <w:lang w:val="en-US" w:eastAsia="zh-CN"/>
        </w:rPr>
        <w:t>2.1 采购标的需满足的质量、安全、技术规格、物理特性等要求；</w:t>
      </w:r>
    </w:p>
    <w:p w14:paraId="2A295D25">
      <w:pPr>
        <w:pStyle w:val="4"/>
        <w:spacing w:before="120" w:beforeLines="50" w:line="300" w:lineRule="auto"/>
        <w:jc w:val="left"/>
        <w:rPr>
          <w:rFonts w:hint="eastAsia"/>
          <w:b/>
          <w:sz w:val="24"/>
        </w:rPr>
      </w:pPr>
      <w:bookmarkStart w:id="2" w:name="_Toc140159508"/>
      <w:bookmarkStart w:id="3" w:name="_Toc146014891"/>
      <w:r>
        <w:rPr>
          <w:rFonts w:hint="eastAsia"/>
          <w:b/>
          <w:sz w:val="24"/>
          <w:lang w:val="en-US" w:eastAsia="zh-CN"/>
        </w:rPr>
        <w:t>2.1.1</w:t>
      </w:r>
      <w:r>
        <w:rPr>
          <w:b/>
          <w:sz w:val="24"/>
        </w:rPr>
        <w:t>设备维保服务</w:t>
      </w:r>
    </w:p>
    <w:p w14:paraId="6E5836BF">
      <w:pPr>
        <w:pStyle w:val="5"/>
        <w:spacing w:before="120" w:beforeLines="50" w:line="360" w:lineRule="auto"/>
        <w:jc w:val="left"/>
        <w:rPr>
          <w:rFonts w:hint="eastAsia"/>
          <w:sz w:val="24"/>
        </w:rPr>
      </w:pPr>
      <w:r>
        <w:rPr>
          <w:rFonts w:hint="eastAsia"/>
          <w:sz w:val="24"/>
          <w:lang w:val="en-US" w:eastAsia="zh-CN"/>
        </w:rPr>
        <w:t>2.1.1.1</w:t>
      </w:r>
      <w:r>
        <w:rPr>
          <w:sz w:val="24"/>
        </w:rPr>
        <w:t>采购需求</w:t>
      </w:r>
    </w:p>
    <w:p w14:paraId="40CB9A60">
      <w:pPr>
        <w:pStyle w:val="12"/>
        <w:numPr>
          <w:ilvl w:val="0"/>
          <w:numId w:val="0"/>
        </w:numPr>
        <w:spacing w:line="360" w:lineRule="auto"/>
        <w:ind w:firstLine="480" w:firstLineChars="200"/>
        <w:rPr>
          <w:rFonts w:hint="eastAsia"/>
          <w:sz w:val="24"/>
        </w:rPr>
      </w:pPr>
      <w:r>
        <w:rPr>
          <w:rFonts w:hint="eastAsia"/>
          <w:sz w:val="24"/>
          <w:lang w:val="en-US" w:eastAsia="zh-CN"/>
        </w:rPr>
        <w:t>1）</w:t>
      </w:r>
      <w:r>
        <w:rPr>
          <w:rFonts w:hint="eastAsia"/>
          <w:sz w:val="24"/>
        </w:rPr>
        <w:t>本次设备维保服务采购内容包括服务器设备</w:t>
      </w:r>
      <w:r>
        <w:rPr>
          <w:rFonts w:hint="eastAsia"/>
          <w:sz w:val="24"/>
          <w:lang w:val="en-US" w:eastAsia="zh-CN"/>
        </w:rPr>
        <w:t>、</w:t>
      </w:r>
      <w:r>
        <w:rPr>
          <w:rFonts w:hint="eastAsia"/>
          <w:sz w:val="24"/>
        </w:rPr>
        <w:t>存储设备、网络设备</w:t>
      </w:r>
      <w:r>
        <w:rPr>
          <w:rFonts w:hint="eastAsia"/>
          <w:sz w:val="24"/>
          <w:lang w:eastAsia="zh-CN"/>
        </w:rPr>
        <w:t>、</w:t>
      </w:r>
      <w:r>
        <w:rPr>
          <w:rFonts w:hint="eastAsia"/>
          <w:sz w:val="24"/>
        </w:rPr>
        <w:t>网络安全设备、</w:t>
      </w:r>
      <w:r>
        <w:rPr>
          <w:sz w:val="24"/>
        </w:rPr>
        <w:t>模块化机房设备</w:t>
      </w:r>
      <w:r>
        <w:rPr>
          <w:rFonts w:hint="eastAsia"/>
          <w:sz w:val="24"/>
          <w:lang w:eastAsia="zh-CN"/>
        </w:rPr>
        <w:t>、</w:t>
      </w:r>
      <w:r>
        <w:rPr>
          <w:rFonts w:hint="eastAsia"/>
          <w:sz w:val="24"/>
        </w:rPr>
        <w:t>应急视频系统</w:t>
      </w:r>
      <w:r>
        <w:rPr>
          <w:rFonts w:hint="eastAsia"/>
          <w:sz w:val="24"/>
          <w:lang w:eastAsia="zh-CN"/>
        </w:rPr>
        <w:t>、</w:t>
      </w:r>
      <w:r>
        <w:rPr>
          <w:rFonts w:hint="eastAsia"/>
          <w:sz w:val="24"/>
        </w:rPr>
        <w:t>应用系统</w:t>
      </w:r>
      <w:r>
        <w:rPr>
          <w:rFonts w:hint="eastAsia"/>
          <w:sz w:val="24"/>
          <w:lang w:val="en-US" w:eastAsia="zh-CN"/>
        </w:rPr>
        <w:t>及</w:t>
      </w:r>
      <w:r>
        <w:rPr>
          <w:rFonts w:hint="eastAsia"/>
          <w:sz w:val="24"/>
        </w:rPr>
        <w:t>数字证书应用产品</w:t>
      </w:r>
      <w:r>
        <w:rPr>
          <w:rFonts w:hint="eastAsia"/>
          <w:sz w:val="24"/>
          <w:lang w:val="en-US" w:eastAsia="zh-CN"/>
        </w:rPr>
        <w:t>等</w:t>
      </w:r>
      <w:r>
        <w:rPr>
          <w:rFonts w:hint="eastAsia"/>
          <w:sz w:val="24"/>
        </w:rPr>
        <w:t>，要求投标人对医院信息化软硬件设备提供规范化的服务和定期预防性维护。</w:t>
      </w:r>
    </w:p>
    <w:p w14:paraId="1620E96F">
      <w:pPr>
        <w:spacing w:before="120" w:beforeLines="50" w:line="300" w:lineRule="auto"/>
        <w:ind w:firstLine="480" w:firstLineChars="200"/>
        <w:rPr>
          <w:sz w:val="24"/>
        </w:rPr>
      </w:pPr>
      <w:r>
        <w:rPr>
          <w:rFonts w:hint="eastAsia" w:ascii="宋体" w:eastAsia="宋体"/>
          <w:sz w:val="24"/>
          <w:lang w:val="en-US" w:eastAsia="zh-CN"/>
        </w:rPr>
        <w:t>2）</w:t>
      </w:r>
      <w:r>
        <w:rPr>
          <w:rFonts w:hint="eastAsia"/>
          <w:sz w:val="24"/>
        </w:rPr>
        <w:t>投标人根据采购人提出的服务要求通过采用</w:t>
      </w:r>
      <w:r>
        <w:rPr>
          <w:rFonts w:hint="eastAsia" w:ascii="宋体" w:eastAsia="宋体"/>
          <w:sz w:val="24"/>
          <w:lang w:val="en-US" w:eastAsia="zh-CN"/>
        </w:rPr>
        <w:t>标准化的服务流程、规范的管理制度、先进的技术手段及高水平的服务团队，保证系统软硬件安全稳定运行</w:t>
      </w:r>
      <w:r>
        <w:rPr>
          <w:rFonts w:hint="eastAsia"/>
          <w:sz w:val="24"/>
        </w:rPr>
        <w:t>。</w:t>
      </w:r>
    </w:p>
    <w:p w14:paraId="72E9484A">
      <w:pPr>
        <w:pStyle w:val="5"/>
        <w:spacing w:before="120" w:beforeLines="50" w:line="300" w:lineRule="auto"/>
        <w:jc w:val="left"/>
        <w:rPr>
          <w:rFonts w:hint="default" w:eastAsia="宋体"/>
          <w:sz w:val="24"/>
          <w:lang w:val="en-US" w:eastAsia="zh-CN"/>
        </w:rPr>
      </w:pPr>
      <w:r>
        <w:rPr>
          <w:rFonts w:hint="eastAsia"/>
          <w:sz w:val="24"/>
          <w:lang w:val="en-US" w:eastAsia="zh-CN"/>
        </w:rPr>
        <w:t>2.1.1.2</w:t>
      </w:r>
      <w:r>
        <w:rPr>
          <w:rFonts w:hint="eastAsia"/>
          <w:sz w:val="24"/>
        </w:rPr>
        <w:t>维保设备清单</w:t>
      </w:r>
    </w:p>
    <w:p w14:paraId="448E8304">
      <w:pPr>
        <w:spacing w:before="120" w:beforeLines="50" w:line="300" w:lineRule="auto"/>
        <w:rPr>
          <w:sz w:val="24"/>
        </w:rPr>
      </w:pPr>
      <w:r>
        <w:rPr>
          <w:rFonts w:hint="eastAsia" w:ascii="宋体" w:eastAsia="宋体"/>
          <w:sz w:val="24"/>
          <w:lang w:val="en-US" w:eastAsia="zh-CN"/>
        </w:rPr>
        <w:t>（1）</w:t>
      </w:r>
      <w:r>
        <w:rPr>
          <w:sz w:val="24"/>
        </w:rPr>
        <w:t>服务器</w:t>
      </w:r>
      <w:r>
        <w:rPr>
          <w:rFonts w:hint="eastAsia" w:ascii="宋体" w:eastAsia="宋体"/>
          <w:sz w:val="24"/>
          <w:lang w:val="en-US" w:eastAsia="zh-CN"/>
        </w:rPr>
        <w:t>与</w:t>
      </w:r>
      <w:r>
        <w:rPr>
          <w:sz w:val="24"/>
        </w:rPr>
        <w:t>存储设备清单</w:t>
      </w:r>
    </w:p>
    <w:tbl>
      <w:tblPr>
        <w:tblStyle w:val="7"/>
        <w:tblW w:w="0" w:type="auto"/>
        <w:jc w:val="center"/>
        <w:tblLayout w:type="fixed"/>
        <w:tblCellMar>
          <w:top w:w="0" w:type="dxa"/>
          <w:left w:w="108" w:type="dxa"/>
          <w:bottom w:w="0" w:type="dxa"/>
          <w:right w:w="108" w:type="dxa"/>
        </w:tblCellMar>
      </w:tblPr>
      <w:tblGrid>
        <w:gridCol w:w="825"/>
        <w:gridCol w:w="1200"/>
        <w:gridCol w:w="733"/>
        <w:gridCol w:w="1095"/>
        <w:gridCol w:w="840"/>
        <w:gridCol w:w="735"/>
        <w:gridCol w:w="1125"/>
        <w:gridCol w:w="1050"/>
        <w:gridCol w:w="2087"/>
      </w:tblGrid>
      <w:tr w14:paraId="70ADF1D5">
        <w:tblPrEx>
          <w:tblCellMar>
            <w:top w:w="0" w:type="dxa"/>
            <w:left w:w="108" w:type="dxa"/>
            <w:bottom w:w="0" w:type="dxa"/>
            <w:right w:w="108" w:type="dxa"/>
          </w:tblCellMar>
        </w:tblPrEx>
        <w:trPr>
          <w:trHeight w:val="452" w:hRule="atLeast"/>
          <w:tblHeader/>
          <w:jc w:val="center"/>
        </w:trPr>
        <w:tc>
          <w:tcPr>
            <w:tcW w:w="825" w:type="dxa"/>
            <w:tcBorders>
              <w:top w:val="single" w:color="auto" w:sz="8" w:space="0"/>
              <w:left w:val="single" w:color="auto" w:sz="8" w:space="0"/>
              <w:bottom w:val="single" w:color="auto" w:sz="8" w:space="0"/>
              <w:right w:val="single" w:color="auto" w:sz="8" w:space="0"/>
            </w:tcBorders>
            <w:noWrap/>
            <w:vAlign w:val="center"/>
          </w:tcPr>
          <w:p w14:paraId="4D2492EE">
            <w:pPr>
              <w:widowControl/>
              <w:autoSpaceDE/>
              <w:autoSpaceDN/>
              <w:snapToGrid w:val="0"/>
              <w:ind w:left="0" w:leftChars="0" w:right="0" w:rightChars="0" w:firstLine="0" w:firstLineChars="0"/>
              <w:jc w:val="center"/>
              <w:rPr>
                <w:b/>
                <w:bCs/>
                <w:color w:val="000000"/>
                <w:sz w:val="24"/>
                <w:szCs w:val="24"/>
              </w:rPr>
            </w:pPr>
            <w:r>
              <w:rPr>
                <w:rFonts w:hint="eastAsia"/>
                <w:b/>
                <w:bCs/>
                <w:color w:val="000000"/>
                <w:sz w:val="24"/>
                <w:szCs w:val="24"/>
              </w:rPr>
              <w:t>序号</w:t>
            </w:r>
          </w:p>
        </w:tc>
        <w:tc>
          <w:tcPr>
            <w:tcW w:w="1200" w:type="dxa"/>
            <w:tcBorders>
              <w:top w:val="single" w:color="auto" w:sz="8" w:space="0"/>
              <w:left w:val="nil"/>
              <w:bottom w:val="single" w:color="auto" w:sz="8" w:space="0"/>
              <w:right w:val="single" w:color="auto" w:sz="8" w:space="0"/>
            </w:tcBorders>
            <w:noWrap/>
            <w:vAlign w:val="center"/>
          </w:tcPr>
          <w:p w14:paraId="2363A43D">
            <w:pPr>
              <w:widowControl/>
              <w:autoSpaceDE/>
              <w:autoSpaceDN/>
              <w:snapToGrid w:val="0"/>
              <w:ind w:left="0" w:leftChars="0" w:right="0" w:rightChars="0" w:firstLine="0" w:firstLineChars="0"/>
              <w:jc w:val="center"/>
              <w:rPr>
                <w:rFonts w:hint="eastAsia"/>
                <w:b/>
                <w:bCs/>
                <w:color w:val="000000"/>
                <w:sz w:val="24"/>
                <w:szCs w:val="24"/>
              </w:rPr>
            </w:pPr>
            <w:r>
              <w:rPr>
                <w:rFonts w:hint="eastAsia"/>
                <w:b/>
                <w:bCs/>
                <w:color w:val="000000"/>
                <w:sz w:val="24"/>
                <w:szCs w:val="24"/>
              </w:rPr>
              <w:t>设备名称</w:t>
            </w:r>
          </w:p>
        </w:tc>
        <w:tc>
          <w:tcPr>
            <w:tcW w:w="733" w:type="dxa"/>
            <w:tcBorders>
              <w:top w:val="single" w:color="auto" w:sz="8" w:space="0"/>
              <w:left w:val="nil"/>
              <w:bottom w:val="single" w:color="auto" w:sz="8" w:space="0"/>
              <w:right w:val="single" w:color="auto" w:sz="8" w:space="0"/>
            </w:tcBorders>
            <w:noWrap/>
            <w:vAlign w:val="center"/>
          </w:tcPr>
          <w:p w14:paraId="27993863">
            <w:pPr>
              <w:widowControl/>
              <w:autoSpaceDE/>
              <w:autoSpaceDN/>
              <w:snapToGrid w:val="0"/>
              <w:ind w:left="0" w:leftChars="0" w:right="0" w:rightChars="0" w:firstLine="0" w:firstLineChars="0"/>
              <w:jc w:val="center"/>
              <w:rPr>
                <w:rFonts w:hint="eastAsia"/>
                <w:b/>
                <w:bCs/>
                <w:color w:val="000000"/>
                <w:sz w:val="24"/>
                <w:szCs w:val="24"/>
              </w:rPr>
            </w:pPr>
            <w:r>
              <w:rPr>
                <w:rFonts w:hint="eastAsia"/>
                <w:b/>
                <w:bCs/>
                <w:color w:val="000000"/>
                <w:sz w:val="24"/>
                <w:szCs w:val="24"/>
              </w:rPr>
              <w:t>品牌</w:t>
            </w:r>
          </w:p>
        </w:tc>
        <w:tc>
          <w:tcPr>
            <w:tcW w:w="1095" w:type="dxa"/>
            <w:tcBorders>
              <w:top w:val="single" w:color="auto" w:sz="8" w:space="0"/>
              <w:left w:val="nil"/>
              <w:bottom w:val="single" w:color="auto" w:sz="8" w:space="0"/>
              <w:right w:val="single" w:color="auto" w:sz="8" w:space="0"/>
            </w:tcBorders>
            <w:noWrap/>
            <w:vAlign w:val="center"/>
          </w:tcPr>
          <w:p w14:paraId="31252CEF">
            <w:pPr>
              <w:widowControl/>
              <w:autoSpaceDE/>
              <w:autoSpaceDN/>
              <w:snapToGrid w:val="0"/>
              <w:ind w:left="0" w:leftChars="0" w:right="0" w:rightChars="0" w:firstLine="0" w:firstLineChars="0"/>
              <w:jc w:val="center"/>
              <w:rPr>
                <w:rFonts w:hint="eastAsia"/>
                <w:b/>
                <w:bCs/>
                <w:color w:val="000000"/>
                <w:sz w:val="24"/>
                <w:szCs w:val="24"/>
              </w:rPr>
            </w:pPr>
            <w:r>
              <w:rPr>
                <w:rFonts w:hint="eastAsia"/>
                <w:b/>
                <w:bCs/>
                <w:color w:val="000000"/>
                <w:sz w:val="24"/>
                <w:szCs w:val="24"/>
              </w:rPr>
              <w:t>型号</w:t>
            </w:r>
          </w:p>
        </w:tc>
        <w:tc>
          <w:tcPr>
            <w:tcW w:w="840" w:type="dxa"/>
            <w:tcBorders>
              <w:top w:val="single" w:color="auto" w:sz="8" w:space="0"/>
              <w:left w:val="nil"/>
              <w:bottom w:val="single" w:color="auto" w:sz="8" w:space="0"/>
              <w:right w:val="single" w:color="auto" w:sz="8" w:space="0"/>
            </w:tcBorders>
            <w:noWrap w:val="0"/>
            <w:vAlign w:val="center"/>
          </w:tcPr>
          <w:p w14:paraId="5EEF7D38">
            <w:pPr>
              <w:widowControl/>
              <w:autoSpaceDE/>
              <w:autoSpaceDN/>
              <w:snapToGrid w:val="0"/>
              <w:ind w:left="0" w:leftChars="0" w:right="0" w:rightChars="0" w:firstLine="0" w:firstLineChars="0"/>
              <w:jc w:val="center"/>
              <w:rPr>
                <w:rFonts w:hint="eastAsia"/>
                <w:b/>
                <w:bCs/>
                <w:color w:val="000000"/>
                <w:sz w:val="24"/>
                <w:szCs w:val="24"/>
              </w:rPr>
            </w:pPr>
            <w:r>
              <w:rPr>
                <w:rFonts w:hint="eastAsia"/>
                <w:b/>
                <w:bCs/>
                <w:color w:val="000000"/>
                <w:sz w:val="24"/>
                <w:szCs w:val="24"/>
              </w:rPr>
              <w:t>单位</w:t>
            </w:r>
          </w:p>
        </w:tc>
        <w:tc>
          <w:tcPr>
            <w:tcW w:w="735" w:type="dxa"/>
            <w:tcBorders>
              <w:top w:val="single" w:color="auto" w:sz="8" w:space="0"/>
              <w:left w:val="nil"/>
              <w:bottom w:val="single" w:color="auto" w:sz="8" w:space="0"/>
              <w:right w:val="single" w:color="auto" w:sz="8" w:space="0"/>
            </w:tcBorders>
            <w:noWrap/>
            <w:vAlign w:val="center"/>
          </w:tcPr>
          <w:p w14:paraId="2DE6DFBA">
            <w:pPr>
              <w:widowControl/>
              <w:autoSpaceDE/>
              <w:autoSpaceDN/>
              <w:snapToGrid w:val="0"/>
              <w:ind w:left="0" w:leftChars="0" w:right="0" w:rightChars="0" w:firstLine="0" w:firstLineChars="0"/>
              <w:jc w:val="center"/>
              <w:rPr>
                <w:rFonts w:hint="eastAsia"/>
                <w:b/>
                <w:bCs/>
                <w:color w:val="000000"/>
                <w:sz w:val="24"/>
                <w:szCs w:val="24"/>
              </w:rPr>
            </w:pPr>
            <w:r>
              <w:rPr>
                <w:rFonts w:hint="eastAsia"/>
                <w:b/>
                <w:bCs/>
                <w:color w:val="000000"/>
                <w:sz w:val="24"/>
                <w:szCs w:val="24"/>
              </w:rPr>
              <w:t>数量</w:t>
            </w:r>
          </w:p>
        </w:tc>
        <w:tc>
          <w:tcPr>
            <w:tcW w:w="1125" w:type="dxa"/>
            <w:tcBorders>
              <w:top w:val="single" w:color="auto" w:sz="8" w:space="0"/>
              <w:left w:val="nil"/>
              <w:bottom w:val="single" w:color="auto" w:sz="8" w:space="0"/>
              <w:right w:val="single" w:color="auto" w:sz="8" w:space="0"/>
            </w:tcBorders>
            <w:noWrap/>
            <w:vAlign w:val="center"/>
          </w:tcPr>
          <w:p w14:paraId="5A8AED13">
            <w:pPr>
              <w:widowControl/>
              <w:autoSpaceDE/>
              <w:autoSpaceDN/>
              <w:snapToGrid w:val="0"/>
              <w:ind w:left="0" w:leftChars="0" w:right="0" w:rightChars="0" w:firstLine="0" w:firstLineChars="0"/>
              <w:jc w:val="center"/>
              <w:rPr>
                <w:rFonts w:hint="default" w:eastAsia="宋体"/>
                <w:b/>
                <w:bCs/>
                <w:color w:val="000000"/>
                <w:sz w:val="24"/>
                <w:szCs w:val="24"/>
                <w:lang w:val="en-US" w:eastAsia="zh-CN"/>
              </w:rPr>
            </w:pPr>
            <w:r>
              <w:rPr>
                <w:rFonts w:hint="eastAsia" w:ascii="宋体" w:eastAsia="宋体"/>
                <w:b/>
                <w:bCs/>
                <w:color w:val="000000"/>
                <w:sz w:val="21"/>
                <w:szCs w:val="21"/>
                <w:lang w:val="en-US" w:eastAsia="zh-CN"/>
              </w:rPr>
              <w:t>购置时间</w:t>
            </w:r>
          </w:p>
        </w:tc>
        <w:tc>
          <w:tcPr>
            <w:tcW w:w="1050" w:type="dxa"/>
            <w:tcBorders>
              <w:top w:val="single" w:color="auto" w:sz="8" w:space="0"/>
              <w:left w:val="nil"/>
              <w:bottom w:val="single" w:color="auto" w:sz="8" w:space="0"/>
              <w:right w:val="single" w:color="auto" w:sz="8" w:space="0"/>
            </w:tcBorders>
            <w:noWrap/>
            <w:vAlign w:val="center"/>
          </w:tcPr>
          <w:p w14:paraId="28534FB2">
            <w:pPr>
              <w:widowControl/>
              <w:autoSpaceDE/>
              <w:autoSpaceDN/>
              <w:snapToGrid w:val="0"/>
              <w:ind w:left="0" w:leftChars="0" w:right="0" w:rightChars="0" w:firstLine="0" w:firstLineChars="0"/>
              <w:jc w:val="center"/>
              <w:rPr>
                <w:rFonts w:hint="default" w:eastAsia="宋体"/>
                <w:b/>
                <w:bCs/>
                <w:color w:val="000000"/>
                <w:sz w:val="24"/>
                <w:szCs w:val="24"/>
                <w:lang w:val="en-US" w:eastAsia="zh-CN"/>
              </w:rPr>
            </w:pPr>
            <w:r>
              <w:rPr>
                <w:rFonts w:hint="eastAsia" w:ascii="宋体" w:eastAsia="宋体"/>
                <w:b/>
                <w:bCs/>
                <w:color w:val="000000"/>
                <w:sz w:val="24"/>
                <w:szCs w:val="24"/>
                <w:lang w:val="en-US" w:eastAsia="zh-CN"/>
              </w:rPr>
              <w:t>是否有保修</w:t>
            </w:r>
          </w:p>
        </w:tc>
        <w:tc>
          <w:tcPr>
            <w:tcW w:w="2087" w:type="dxa"/>
            <w:tcBorders>
              <w:top w:val="single" w:color="auto" w:sz="8" w:space="0"/>
              <w:left w:val="nil"/>
              <w:bottom w:val="single" w:color="auto" w:sz="8" w:space="0"/>
              <w:right w:val="single" w:color="auto" w:sz="8" w:space="0"/>
            </w:tcBorders>
            <w:noWrap/>
            <w:vAlign w:val="center"/>
          </w:tcPr>
          <w:p w14:paraId="0C359034">
            <w:pPr>
              <w:widowControl/>
              <w:autoSpaceDE/>
              <w:autoSpaceDN/>
              <w:snapToGrid w:val="0"/>
              <w:ind w:left="0" w:leftChars="0" w:right="0" w:rightChars="0" w:firstLine="0" w:firstLineChars="0"/>
              <w:jc w:val="center"/>
              <w:rPr>
                <w:rFonts w:hint="eastAsia"/>
                <w:b/>
                <w:bCs/>
                <w:color w:val="000000"/>
                <w:sz w:val="24"/>
                <w:szCs w:val="24"/>
              </w:rPr>
            </w:pPr>
            <w:r>
              <w:rPr>
                <w:rFonts w:hint="eastAsia" w:ascii="宋体" w:eastAsia="宋体"/>
                <w:lang w:val="en-US" w:eastAsia="zh-CN"/>
              </w:rPr>
              <w:t>是否需要购买原厂维保</w:t>
            </w:r>
          </w:p>
        </w:tc>
      </w:tr>
      <w:tr w14:paraId="452E0D8D">
        <w:tblPrEx>
          <w:tblCellMar>
            <w:top w:w="0" w:type="dxa"/>
            <w:left w:w="108" w:type="dxa"/>
            <w:bottom w:w="0" w:type="dxa"/>
            <w:right w:w="108" w:type="dxa"/>
          </w:tblCellMar>
        </w:tblPrEx>
        <w:trPr>
          <w:trHeight w:val="0" w:hRule="atLeast"/>
          <w:jc w:val="center"/>
        </w:trPr>
        <w:tc>
          <w:tcPr>
            <w:tcW w:w="825" w:type="dxa"/>
            <w:tcBorders>
              <w:top w:val="nil"/>
              <w:left w:val="single" w:color="auto" w:sz="8" w:space="0"/>
              <w:bottom w:val="single" w:color="auto" w:sz="8" w:space="0"/>
              <w:right w:val="single" w:color="auto" w:sz="8" w:space="0"/>
            </w:tcBorders>
            <w:noWrap/>
            <w:vAlign w:val="center"/>
          </w:tcPr>
          <w:p w14:paraId="09928FB3">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1</w:t>
            </w:r>
          </w:p>
        </w:tc>
        <w:tc>
          <w:tcPr>
            <w:tcW w:w="1200" w:type="dxa"/>
            <w:tcBorders>
              <w:top w:val="nil"/>
              <w:left w:val="nil"/>
              <w:bottom w:val="single" w:color="auto" w:sz="8" w:space="0"/>
              <w:right w:val="single" w:color="auto" w:sz="8" w:space="0"/>
            </w:tcBorders>
            <w:noWrap/>
            <w:vAlign w:val="center"/>
          </w:tcPr>
          <w:p w14:paraId="19E5B4B5">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服务器</w:t>
            </w:r>
          </w:p>
        </w:tc>
        <w:tc>
          <w:tcPr>
            <w:tcW w:w="733" w:type="dxa"/>
            <w:tcBorders>
              <w:top w:val="nil"/>
              <w:left w:val="nil"/>
              <w:bottom w:val="single" w:color="auto" w:sz="8" w:space="0"/>
              <w:right w:val="single" w:color="auto" w:sz="8" w:space="0"/>
            </w:tcBorders>
            <w:noWrap w:val="0"/>
            <w:vAlign w:val="center"/>
          </w:tcPr>
          <w:p w14:paraId="6262C06C">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华为</w:t>
            </w:r>
          </w:p>
        </w:tc>
        <w:tc>
          <w:tcPr>
            <w:tcW w:w="1095" w:type="dxa"/>
            <w:tcBorders>
              <w:top w:val="nil"/>
              <w:left w:val="nil"/>
              <w:bottom w:val="single" w:color="auto" w:sz="8" w:space="0"/>
              <w:right w:val="single" w:color="auto" w:sz="8" w:space="0"/>
            </w:tcBorders>
            <w:noWrap w:val="0"/>
            <w:vAlign w:val="center"/>
          </w:tcPr>
          <w:p w14:paraId="2F447220">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FusionCube HCI-6</w:t>
            </w:r>
          </w:p>
        </w:tc>
        <w:tc>
          <w:tcPr>
            <w:tcW w:w="840" w:type="dxa"/>
            <w:tcBorders>
              <w:top w:val="nil"/>
              <w:left w:val="nil"/>
              <w:bottom w:val="single" w:color="auto" w:sz="8" w:space="0"/>
              <w:right w:val="single" w:color="auto" w:sz="8" w:space="0"/>
            </w:tcBorders>
            <w:noWrap/>
            <w:vAlign w:val="center"/>
          </w:tcPr>
          <w:p w14:paraId="75BD3684">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台</w:t>
            </w:r>
          </w:p>
        </w:tc>
        <w:tc>
          <w:tcPr>
            <w:tcW w:w="735" w:type="dxa"/>
            <w:tcBorders>
              <w:top w:val="nil"/>
              <w:left w:val="nil"/>
              <w:bottom w:val="single" w:color="auto" w:sz="8" w:space="0"/>
              <w:right w:val="single" w:color="auto" w:sz="8" w:space="0"/>
            </w:tcBorders>
            <w:noWrap w:val="0"/>
            <w:vAlign w:val="center"/>
          </w:tcPr>
          <w:p w14:paraId="40B2F68E">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6</w:t>
            </w:r>
          </w:p>
        </w:tc>
        <w:tc>
          <w:tcPr>
            <w:tcW w:w="1125" w:type="dxa"/>
            <w:tcBorders>
              <w:top w:val="nil"/>
              <w:left w:val="nil"/>
              <w:bottom w:val="single" w:color="auto" w:sz="8" w:space="0"/>
              <w:right w:val="single" w:color="auto" w:sz="8" w:space="0"/>
            </w:tcBorders>
            <w:noWrap w:val="0"/>
            <w:vAlign w:val="center"/>
          </w:tcPr>
          <w:p w14:paraId="5D94F4D4">
            <w:pPr>
              <w:widowControl/>
              <w:autoSpaceDE/>
              <w:autoSpaceDN/>
              <w:snapToGrid w:val="0"/>
              <w:ind w:left="0" w:leftChars="0" w:right="0" w:rightChars="0" w:firstLine="0" w:firstLineChars="0"/>
              <w:jc w:val="center"/>
              <w:rPr>
                <w:rFonts w:hint="default" w:ascii="宋体" w:eastAsia="宋体"/>
                <w:color w:val="000000"/>
                <w:sz w:val="24"/>
                <w:szCs w:val="24"/>
                <w:lang w:val="en-US" w:eastAsia="zh-CN"/>
              </w:rPr>
            </w:pPr>
            <w:r>
              <w:rPr>
                <w:rFonts w:hint="eastAsia" w:ascii="宋体" w:eastAsia="宋体"/>
                <w:color w:val="000000"/>
                <w:sz w:val="24"/>
                <w:szCs w:val="24"/>
                <w:lang w:val="en-US" w:eastAsia="zh-CN"/>
              </w:rPr>
              <w:t>2020年</w:t>
            </w:r>
          </w:p>
        </w:tc>
        <w:tc>
          <w:tcPr>
            <w:tcW w:w="1050" w:type="dxa"/>
            <w:tcBorders>
              <w:top w:val="nil"/>
              <w:left w:val="nil"/>
              <w:bottom w:val="single" w:color="auto" w:sz="8" w:space="0"/>
              <w:right w:val="single" w:color="auto" w:sz="8" w:space="0"/>
            </w:tcBorders>
            <w:noWrap w:val="0"/>
            <w:vAlign w:val="center"/>
          </w:tcPr>
          <w:p w14:paraId="6459D026">
            <w:pPr>
              <w:widowControl/>
              <w:autoSpaceDE/>
              <w:autoSpaceDN/>
              <w:snapToGrid w:val="0"/>
              <w:ind w:left="0" w:leftChars="0" w:right="0" w:rightChars="0" w:firstLine="0" w:firstLineChars="0"/>
              <w:jc w:val="center"/>
              <w:rPr>
                <w:rFonts w:hint="eastAsia" w:ascii="宋体" w:eastAsia="宋体"/>
                <w:color w:val="000000"/>
                <w:sz w:val="24"/>
                <w:szCs w:val="24"/>
                <w:lang w:val="en-US" w:eastAsia="zh-CN"/>
              </w:rPr>
            </w:pPr>
            <w:r>
              <w:rPr>
                <w:rFonts w:hint="eastAsia" w:ascii="宋体" w:eastAsia="宋体"/>
                <w:color w:val="000000"/>
                <w:sz w:val="24"/>
                <w:szCs w:val="24"/>
                <w:lang w:val="en-US" w:eastAsia="zh-CN"/>
              </w:rPr>
              <w:t>是</w:t>
            </w:r>
          </w:p>
        </w:tc>
        <w:tc>
          <w:tcPr>
            <w:tcW w:w="2087" w:type="dxa"/>
            <w:tcBorders>
              <w:top w:val="nil"/>
              <w:left w:val="nil"/>
              <w:bottom w:val="single" w:color="auto" w:sz="8" w:space="0"/>
              <w:right w:val="single" w:color="auto" w:sz="8" w:space="0"/>
            </w:tcBorders>
            <w:noWrap w:val="0"/>
            <w:vAlign w:val="center"/>
          </w:tcPr>
          <w:p w14:paraId="12A833CA">
            <w:pPr>
              <w:widowControl/>
              <w:autoSpaceDE/>
              <w:autoSpaceDN/>
              <w:snapToGrid w:val="0"/>
              <w:ind w:left="0" w:leftChars="0" w:right="0" w:rightChars="0" w:firstLine="0" w:firstLineChars="0"/>
              <w:jc w:val="center"/>
              <w:rPr>
                <w:rFonts w:hint="default" w:ascii="宋体" w:eastAsia="宋体"/>
                <w:color w:val="000000"/>
                <w:sz w:val="24"/>
                <w:szCs w:val="24"/>
                <w:lang w:val="en-US" w:eastAsia="zh-CN"/>
              </w:rPr>
            </w:pPr>
            <w:r>
              <w:rPr>
                <w:rFonts w:hint="eastAsia" w:ascii="宋体" w:eastAsia="宋体"/>
                <w:color w:val="000000"/>
                <w:sz w:val="24"/>
                <w:szCs w:val="24"/>
                <w:lang w:val="en-US" w:eastAsia="zh-CN"/>
              </w:rPr>
              <w:t>如原厂不支持购买维保可非原厂维保（需提供证明材料）</w:t>
            </w:r>
          </w:p>
        </w:tc>
      </w:tr>
      <w:tr w14:paraId="71AF5BB8">
        <w:tblPrEx>
          <w:tblCellMar>
            <w:top w:w="0" w:type="dxa"/>
            <w:left w:w="108" w:type="dxa"/>
            <w:bottom w:w="0" w:type="dxa"/>
            <w:right w:w="108" w:type="dxa"/>
          </w:tblCellMar>
        </w:tblPrEx>
        <w:trPr>
          <w:trHeight w:val="0" w:hRule="atLeast"/>
          <w:jc w:val="center"/>
        </w:trPr>
        <w:tc>
          <w:tcPr>
            <w:tcW w:w="825" w:type="dxa"/>
            <w:tcBorders>
              <w:top w:val="nil"/>
              <w:left w:val="single" w:color="auto" w:sz="8" w:space="0"/>
              <w:bottom w:val="single" w:color="auto" w:sz="8" w:space="0"/>
              <w:right w:val="single" w:color="auto" w:sz="8" w:space="0"/>
            </w:tcBorders>
            <w:noWrap/>
            <w:vAlign w:val="center"/>
          </w:tcPr>
          <w:p w14:paraId="27E43C3C">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2</w:t>
            </w:r>
          </w:p>
        </w:tc>
        <w:tc>
          <w:tcPr>
            <w:tcW w:w="1200" w:type="dxa"/>
            <w:tcBorders>
              <w:top w:val="nil"/>
              <w:left w:val="nil"/>
              <w:bottom w:val="single" w:color="auto" w:sz="8" w:space="0"/>
              <w:right w:val="single" w:color="auto" w:sz="8" w:space="0"/>
            </w:tcBorders>
            <w:noWrap/>
            <w:vAlign w:val="center"/>
          </w:tcPr>
          <w:p w14:paraId="0ED51DC5">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内存升级</w:t>
            </w:r>
          </w:p>
        </w:tc>
        <w:tc>
          <w:tcPr>
            <w:tcW w:w="733" w:type="dxa"/>
            <w:tcBorders>
              <w:top w:val="nil"/>
              <w:left w:val="nil"/>
              <w:bottom w:val="single" w:color="auto" w:sz="8" w:space="0"/>
              <w:right w:val="single" w:color="auto" w:sz="8" w:space="0"/>
            </w:tcBorders>
            <w:noWrap w:val="0"/>
            <w:vAlign w:val="center"/>
          </w:tcPr>
          <w:p w14:paraId="044D9555">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华为</w:t>
            </w:r>
          </w:p>
        </w:tc>
        <w:tc>
          <w:tcPr>
            <w:tcW w:w="1095" w:type="dxa"/>
            <w:tcBorders>
              <w:top w:val="nil"/>
              <w:left w:val="nil"/>
              <w:bottom w:val="single" w:color="auto" w:sz="8" w:space="0"/>
              <w:right w:val="single" w:color="auto" w:sz="8" w:space="0"/>
            </w:tcBorders>
            <w:noWrap w:val="0"/>
            <w:vAlign w:val="center"/>
          </w:tcPr>
          <w:p w14:paraId="38C21AB0">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DDR4 -16GB-2666MT/s</w:t>
            </w:r>
          </w:p>
        </w:tc>
        <w:tc>
          <w:tcPr>
            <w:tcW w:w="840" w:type="dxa"/>
            <w:tcBorders>
              <w:top w:val="nil"/>
              <w:left w:val="nil"/>
              <w:bottom w:val="single" w:color="auto" w:sz="8" w:space="0"/>
              <w:right w:val="single" w:color="auto" w:sz="8" w:space="0"/>
            </w:tcBorders>
            <w:noWrap/>
            <w:vAlign w:val="center"/>
          </w:tcPr>
          <w:p w14:paraId="4A3C8C61">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根</w:t>
            </w:r>
          </w:p>
        </w:tc>
        <w:tc>
          <w:tcPr>
            <w:tcW w:w="735" w:type="dxa"/>
            <w:tcBorders>
              <w:top w:val="nil"/>
              <w:left w:val="nil"/>
              <w:bottom w:val="single" w:color="auto" w:sz="8" w:space="0"/>
              <w:right w:val="single" w:color="auto" w:sz="8" w:space="0"/>
            </w:tcBorders>
            <w:noWrap w:val="0"/>
            <w:vAlign w:val="center"/>
          </w:tcPr>
          <w:p w14:paraId="7D19CD6F">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24</w:t>
            </w:r>
          </w:p>
        </w:tc>
        <w:tc>
          <w:tcPr>
            <w:tcW w:w="1125" w:type="dxa"/>
            <w:tcBorders>
              <w:top w:val="nil"/>
              <w:left w:val="nil"/>
              <w:bottom w:val="single" w:color="auto" w:sz="8" w:space="0"/>
              <w:right w:val="single" w:color="auto" w:sz="8" w:space="0"/>
            </w:tcBorders>
            <w:noWrap w:val="0"/>
            <w:vAlign w:val="center"/>
          </w:tcPr>
          <w:p w14:paraId="2E1A57AC">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2020年</w:t>
            </w:r>
          </w:p>
        </w:tc>
        <w:tc>
          <w:tcPr>
            <w:tcW w:w="1050" w:type="dxa"/>
            <w:tcBorders>
              <w:top w:val="nil"/>
              <w:left w:val="nil"/>
              <w:bottom w:val="single" w:color="auto" w:sz="8" w:space="0"/>
              <w:right w:val="single" w:color="auto" w:sz="8" w:space="0"/>
            </w:tcBorders>
            <w:noWrap w:val="0"/>
            <w:vAlign w:val="center"/>
          </w:tcPr>
          <w:p w14:paraId="29374DF6">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是</w:t>
            </w:r>
          </w:p>
        </w:tc>
        <w:tc>
          <w:tcPr>
            <w:tcW w:w="2087" w:type="dxa"/>
            <w:tcBorders>
              <w:top w:val="nil"/>
              <w:left w:val="nil"/>
              <w:bottom w:val="single" w:color="auto" w:sz="8" w:space="0"/>
              <w:right w:val="single" w:color="auto" w:sz="8" w:space="0"/>
            </w:tcBorders>
            <w:noWrap w:val="0"/>
            <w:vAlign w:val="center"/>
          </w:tcPr>
          <w:p w14:paraId="4B61981E">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1F58798B">
        <w:tblPrEx>
          <w:tblCellMar>
            <w:top w:w="0" w:type="dxa"/>
            <w:left w:w="108" w:type="dxa"/>
            <w:bottom w:w="0" w:type="dxa"/>
            <w:right w:w="108" w:type="dxa"/>
          </w:tblCellMar>
        </w:tblPrEx>
        <w:trPr>
          <w:trHeight w:val="0" w:hRule="atLeast"/>
          <w:jc w:val="center"/>
        </w:trPr>
        <w:tc>
          <w:tcPr>
            <w:tcW w:w="825" w:type="dxa"/>
            <w:tcBorders>
              <w:top w:val="nil"/>
              <w:left w:val="single" w:color="auto" w:sz="8" w:space="0"/>
              <w:bottom w:val="single" w:color="auto" w:sz="8" w:space="0"/>
              <w:right w:val="single" w:color="auto" w:sz="8" w:space="0"/>
            </w:tcBorders>
            <w:noWrap/>
            <w:vAlign w:val="center"/>
          </w:tcPr>
          <w:p w14:paraId="07F1CC43">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3</w:t>
            </w:r>
          </w:p>
        </w:tc>
        <w:tc>
          <w:tcPr>
            <w:tcW w:w="1200" w:type="dxa"/>
            <w:tcBorders>
              <w:top w:val="nil"/>
              <w:left w:val="nil"/>
              <w:bottom w:val="single" w:color="auto" w:sz="8" w:space="0"/>
              <w:right w:val="single" w:color="auto" w:sz="8" w:space="0"/>
            </w:tcBorders>
            <w:noWrap/>
            <w:vAlign w:val="center"/>
          </w:tcPr>
          <w:p w14:paraId="2D3BDA75">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硬盘升级</w:t>
            </w:r>
          </w:p>
        </w:tc>
        <w:tc>
          <w:tcPr>
            <w:tcW w:w="733" w:type="dxa"/>
            <w:tcBorders>
              <w:top w:val="nil"/>
              <w:left w:val="nil"/>
              <w:bottom w:val="single" w:color="auto" w:sz="8" w:space="0"/>
              <w:right w:val="single" w:color="auto" w:sz="8" w:space="0"/>
            </w:tcBorders>
            <w:noWrap w:val="0"/>
            <w:vAlign w:val="center"/>
          </w:tcPr>
          <w:p w14:paraId="252D18F6">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华为</w:t>
            </w:r>
          </w:p>
        </w:tc>
        <w:tc>
          <w:tcPr>
            <w:tcW w:w="1095" w:type="dxa"/>
            <w:tcBorders>
              <w:top w:val="nil"/>
              <w:left w:val="nil"/>
              <w:bottom w:val="single" w:color="auto" w:sz="8" w:space="0"/>
              <w:right w:val="single" w:color="auto" w:sz="8" w:space="0"/>
            </w:tcBorders>
            <w:noWrap w:val="0"/>
            <w:vAlign w:val="center"/>
          </w:tcPr>
          <w:p w14:paraId="5F430DE9">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通用硬盘-1200GB-SAS</w:t>
            </w:r>
          </w:p>
        </w:tc>
        <w:tc>
          <w:tcPr>
            <w:tcW w:w="840" w:type="dxa"/>
            <w:tcBorders>
              <w:top w:val="nil"/>
              <w:left w:val="nil"/>
              <w:bottom w:val="single" w:color="auto" w:sz="8" w:space="0"/>
              <w:right w:val="single" w:color="auto" w:sz="8" w:space="0"/>
            </w:tcBorders>
            <w:noWrap/>
            <w:vAlign w:val="center"/>
          </w:tcPr>
          <w:p w14:paraId="6403CF55">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块</w:t>
            </w:r>
          </w:p>
        </w:tc>
        <w:tc>
          <w:tcPr>
            <w:tcW w:w="735" w:type="dxa"/>
            <w:tcBorders>
              <w:top w:val="nil"/>
              <w:left w:val="nil"/>
              <w:bottom w:val="single" w:color="auto" w:sz="8" w:space="0"/>
              <w:right w:val="single" w:color="auto" w:sz="8" w:space="0"/>
            </w:tcBorders>
            <w:noWrap w:val="0"/>
            <w:vAlign w:val="center"/>
          </w:tcPr>
          <w:p w14:paraId="23AC09D6">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12</w:t>
            </w:r>
          </w:p>
        </w:tc>
        <w:tc>
          <w:tcPr>
            <w:tcW w:w="1125" w:type="dxa"/>
            <w:tcBorders>
              <w:top w:val="nil"/>
              <w:left w:val="nil"/>
              <w:bottom w:val="single" w:color="auto" w:sz="8" w:space="0"/>
              <w:right w:val="single" w:color="auto" w:sz="8" w:space="0"/>
            </w:tcBorders>
            <w:noWrap w:val="0"/>
            <w:vAlign w:val="center"/>
          </w:tcPr>
          <w:p w14:paraId="7AB7DB70">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2020年</w:t>
            </w:r>
          </w:p>
        </w:tc>
        <w:tc>
          <w:tcPr>
            <w:tcW w:w="1050" w:type="dxa"/>
            <w:tcBorders>
              <w:top w:val="nil"/>
              <w:left w:val="nil"/>
              <w:bottom w:val="single" w:color="auto" w:sz="8" w:space="0"/>
              <w:right w:val="single" w:color="auto" w:sz="8" w:space="0"/>
            </w:tcBorders>
            <w:noWrap w:val="0"/>
            <w:vAlign w:val="center"/>
          </w:tcPr>
          <w:p w14:paraId="62F99E1A">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是</w:t>
            </w:r>
          </w:p>
        </w:tc>
        <w:tc>
          <w:tcPr>
            <w:tcW w:w="2087" w:type="dxa"/>
            <w:tcBorders>
              <w:top w:val="nil"/>
              <w:left w:val="nil"/>
              <w:bottom w:val="single" w:color="auto" w:sz="8" w:space="0"/>
              <w:right w:val="single" w:color="auto" w:sz="8" w:space="0"/>
            </w:tcBorders>
            <w:noWrap w:val="0"/>
            <w:vAlign w:val="center"/>
          </w:tcPr>
          <w:p w14:paraId="43AB5333">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3E0E9E3B">
        <w:tblPrEx>
          <w:tblCellMar>
            <w:top w:w="0" w:type="dxa"/>
            <w:left w:w="108" w:type="dxa"/>
            <w:bottom w:w="0" w:type="dxa"/>
            <w:right w:w="108" w:type="dxa"/>
          </w:tblCellMar>
        </w:tblPrEx>
        <w:trPr>
          <w:trHeight w:val="0" w:hRule="atLeast"/>
          <w:jc w:val="center"/>
        </w:trPr>
        <w:tc>
          <w:tcPr>
            <w:tcW w:w="825" w:type="dxa"/>
            <w:tcBorders>
              <w:top w:val="nil"/>
              <w:left w:val="single" w:color="auto" w:sz="8" w:space="0"/>
              <w:bottom w:val="single" w:color="auto" w:sz="8" w:space="0"/>
              <w:right w:val="single" w:color="auto" w:sz="8" w:space="0"/>
            </w:tcBorders>
            <w:noWrap/>
            <w:vAlign w:val="center"/>
          </w:tcPr>
          <w:p w14:paraId="30435332">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4</w:t>
            </w:r>
          </w:p>
        </w:tc>
        <w:tc>
          <w:tcPr>
            <w:tcW w:w="1200" w:type="dxa"/>
            <w:tcBorders>
              <w:top w:val="nil"/>
              <w:left w:val="nil"/>
              <w:bottom w:val="single" w:color="auto" w:sz="8" w:space="0"/>
              <w:right w:val="single" w:color="auto" w:sz="8" w:space="0"/>
            </w:tcBorders>
            <w:noWrap w:val="0"/>
            <w:vAlign w:val="center"/>
          </w:tcPr>
          <w:p w14:paraId="2901C9F7">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服务器</w:t>
            </w:r>
          </w:p>
        </w:tc>
        <w:tc>
          <w:tcPr>
            <w:tcW w:w="733" w:type="dxa"/>
            <w:tcBorders>
              <w:top w:val="nil"/>
              <w:left w:val="nil"/>
              <w:bottom w:val="single" w:color="auto" w:sz="8" w:space="0"/>
              <w:right w:val="single" w:color="auto" w:sz="8" w:space="0"/>
            </w:tcBorders>
            <w:noWrap w:val="0"/>
            <w:vAlign w:val="center"/>
          </w:tcPr>
          <w:p w14:paraId="0F82655F">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华为</w:t>
            </w:r>
          </w:p>
        </w:tc>
        <w:tc>
          <w:tcPr>
            <w:tcW w:w="1095" w:type="dxa"/>
            <w:tcBorders>
              <w:top w:val="nil"/>
              <w:left w:val="nil"/>
              <w:bottom w:val="single" w:color="auto" w:sz="8" w:space="0"/>
              <w:right w:val="single" w:color="auto" w:sz="8" w:space="0"/>
            </w:tcBorders>
            <w:noWrap w:val="0"/>
            <w:vAlign w:val="center"/>
          </w:tcPr>
          <w:p w14:paraId="63FB3F94">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华为2288HV5</w:t>
            </w:r>
          </w:p>
        </w:tc>
        <w:tc>
          <w:tcPr>
            <w:tcW w:w="840" w:type="dxa"/>
            <w:tcBorders>
              <w:top w:val="nil"/>
              <w:left w:val="nil"/>
              <w:bottom w:val="single" w:color="auto" w:sz="8" w:space="0"/>
              <w:right w:val="single" w:color="auto" w:sz="8" w:space="0"/>
            </w:tcBorders>
            <w:noWrap/>
            <w:vAlign w:val="center"/>
          </w:tcPr>
          <w:p w14:paraId="6BA8118E">
            <w:pPr>
              <w:widowControl/>
              <w:autoSpaceDE/>
              <w:autoSpaceDN/>
              <w:snapToGrid w:val="0"/>
              <w:ind w:left="0" w:leftChars="0" w:right="0" w:rightChars="0" w:firstLine="0" w:firstLineChars="0"/>
              <w:jc w:val="center"/>
              <w:rPr>
                <w:rFonts w:ascii="宋体" w:eastAsia="宋体"/>
                <w:color w:val="000000"/>
                <w:sz w:val="24"/>
                <w:szCs w:val="24"/>
              </w:rPr>
            </w:pPr>
            <w:r>
              <w:rPr>
                <w:rFonts w:hint="eastAsia" w:ascii="宋体" w:eastAsia="宋体"/>
                <w:color w:val="000000"/>
                <w:sz w:val="24"/>
                <w:szCs w:val="24"/>
              </w:rPr>
              <w:t>台</w:t>
            </w:r>
          </w:p>
        </w:tc>
        <w:tc>
          <w:tcPr>
            <w:tcW w:w="735" w:type="dxa"/>
            <w:tcBorders>
              <w:top w:val="nil"/>
              <w:left w:val="nil"/>
              <w:bottom w:val="single" w:color="auto" w:sz="8" w:space="0"/>
              <w:right w:val="single" w:color="auto" w:sz="8" w:space="0"/>
            </w:tcBorders>
            <w:noWrap w:val="0"/>
            <w:vAlign w:val="center"/>
          </w:tcPr>
          <w:p w14:paraId="42820725">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3</w:t>
            </w:r>
          </w:p>
        </w:tc>
        <w:tc>
          <w:tcPr>
            <w:tcW w:w="1125" w:type="dxa"/>
            <w:tcBorders>
              <w:top w:val="nil"/>
              <w:left w:val="nil"/>
              <w:bottom w:val="single" w:color="auto" w:sz="8" w:space="0"/>
              <w:right w:val="single" w:color="auto" w:sz="8" w:space="0"/>
            </w:tcBorders>
            <w:noWrap w:val="0"/>
            <w:vAlign w:val="center"/>
          </w:tcPr>
          <w:p w14:paraId="7A9EE72B">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2020年</w:t>
            </w:r>
          </w:p>
        </w:tc>
        <w:tc>
          <w:tcPr>
            <w:tcW w:w="1050" w:type="dxa"/>
            <w:tcBorders>
              <w:top w:val="nil"/>
              <w:left w:val="nil"/>
              <w:bottom w:val="single" w:color="auto" w:sz="8" w:space="0"/>
              <w:right w:val="single" w:color="auto" w:sz="8" w:space="0"/>
            </w:tcBorders>
            <w:noWrap w:val="0"/>
            <w:vAlign w:val="center"/>
          </w:tcPr>
          <w:p w14:paraId="000CADD1">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是</w:t>
            </w:r>
          </w:p>
        </w:tc>
        <w:tc>
          <w:tcPr>
            <w:tcW w:w="2087" w:type="dxa"/>
            <w:tcBorders>
              <w:top w:val="nil"/>
              <w:left w:val="nil"/>
              <w:bottom w:val="single" w:color="auto" w:sz="8" w:space="0"/>
              <w:right w:val="single" w:color="auto" w:sz="8" w:space="0"/>
            </w:tcBorders>
            <w:noWrap w:val="0"/>
            <w:vAlign w:val="center"/>
          </w:tcPr>
          <w:p w14:paraId="2DB7238B">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21001B23">
        <w:tblPrEx>
          <w:tblCellMar>
            <w:top w:w="0" w:type="dxa"/>
            <w:left w:w="108" w:type="dxa"/>
            <w:bottom w:w="0" w:type="dxa"/>
            <w:right w:w="108" w:type="dxa"/>
          </w:tblCellMar>
        </w:tblPrEx>
        <w:trPr>
          <w:trHeight w:val="0" w:hRule="atLeast"/>
          <w:jc w:val="center"/>
        </w:trPr>
        <w:tc>
          <w:tcPr>
            <w:tcW w:w="825" w:type="dxa"/>
            <w:tcBorders>
              <w:top w:val="nil"/>
              <w:left w:val="single" w:color="auto" w:sz="8" w:space="0"/>
              <w:bottom w:val="single" w:color="auto" w:sz="8" w:space="0"/>
              <w:right w:val="single" w:color="auto" w:sz="8" w:space="0"/>
            </w:tcBorders>
            <w:noWrap/>
            <w:vAlign w:val="center"/>
          </w:tcPr>
          <w:p w14:paraId="5A40E4F0">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5</w:t>
            </w:r>
          </w:p>
        </w:tc>
        <w:tc>
          <w:tcPr>
            <w:tcW w:w="1200" w:type="dxa"/>
            <w:tcBorders>
              <w:top w:val="nil"/>
              <w:left w:val="nil"/>
              <w:bottom w:val="single" w:color="auto" w:sz="8" w:space="0"/>
              <w:right w:val="single" w:color="auto" w:sz="8" w:space="0"/>
            </w:tcBorders>
            <w:noWrap w:val="0"/>
            <w:vAlign w:val="center"/>
          </w:tcPr>
          <w:p w14:paraId="35C3E90B">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存储</w:t>
            </w:r>
          </w:p>
        </w:tc>
        <w:tc>
          <w:tcPr>
            <w:tcW w:w="733" w:type="dxa"/>
            <w:tcBorders>
              <w:top w:val="nil"/>
              <w:left w:val="nil"/>
              <w:bottom w:val="single" w:color="auto" w:sz="8" w:space="0"/>
              <w:right w:val="single" w:color="auto" w:sz="8" w:space="0"/>
            </w:tcBorders>
            <w:noWrap w:val="0"/>
            <w:vAlign w:val="center"/>
          </w:tcPr>
          <w:p w14:paraId="2FC3B28A">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HP</w:t>
            </w:r>
          </w:p>
        </w:tc>
        <w:tc>
          <w:tcPr>
            <w:tcW w:w="1095" w:type="dxa"/>
            <w:tcBorders>
              <w:top w:val="nil"/>
              <w:left w:val="nil"/>
              <w:bottom w:val="single" w:color="auto" w:sz="8" w:space="0"/>
              <w:right w:val="single" w:color="auto" w:sz="8" w:space="0"/>
            </w:tcBorders>
            <w:noWrap w:val="0"/>
            <w:vAlign w:val="center"/>
          </w:tcPr>
          <w:p w14:paraId="7641E30A">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HPE MSA2050</w:t>
            </w:r>
          </w:p>
        </w:tc>
        <w:tc>
          <w:tcPr>
            <w:tcW w:w="840" w:type="dxa"/>
            <w:tcBorders>
              <w:top w:val="nil"/>
              <w:left w:val="nil"/>
              <w:bottom w:val="single" w:color="auto" w:sz="8" w:space="0"/>
              <w:right w:val="single" w:color="auto" w:sz="8" w:space="0"/>
            </w:tcBorders>
            <w:noWrap/>
            <w:vAlign w:val="center"/>
          </w:tcPr>
          <w:p w14:paraId="74D1A8BF">
            <w:pPr>
              <w:widowControl/>
              <w:autoSpaceDE/>
              <w:autoSpaceDN/>
              <w:snapToGrid w:val="0"/>
              <w:ind w:left="0" w:leftChars="0" w:right="0" w:rightChars="0" w:firstLine="0" w:firstLineChars="0"/>
              <w:jc w:val="center"/>
              <w:rPr>
                <w:rFonts w:ascii="宋体" w:eastAsia="宋体"/>
                <w:color w:val="000000"/>
                <w:sz w:val="24"/>
                <w:szCs w:val="24"/>
              </w:rPr>
            </w:pPr>
            <w:r>
              <w:rPr>
                <w:rFonts w:hint="eastAsia" w:ascii="宋体" w:eastAsia="宋体"/>
                <w:color w:val="000000"/>
                <w:sz w:val="24"/>
                <w:szCs w:val="24"/>
              </w:rPr>
              <w:t>台</w:t>
            </w:r>
          </w:p>
        </w:tc>
        <w:tc>
          <w:tcPr>
            <w:tcW w:w="735" w:type="dxa"/>
            <w:tcBorders>
              <w:top w:val="nil"/>
              <w:left w:val="nil"/>
              <w:bottom w:val="single" w:color="auto" w:sz="8" w:space="0"/>
              <w:right w:val="single" w:color="auto" w:sz="8" w:space="0"/>
            </w:tcBorders>
            <w:noWrap w:val="0"/>
            <w:vAlign w:val="center"/>
          </w:tcPr>
          <w:p w14:paraId="0196A175">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1</w:t>
            </w:r>
          </w:p>
        </w:tc>
        <w:tc>
          <w:tcPr>
            <w:tcW w:w="1125" w:type="dxa"/>
            <w:tcBorders>
              <w:top w:val="nil"/>
              <w:left w:val="nil"/>
              <w:bottom w:val="single" w:color="auto" w:sz="8" w:space="0"/>
              <w:right w:val="single" w:color="auto" w:sz="8" w:space="0"/>
            </w:tcBorders>
            <w:noWrap w:val="0"/>
            <w:vAlign w:val="center"/>
          </w:tcPr>
          <w:p w14:paraId="5583F7ED">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2020年</w:t>
            </w:r>
          </w:p>
        </w:tc>
        <w:tc>
          <w:tcPr>
            <w:tcW w:w="1050" w:type="dxa"/>
            <w:tcBorders>
              <w:top w:val="nil"/>
              <w:left w:val="nil"/>
              <w:bottom w:val="single" w:color="auto" w:sz="8" w:space="0"/>
              <w:right w:val="single" w:color="auto" w:sz="8" w:space="0"/>
            </w:tcBorders>
            <w:noWrap w:val="0"/>
            <w:vAlign w:val="center"/>
          </w:tcPr>
          <w:p w14:paraId="2FB2026D">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是</w:t>
            </w:r>
          </w:p>
        </w:tc>
        <w:tc>
          <w:tcPr>
            <w:tcW w:w="2087" w:type="dxa"/>
            <w:tcBorders>
              <w:top w:val="nil"/>
              <w:left w:val="nil"/>
              <w:bottom w:val="single" w:color="auto" w:sz="8" w:space="0"/>
              <w:right w:val="single" w:color="auto" w:sz="8" w:space="0"/>
            </w:tcBorders>
            <w:noWrap w:val="0"/>
            <w:vAlign w:val="center"/>
          </w:tcPr>
          <w:p w14:paraId="0E29DDEE">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1B433903">
        <w:tblPrEx>
          <w:tblCellMar>
            <w:top w:w="0" w:type="dxa"/>
            <w:left w:w="108" w:type="dxa"/>
            <w:bottom w:w="0" w:type="dxa"/>
            <w:right w:w="108" w:type="dxa"/>
          </w:tblCellMar>
        </w:tblPrEx>
        <w:trPr>
          <w:trHeight w:val="0" w:hRule="atLeast"/>
          <w:jc w:val="center"/>
        </w:trPr>
        <w:tc>
          <w:tcPr>
            <w:tcW w:w="825" w:type="dxa"/>
            <w:tcBorders>
              <w:top w:val="nil"/>
              <w:left w:val="single" w:color="auto" w:sz="8" w:space="0"/>
              <w:bottom w:val="single" w:color="auto" w:sz="8" w:space="0"/>
              <w:right w:val="single" w:color="auto" w:sz="8" w:space="0"/>
            </w:tcBorders>
            <w:noWrap/>
            <w:vAlign w:val="center"/>
          </w:tcPr>
          <w:p w14:paraId="7E648A0B">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6</w:t>
            </w:r>
          </w:p>
        </w:tc>
        <w:tc>
          <w:tcPr>
            <w:tcW w:w="1200" w:type="dxa"/>
            <w:tcBorders>
              <w:top w:val="nil"/>
              <w:left w:val="nil"/>
              <w:bottom w:val="single" w:color="auto" w:sz="8" w:space="0"/>
              <w:right w:val="single" w:color="auto" w:sz="8" w:space="0"/>
            </w:tcBorders>
            <w:noWrap w:val="0"/>
            <w:vAlign w:val="center"/>
          </w:tcPr>
          <w:p w14:paraId="33A5DCAE">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数据备份系统</w:t>
            </w:r>
          </w:p>
        </w:tc>
        <w:tc>
          <w:tcPr>
            <w:tcW w:w="733" w:type="dxa"/>
            <w:tcBorders>
              <w:top w:val="nil"/>
              <w:left w:val="nil"/>
              <w:bottom w:val="single" w:color="auto" w:sz="8" w:space="0"/>
              <w:right w:val="single" w:color="auto" w:sz="8" w:space="0"/>
            </w:tcBorders>
            <w:noWrap w:val="0"/>
            <w:vAlign w:val="center"/>
          </w:tcPr>
          <w:p w14:paraId="00917D0D">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爱数</w:t>
            </w:r>
          </w:p>
        </w:tc>
        <w:tc>
          <w:tcPr>
            <w:tcW w:w="1095" w:type="dxa"/>
            <w:tcBorders>
              <w:top w:val="nil"/>
              <w:left w:val="nil"/>
              <w:bottom w:val="single" w:color="auto" w:sz="8" w:space="0"/>
              <w:right w:val="single" w:color="auto" w:sz="8" w:space="0"/>
            </w:tcBorders>
            <w:noWrap w:val="0"/>
            <w:vAlign w:val="center"/>
          </w:tcPr>
          <w:p w14:paraId="69E17EC9">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MS-CP-OM-BS-W19001</w:t>
            </w:r>
          </w:p>
        </w:tc>
        <w:tc>
          <w:tcPr>
            <w:tcW w:w="840" w:type="dxa"/>
            <w:tcBorders>
              <w:top w:val="nil"/>
              <w:left w:val="nil"/>
              <w:bottom w:val="single" w:color="auto" w:sz="8" w:space="0"/>
              <w:right w:val="single" w:color="auto" w:sz="8" w:space="0"/>
            </w:tcBorders>
            <w:noWrap/>
            <w:vAlign w:val="center"/>
          </w:tcPr>
          <w:p w14:paraId="18E6935C">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套</w:t>
            </w:r>
          </w:p>
        </w:tc>
        <w:tc>
          <w:tcPr>
            <w:tcW w:w="735" w:type="dxa"/>
            <w:tcBorders>
              <w:top w:val="nil"/>
              <w:left w:val="nil"/>
              <w:bottom w:val="single" w:color="auto" w:sz="8" w:space="0"/>
              <w:right w:val="single" w:color="auto" w:sz="8" w:space="0"/>
            </w:tcBorders>
            <w:noWrap/>
            <w:vAlign w:val="center"/>
          </w:tcPr>
          <w:p w14:paraId="2793F18B">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1</w:t>
            </w:r>
          </w:p>
        </w:tc>
        <w:tc>
          <w:tcPr>
            <w:tcW w:w="1125" w:type="dxa"/>
            <w:tcBorders>
              <w:top w:val="nil"/>
              <w:left w:val="nil"/>
              <w:bottom w:val="single" w:color="auto" w:sz="8" w:space="0"/>
              <w:right w:val="single" w:color="auto" w:sz="8" w:space="0"/>
            </w:tcBorders>
            <w:noWrap/>
            <w:vAlign w:val="center"/>
          </w:tcPr>
          <w:p w14:paraId="3007D2DC">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2020年</w:t>
            </w:r>
          </w:p>
        </w:tc>
        <w:tc>
          <w:tcPr>
            <w:tcW w:w="1050" w:type="dxa"/>
            <w:tcBorders>
              <w:top w:val="nil"/>
              <w:left w:val="nil"/>
              <w:bottom w:val="single" w:color="auto" w:sz="8" w:space="0"/>
              <w:right w:val="single" w:color="auto" w:sz="8" w:space="0"/>
            </w:tcBorders>
            <w:noWrap/>
            <w:vAlign w:val="center"/>
          </w:tcPr>
          <w:p w14:paraId="13819CE7">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是</w:t>
            </w:r>
          </w:p>
        </w:tc>
        <w:tc>
          <w:tcPr>
            <w:tcW w:w="2087" w:type="dxa"/>
            <w:tcBorders>
              <w:top w:val="nil"/>
              <w:left w:val="nil"/>
              <w:bottom w:val="single" w:color="auto" w:sz="8" w:space="0"/>
              <w:right w:val="single" w:color="auto" w:sz="8" w:space="0"/>
            </w:tcBorders>
            <w:noWrap/>
            <w:vAlign w:val="center"/>
          </w:tcPr>
          <w:p w14:paraId="66629C44">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73378FDE">
        <w:tblPrEx>
          <w:tblCellMar>
            <w:top w:w="0" w:type="dxa"/>
            <w:left w:w="108" w:type="dxa"/>
            <w:bottom w:w="0" w:type="dxa"/>
            <w:right w:w="108" w:type="dxa"/>
          </w:tblCellMar>
        </w:tblPrEx>
        <w:trPr>
          <w:trHeight w:val="0" w:hRule="atLeast"/>
          <w:jc w:val="center"/>
        </w:trPr>
        <w:tc>
          <w:tcPr>
            <w:tcW w:w="825" w:type="dxa"/>
            <w:tcBorders>
              <w:top w:val="nil"/>
              <w:left w:val="single" w:color="auto" w:sz="8" w:space="0"/>
              <w:bottom w:val="single" w:color="auto" w:sz="8" w:space="0"/>
              <w:right w:val="single" w:color="auto" w:sz="8" w:space="0"/>
            </w:tcBorders>
            <w:noWrap/>
            <w:vAlign w:val="center"/>
          </w:tcPr>
          <w:p w14:paraId="238E9F28">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7</w:t>
            </w:r>
          </w:p>
        </w:tc>
        <w:tc>
          <w:tcPr>
            <w:tcW w:w="1200" w:type="dxa"/>
            <w:tcBorders>
              <w:top w:val="nil"/>
              <w:left w:val="nil"/>
              <w:bottom w:val="single" w:color="auto" w:sz="8" w:space="0"/>
              <w:right w:val="single" w:color="auto" w:sz="8" w:space="0"/>
            </w:tcBorders>
            <w:noWrap w:val="0"/>
            <w:vAlign w:val="center"/>
          </w:tcPr>
          <w:p w14:paraId="3BFB3ED5">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存储</w:t>
            </w:r>
          </w:p>
        </w:tc>
        <w:tc>
          <w:tcPr>
            <w:tcW w:w="733" w:type="dxa"/>
            <w:tcBorders>
              <w:top w:val="nil"/>
              <w:left w:val="nil"/>
              <w:bottom w:val="single" w:color="auto" w:sz="8" w:space="0"/>
              <w:right w:val="single" w:color="auto" w:sz="8" w:space="0"/>
            </w:tcBorders>
            <w:noWrap w:val="0"/>
            <w:vAlign w:val="center"/>
          </w:tcPr>
          <w:p w14:paraId="6616B81A">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H3C</w:t>
            </w:r>
          </w:p>
        </w:tc>
        <w:tc>
          <w:tcPr>
            <w:tcW w:w="1095" w:type="dxa"/>
            <w:tcBorders>
              <w:top w:val="nil"/>
              <w:left w:val="nil"/>
              <w:bottom w:val="single" w:color="auto" w:sz="8" w:space="0"/>
              <w:right w:val="single" w:color="auto" w:sz="8" w:space="0"/>
            </w:tcBorders>
            <w:noWrap w:val="0"/>
            <w:vAlign w:val="center"/>
          </w:tcPr>
          <w:p w14:paraId="445486B2">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CF8840</w:t>
            </w:r>
          </w:p>
        </w:tc>
        <w:tc>
          <w:tcPr>
            <w:tcW w:w="840" w:type="dxa"/>
            <w:tcBorders>
              <w:top w:val="nil"/>
              <w:left w:val="nil"/>
              <w:bottom w:val="single" w:color="auto" w:sz="8" w:space="0"/>
              <w:right w:val="single" w:color="auto" w:sz="8" w:space="0"/>
            </w:tcBorders>
            <w:noWrap/>
            <w:vAlign w:val="center"/>
          </w:tcPr>
          <w:p w14:paraId="0F5C710B">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套</w:t>
            </w:r>
          </w:p>
        </w:tc>
        <w:tc>
          <w:tcPr>
            <w:tcW w:w="735" w:type="dxa"/>
            <w:tcBorders>
              <w:top w:val="nil"/>
              <w:left w:val="nil"/>
              <w:bottom w:val="single" w:color="auto" w:sz="8" w:space="0"/>
              <w:right w:val="single" w:color="auto" w:sz="8" w:space="0"/>
            </w:tcBorders>
            <w:noWrap w:val="0"/>
            <w:vAlign w:val="center"/>
          </w:tcPr>
          <w:p w14:paraId="2D58DF3E">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2</w:t>
            </w:r>
          </w:p>
        </w:tc>
        <w:tc>
          <w:tcPr>
            <w:tcW w:w="1125" w:type="dxa"/>
            <w:tcBorders>
              <w:top w:val="nil"/>
              <w:left w:val="nil"/>
              <w:bottom w:val="single" w:color="auto" w:sz="8" w:space="0"/>
              <w:right w:val="single" w:color="auto" w:sz="8" w:space="0"/>
            </w:tcBorders>
            <w:noWrap w:val="0"/>
            <w:vAlign w:val="center"/>
          </w:tcPr>
          <w:p w14:paraId="0D6D3E24">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2020年</w:t>
            </w:r>
          </w:p>
        </w:tc>
        <w:tc>
          <w:tcPr>
            <w:tcW w:w="1050" w:type="dxa"/>
            <w:tcBorders>
              <w:top w:val="nil"/>
              <w:left w:val="nil"/>
              <w:bottom w:val="single" w:color="auto" w:sz="8" w:space="0"/>
              <w:right w:val="single" w:color="auto" w:sz="8" w:space="0"/>
            </w:tcBorders>
            <w:noWrap w:val="0"/>
            <w:vAlign w:val="center"/>
          </w:tcPr>
          <w:p w14:paraId="5688EA34">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是</w:t>
            </w:r>
          </w:p>
        </w:tc>
        <w:tc>
          <w:tcPr>
            <w:tcW w:w="2087" w:type="dxa"/>
            <w:tcBorders>
              <w:top w:val="nil"/>
              <w:left w:val="nil"/>
              <w:bottom w:val="single" w:color="auto" w:sz="8" w:space="0"/>
              <w:right w:val="single" w:color="auto" w:sz="8" w:space="0"/>
            </w:tcBorders>
            <w:noWrap w:val="0"/>
            <w:vAlign w:val="center"/>
          </w:tcPr>
          <w:p w14:paraId="0DB3C5D5">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39730D31">
        <w:tblPrEx>
          <w:tblCellMar>
            <w:top w:w="0" w:type="dxa"/>
            <w:left w:w="108" w:type="dxa"/>
            <w:bottom w:w="0" w:type="dxa"/>
            <w:right w:w="108" w:type="dxa"/>
          </w:tblCellMar>
        </w:tblPrEx>
        <w:trPr>
          <w:trHeight w:val="0" w:hRule="atLeast"/>
          <w:jc w:val="center"/>
        </w:trPr>
        <w:tc>
          <w:tcPr>
            <w:tcW w:w="825" w:type="dxa"/>
            <w:tcBorders>
              <w:top w:val="nil"/>
              <w:left w:val="single" w:color="auto" w:sz="8" w:space="0"/>
              <w:bottom w:val="single" w:color="auto" w:sz="8" w:space="0"/>
              <w:right w:val="single" w:color="auto" w:sz="8" w:space="0"/>
            </w:tcBorders>
            <w:noWrap/>
            <w:vAlign w:val="center"/>
          </w:tcPr>
          <w:p w14:paraId="529FB6D0">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8</w:t>
            </w:r>
          </w:p>
        </w:tc>
        <w:tc>
          <w:tcPr>
            <w:tcW w:w="1200" w:type="dxa"/>
            <w:tcBorders>
              <w:top w:val="nil"/>
              <w:left w:val="nil"/>
              <w:bottom w:val="single" w:color="auto" w:sz="8" w:space="0"/>
              <w:right w:val="single" w:color="auto" w:sz="8" w:space="0"/>
            </w:tcBorders>
            <w:noWrap w:val="0"/>
            <w:vAlign w:val="center"/>
          </w:tcPr>
          <w:p w14:paraId="6B6F062A">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硬盘</w:t>
            </w:r>
          </w:p>
        </w:tc>
        <w:tc>
          <w:tcPr>
            <w:tcW w:w="733" w:type="dxa"/>
            <w:tcBorders>
              <w:top w:val="nil"/>
              <w:left w:val="nil"/>
              <w:bottom w:val="single" w:color="auto" w:sz="8" w:space="0"/>
              <w:right w:val="single" w:color="auto" w:sz="8" w:space="0"/>
            </w:tcBorders>
            <w:noWrap w:val="0"/>
            <w:vAlign w:val="center"/>
          </w:tcPr>
          <w:p w14:paraId="420F5BF6">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H3C</w:t>
            </w:r>
          </w:p>
        </w:tc>
        <w:tc>
          <w:tcPr>
            <w:tcW w:w="1095" w:type="dxa"/>
            <w:tcBorders>
              <w:top w:val="nil"/>
              <w:left w:val="nil"/>
              <w:bottom w:val="single" w:color="auto" w:sz="8" w:space="0"/>
              <w:right w:val="single" w:color="auto" w:sz="8" w:space="0"/>
            </w:tcBorders>
            <w:noWrap w:val="0"/>
            <w:vAlign w:val="center"/>
          </w:tcPr>
          <w:p w14:paraId="7371B8FE">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存储1.2TB 10K SAS硬盘</w:t>
            </w:r>
          </w:p>
        </w:tc>
        <w:tc>
          <w:tcPr>
            <w:tcW w:w="840" w:type="dxa"/>
            <w:tcBorders>
              <w:top w:val="nil"/>
              <w:left w:val="nil"/>
              <w:bottom w:val="single" w:color="auto" w:sz="8" w:space="0"/>
              <w:right w:val="single" w:color="auto" w:sz="8" w:space="0"/>
            </w:tcBorders>
            <w:noWrap/>
            <w:vAlign w:val="center"/>
          </w:tcPr>
          <w:p w14:paraId="4EF0AE32">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套</w:t>
            </w:r>
          </w:p>
        </w:tc>
        <w:tc>
          <w:tcPr>
            <w:tcW w:w="735" w:type="dxa"/>
            <w:tcBorders>
              <w:top w:val="nil"/>
              <w:left w:val="nil"/>
              <w:bottom w:val="single" w:color="auto" w:sz="8" w:space="0"/>
              <w:right w:val="single" w:color="auto" w:sz="8" w:space="0"/>
            </w:tcBorders>
            <w:noWrap w:val="0"/>
            <w:vAlign w:val="center"/>
          </w:tcPr>
          <w:p w14:paraId="5814AFC0">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40</w:t>
            </w:r>
          </w:p>
        </w:tc>
        <w:tc>
          <w:tcPr>
            <w:tcW w:w="1125" w:type="dxa"/>
            <w:tcBorders>
              <w:top w:val="nil"/>
              <w:left w:val="nil"/>
              <w:bottom w:val="single" w:color="auto" w:sz="8" w:space="0"/>
              <w:right w:val="single" w:color="auto" w:sz="8" w:space="0"/>
            </w:tcBorders>
            <w:noWrap w:val="0"/>
            <w:vAlign w:val="center"/>
          </w:tcPr>
          <w:p w14:paraId="7235B26B">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2020年</w:t>
            </w:r>
          </w:p>
        </w:tc>
        <w:tc>
          <w:tcPr>
            <w:tcW w:w="1050" w:type="dxa"/>
            <w:tcBorders>
              <w:top w:val="nil"/>
              <w:left w:val="nil"/>
              <w:bottom w:val="single" w:color="auto" w:sz="8" w:space="0"/>
              <w:right w:val="single" w:color="auto" w:sz="8" w:space="0"/>
            </w:tcBorders>
            <w:noWrap w:val="0"/>
            <w:vAlign w:val="center"/>
          </w:tcPr>
          <w:p w14:paraId="49B447EE">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是</w:t>
            </w:r>
          </w:p>
        </w:tc>
        <w:tc>
          <w:tcPr>
            <w:tcW w:w="2087" w:type="dxa"/>
            <w:tcBorders>
              <w:top w:val="nil"/>
              <w:left w:val="nil"/>
              <w:bottom w:val="single" w:color="auto" w:sz="8" w:space="0"/>
              <w:right w:val="single" w:color="auto" w:sz="8" w:space="0"/>
            </w:tcBorders>
            <w:noWrap w:val="0"/>
            <w:vAlign w:val="center"/>
          </w:tcPr>
          <w:p w14:paraId="45A61F8F">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0F476783">
        <w:tblPrEx>
          <w:tblCellMar>
            <w:top w:w="0" w:type="dxa"/>
            <w:left w:w="108" w:type="dxa"/>
            <w:bottom w:w="0" w:type="dxa"/>
            <w:right w:w="108" w:type="dxa"/>
          </w:tblCellMar>
        </w:tblPrEx>
        <w:trPr>
          <w:trHeight w:val="0" w:hRule="atLeast"/>
          <w:jc w:val="center"/>
        </w:trPr>
        <w:tc>
          <w:tcPr>
            <w:tcW w:w="825" w:type="dxa"/>
            <w:tcBorders>
              <w:top w:val="nil"/>
              <w:left w:val="single" w:color="auto" w:sz="8" w:space="0"/>
              <w:bottom w:val="single" w:color="auto" w:sz="8" w:space="0"/>
              <w:right w:val="single" w:color="auto" w:sz="8" w:space="0"/>
            </w:tcBorders>
            <w:noWrap/>
            <w:vAlign w:val="center"/>
          </w:tcPr>
          <w:p w14:paraId="1987A960">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9</w:t>
            </w:r>
          </w:p>
        </w:tc>
        <w:tc>
          <w:tcPr>
            <w:tcW w:w="1200" w:type="dxa"/>
            <w:tcBorders>
              <w:top w:val="nil"/>
              <w:left w:val="nil"/>
              <w:bottom w:val="single" w:color="auto" w:sz="8" w:space="0"/>
              <w:right w:val="single" w:color="auto" w:sz="8" w:space="0"/>
            </w:tcBorders>
            <w:noWrap w:val="0"/>
            <w:vAlign w:val="center"/>
          </w:tcPr>
          <w:p w14:paraId="598B318E">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硬盘</w:t>
            </w:r>
          </w:p>
        </w:tc>
        <w:tc>
          <w:tcPr>
            <w:tcW w:w="733" w:type="dxa"/>
            <w:tcBorders>
              <w:top w:val="nil"/>
              <w:left w:val="nil"/>
              <w:bottom w:val="single" w:color="auto" w:sz="8" w:space="0"/>
              <w:right w:val="single" w:color="auto" w:sz="8" w:space="0"/>
            </w:tcBorders>
            <w:noWrap w:val="0"/>
            <w:vAlign w:val="center"/>
          </w:tcPr>
          <w:p w14:paraId="19C0116B">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H3C</w:t>
            </w:r>
          </w:p>
        </w:tc>
        <w:tc>
          <w:tcPr>
            <w:tcW w:w="1095" w:type="dxa"/>
            <w:tcBorders>
              <w:top w:val="nil"/>
              <w:left w:val="nil"/>
              <w:bottom w:val="single" w:color="auto" w:sz="8" w:space="0"/>
              <w:right w:val="single" w:color="auto" w:sz="8" w:space="0"/>
            </w:tcBorders>
            <w:noWrap w:val="0"/>
            <w:vAlign w:val="center"/>
          </w:tcPr>
          <w:p w14:paraId="272320A2">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1.92TB SSD硬盘</w:t>
            </w:r>
          </w:p>
        </w:tc>
        <w:tc>
          <w:tcPr>
            <w:tcW w:w="840" w:type="dxa"/>
            <w:tcBorders>
              <w:top w:val="nil"/>
              <w:left w:val="nil"/>
              <w:bottom w:val="single" w:color="auto" w:sz="8" w:space="0"/>
              <w:right w:val="single" w:color="auto" w:sz="8" w:space="0"/>
            </w:tcBorders>
            <w:noWrap/>
            <w:vAlign w:val="center"/>
          </w:tcPr>
          <w:p w14:paraId="0C7ABAD4">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套</w:t>
            </w:r>
          </w:p>
        </w:tc>
        <w:tc>
          <w:tcPr>
            <w:tcW w:w="735" w:type="dxa"/>
            <w:tcBorders>
              <w:top w:val="nil"/>
              <w:left w:val="nil"/>
              <w:bottom w:val="single" w:color="auto" w:sz="8" w:space="0"/>
              <w:right w:val="single" w:color="auto" w:sz="8" w:space="0"/>
            </w:tcBorders>
            <w:noWrap w:val="0"/>
            <w:vAlign w:val="center"/>
          </w:tcPr>
          <w:p w14:paraId="3EC85A7C">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rPr>
              <w:t>12</w:t>
            </w:r>
          </w:p>
        </w:tc>
        <w:tc>
          <w:tcPr>
            <w:tcW w:w="1125" w:type="dxa"/>
            <w:tcBorders>
              <w:top w:val="nil"/>
              <w:left w:val="nil"/>
              <w:bottom w:val="single" w:color="auto" w:sz="8" w:space="0"/>
              <w:right w:val="single" w:color="auto" w:sz="8" w:space="0"/>
            </w:tcBorders>
            <w:noWrap w:val="0"/>
            <w:vAlign w:val="center"/>
          </w:tcPr>
          <w:p w14:paraId="6132CFB7">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2020年</w:t>
            </w:r>
          </w:p>
        </w:tc>
        <w:tc>
          <w:tcPr>
            <w:tcW w:w="1050" w:type="dxa"/>
            <w:tcBorders>
              <w:top w:val="nil"/>
              <w:left w:val="nil"/>
              <w:bottom w:val="single" w:color="auto" w:sz="8" w:space="0"/>
              <w:right w:val="single" w:color="auto" w:sz="8" w:space="0"/>
            </w:tcBorders>
            <w:noWrap w:val="0"/>
            <w:vAlign w:val="center"/>
          </w:tcPr>
          <w:p w14:paraId="43E35FC4">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是</w:t>
            </w:r>
          </w:p>
        </w:tc>
        <w:tc>
          <w:tcPr>
            <w:tcW w:w="2087" w:type="dxa"/>
            <w:tcBorders>
              <w:top w:val="nil"/>
              <w:left w:val="nil"/>
              <w:bottom w:val="single" w:color="auto" w:sz="8" w:space="0"/>
              <w:right w:val="single" w:color="auto" w:sz="8" w:space="0"/>
            </w:tcBorders>
            <w:noWrap w:val="0"/>
            <w:vAlign w:val="center"/>
          </w:tcPr>
          <w:p w14:paraId="2518FE2C">
            <w:pPr>
              <w:widowControl/>
              <w:autoSpaceDE/>
              <w:autoSpaceDN/>
              <w:snapToGrid w:val="0"/>
              <w:ind w:left="0" w:leftChars="0" w:right="0" w:rightChars="0" w:firstLine="0" w:firstLineChars="0"/>
              <w:jc w:val="center"/>
              <w:rPr>
                <w:rFonts w:hint="eastAsia" w:ascii="宋体" w:eastAsia="宋体"/>
                <w:color w:val="000000"/>
                <w:sz w:val="24"/>
                <w:szCs w:val="24"/>
              </w:rPr>
            </w:pPr>
            <w:r>
              <w:rPr>
                <w:rFonts w:hint="eastAsia" w:ascii="宋体" w:eastAsia="宋体"/>
                <w:color w:val="000000"/>
                <w:sz w:val="24"/>
                <w:szCs w:val="24"/>
                <w:lang w:val="en-US" w:eastAsia="zh-CN"/>
              </w:rPr>
              <w:t>如原厂不支持购买维保可非原厂维保（需提供证明材料）</w:t>
            </w:r>
          </w:p>
        </w:tc>
      </w:tr>
    </w:tbl>
    <w:p w14:paraId="31AB8B50">
      <w:pPr>
        <w:pStyle w:val="2"/>
        <w:rPr>
          <w:rFonts w:hint="eastAsia"/>
        </w:rPr>
      </w:pPr>
    </w:p>
    <w:p w14:paraId="72CF9D05">
      <w:pPr>
        <w:pStyle w:val="12"/>
        <w:numPr>
          <w:ilvl w:val="1"/>
          <w:numId w:val="0"/>
        </w:numPr>
        <w:spacing w:before="120" w:beforeLines="50" w:line="300" w:lineRule="auto"/>
        <w:rPr>
          <w:rFonts w:hint="eastAsia"/>
        </w:rPr>
      </w:pPr>
      <w:r>
        <w:rPr>
          <w:rFonts w:hint="eastAsia" w:cs="宋体"/>
          <w:sz w:val="24"/>
          <w:szCs w:val="22"/>
          <w:lang w:val="en-US" w:eastAsia="zh-CN" w:bidi="ar-SA"/>
        </w:rPr>
        <w:t>（2）</w:t>
      </w:r>
      <w:r>
        <w:rPr>
          <w:sz w:val="24"/>
        </w:rPr>
        <w:t>网络设备</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52"/>
        <w:gridCol w:w="1155"/>
        <w:gridCol w:w="728"/>
        <w:gridCol w:w="1935"/>
        <w:gridCol w:w="825"/>
        <w:gridCol w:w="539"/>
        <w:gridCol w:w="585"/>
        <w:gridCol w:w="765"/>
        <w:gridCol w:w="1095"/>
        <w:gridCol w:w="1763"/>
      </w:tblGrid>
      <w:tr w14:paraId="0619A1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5" w:hRule="atLeast"/>
          <w:jc w:val="center"/>
        </w:trPr>
        <w:tc>
          <w:tcPr>
            <w:tcW w:w="552" w:type="dxa"/>
            <w:noWrap/>
            <w:vAlign w:val="center"/>
          </w:tcPr>
          <w:p w14:paraId="05C9A5F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序号</w:t>
            </w:r>
          </w:p>
        </w:tc>
        <w:tc>
          <w:tcPr>
            <w:tcW w:w="1155" w:type="dxa"/>
            <w:noWrap w:val="0"/>
            <w:vAlign w:val="center"/>
          </w:tcPr>
          <w:p w14:paraId="3873B20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名称</w:t>
            </w:r>
          </w:p>
        </w:tc>
        <w:tc>
          <w:tcPr>
            <w:tcW w:w="728" w:type="dxa"/>
            <w:noWrap/>
            <w:vAlign w:val="center"/>
          </w:tcPr>
          <w:p w14:paraId="4C9D8F6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品牌</w:t>
            </w:r>
          </w:p>
        </w:tc>
        <w:tc>
          <w:tcPr>
            <w:tcW w:w="1935" w:type="dxa"/>
            <w:noWrap/>
            <w:vAlign w:val="center"/>
          </w:tcPr>
          <w:p w14:paraId="1C9327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型号</w:t>
            </w:r>
          </w:p>
        </w:tc>
        <w:tc>
          <w:tcPr>
            <w:tcW w:w="825" w:type="dxa"/>
            <w:noWrap/>
            <w:vAlign w:val="center"/>
          </w:tcPr>
          <w:p w14:paraId="01021A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配件数量</w:t>
            </w:r>
          </w:p>
        </w:tc>
        <w:tc>
          <w:tcPr>
            <w:tcW w:w="539" w:type="dxa"/>
            <w:noWrap w:val="0"/>
            <w:vAlign w:val="center"/>
          </w:tcPr>
          <w:p w14:paraId="7B0FF6F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单位</w:t>
            </w:r>
          </w:p>
        </w:tc>
        <w:tc>
          <w:tcPr>
            <w:tcW w:w="585" w:type="dxa"/>
            <w:noWrap/>
            <w:vAlign w:val="center"/>
          </w:tcPr>
          <w:p w14:paraId="626D33A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数量</w:t>
            </w:r>
          </w:p>
        </w:tc>
        <w:tc>
          <w:tcPr>
            <w:tcW w:w="765" w:type="dxa"/>
            <w:noWrap/>
            <w:vAlign w:val="center"/>
          </w:tcPr>
          <w:p w14:paraId="3B6153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ascii="宋体" w:eastAsia="宋体"/>
                <w:b/>
                <w:bCs/>
                <w:color w:val="000000"/>
                <w:sz w:val="24"/>
                <w:szCs w:val="24"/>
                <w:lang w:val="en-US" w:eastAsia="zh-CN"/>
              </w:rPr>
              <w:t>购置时间</w:t>
            </w:r>
          </w:p>
        </w:tc>
        <w:tc>
          <w:tcPr>
            <w:tcW w:w="1095" w:type="dxa"/>
            <w:noWrap/>
            <w:vAlign w:val="center"/>
          </w:tcPr>
          <w:p w14:paraId="2E26CF5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ascii="宋体" w:eastAsia="宋体"/>
                <w:b/>
                <w:bCs/>
                <w:color w:val="000000"/>
                <w:sz w:val="24"/>
                <w:szCs w:val="24"/>
                <w:lang w:val="en-US" w:eastAsia="zh-CN"/>
              </w:rPr>
              <w:t>是否有保修</w:t>
            </w:r>
          </w:p>
        </w:tc>
        <w:tc>
          <w:tcPr>
            <w:tcW w:w="1763" w:type="dxa"/>
            <w:noWrap/>
            <w:vAlign w:val="center"/>
          </w:tcPr>
          <w:p w14:paraId="706B583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是否需要购买原厂维保</w:t>
            </w:r>
          </w:p>
        </w:tc>
      </w:tr>
      <w:tr w14:paraId="45994A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552" w:type="dxa"/>
            <w:vMerge w:val="restart"/>
            <w:noWrap w:val="0"/>
            <w:vAlign w:val="center"/>
          </w:tcPr>
          <w:p w14:paraId="1D18A39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155" w:type="dxa"/>
            <w:vMerge w:val="restart"/>
            <w:noWrap w:val="0"/>
            <w:vAlign w:val="center"/>
          </w:tcPr>
          <w:p w14:paraId="1267BAC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48口楼层接入交换机</w:t>
            </w:r>
          </w:p>
        </w:tc>
        <w:tc>
          <w:tcPr>
            <w:tcW w:w="728" w:type="dxa"/>
            <w:vMerge w:val="restart"/>
            <w:noWrap w:val="0"/>
            <w:vAlign w:val="center"/>
          </w:tcPr>
          <w:p w14:paraId="401F386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华为</w:t>
            </w:r>
          </w:p>
        </w:tc>
        <w:tc>
          <w:tcPr>
            <w:tcW w:w="1935" w:type="dxa"/>
            <w:noWrap w:val="0"/>
            <w:vAlign w:val="center"/>
          </w:tcPr>
          <w:p w14:paraId="761BE0A9">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S5735-S48T4X</w:t>
            </w:r>
          </w:p>
        </w:tc>
        <w:tc>
          <w:tcPr>
            <w:tcW w:w="825" w:type="dxa"/>
            <w:noWrap w:val="0"/>
            <w:vAlign w:val="center"/>
          </w:tcPr>
          <w:p w14:paraId="0309EE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234</w:t>
            </w:r>
          </w:p>
        </w:tc>
        <w:tc>
          <w:tcPr>
            <w:tcW w:w="539" w:type="dxa"/>
            <w:vMerge w:val="restart"/>
            <w:noWrap w:val="0"/>
            <w:vAlign w:val="center"/>
          </w:tcPr>
          <w:p w14:paraId="52FC3F2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585" w:type="dxa"/>
            <w:vMerge w:val="restart"/>
            <w:noWrap w:val="0"/>
            <w:vAlign w:val="center"/>
          </w:tcPr>
          <w:p w14:paraId="3F8A526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234 </w:t>
            </w:r>
          </w:p>
        </w:tc>
        <w:tc>
          <w:tcPr>
            <w:tcW w:w="765" w:type="dxa"/>
            <w:vMerge w:val="restart"/>
            <w:noWrap w:val="0"/>
            <w:vAlign w:val="center"/>
          </w:tcPr>
          <w:p w14:paraId="397B611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color w:val="000000"/>
                <w:sz w:val="24"/>
                <w:szCs w:val="24"/>
                <w:lang w:val="en-US" w:eastAsia="zh-CN"/>
              </w:rPr>
            </w:pPr>
            <w:r>
              <w:rPr>
                <w:rFonts w:hint="eastAsia" w:ascii="宋体" w:eastAsia="宋体"/>
                <w:color w:val="000000"/>
                <w:sz w:val="24"/>
                <w:szCs w:val="24"/>
                <w:lang w:val="en-US" w:eastAsia="zh-CN"/>
              </w:rPr>
              <w:t>2020年</w:t>
            </w:r>
          </w:p>
        </w:tc>
        <w:tc>
          <w:tcPr>
            <w:tcW w:w="1095" w:type="dxa"/>
            <w:vMerge w:val="restart"/>
            <w:noWrap w:val="0"/>
            <w:vAlign w:val="center"/>
          </w:tcPr>
          <w:p w14:paraId="3C8E487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是</w:t>
            </w:r>
          </w:p>
        </w:tc>
        <w:tc>
          <w:tcPr>
            <w:tcW w:w="1763" w:type="dxa"/>
            <w:vMerge w:val="restart"/>
            <w:noWrap w:val="0"/>
            <w:vAlign w:val="center"/>
          </w:tcPr>
          <w:p w14:paraId="58CB3C1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5C7802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552" w:type="dxa"/>
            <w:vMerge w:val="continue"/>
            <w:noWrap w:val="0"/>
            <w:vAlign w:val="center"/>
          </w:tcPr>
          <w:p w14:paraId="1A27900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60D6116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4C24DB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1C0D55B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N1-S57S-M-Lic</w:t>
            </w:r>
          </w:p>
        </w:tc>
        <w:tc>
          <w:tcPr>
            <w:tcW w:w="825" w:type="dxa"/>
            <w:noWrap w:val="0"/>
            <w:vAlign w:val="center"/>
          </w:tcPr>
          <w:p w14:paraId="003D21F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234</w:t>
            </w:r>
          </w:p>
        </w:tc>
        <w:tc>
          <w:tcPr>
            <w:tcW w:w="539" w:type="dxa"/>
            <w:vMerge w:val="continue"/>
            <w:noWrap w:val="0"/>
            <w:vAlign w:val="center"/>
          </w:tcPr>
          <w:p w14:paraId="793FC73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6009CEE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65" w:type="dxa"/>
            <w:vMerge w:val="continue"/>
            <w:noWrap w:val="0"/>
            <w:vAlign w:val="center"/>
          </w:tcPr>
          <w:p w14:paraId="6924FA9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95" w:type="dxa"/>
            <w:vMerge w:val="continue"/>
            <w:noWrap w:val="0"/>
            <w:vAlign w:val="center"/>
          </w:tcPr>
          <w:p w14:paraId="5EFA926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763" w:type="dxa"/>
            <w:vMerge w:val="continue"/>
            <w:noWrap w:val="0"/>
            <w:vAlign w:val="center"/>
          </w:tcPr>
          <w:p w14:paraId="62D67BC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281B46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552" w:type="dxa"/>
            <w:vMerge w:val="continue"/>
            <w:noWrap w:val="0"/>
            <w:vAlign w:val="center"/>
          </w:tcPr>
          <w:p w14:paraId="50232A4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41AF797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260AFC1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0377AA1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PAC60S12-AR</w:t>
            </w:r>
          </w:p>
        </w:tc>
        <w:tc>
          <w:tcPr>
            <w:tcW w:w="825" w:type="dxa"/>
            <w:noWrap w:val="0"/>
            <w:vAlign w:val="center"/>
          </w:tcPr>
          <w:p w14:paraId="1D341D8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234</w:t>
            </w:r>
          </w:p>
        </w:tc>
        <w:tc>
          <w:tcPr>
            <w:tcW w:w="539" w:type="dxa"/>
            <w:vMerge w:val="continue"/>
            <w:noWrap w:val="0"/>
            <w:vAlign w:val="center"/>
          </w:tcPr>
          <w:p w14:paraId="5D20F4E0">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6B2DA78E">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65" w:type="dxa"/>
            <w:vMerge w:val="continue"/>
            <w:noWrap w:val="0"/>
            <w:vAlign w:val="center"/>
          </w:tcPr>
          <w:p w14:paraId="261DBF58">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95" w:type="dxa"/>
            <w:vMerge w:val="continue"/>
            <w:noWrap w:val="0"/>
            <w:vAlign w:val="center"/>
          </w:tcPr>
          <w:p w14:paraId="221B5E6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763" w:type="dxa"/>
            <w:vMerge w:val="continue"/>
            <w:noWrap w:val="0"/>
            <w:vAlign w:val="center"/>
          </w:tcPr>
          <w:p w14:paraId="486EA70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529841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552" w:type="dxa"/>
            <w:vMerge w:val="continue"/>
            <w:noWrap w:val="0"/>
            <w:vAlign w:val="center"/>
          </w:tcPr>
          <w:p w14:paraId="4F8FF78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3901A99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32CDDEC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73A56BF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OMXD30000</w:t>
            </w:r>
          </w:p>
        </w:tc>
        <w:tc>
          <w:tcPr>
            <w:tcW w:w="825" w:type="dxa"/>
            <w:noWrap w:val="0"/>
            <w:vAlign w:val="center"/>
          </w:tcPr>
          <w:p w14:paraId="134639A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936</w:t>
            </w:r>
          </w:p>
        </w:tc>
        <w:tc>
          <w:tcPr>
            <w:tcW w:w="539" w:type="dxa"/>
            <w:vMerge w:val="continue"/>
            <w:noWrap w:val="0"/>
            <w:vAlign w:val="center"/>
          </w:tcPr>
          <w:p w14:paraId="046650B8">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106BDE1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65" w:type="dxa"/>
            <w:vMerge w:val="continue"/>
            <w:noWrap w:val="0"/>
            <w:vAlign w:val="center"/>
          </w:tcPr>
          <w:p w14:paraId="4B93B11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95" w:type="dxa"/>
            <w:vMerge w:val="continue"/>
            <w:noWrap w:val="0"/>
            <w:vAlign w:val="center"/>
          </w:tcPr>
          <w:p w14:paraId="4168756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763" w:type="dxa"/>
            <w:vMerge w:val="continue"/>
            <w:noWrap w:val="0"/>
            <w:vAlign w:val="center"/>
          </w:tcPr>
          <w:p w14:paraId="30394E7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24D00D3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552" w:type="dxa"/>
            <w:vMerge w:val="restart"/>
            <w:noWrap w:val="0"/>
            <w:vAlign w:val="center"/>
          </w:tcPr>
          <w:p w14:paraId="46EDB8A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155" w:type="dxa"/>
            <w:vMerge w:val="restart"/>
            <w:noWrap w:val="0"/>
            <w:vAlign w:val="center"/>
          </w:tcPr>
          <w:p w14:paraId="206DA3E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48口汇聚交换机1</w:t>
            </w:r>
          </w:p>
        </w:tc>
        <w:tc>
          <w:tcPr>
            <w:tcW w:w="728" w:type="dxa"/>
            <w:vMerge w:val="restart"/>
            <w:noWrap w:val="0"/>
            <w:vAlign w:val="center"/>
          </w:tcPr>
          <w:p w14:paraId="439D8F7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华为</w:t>
            </w:r>
          </w:p>
        </w:tc>
        <w:tc>
          <w:tcPr>
            <w:tcW w:w="1935" w:type="dxa"/>
            <w:noWrap w:val="0"/>
            <w:vAlign w:val="center"/>
          </w:tcPr>
          <w:p w14:paraId="080E2FB2">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S6730-H48X6C</w:t>
            </w:r>
          </w:p>
        </w:tc>
        <w:tc>
          <w:tcPr>
            <w:tcW w:w="825" w:type="dxa"/>
            <w:noWrap w:val="0"/>
            <w:vAlign w:val="center"/>
          </w:tcPr>
          <w:p w14:paraId="37CAE44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18</w:t>
            </w:r>
          </w:p>
        </w:tc>
        <w:tc>
          <w:tcPr>
            <w:tcW w:w="539" w:type="dxa"/>
            <w:vMerge w:val="restart"/>
            <w:noWrap w:val="0"/>
            <w:vAlign w:val="center"/>
          </w:tcPr>
          <w:p w14:paraId="284344B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585" w:type="dxa"/>
            <w:vMerge w:val="restart"/>
            <w:noWrap w:val="0"/>
            <w:vAlign w:val="center"/>
          </w:tcPr>
          <w:p w14:paraId="4EAC4C1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18 </w:t>
            </w:r>
          </w:p>
        </w:tc>
        <w:tc>
          <w:tcPr>
            <w:tcW w:w="765" w:type="dxa"/>
            <w:vMerge w:val="restart"/>
            <w:noWrap w:val="0"/>
            <w:vAlign w:val="center"/>
          </w:tcPr>
          <w:p w14:paraId="6A93FE5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2020年</w:t>
            </w:r>
          </w:p>
        </w:tc>
        <w:tc>
          <w:tcPr>
            <w:tcW w:w="1095" w:type="dxa"/>
            <w:vMerge w:val="restart"/>
            <w:noWrap w:val="0"/>
            <w:vAlign w:val="center"/>
          </w:tcPr>
          <w:p w14:paraId="465C98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是</w:t>
            </w:r>
          </w:p>
        </w:tc>
        <w:tc>
          <w:tcPr>
            <w:tcW w:w="1763" w:type="dxa"/>
            <w:vMerge w:val="restart"/>
            <w:noWrap w:val="0"/>
            <w:vAlign w:val="center"/>
          </w:tcPr>
          <w:p w14:paraId="1133ACD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27B0FEB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552" w:type="dxa"/>
            <w:vMerge w:val="continue"/>
            <w:noWrap w:val="0"/>
            <w:vAlign w:val="center"/>
          </w:tcPr>
          <w:p w14:paraId="177EC94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141140A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6C73550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2A799ED1">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PAC600S12-CB</w:t>
            </w:r>
          </w:p>
        </w:tc>
        <w:tc>
          <w:tcPr>
            <w:tcW w:w="825" w:type="dxa"/>
            <w:noWrap w:val="0"/>
            <w:vAlign w:val="center"/>
          </w:tcPr>
          <w:p w14:paraId="1FC8C0F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36</w:t>
            </w:r>
          </w:p>
        </w:tc>
        <w:tc>
          <w:tcPr>
            <w:tcW w:w="539" w:type="dxa"/>
            <w:vMerge w:val="continue"/>
            <w:noWrap w:val="0"/>
            <w:vAlign w:val="center"/>
          </w:tcPr>
          <w:p w14:paraId="485C618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43263928">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65" w:type="dxa"/>
            <w:vMerge w:val="continue"/>
            <w:noWrap w:val="0"/>
            <w:vAlign w:val="center"/>
          </w:tcPr>
          <w:p w14:paraId="314BCCF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95" w:type="dxa"/>
            <w:vMerge w:val="continue"/>
            <w:noWrap w:val="0"/>
            <w:vAlign w:val="center"/>
          </w:tcPr>
          <w:p w14:paraId="6B533D5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763" w:type="dxa"/>
            <w:vMerge w:val="continue"/>
            <w:noWrap w:val="0"/>
            <w:vAlign w:val="center"/>
          </w:tcPr>
          <w:p w14:paraId="0D3C287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4C157E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552" w:type="dxa"/>
            <w:vMerge w:val="continue"/>
            <w:noWrap w:val="0"/>
            <w:vAlign w:val="center"/>
          </w:tcPr>
          <w:p w14:paraId="46C838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437787E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634F207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719802D6">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N1-S67H-M-Lic</w:t>
            </w:r>
          </w:p>
        </w:tc>
        <w:tc>
          <w:tcPr>
            <w:tcW w:w="825" w:type="dxa"/>
            <w:noWrap w:val="0"/>
            <w:vAlign w:val="center"/>
          </w:tcPr>
          <w:p w14:paraId="5467A89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18</w:t>
            </w:r>
          </w:p>
        </w:tc>
        <w:tc>
          <w:tcPr>
            <w:tcW w:w="539" w:type="dxa"/>
            <w:vMerge w:val="continue"/>
            <w:noWrap w:val="0"/>
            <w:vAlign w:val="center"/>
          </w:tcPr>
          <w:p w14:paraId="0A4734C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731AD8D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65" w:type="dxa"/>
            <w:vMerge w:val="continue"/>
            <w:noWrap w:val="0"/>
            <w:vAlign w:val="center"/>
          </w:tcPr>
          <w:p w14:paraId="3E79274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95" w:type="dxa"/>
            <w:vMerge w:val="continue"/>
            <w:noWrap w:val="0"/>
            <w:vAlign w:val="center"/>
          </w:tcPr>
          <w:p w14:paraId="4050DCD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763" w:type="dxa"/>
            <w:vMerge w:val="continue"/>
            <w:noWrap w:val="0"/>
            <w:vAlign w:val="center"/>
          </w:tcPr>
          <w:p w14:paraId="1379E96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43E72B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552" w:type="dxa"/>
            <w:vMerge w:val="continue"/>
            <w:noWrap w:val="0"/>
            <w:vAlign w:val="center"/>
          </w:tcPr>
          <w:p w14:paraId="3657843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3502E3A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2EAE684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45481753">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OMXD30000</w:t>
            </w:r>
          </w:p>
        </w:tc>
        <w:tc>
          <w:tcPr>
            <w:tcW w:w="825" w:type="dxa"/>
            <w:noWrap w:val="0"/>
            <w:vAlign w:val="center"/>
          </w:tcPr>
          <w:p w14:paraId="726D404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828</w:t>
            </w:r>
          </w:p>
        </w:tc>
        <w:tc>
          <w:tcPr>
            <w:tcW w:w="539" w:type="dxa"/>
            <w:vMerge w:val="continue"/>
            <w:noWrap w:val="0"/>
            <w:vAlign w:val="center"/>
          </w:tcPr>
          <w:p w14:paraId="381013A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4DD8037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65" w:type="dxa"/>
            <w:vMerge w:val="continue"/>
            <w:noWrap w:val="0"/>
            <w:vAlign w:val="center"/>
          </w:tcPr>
          <w:p w14:paraId="4284D26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95" w:type="dxa"/>
            <w:vMerge w:val="continue"/>
            <w:noWrap w:val="0"/>
            <w:vAlign w:val="center"/>
          </w:tcPr>
          <w:p w14:paraId="46E8C697">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763" w:type="dxa"/>
            <w:vMerge w:val="continue"/>
            <w:noWrap w:val="0"/>
            <w:vAlign w:val="center"/>
          </w:tcPr>
          <w:p w14:paraId="07ABA14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5F33E5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552" w:type="dxa"/>
            <w:vMerge w:val="continue"/>
            <w:noWrap w:val="0"/>
            <w:vAlign w:val="center"/>
          </w:tcPr>
          <w:p w14:paraId="0A7A1B5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03CF4A3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2D9F1A3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79ECD727">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OSX010000</w:t>
            </w:r>
          </w:p>
        </w:tc>
        <w:tc>
          <w:tcPr>
            <w:tcW w:w="825" w:type="dxa"/>
            <w:noWrap w:val="0"/>
            <w:vAlign w:val="center"/>
          </w:tcPr>
          <w:p w14:paraId="56BCE7E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36</w:t>
            </w:r>
          </w:p>
        </w:tc>
        <w:tc>
          <w:tcPr>
            <w:tcW w:w="539" w:type="dxa"/>
            <w:vMerge w:val="continue"/>
            <w:noWrap w:val="0"/>
            <w:vAlign w:val="center"/>
          </w:tcPr>
          <w:p w14:paraId="1673ED0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702F7F4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65" w:type="dxa"/>
            <w:vMerge w:val="continue"/>
            <w:noWrap w:val="0"/>
            <w:vAlign w:val="center"/>
          </w:tcPr>
          <w:p w14:paraId="45A26F4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95" w:type="dxa"/>
            <w:vMerge w:val="continue"/>
            <w:noWrap w:val="0"/>
            <w:vAlign w:val="center"/>
          </w:tcPr>
          <w:p w14:paraId="78362BD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763" w:type="dxa"/>
            <w:vMerge w:val="continue"/>
            <w:noWrap w:val="0"/>
            <w:vAlign w:val="center"/>
          </w:tcPr>
          <w:p w14:paraId="21E1088E">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52D5B8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552" w:type="dxa"/>
            <w:vMerge w:val="restart"/>
            <w:noWrap w:val="0"/>
            <w:vAlign w:val="center"/>
          </w:tcPr>
          <w:p w14:paraId="0573CCE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w:t>
            </w:r>
          </w:p>
        </w:tc>
        <w:tc>
          <w:tcPr>
            <w:tcW w:w="1155" w:type="dxa"/>
            <w:vMerge w:val="restart"/>
            <w:noWrap w:val="0"/>
            <w:vAlign w:val="center"/>
          </w:tcPr>
          <w:p w14:paraId="2DD5DC5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48口汇聚交换机2</w:t>
            </w:r>
          </w:p>
        </w:tc>
        <w:tc>
          <w:tcPr>
            <w:tcW w:w="728" w:type="dxa"/>
            <w:vMerge w:val="restart"/>
            <w:noWrap w:val="0"/>
            <w:vAlign w:val="center"/>
          </w:tcPr>
          <w:p w14:paraId="054F219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华为</w:t>
            </w:r>
          </w:p>
        </w:tc>
        <w:tc>
          <w:tcPr>
            <w:tcW w:w="1935" w:type="dxa"/>
            <w:noWrap w:val="0"/>
            <w:vAlign w:val="center"/>
          </w:tcPr>
          <w:p w14:paraId="16DFFED0">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S6730-H48X6C</w:t>
            </w:r>
          </w:p>
        </w:tc>
        <w:tc>
          <w:tcPr>
            <w:tcW w:w="825" w:type="dxa"/>
            <w:noWrap w:val="0"/>
            <w:vAlign w:val="center"/>
          </w:tcPr>
          <w:p w14:paraId="1779B7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539" w:type="dxa"/>
            <w:vMerge w:val="restart"/>
            <w:noWrap w:val="0"/>
            <w:vAlign w:val="center"/>
          </w:tcPr>
          <w:p w14:paraId="0E696C5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585" w:type="dxa"/>
            <w:vMerge w:val="restart"/>
            <w:noWrap w:val="0"/>
            <w:vAlign w:val="center"/>
          </w:tcPr>
          <w:p w14:paraId="141FF9C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2 </w:t>
            </w:r>
          </w:p>
        </w:tc>
        <w:tc>
          <w:tcPr>
            <w:tcW w:w="765" w:type="dxa"/>
            <w:vMerge w:val="restart"/>
            <w:noWrap w:val="0"/>
            <w:vAlign w:val="center"/>
          </w:tcPr>
          <w:p w14:paraId="5687B78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2020年</w:t>
            </w:r>
          </w:p>
        </w:tc>
        <w:tc>
          <w:tcPr>
            <w:tcW w:w="1095" w:type="dxa"/>
            <w:vMerge w:val="restart"/>
            <w:noWrap w:val="0"/>
            <w:vAlign w:val="center"/>
          </w:tcPr>
          <w:p w14:paraId="62983A1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是</w:t>
            </w:r>
          </w:p>
        </w:tc>
        <w:tc>
          <w:tcPr>
            <w:tcW w:w="1763" w:type="dxa"/>
            <w:vMerge w:val="restart"/>
            <w:noWrap w:val="0"/>
            <w:vAlign w:val="center"/>
          </w:tcPr>
          <w:p w14:paraId="1E3C4AE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406191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552" w:type="dxa"/>
            <w:vMerge w:val="continue"/>
            <w:noWrap w:val="0"/>
            <w:vAlign w:val="center"/>
          </w:tcPr>
          <w:p w14:paraId="0F9E878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71180CC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6CB48F2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242F702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PAC600S12-CB</w:t>
            </w:r>
          </w:p>
        </w:tc>
        <w:tc>
          <w:tcPr>
            <w:tcW w:w="825" w:type="dxa"/>
            <w:noWrap w:val="0"/>
            <w:vAlign w:val="center"/>
          </w:tcPr>
          <w:p w14:paraId="2BE9E09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539" w:type="dxa"/>
            <w:vMerge w:val="continue"/>
            <w:noWrap w:val="0"/>
            <w:vAlign w:val="center"/>
          </w:tcPr>
          <w:p w14:paraId="7BD27CE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6DA664F8">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65" w:type="dxa"/>
            <w:vMerge w:val="continue"/>
            <w:noWrap w:val="0"/>
            <w:vAlign w:val="center"/>
          </w:tcPr>
          <w:p w14:paraId="27E57DA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95" w:type="dxa"/>
            <w:vMerge w:val="continue"/>
            <w:noWrap w:val="0"/>
            <w:vAlign w:val="center"/>
          </w:tcPr>
          <w:p w14:paraId="0084E37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763" w:type="dxa"/>
            <w:vMerge w:val="continue"/>
            <w:noWrap w:val="0"/>
            <w:vAlign w:val="center"/>
          </w:tcPr>
          <w:p w14:paraId="09F7DEA5">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30FA0E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552" w:type="dxa"/>
            <w:vMerge w:val="continue"/>
            <w:noWrap w:val="0"/>
            <w:vAlign w:val="center"/>
          </w:tcPr>
          <w:p w14:paraId="0F897DC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17681E7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39CED71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498655F9">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N1-S67H-M-Lic</w:t>
            </w:r>
          </w:p>
        </w:tc>
        <w:tc>
          <w:tcPr>
            <w:tcW w:w="825" w:type="dxa"/>
            <w:noWrap w:val="0"/>
            <w:vAlign w:val="center"/>
          </w:tcPr>
          <w:p w14:paraId="6DC43FE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539" w:type="dxa"/>
            <w:vMerge w:val="continue"/>
            <w:noWrap w:val="0"/>
            <w:vAlign w:val="center"/>
          </w:tcPr>
          <w:p w14:paraId="3D13189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5FD7C235">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65" w:type="dxa"/>
            <w:vMerge w:val="continue"/>
            <w:noWrap w:val="0"/>
            <w:vAlign w:val="center"/>
          </w:tcPr>
          <w:p w14:paraId="55161C2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95" w:type="dxa"/>
            <w:vMerge w:val="continue"/>
            <w:noWrap w:val="0"/>
            <w:vAlign w:val="center"/>
          </w:tcPr>
          <w:p w14:paraId="2057F8D5">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763" w:type="dxa"/>
            <w:vMerge w:val="continue"/>
            <w:noWrap w:val="0"/>
            <w:vAlign w:val="center"/>
          </w:tcPr>
          <w:p w14:paraId="678D793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572688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552" w:type="dxa"/>
            <w:vMerge w:val="continue"/>
            <w:noWrap w:val="0"/>
            <w:vAlign w:val="center"/>
          </w:tcPr>
          <w:p w14:paraId="6468719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5603A1D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793A56C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7CC0B062">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OMXD30000</w:t>
            </w:r>
          </w:p>
        </w:tc>
        <w:tc>
          <w:tcPr>
            <w:tcW w:w="825" w:type="dxa"/>
            <w:noWrap w:val="0"/>
            <w:vAlign w:val="center"/>
          </w:tcPr>
          <w:p w14:paraId="72118AF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20</w:t>
            </w:r>
          </w:p>
        </w:tc>
        <w:tc>
          <w:tcPr>
            <w:tcW w:w="539" w:type="dxa"/>
            <w:vMerge w:val="continue"/>
            <w:noWrap w:val="0"/>
            <w:vAlign w:val="center"/>
          </w:tcPr>
          <w:p w14:paraId="60AEDE8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79E989C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65" w:type="dxa"/>
            <w:vMerge w:val="continue"/>
            <w:noWrap w:val="0"/>
            <w:vAlign w:val="center"/>
          </w:tcPr>
          <w:p w14:paraId="215CB8E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95" w:type="dxa"/>
            <w:vMerge w:val="continue"/>
            <w:noWrap w:val="0"/>
            <w:vAlign w:val="center"/>
          </w:tcPr>
          <w:p w14:paraId="10612F6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763" w:type="dxa"/>
            <w:vMerge w:val="continue"/>
            <w:noWrap w:val="0"/>
            <w:vAlign w:val="center"/>
          </w:tcPr>
          <w:p w14:paraId="7D1E90C0">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107D2A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7" w:hRule="atLeast"/>
          <w:jc w:val="center"/>
        </w:trPr>
        <w:tc>
          <w:tcPr>
            <w:tcW w:w="552" w:type="dxa"/>
            <w:vMerge w:val="continue"/>
            <w:noWrap w:val="0"/>
            <w:vAlign w:val="center"/>
          </w:tcPr>
          <w:p w14:paraId="33D530B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106B712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305B450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3DC65EF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OSX010000</w:t>
            </w:r>
          </w:p>
        </w:tc>
        <w:tc>
          <w:tcPr>
            <w:tcW w:w="825" w:type="dxa"/>
            <w:noWrap w:val="0"/>
            <w:vAlign w:val="center"/>
          </w:tcPr>
          <w:p w14:paraId="3A7F881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60</w:t>
            </w:r>
          </w:p>
        </w:tc>
        <w:tc>
          <w:tcPr>
            <w:tcW w:w="539" w:type="dxa"/>
            <w:vMerge w:val="continue"/>
            <w:noWrap w:val="0"/>
            <w:vAlign w:val="center"/>
          </w:tcPr>
          <w:p w14:paraId="6ECA67CE">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65DB1B07">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65" w:type="dxa"/>
            <w:vMerge w:val="continue"/>
            <w:noWrap w:val="0"/>
            <w:vAlign w:val="center"/>
          </w:tcPr>
          <w:p w14:paraId="7E39294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95" w:type="dxa"/>
            <w:vMerge w:val="continue"/>
            <w:noWrap w:val="0"/>
            <w:vAlign w:val="center"/>
          </w:tcPr>
          <w:p w14:paraId="46161D3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763" w:type="dxa"/>
            <w:vMerge w:val="continue"/>
            <w:noWrap w:val="0"/>
            <w:vAlign w:val="center"/>
          </w:tcPr>
          <w:p w14:paraId="21213A9E">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2472F1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552" w:type="dxa"/>
            <w:vMerge w:val="restart"/>
            <w:noWrap w:val="0"/>
            <w:vAlign w:val="center"/>
          </w:tcPr>
          <w:p w14:paraId="21CC05B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1155" w:type="dxa"/>
            <w:vMerge w:val="restart"/>
            <w:noWrap w:val="0"/>
            <w:vAlign w:val="center"/>
          </w:tcPr>
          <w:p w14:paraId="4B0EFA7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无线集中管理器</w:t>
            </w:r>
          </w:p>
        </w:tc>
        <w:tc>
          <w:tcPr>
            <w:tcW w:w="728" w:type="dxa"/>
            <w:vMerge w:val="restart"/>
            <w:noWrap w:val="0"/>
            <w:vAlign w:val="center"/>
          </w:tcPr>
          <w:p w14:paraId="18F03F3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华为</w:t>
            </w:r>
          </w:p>
        </w:tc>
        <w:tc>
          <w:tcPr>
            <w:tcW w:w="1935" w:type="dxa"/>
            <w:noWrap w:val="0"/>
            <w:vAlign w:val="center"/>
          </w:tcPr>
          <w:p w14:paraId="1D1320B9">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AirEngine9700-M</w:t>
            </w:r>
          </w:p>
        </w:tc>
        <w:tc>
          <w:tcPr>
            <w:tcW w:w="825" w:type="dxa"/>
            <w:noWrap w:val="0"/>
            <w:vAlign w:val="center"/>
          </w:tcPr>
          <w:p w14:paraId="060F3DB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539" w:type="dxa"/>
            <w:vMerge w:val="restart"/>
            <w:noWrap w:val="0"/>
            <w:vAlign w:val="center"/>
          </w:tcPr>
          <w:p w14:paraId="27E6F7B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585" w:type="dxa"/>
            <w:vMerge w:val="restart"/>
            <w:noWrap w:val="0"/>
            <w:vAlign w:val="center"/>
          </w:tcPr>
          <w:p w14:paraId="2B7D52D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2 </w:t>
            </w:r>
          </w:p>
        </w:tc>
        <w:tc>
          <w:tcPr>
            <w:tcW w:w="765" w:type="dxa"/>
            <w:vMerge w:val="restart"/>
            <w:noWrap w:val="0"/>
            <w:vAlign w:val="center"/>
          </w:tcPr>
          <w:p w14:paraId="7CF0FB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2020年</w:t>
            </w:r>
          </w:p>
        </w:tc>
        <w:tc>
          <w:tcPr>
            <w:tcW w:w="1095" w:type="dxa"/>
            <w:vMerge w:val="restart"/>
            <w:noWrap w:val="0"/>
            <w:vAlign w:val="center"/>
          </w:tcPr>
          <w:p w14:paraId="41F1EF6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是</w:t>
            </w:r>
          </w:p>
        </w:tc>
        <w:tc>
          <w:tcPr>
            <w:tcW w:w="1763" w:type="dxa"/>
            <w:vMerge w:val="restart"/>
            <w:noWrap w:val="0"/>
            <w:vAlign w:val="center"/>
          </w:tcPr>
          <w:p w14:paraId="0A75110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69C0CA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552" w:type="dxa"/>
            <w:vMerge w:val="continue"/>
            <w:noWrap w:val="0"/>
            <w:vAlign w:val="center"/>
          </w:tcPr>
          <w:p w14:paraId="30C272A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6EE7D7F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769902B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0EE5D14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PAC600S12-CB</w:t>
            </w:r>
          </w:p>
        </w:tc>
        <w:tc>
          <w:tcPr>
            <w:tcW w:w="825" w:type="dxa"/>
            <w:noWrap w:val="0"/>
            <w:vAlign w:val="center"/>
          </w:tcPr>
          <w:p w14:paraId="06815EE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539" w:type="dxa"/>
            <w:vMerge w:val="continue"/>
            <w:noWrap w:val="0"/>
            <w:vAlign w:val="center"/>
          </w:tcPr>
          <w:p w14:paraId="42BA14E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1D33957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65" w:type="dxa"/>
            <w:vMerge w:val="continue"/>
            <w:noWrap w:val="0"/>
            <w:vAlign w:val="center"/>
          </w:tcPr>
          <w:p w14:paraId="20C25B4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95" w:type="dxa"/>
            <w:vMerge w:val="continue"/>
            <w:noWrap w:val="0"/>
            <w:vAlign w:val="center"/>
          </w:tcPr>
          <w:p w14:paraId="1F53865E">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763" w:type="dxa"/>
            <w:vMerge w:val="continue"/>
            <w:noWrap w:val="0"/>
            <w:vAlign w:val="center"/>
          </w:tcPr>
          <w:p w14:paraId="33EE02C5">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558243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552" w:type="dxa"/>
            <w:vMerge w:val="continue"/>
            <w:noWrap w:val="0"/>
            <w:vAlign w:val="center"/>
          </w:tcPr>
          <w:p w14:paraId="43CCEEA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17820FA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0EB3D53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08BCC9D3">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L-AIRAC-1024AP</w:t>
            </w:r>
          </w:p>
        </w:tc>
        <w:tc>
          <w:tcPr>
            <w:tcW w:w="825" w:type="dxa"/>
            <w:noWrap w:val="0"/>
            <w:vAlign w:val="center"/>
          </w:tcPr>
          <w:p w14:paraId="30DD357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539" w:type="dxa"/>
            <w:vMerge w:val="continue"/>
            <w:noWrap w:val="0"/>
            <w:vAlign w:val="center"/>
          </w:tcPr>
          <w:p w14:paraId="08180E5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4A4E722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65" w:type="dxa"/>
            <w:vMerge w:val="continue"/>
            <w:noWrap w:val="0"/>
            <w:vAlign w:val="center"/>
          </w:tcPr>
          <w:p w14:paraId="501E011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95" w:type="dxa"/>
            <w:vMerge w:val="continue"/>
            <w:noWrap w:val="0"/>
            <w:vAlign w:val="center"/>
          </w:tcPr>
          <w:p w14:paraId="3CF0EFD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763" w:type="dxa"/>
            <w:vMerge w:val="continue"/>
            <w:noWrap w:val="0"/>
            <w:vAlign w:val="center"/>
          </w:tcPr>
          <w:p w14:paraId="7DC3E41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44BD9D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552" w:type="dxa"/>
            <w:vMerge w:val="continue"/>
            <w:noWrap w:val="0"/>
            <w:vAlign w:val="center"/>
          </w:tcPr>
          <w:p w14:paraId="074E706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42733CC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1E72BD5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50C1717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OMXD30000</w:t>
            </w:r>
          </w:p>
        </w:tc>
        <w:tc>
          <w:tcPr>
            <w:tcW w:w="825" w:type="dxa"/>
            <w:noWrap w:val="0"/>
            <w:vAlign w:val="center"/>
          </w:tcPr>
          <w:p w14:paraId="27EFD0D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8</w:t>
            </w:r>
          </w:p>
        </w:tc>
        <w:tc>
          <w:tcPr>
            <w:tcW w:w="539" w:type="dxa"/>
            <w:vMerge w:val="continue"/>
            <w:noWrap w:val="0"/>
            <w:vAlign w:val="center"/>
          </w:tcPr>
          <w:p w14:paraId="23EF5EA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6427911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65" w:type="dxa"/>
            <w:vMerge w:val="continue"/>
            <w:noWrap w:val="0"/>
            <w:vAlign w:val="center"/>
          </w:tcPr>
          <w:p w14:paraId="339E8BF8">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95" w:type="dxa"/>
            <w:vMerge w:val="continue"/>
            <w:noWrap w:val="0"/>
            <w:vAlign w:val="center"/>
          </w:tcPr>
          <w:p w14:paraId="6B68B8F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763" w:type="dxa"/>
            <w:vMerge w:val="continue"/>
            <w:noWrap w:val="0"/>
            <w:vAlign w:val="center"/>
          </w:tcPr>
          <w:p w14:paraId="7357848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03E0B7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552" w:type="dxa"/>
            <w:vMerge w:val="restart"/>
            <w:noWrap w:val="0"/>
            <w:vAlign w:val="center"/>
          </w:tcPr>
          <w:p w14:paraId="54F6592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w:t>
            </w:r>
          </w:p>
        </w:tc>
        <w:tc>
          <w:tcPr>
            <w:tcW w:w="1155" w:type="dxa"/>
            <w:vMerge w:val="restart"/>
            <w:noWrap w:val="0"/>
            <w:vAlign w:val="center"/>
          </w:tcPr>
          <w:p w14:paraId="762FE2D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POE交换机</w:t>
            </w:r>
          </w:p>
        </w:tc>
        <w:tc>
          <w:tcPr>
            <w:tcW w:w="728" w:type="dxa"/>
            <w:vMerge w:val="restart"/>
            <w:noWrap w:val="0"/>
            <w:vAlign w:val="center"/>
          </w:tcPr>
          <w:p w14:paraId="7FE51FB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华为</w:t>
            </w:r>
          </w:p>
        </w:tc>
        <w:tc>
          <w:tcPr>
            <w:tcW w:w="1935" w:type="dxa"/>
            <w:noWrap w:val="0"/>
            <w:vAlign w:val="center"/>
          </w:tcPr>
          <w:p w14:paraId="16C8F48E">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S5720-56C-PWR-EI-AC</w:t>
            </w:r>
          </w:p>
        </w:tc>
        <w:tc>
          <w:tcPr>
            <w:tcW w:w="825" w:type="dxa"/>
            <w:noWrap w:val="0"/>
            <w:vAlign w:val="center"/>
          </w:tcPr>
          <w:p w14:paraId="58E1A75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65</w:t>
            </w:r>
          </w:p>
        </w:tc>
        <w:tc>
          <w:tcPr>
            <w:tcW w:w="539" w:type="dxa"/>
            <w:vMerge w:val="restart"/>
            <w:noWrap w:val="0"/>
            <w:vAlign w:val="center"/>
          </w:tcPr>
          <w:p w14:paraId="4393F8D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585" w:type="dxa"/>
            <w:vMerge w:val="restart"/>
            <w:noWrap w:val="0"/>
            <w:vAlign w:val="center"/>
          </w:tcPr>
          <w:p w14:paraId="5C0D222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65 </w:t>
            </w:r>
          </w:p>
        </w:tc>
        <w:tc>
          <w:tcPr>
            <w:tcW w:w="765" w:type="dxa"/>
            <w:vMerge w:val="restart"/>
            <w:noWrap w:val="0"/>
            <w:vAlign w:val="center"/>
          </w:tcPr>
          <w:p w14:paraId="5A453B5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2020年</w:t>
            </w:r>
          </w:p>
        </w:tc>
        <w:tc>
          <w:tcPr>
            <w:tcW w:w="1095" w:type="dxa"/>
            <w:vMerge w:val="restart"/>
            <w:noWrap w:val="0"/>
            <w:vAlign w:val="center"/>
          </w:tcPr>
          <w:p w14:paraId="7EFEB3D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是</w:t>
            </w:r>
          </w:p>
        </w:tc>
        <w:tc>
          <w:tcPr>
            <w:tcW w:w="1763" w:type="dxa"/>
            <w:vMerge w:val="restart"/>
            <w:noWrap w:val="0"/>
            <w:vAlign w:val="center"/>
          </w:tcPr>
          <w:p w14:paraId="05B4A0A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031C1F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552" w:type="dxa"/>
            <w:vMerge w:val="continue"/>
            <w:noWrap w:val="0"/>
            <w:vAlign w:val="center"/>
          </w:tcPr>
          <w:p w14:paraId="1D317BE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3A710CC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26A11CF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23F5E7C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PAC-500WA-BE</w:t>
            </w:r>
          </w:p>
        </w:tc>
        <w:tc>
          <w:tcPr>
            <w:tcW w:w="825" w:type="dxa"/>
            <w:noWrap w:val="0"/>
            <w:vAlign w:val="center"/>
          </w:tcPr>
          <w:p w14:paraId="3EC5C10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65</w:t>
            </w:r>
          </w:p>
        </w:tc>
        <w:tc>
          <w:tcPr>
            <w:tcW w:w="539" w:type="dxa"/>
            <w:vMerge w:val="continue"/>
            <w:noWrap w:val="0"/>
            <w:vAlign w:val="center"/>
          </w:tcPr>
          <w:p w14:paraId="5A81CFA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1837955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65" w:type="dxa"/>
            <w:vMerge w:val="continue"/>
            <w:noWrap w:val="0"/>
            <w:vAlign w:val="center"/>
          </w:tcPr>
          <w:p w14:paraId="18DC295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95" w:type="dxa"/>
            <w:vMerge w:val="continue"/>
            <w:noWrap w:val="0"/>
            <w:vAlign w:val="center"/>
          </w:tcPr>
          <w:p w14:paraId="23B4902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763" w:type="dxa"/>
            <w:vMerge w:val="continue"/>
            <w:noWrap w:val="0"/>
            <w:vAlign w:val="center"/>
          </w:tcPr>
          <w:p w14:paraId="7697B627">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0522B9B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552" w:type="dxa"/>
            <w:vMerge w:val="continue"/>
            <w:noWrap w:val="0"/>
            <w:vAlign w:val="center"/>
          </w:tcPr>
          <w:p w14:paraId="269ED95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0EFDD5E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59D8B99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7C15B564">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OMXD30000</w:t>
            </w:r>
          </w:p>
        </w:tc>
        <w:tc>
          <w:tcPr>
            <w:tcW w:w="825" w:type="dxa"/>
            <w:noWrap w:val="0"/>
            <w:vAlign w:val="center"/>
          </w:tcPr>
          <w:p w14:paraId="590241E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260</w:t>
            </w:r>
          </w:p>
        </w:tc>
        <w:tc>
          <w:tcPr>
            <w:tcW w:w="539" w:type="dxa"/>
            <w:vMerge w:val="continue"/>
            <w:noWrap w:val="0"/>
            <w:vAlign w:val="center"/>
          </w:tcPr>
          <w:p w14:paraId="2C00467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7B702B4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65" w:type="dxa"/>
            <w:vMerge w:val="continue"/>
            <w:noWrap w:val="0"/>
            <w:vAlign w:val="center"/>
          </w:tcPr>
          <w:p w14:paraId="38DB996E">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95" w:type="dxa"/>
            <w:vMerge w:val="continue"/>
            <w:noWrap w:val="0"/>
            <w:vAlign w:val="center"/>
          </w:tcPr>
          <w:p w14:paraId="17E7348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763" w:type="dxa"/>
            <w:vMerge w:val="continue"/>
            <w:noWrap w:val="0"/>
            <w:vAlign w:val="center"/>
          </w:tcPr>
          <w:p w14:paraId="7F812EC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2CA0A2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552" w:type="dxa"/>
            <w:noWrap w:val="0"/>
            <w:vAlign w:val="center"/>
          </w:tcPr>
          <w:p w14:paraId="6377231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w:t>
            </w:r>
          </w:p>
        </w:tc>
        <w:tc>
          <w:tcPr>
            <w:tcW w:w="1155" w:type="dxa"/>
            <w:noWrap w:val="0"/>
            <w:vAlign w:val="center"/>
          </w:tcPr>
          <w:p w14:paraId="31A4D86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放装无线接入点</w:t>
            </w:r>
          </w:p>
        </w:tc>
        <w:tc>
          <w:tcPr>
            <w:tcW w:w="728" w:type="dxa"/>
            <w:noWrap w:val="0"/>
            <w:vAlign w:val="center"/>
          </w:tcPr>
          <w:p w14:paraId="77E905E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华为</w:t>
            </w:r>
          </w:p>
        </w:tc>
        <w:tc>
          <w:tcPr>
            <w:tcW w:w="1935" w:type="dxa"/>
            <w:noWrap w:val="0"/>
            <w:vAlign w:val="center"/>
          </w:tcPr>
          <w:p w14:paraId="4CE0E3C8">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AP7060DN</w:t>
            </w:r>
          </w:p>
        </w:tc>
        <w:tc>
          <w:tcPr>
            <w:tcW w:w="825" w:type="dxa"/>
            <w:noWrap w:val="0"/>
            <w:vAlign w:val="center"/>
          </w:tcPr>
          <w:p w14:paraId="7D624F3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1487</w:t>
            </w:r>
          </w:p>
        </w:tc>
        <w:tc>
          <w:tcPr>
            <w:tcW w:w="539" w:type="dxa"/>
            <w:noWrap w:val="0"/>
            <w:vAlign w:val="center"/>
          </w:tcPr>
          <w:p w14:paraId="437C587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585" w:type="dxa"/>
            <w:noWrap w:val="0"/>
            <w:vAlign w:val="center"/>
          </w:tcPr>
          <w:p w14:paraId="0C05719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1487 </w:t>
            </w:r>
          </w:p>
        </w:tc>
        <w:tc>
          <w:tcPr>
            <w:tcW w:w="765" w:type="dxa"/>
            <w:noWrap w:val="0"/>
            <w:vAlign w:val="center"/>
          </w:tcPr>
          <w:p w14:paraId="7FC5154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2020年</w:t>
            </w:r>
          </w:p>
        </w:tc>
        <w:tc>
          <w:tcPr>
            <w:tcW w:w="1095" w:type="dxa"/>
            <w:noWrap w:val="0"/>
            <w:vAlign w:val="center"/>
          </w:tcPr>
          <w:p w14:paraId="108E9B5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是</w:t>
            </w:r>
          </w:p>
        </w:tc>
        <w:tc>
          <w:tcPr>
            <w:tcW w:w="1763" w:type="dxa"/>
            <w:noWrap w:val="0"/>
            <w:vAlign w:val="center"/>
          </w:tcPr>
          <w:p w14:paraId="0BD69FA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789E0F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552" w:type="dxa"/>
            <w:noWrap w:val="0"/>
            <w:vAlign w:val="center"/>
          </w:tcPr>
          <w:p w14:paraId="1F8C35F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7</w:t>
            </w:r>
          </w:p>
        </w:tc>
        <w:tc>
          <w:tcPr>
            <w:tcW w:w="1155" w:type="dxa"/>
            <w:noWrap w:val="0"/>
            <w:vAlign w:val="center"/>
          </w:tcPr>
          <w:p w14:paraId="7782511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万兆光纤模块</w:t>
            </w:r>
          </w:p>
        </w:tc>
        <w:tc>
          <w:tcPr>
            <w:tcW w:w="728" w:type="dxa"/>
            <w:noWrap w:val="0"/>
            <w:vAlign w:val="center"/>
          </w:tcPr>
          <w:p w14:paraId="6FD4624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思科</w:t>
            </w:r>
          </w:p>
        </w:tc>
        <w:tc>
          <w:tcPr>
            <w:tcW w:w="1935" w:type="dxa"/>
            <w:noWrap w:val="0"/>
            <w:vAlign w:val="center"/>
          </w:tcPr>
          <w:p w14:paraId="3F7868A8">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SFP-10G-SR=</w:t>
            </w:r>
          </w:p>
        </w:tc>
        <w:tc>
          <w:tcPr>
            <w:tcW w:w="825" w:type="dxa"/>
            <w:noWrap w:val="0"/>
            <w:vAlign w:val="center"/>
          </w:tcPr>
          <w:p w14:paraId="56A6369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24</w:t>
            </w:r>
          </w:p>
        </w:tc>
        <w:tc>
          <w:tcPr>
            <w:tcW w:w="539" w:type="dxa"/>
            <w:noWrap w:val="0"/>
            <w:vAlign w:val="center"/>
          </w:tcPr>
          <w:p w14:paraId="5D6331C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585" w:type="dxa"/>
            <w:noWrap w:val="0"/>
            <w:vAlign w:val="center"/>
          </w:tcPr>
          <w:p w14:paraId="07589C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24 </w:t>
            </w:r>
          </w:p>
        </w:tc>
        <w:tc>
          <w:tcPr>
            <w:tcW w:w="765" w:type="dxa"/>
            <w:noWrap w:val="0"/>
            <w:vAlign w:val="center"/>
          </w:tcPr>
          <w:p w14:paraId="5E92FE1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2020年</w:t>
            </w:r>
          </w:p>
        </w:tc>
        <w:tc>
          <w:tcPr>
            <w:tcW w:w="1095" w:type="dxa"/>
            <w:noWrap w:val="0"/>
            <w:vAlign w:val="center"/>
          </w:tcPr>
          <w:p w14:paraId="5F3C8D2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是</w:t>
            </w:r>
          </w:p>
        </w:tc>
        <w:tc>
          <w:tcPr>
            <w:tcW w:w="1763" w:type="dxa"/>
            <w:noWrap w:val="0"/>
            <w:vAlign w:val="center"/>
          </w:tcPr>
          <w:p w14:paraId="17B2D83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2D4E41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80" w:hRule="atLeast"/>
          <w:jc w:val="center"/>
        </w:trPr>
        <w:tc>
          <w:tcPr>
            <w:tcW w:w="552" w:type="dxa"/>
            <w:noWrap/>
            <w:vAlign w:val="center"/>
          </w:tcPr>
          <w:p w14:paraId="68D52D4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8</w:t>
            </w:r>
          </w:p>
        </w:tc>
        <w:tc>
          <w:tcPr>
            <w:tcW w:w="1155" w:type="dxa"/>
            <w:noWrap w:val="0"/>
            <w:vAlign w:val="center"/>
          </w:tcPr>
          <w:p w14:paraId="5AB123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路由器-无线路由器</w:t>
            </w:r>
          </w:p>
        </w:tc>
        <w:tc>
          <w:tcPr>
            <w:tcW w:w="728" w:type="dxa"/>
            <w:noWrap w:val="0"/>
            <w:vAlign w:val="center"/>
          </w:tcPr>
          <w:p w14:paraId="7730B58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华为</w:t>
            </w:r>
          </w:p>
        </w:tc>
        <w:tc>
          <w:tcPr>
            <w:tcW w:w="1935" w:type="dxa"/>
            <w:noWrap w:val="0"/>
            <w:vAlign w:val="center"/>
          </w:tcPr>
          <w:p w14:paraId="13CC64F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AD9431DN-24X</w:t>
            </w:r>
          </w:p>
        </w:tc>
        <w:tc>
          <w:tcPr>
            <w:tcW w:w="825" w:type="dxa"/>
            <w:noWrap/>
            <w:vAlign w:val="center"/>
          </w:tcPr>
          <w:p w14:paraId="78FEE5E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539" w:type="dxa"/>
            <w:noWrap w:val="0"/>
            <w:vAlign w:val="center"/>
          </w:tcPr>
          <w:p w14:paraId="1C9CD65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585" w:type="dxa"/>
            <w:noWrap w:val="0"/>
            <w:vAlign w:val="center"/>
          </w:tcPr>
          <w:p w14:paraId="0F6E9AA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4 </w:t>
            </w:r>
          </w:p>
        </w:tc>
        <w:tc>
          <w:tcPr>
            <w:tcW w:w="765" w:type="dxa"/>
            <w:noWrap w:val="0"/>
            <w:vAlign w:val="center"/>
          </w:tcPr>
          <w:p w14:paraId="4FF0711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2020年</w:t>
            </w:r>
          </w:p>
        </w:tc>
        <w:tc>
          <w:tcPr>
            <w:tcW w:w="1095" w:type="dxa"/>
            <w:noWrap w:val="0"/>
            <w:vAlign w:val="center"/>
          </w:tcPr>
          <w:p w14:paraId="4ACFA50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是</w:t>
            </w:r>
          </w:p>
        </w:tc>
        <w:tc>
          <w:tcPr>
            <w:tcW w:w="1763" w:type="dxa"/>
            <w:noWrap w:val="0"/>
            <w:vAlign w:val="center"/>
          </w:tcPr>
          <w:p w14:paraId="33E0E1B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7DD5BA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80" w:hRule="atLeast"/>
          <w:jc w:val="center"/>
        </w:trPr>
        <w:tc>
          <w:tcPr>
            <w:tcW w:w="552" w:type="dxa"/>
            <w:noWrap/>
            <w:vAlign w:val="center"/>
          </w:tcPr>
          <w:p w14:paraId="6D2C2D6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9</w:t>
            </w:r>
          </w:p>
        </w:tc>
        <w:tc>
          <w:tcPr>
            <w:tcW w:w="1155" w:type="dxa"/>
            <w:noWrap w:val="0"/>
            <w:vAlign w:val="center"/>
          </w:tcPr>
          <w:p w14:paraId="5E8B048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路由器-无线路由器</w:t>
            </w:r>
          </w:p>
        </w:tc>
        <w:tc>
          <w:tcPr>
            <w:tcW w:w="728" w:type="dxa"/>
            <w:noWrap w:val="0"/>
            <w:vAlign w:val="center"/>
          </w:tcPr>
          <w:p w14:paraId="150B7C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华为</w:t>
            </w:r>
          </w:p>
        </w:tc>
        <w:tc>
          <w:tcPr>
            <w:tcW w:w="1935" w:type="dxa"/>
            <w:noWrap w:val="0"/>
            <w:vAlign w:val="center"/>
          </w:tcPr>
          <w:p w14:paraId="6890BFB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R251D-E</w:t>
            </w:r>
          </w:p>
        </w:tc>
        <w:tc>
          <w:tcPr>
            <w:tcW w:w="825" w:type="dxa"/>
            <w:noWrap/>
            <w:vAlign w:val="center"/>
          </w:tcPr>
          <w:p w14:paraId="048154F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96</w:t>
            </w:r>
          </w:p>
        </w:tc>
        <w:tc>
          <w:tcPr>
            <w:tcW w:w="539" w:type="dxa"/>
            <w:noWrap w:val="0"/>
            <w:vAlign w:val="center"/>
          </w:tcPr>
          <w:p w14:paraId="76459D4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585" w:type="dxa"/>
            <w:noWrap w:val="0"/>
            <w:vAlign w:val="center"/>
          </w:tcPr>
          <w:p w14:paraId="1A595B4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96 </w:t>
            </w:r>
          </w:p>
        </w:tc>
        <w:tc>
          <w:tcPr>
            <w:tcW w:w="765" w:type="dxa"/>
            <w:noWrap w:val="0"/>
            <w:vAlign w:val="center"/>
          </w:tcPr>
          <w:p w14:paraId="3E8FCB8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2020年</w:t>
            </w:r>
          </w:p>
        </w:tc>
        <w:tc>
          <w:tcPr>
            <w:tcW w:w="1095" w:type="dxa"/>
            <w:noWrap w:val="0"/>
            <w:vAlign w:val="center"/>
          </w:tcPr>
          <w:p w14:paraId="0467501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是</w:t>
            </w:r>
          </w:p>
        </w:tc>
        <w:tc>
          <w:tcPr>
            <w:tcW w:w="1763" w:type="dxa"/>
            <w:noWrap w:val="0"/>
            <w:vAlign w:val="center"/>
          </w:tcPr>
          <w:p w14:paraId="60AC1E1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67436B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552" w:type="dxa"/>
            <w:vMerge w:val="restart"/>
            <w:noWrap/>
            <w:vAlign w:val="center"/>
          </w:tcPr>
          <w:p w14:paraId="35369AB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10</w:t>
            </w:r>
          </w:p>
        </w:tc>
        <w:tc>
          <w:tcPr>
            <w:tcW w:w="1155" w:type="dxa"/>
            <w:vMerge w:val="restart"/>
            <w:noWrap w:val="0"/>
            <w:vAlign w:val="center"/>
          </w:tcPr>
          <w:p w14:paraId="4780F92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核心交换机</w:t>
            </w:r>
          </w:p>
        </w:tc>
        <w:tc>
          <w:tcPr>
            <w:tcW w:w="728" w:type="dxa"/>
            <w:vMerge w:val="restart"/>
            <w:noWrap w:val="0"/>
            <w:vAlign w:val="center"/>
          </w:tcPr>
          <w:p w14:paraId="4C4F153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思科</w:t>
            </w:r>
          </w:p>
        </w:tc>
        <w:tc>
          <w:tcPr>
            <w:tcW w:w="1935" w:type="dxa"/>
            <w:noWrap w:val="0"/>
            <w:vAlign w:val="center"/>
          </w:tcPr>
          <w:p w14:paraId="1DE94E7B">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N9k-C9508</w:t>
            </w:r>
          </w:p>
        </w:tc>
        <w:tc>
          <w:tcPr>
            <w:tcW w:w="825" w:type="dxa"/>
            <w:noWrap w:val="0"/>
            <w:vAlign w:val="center"/>
          </w:tcPr>
          <w:p w14:paraId="6AAB42D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w:t>
            </w:r>
          </w:p>
        </w:tc>
        <w:tc>
          <w:tcPr>
            <w:tcW w:w="539" w:type="dxa"/>
            <w:vMerge w:val="restart"/>
            <w:noWrap w:val="0"/>
            <w:vAlign w:val="center"/>
          </w:tcPr>
          <w:p w14:paraId="306A1E8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585" w:type="dxa"/>
            <w:vMerge w:val="restart"/>
            <w:noWrap w:val="0"/>
            <w:vAlign w:val="center"/>
          </w:tcPr>
          <w:p w14:paraId="405843A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sz w:val="24"/>
                <w:szCs w:val="24"/>
              </w:rPr>
            </w:pPr>
            <w:r>
              <w:rPr>
                <w:rFonts w:hint="eastAsia"/>
                <w:sz w:val="24"/>
                <w:szCs w:val="24"/>
              </w:rPr>
              <w:t xml:space="preserve">3 </w:t>
            </w:r>
          </w:p>
        </w:tc>
        <w:tc>
          <w:tcPr>
            <w:tcW w:w="765" w:type="dxa"/>
            <w:vMerge w:val="restart"/>
            <w:noWrap w:val="0"/>
            <w:vAlign w:val="center"/>
          </w:tcPr>
          <w:p w14:paraId="41D7C48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sz w:val="24"/>
                <w:szCs w:val="24"/>
              </w:rPr>
            </w:pPr>
            <w:r>
              <w:rPr>
                <w:rFonts w:hint="eastAsia" w:ascii="宋体" w:eastAsia="宋体"/>
                <w:color w:val="000000"/>
                <w:sz w:val="24"/>
                <w:szCs w:val="24"/>
                <w:lang w:val="en-US" w:eastAsia="zh-CN"/>
              </w:rPr>
              <w:t>2020年</w:t>
            </w:r>
          </w:p>
        </w:tc>
        <w:tc>
          <w:tcPr>
            <w:tcW w:w="1095" w:type="dxa"/>
            <w:vMerge w:val="restart"/>
            <w:noWrap w:val="0"/>
            <w:vAlign w:val="center"/>
          </w:tcPr>
          <w:p w14:paraId="010697C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sz w:val="24"/>
                <w:szCs w:val="24"/>
              </w:rPr>
            </w:pPr>
            <w:r>
              <w:rPr>
                <w:rFonts w:hint="eastAsia" w:ascii="宋体" w:eastAsia="宋体"/>
                <w:color w:val="000000"/>
                <w:sz w:val="24"/>
                <w:szCs w:val="24"/>
                <w:lang w:val="en-US" w:eastAsia="zh-CN"/>
              </w:rPr>
              <w:t>是</w:t>
            </w:r>
          </w:p>
        </w:tc>
        <w:tc>
          <w:tcPr>
            <w:tcW w:w="1763" w:type="dxa"/>
            <w:vMerge w:val="restart"/>
            <w:noWrap w:val="0"/>
            <w:vAlign w:val="center"/>
          </w:tcPr>
          <w:p w14:paraId="11468A8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sz w:val="24"/>
                <w:szCs w:val="24"/>
              </w:rPr>
            </w:pPr>
            <w:r>
              <w:rPr>
                <w:rFonts w:hint="eastAsia" w:ascii="宋体" w:eastAsia="宋体"/>
                <w:color w:val="000000"/>
                <w:sz w:val="24"/>
                <w:szCs w:val="24"/>
                <w:lang w:val="en-US" w:eastAsia="zh-CN"/>
              </w:rPr>
              <w:t>如原厂不支持购买维保可非原厂维保（需提供证明材料）</w:t>
            </w:r>
          </w:p>
        </w:tc>
      </w:tr>
      <w:tr w14:paraId="4ADBF7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552" w:type="dxa"/>
            <w:vMerge w:val="continue"/>
            <w:noWrap w:val="0"/>
            <w:vAlign w:val="center"/>
          </w:tcPr>
          <w:p w14:paraId="41122E2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6F49FD1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39AD00C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37643B1B">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N9K-SUP-A+</w:t>
            </w:r>
          </w:p>
        </w:tc>
        <w:tc>
          <w:tcPr>
            <w:tcW w:w="825" w:type="dxa"/>
            <w:noWrap w:val="0"/>
            <w:vAlign w:val="center"/>
          </w:tcPr>
          <w:p w14:paraId="39B8B6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w:t>
            </w:r>
          </w:p>
        </w:tc>
        <w:tc>
          <w:tcPr>
            <w:tcW w:w="539" w:type="dxa"/>
            <w:vMerge w:val="continue"/>
            <w:noWrap w:val="0"/>
            <w:vAlign w:val="center"/>
          </w:tcPr>
          <w:p w14:paraId="532A5A5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67C8A4C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c>
          <w:tcPr>
            <w:tcW w:w="765" w:type="dxa"/>
            <w:vMerge w:val="continue"/>
            <w:noWrap w:val="0"/>
            <w:vAlign w:val="center"/>
          </w:tcPr>
          <w:p w14:paraId="1F427AA0">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c>
          <w:tcPr>
            <w:tcW w:w="1095" w:type="dxa"/>
            <w:vMerge w:val="continue"/>
            <w:noWrap w:val="0"/>
            <w:vAlign w:val="center"/>
          </w:tcPr>
          <w:p w14:paraId="58DF06B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c>
          <w:tcPr>
            <w:tcW w:w="1763" w:type="dxa"/>
            <w:vMerge w:val="continue"/>
            <w:noWrap w:val="0"/>
            <w:vAlign w:val="center"/>
          </w:tcPr>
          <w:p w14:paraId="1A890D1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r>
      <w:tr w14:paraId="65B5569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552" w:type="dxa"/>
            <w:vMerge w:val="continue"/>
            <w:noWrap w:val="0"/>
            <w:vAlign w:val="center"/>
          </w:tcPr>
          <w:p w14:paraId="4964AE3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6D85F63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7F34936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0A5E917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N9K-X97160YC-EX</w:t>
            </w:r>
          </w:p>
        </w:tc>
        <w:tc>
          <w:tcPr>
            <w:tcW w:w="825" w:type="dxa"/>
            <w:noWrap w:val="0"/>
            <w:vAlign w:val="center"/>
          </w:tcPr>
          <w:p w14:paraId="4801A3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w:t>
            </w:r>
          </w:p>
        </w:tc>
        <w:tc>
          <w:tcPr>
            <w:tcW w:w="539" w:type="dxa"/>
            <w:vMerge w:val="continue"/>
            <w:noWrap w:val="0"/>
            <w:vAlign w:val="center"/>
          </w:tcPr>
          <w:p w14:paraId="2E814F6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692AFCA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c>
          <w:tcPr>
            <w:tcW w:w="765" w:type="dxa"/>
            <w:vMerge w:val="continue"/>
            <w:noWrap w:val="0"/>
            <w:vAlign w:val="center"/>
          </w:tcPr>
          <w:p w14:paraId="5404287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c>
          <w:tcPr>
            <w:tcW w:w="1095" w:type="dxa"/>
            <w:vMerge w:val="continue"/>
            <w:noWrap w:val="0"/>
            <w:vAlign w:val="center"/>
          </w:tcPr>
          <w:p w14:paraId="7D6E320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c>
          <w:tcPr>
            <w:tcW w:w="1763" w:type="dxa"/>
            <w:vMerge w:val="continue"/>
            <w:noWrap w:val="0"/>
            <w:vAlign w:val="center"/>
          </w:tcPr>
          <w:p w14:paraId="15BF289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r>
      <w:tr w14:paraId="109266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552" w:type="dxa"/>
            <w:vMerge w:val="continue"/>
            <w:noWrap w:val="0"/>
            <w:vAlign w:val="center"/>
          </w:tcPr>
          <w:p w14:paraId="0A81970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18D40FD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25B66D2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540DEF40">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N9K-C9508-FAN</w:t>
            </w:r>
          </w:p>
        </w:tc>
        <w:tc>
          <w:tcPr>
            <w:tcW w:w="825" w:type="dxa"/>
            <w:noWrap w:val="0"/>
            <w:vAlign w:val="center"/>
          </w:tcPr>
          <w:p w14:paraId="3CA7AE2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9</w:t>
            </w:r>
          </w:p>
        </w:tc>
        <w:tc>
          <w:tcPr>
            <w:tcW w:w="539" w:type="dxa"/>
            <w:vMerge w:val="continue"/>
            <w:noWrap w:val="0"/>
            <w:vAlign w:val="center"/>
          </w:tcPr>
          <w:p w14:paraId="6E8E133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1D5A630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c>
          <w:tcPr>
            <w:tcW w:w="765" w:type="dxa"/>
            <w:vMerge w:val="continue"/>
            <w:noWrap w:val="0"/>
            <w:vAlign w:val="center"/>
          </w:tcPr>
          <w:p w14:paraId="6D5E9877">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c>
          <w:tcPr>
            <w:tcW w:w="1095" w:type="dxa"/>
            <w:vMerge w:val="continue"/>
            <w:noWrap w:val="0"/>
            <w:vAlign w:val="center"/>
          </w:tcPr>
          <w:p w14:paraId="443E65C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c>
          <w:tcPr>
            <w:tcW w:w="1763" w:type="dxa"/>
            <w:vMerge w:val="continue"/>
            <w:noWrap w:val="0"/>
            <w:vAlign w:val="center"/>
          </w:tcPr>
          <w:p w14:paraId="5D749F9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r>
      <w:tr w14:paraId="4B408FC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552" w:type="dxa"/>
            <w:vMerge w:val="continue"/>
            <w:noWrap w:val="0"/>
            <w:vAlign w:val="center"/>
          </w:tcPr>
          <w:p w14:paraId="75D997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3AE1211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61DE4B6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720C6F3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N9K-C9508-FM-E</w:t>
            </w:r>
          </w:p>
        </w:tc>
        <w:tc>
          <w:tcPr>
            <w:tcW w:w="825" w:type="dxa"/>
            <w:noWrap w:val="0"/>
            <w:vAlign w:val="center"/>
          </w:tcPr>
          <w:p w14:paraId="41C4F6D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12</w:t>
            </w:r>
          </w:p>
        </w:tc>
        <w:tc>
          <w:tcPr>
            <w:tcW w:w="539" w:type="dxa"/>
            <w:vMerge w:val="continue"/>
            <w:noWrap w:val="0"/>
            <w:vAlign w:val="center"/>
          </w:tcPr>
          <w:p w14:paraId="6AD831B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7F6116E5">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c>
          <w:tcPr>
            <w:tcW w:w="765" w:type="dxa"/>
            <w:vMerge w:val="continue"/>
            <w:noWrap w:val="0"/>
            <w:vAlign w:val="center"/>
          </w:tcPr>
          <w:p w14:paraId="61C9C0F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c>
          <w:tcPr>
            <w:tcW w:w="1095" w:type="dxa"/>
            <w:vMerge w:val="continue"/>
            <w:noWrap w:val="0"/>
            <w:vAlign w:val="center"/>
          </w:tcPr>
          <w:p w14:paraId="3CEDA0D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c>
          <w:tcPr>
            <w:tcW w:w="1763" w:type="dxa"/>
            <w:vMerge w:val="continue"/>
            <w:noWrap w:val="0"/>
            <w:vAlign w:val="center"/>
          </w:tcPr>
          <w:p w14:paraId="31A7092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r>
      <w:tr w14:paraId="7BA36F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64" w:hRule="atLeast"/>
          <w:jc w:val="center"/>
        </w:trPr>
        <w:tc>
          <w:tcPr>
            <w:tcW w:w="552" w:type="dxa"/>
            <w:vMerge w:val="continue"/>
            <w:noWrap w:val="0"/>
            <w:vAlign w:val="center"/>
          </w:tcPr>
          <w:p w14:paraId="0F7EF42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55" w:type="dxa"/>
            <w:vMerge w:val="continue"/>
            <w:noWrap w:val="0"/>
            <w:vAlign w:val="center"/>
          </w:tcPr>
          <w:p w14:paraId="5694F52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28" w:type="dxa"/>
            <w:vMerge w:val="continue"/>
            <w:noWrap w:val="0"/>
            <w:vAlign w:val="center"/>
          </w:tcPr>
          <w:p w14:paraId="2E7747B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935" w:type="dxa"/>
            <w:noWrap w:val="0"/>
            <w:vAlign w:val="center"/>
          </w:tcPr>
          <w:p w14:paraId="5319EB5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N9K-PAC-3000W-B</w:t>
            </w:r>
          </w:p>
        </w:tc>
        <w:tc>
          <w:tcPr>
            <w:tcW w:w="825" w:type="dxa"/>
            <w:noWrap w:val="0"/>
            <w:vAlign w:val="center"/>
          </w:tcPr>
          <w:p w14:paraId="480123B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9</w:t>
            </w:r>
          </w:p>
        </w:tc>
        <w:tc>
          <w:tcPr>
            <w:tcW w:w="539" w:type="dxa"/>
            <w:vMerge w:val="continue"/>
            <w:noWrap w:val="0"/>
            <w:vAlign w:val="center"/>
          </w:tcPr>
          <w:p w14:paraId="5124A3B8">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585" w:type="dxa"/>
            <w:vMerge w:val="continue"/>
            <w:noWrap w:val="0"/>
            <w:vAlign w:val="center"/>
          </w:tcPr>
          <w:p w14:paraId="70A4CDF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c>
          <w:tcPr>
            <w:tcW w:w="765" w:type="dxa"/>
            <w:vMerge w:val="continue"/>
            <w:noWrap w:val="0"/>
            <w:vAlign w:val="center"/>
          </w:tcPr>
          <w:p w14:paraId="32236B3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c>
          <w:tcPr>
            <w:tcW w:w="1095" w:type="dxa"/>
            <w:vMerge w:val="continue"/>
            <w:noWrap w:val="0"/>
            <w:vAlign w:val="center"/>
          </w:tcPr>
          <w:p w14:paraId="1D7277F5">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c>
          <w:tcPr>
            <w:tcW w:w="1763" w:type="dxa"/>
            <w:vMerge w:val="continue"/>
            <w:noWrap w:val="0"/>
            <w:vAlign w:val="center"/>
          </w:tcPr>
          <w:p w14:paraId="5083508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p>
        </w:tc>
      </w:tr>
      <w:tr w14:paraId="2F2260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80" w:hRule="atLeast"/>
          <w:jc w:val="center"/>
        </w:trPr>
        <w:tc>
          <w:tcPr>
            <w:tcW w:w="552" w:type="dxa"/>
            <w:noWrap/>
            <w:vAlign w:val="center"/>
          </w:tcPr>
          <w:p w14:paraId="065E772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11</w:t>
            </w:r>
          </w:p>
        </w:tc>
        <w:tc>
          <w:tcPr>
            <w:tcW w:w="1155" w:type="dxa"/>
            <w:noWrap w:val="0"/>
            <w:vAlign w:val="center"/>
          </w:tcPr>
          <w:p w14:paraId="0C7808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核心交换机</w:t>
            </w:r>
          </w:p>
        </w:tc>
        <w:tc>
          <w:tcPr>
            <w:tcW w:w="728" w:type="dxa"/>
            <w:noWrap w:val="0"/>
            <w:vAlign w:val="center"/>
          </w:tcPr>
          <w:p w14:paraId="34A865D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思科</w:t>
            </w:r>
          </w:p>
        </w:tc>
        <w:tc>
          <w:tcPr>
            <w:tcW w:w="1935" w:type="dxa"/>
            <w:noWrap/>
            <w:vAlign w:val="center"/>
          </w:tcPr>
          <w:p w14:paraId="04FED9E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sz w:val="24"/>
                <w:szCs w:val="24"/>
              </w:rPr>
            </w:pPr>
            <w:r>
              <w:rPr>
                <w:rFonts w:hint="eastAsia"/>
                <w:sz w:val="24"/>
                <w:szCs w:val="24"/>
              </w:rPr>
              <w:t>N9k-C9508</w:t>
            </w:r>
          </w:p>
        </w:tc>
        <w:tc>
          <w:tcPr>
            <w:tcW w:w="825" w:type="dxa"/>
            <w:noWrap w:val="0"/>
            <w:vAlign w:val="center"/>
          </w:tcPr>
          <w:p w14:paraId="1B015C4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539" w:type="dxa"/>
            <w:noWrap w:val="0"/>
            <w:vAlign w:val="center"/>
          </w:tcPr>
          <w:p w14:paraId="18EFA4C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585" w:type="dxa"/>
            <w:noWrap w:val="0"/>
            <w:vAlign w:val="center"/>
          </w:tcPr>
          <w:p w14:paraId="4DED8AC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 </w:t>
            </w:r>
          </w:p>
        </w:tc>
        <w:tc>
          <w:tcPr>
            <w:tcW w:w="765" w:type="dxa"/>
            <w:noWrap w:val="0"/>
            <w:vAlign w:val="center"/>
          </w:tcPr>
          <w:p w14:paraId="15DCCBE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2020年</w:t>
            </w:r>
          </w:p>
        </w:tc>
        <w:tc>
          <w:tcPr>
            <w:tcW w:w="1095" w:type="dxa"/>
            <w:noWrap w:val="0"/>
            <w:vAlign w:val="center"/>
          </w:tcPr>
          <w:p w14:paraId="0E6B8C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是</w:t>
            </w:r>
          </w:p>
        </w:tc>
        <w:tc>
          <w:tcPr>
            <w:tcW w:w="1763" w:type="dxa"/>
            <w:noWrap w:val="0"/>
            <w:vAlign w:val="center"/>
          </w:tcPr>
          <w:p w14:paraId="56DA334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26B911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552" w:type="dxa"/>
            <w:noWrap/>
            <w:vAlign w:val="center"/>
          </w:tcPr>
          <w:p w14:paraId="62CB21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12</w:t>
            </w:r>
          </w:p>
        </w:tc>
        <w:tc>
          <w:tcPr>
            <w:tcW w:w="1155" w:type="dxa"/>
            <w:noWrap w:val="0"/>
            <w:vAlign w:val="center"/>
          </w:tcPr>
          <w:p w14:paraId="26D20F7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汇聚交换机</w:t>
            </w:r>
          </w:p>
        </w:tc>
        <w:tc>
          <w:tcPr>
            <w:tcW w:w="728" w:type="dxa"/>
            <w:noWrap w:val="0"/>
            <w:vAlign w:val="center"/>
          </w:tcPr>
          <w:p w14:paraId="1B77046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思科</w:t>
            </w:r>
          </w:p>
        </w:tc>
        <w:tc>
          <w:tcPr>
            <w:tcW w:w="1935" w:type="dxa"/>
            <w:noWrap w:val="0"/>
            <w:vAlign w:val="center"/>
          </w:tcPr>
          <w:p w14:paraId="26BEBD50">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N9K-C92160YC-X</w:t>
            </w:r>
          </w:p>
        </w:tc>
        <w:tc>
          <w:tcPr>
            <w:tcW w:w="825" w:type="dxa"/>
            <w:noWrap w:val="0"/>
            <w:vAlign w:val="center"/>
          </w:tcPr>
          <w:p w14:paraId="3320A5E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12</w:t>
            </w:r>
          </w:p>
        </w:tc>
        <w:tc>
          <w:tcPr>
            <w:tcW w:w="539" w:type="dxa"/>
            <w:noWrap w:val="0"/>
            <w:vAlign w:val="center"/>
          </w:tcPr>
          <w:p w14:paraId="401BB71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585" w:type="dxa"/>
            <w:noWrap w:val="0"/>
            <w:vAlign w:val="center"/>
          </w:tcPr>
          <w:p w14:paraId="5074D1D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12 </w:t>
            </w:r>
          </w:p>
        </w:tc>
        <w:tc>
          <w:tcPr>
            <w:tcW w:w="765" w:type="dxa"/>
            <w:noWrap w:val="0"/>
            <w:vAlign w:val="center"/>
          </w:tcPr>
          <w:p w14:paraId="332E214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2020年</w:t>
            </w:r>
          </w:p>
        </w:tc>
        <w:tc>
          <w:tcPr>
            <w:tcW w:w="1095" w:type="dxa"/>
            <w:noWrap w:val="0"/>
            <w:vAlign w:val="center"/>
          </w:tcPr>
          <w:p w14:paraId="4C2EAF8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是</w:t>
            </w:r>
          </w:p>
        </w:tc>
        <w:tc>
          <w:tcPr>
            <w:tcW w:w="1763" w:type="dxa"/>
            <w:noWrap w:val="0"/>
            <w:vAlign w:val="center"/>
          </w:tcPr>
          <w:p w14:paraId="65502AB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652352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552" w:type="dxa"/>
            <w:noWrap/>
            <w:vAlign w:val="center"/>
          </w:tcPr>
          <w:p w14:paraId="70A1B9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13</w:t>
            </w:r>
          </w:p>
        </w:tc>
        <w:tc>
          <w:tcPr>
            <w:tcW w:w="1155" w:type="dxa"/>
            <w:noWrap w:val="0"/>
            <w:vAlign w:val="center"/>
          </w:tcPr>
          <w:p w14:paraId="0CBBFBA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接入交换机</w:t>
            </w:r>
          </w:p>
        </w:tc>
        <w:tc>
          <w:tcPr>
            <w:tcW w:w="728" w:type="dxa"/>
            <w:noWrap w:val="0"/>
            <w:vAlign w:val="center"/>
          </w:tcPr>
          <w:p w14:paraId="52FA586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思科</w:t>
            </w:r>
          </w:p>
        </w:tc>
        <w:tc>
          <w:tcPr>
            <w:tcW w:w="1935" w:type="dxa"/>
            <w:noWrap w:val="0"/>
            <w:vAlign w:val="center"/>
          </w:tcPr>
          <w:p w14:paraId="3C330DB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WS-C2960L-48PQ-LL</w:t>
            </w:r>
          </w:p>
        </w:tc>
        <w:tc>
          <w:tcPr>
            <w:tcW w:w="825" w:type="dxa"/>
            <w:noWrap w:val="0"/>
            <w:vAlign w:val="center"/>
          </w:tcPr>
          <w:p w14:paraId="15B37F1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50</w:t>
            </w:r>
          </w:p>
        </w:tc>
        <w:tc>
          <w:tcPr>
            <w:tcW w:w="539" w:type="dxa"/>
            <w:noWrap w:val="0"/>
            <w:vAlign w:val="center"/>
          </w:tcPr>
          <w:p w14:paraId="56ACB26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585" w:type="dxa"/>
            <w:noWrap w:val="0"/>
            <w:vAlign w:val="center"/>
          </w:tcPr>
          <w:p w14:paraId="1EDA910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50 </w:t>
            </w:r>
          </w:p>
        </w:tc>
        <w:tc>
          <w:tcPr>
            <w:tcW w:w="765" w:type="dxa"/>
            <w:noWrap w:val="0"/>
            <w:vAlign w:val="center"/>
          </w:tcPr>
          <w:p w14:paraId="12E3E94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2020年</w:t>
            </w:r>
          </w:p>
        </w:tc>
        <w:tc>
          <w:tcPr>
            <w:tcW w:w="1095" w:type="dxa"/>
            <w:noWrap w:val="0"/>
            <w:vAlign w:val="center"/>
          </w:tcPr>
          <w:p w14:paraId="54EFEC3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是</w:t>
            </w:r>
          </w:p>
        </w:tc>
        <w:tc>
          <w:tcPr>
            <w:tcW w:w="1763" w:type="dxa"/>
            <w:noWrap w:val="0"/>
            <w:vAlign w:val="center"/>
          </w:tcPr>
          <w:p w14:paraId="294D585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6C8BDC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552" w:type="dxa"/>
            <w:noWrap/>
            <w:vAlign w:val="center"/>
          </w:tcPr>
          <w:p w14:paraId="3E6B9FA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14</w:t>
            </w:r>
          </w:p>
        </w:tc>
        <w:tc>
          <w:tcPr>
            <w:tcW w:w="1155" w:type="dxa"/>
            <w:noWrap w:val="0"/>
            <w:vAlign w:val="center"/>
          </w:tcPr>
          <w:p w14:paraId="716D9C1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万兆单模光电模块</w:t>
            </w:r>
          </w:p>
        </w:tc>
        <w:tc>
          <w:tcPr>
            <w:tcW w:w="728" w:type="dxa"/>
            <w:noWrap w:val="0"/>
            <w:vAlign w:val="center"/>
          </w:tcPr>
          <w:p w14:paraId="08A392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思科</w:t>
            </w:r>
          </w:p>
        </w:tc>
        <w:tc>
          <w:tcPr>
            <w:tcW w:w="1935" w:type="dxa"/>
            <w:noWrap w:val="0"/>
            <w:vAlign w:val="center"/>
          </w:tcPr>
          <w:p w14:paraId="05ABF9F2">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SFP-10G-LR=</w:t>
            </w:r>
          </w:p>
        </w:tc>
        <w:tc>
          <w:tcPr>
            <w:tcW w:w="825" w:type="dxa"/>
            <w:noWrap w:val="0"/>
            <w:vAlign w:val="center"/>
          </w:tcPr>
          <w:p w14:paraId="1CBEFB8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90</w:t>
            </w:r>
          </w:p>
        </w:tc>
        <w:tc>
          <w:tcPr>
            <w:tcW w:w="539" w:type="dxa"/>
            <w:noWrap w:val="0"/>
            <w:vAlign w:val="center"/>
          </w:tcPr>
          <w:p w14:paraId="0ACA016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585" w:type="dxa"/>
            <w:noWrap w:val="0"/>
            <w:vAlign w:val="center"/>
          </w:tcPr>
          <w:p w14:paraId="1CF2837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90 </w:t>
            </w:r>
          </w:p>
        </w:tc>
        <w:tc>
          <w:tcPr>
            <w:tcW w:w="765" w:type="dxa"/>
            <w:noWrap w:val="0"/>
            <w:vAlign w:val="center"/>
          </w:tcPr>
          <w:p w14:paraId="12AE79D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2020年</w:t>
            </w:r>
          </w:p>
        </w:tc>
        <w:tc>
          <w:tcPr>
            <w:tcW w:w="1095" w:type="dxa"/>
            <w:noWrap w:val="0"/>
            <w:vAlign w:val="center"/>
          </w:tcPr>
          <w:p w14:paraId="30B513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是</w:t>
            </w:r>
          </w:p>
        </w:tc>
        <w:tc>
          <w:tcPr>
            <w:tcW w:w="1763" w:type="dxa"/>
            <w:noWrap w:val="0"/>
            <w:vAlign w:val="center"/>
          </w:tcPr>
          <w:p w14:paraId="5D05853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6F08C3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552" w:type="dxa"/>
            <w:noWrap/>
            <w:vAlign w:val="center"/>
          </w:tcPr>
          <w:p w14:paraId="1939BC2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15</w:t>
            </w:r>
          </w:p>
        </w:tc>
        <w:tc>
          <w:tcPr>
            <w:tcW w:w="1155" w:type="dxa"/>
            <w:noWrap w:val="0"/>
            <w:vAlign w:val="center"/>
          </w:tcPr>
          <w:p w14:paraId="673215B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万兆多模光电模块</w:t>
            </w:r>
          </w:p>
        </w:tc>
        <w:tc>
          <w:tcPr>
            <w:tcW w:w="728" w:type="dxa"/>
            <w:noWrap w:val="0"/>
            <w:vAlign w:val="center"/>
          </w:tcPr>
          <w:p w14:paraId="1D99AA5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思科</w:t>
            </w:r>
          </w:p>
        </w:tc>
        <w:tc>
          <w:tcPr>
            <w:tcW w:w="1935" w:type="dxa"/>
            <w:noWrap w:val="0"/>
            <w:vAlign w:val="center"/>
          </w:tcPr>
          <w:p w14:paraId="4E211F99">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SFP-10G-SR=</w:t>
            </w:r>
          </w:p>
        </w:tc>
        <w:tc>
          <w:tcPr>
            <w:tcW w:w="825" w:type="dxa"/>
            <w:noWrap w:val="0"/>
            <w:vAlign w:val="center"/>
          </w:tcPr>
          <w:p w14:paraId="7C6F353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162</w:t>
            </w:r>
          </w:p>
        </w:tc>
        <w:tc>
          <w:tcPr>
            <w:tcW w:w="539" w:type="dxa"/>
            <w:noWrap w:val="0"/>
            <w:vAlign w:val="center"/>
          </w:tcPr>
          <w:p w14:paraId="2F93662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585" w:type="dxa"/>
            <w:noWrap w:val="0"/>
            <w:vAlign w:val="center"/>
          </w:tcPr>
          <w:p w14:paraId="2993A2C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162 </w:t>
            </w:r>
          </w:p>
        </w:tc>
        <w:tc>
          <w:tcPr>
            <w:tcW w:w="765" w:type="dxa"/>
            <w:noWrap w:val="0"/>
            <w:vAlign w:val="center"/>
          </w:tcPr>
          <w:p w14:paraId="3A7D0AE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2020年</w:t>
            </w:r>
          </w:p>
        </w:tc>
        <w:tc>
          <w:tcPr>
            <w:tcW w:w="1095" w:type="dxa"/>
            <w:noWrap w:val="0"/>
            <w:vAlign w:val="center"/>
          </w:tcPr>
          <w:p w14:paraId="086FBFD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是</w:t>
            </w:r>
          </w:p>
        </w:tc>
        <w:tc>
          <w:tcPr>
            <w:tcW w:w="1763" w:type="dxa"/>
            <w:noWrap w:val="0"/>
            <w:vAlign w:val="center"/>
          </w:tcPr>
          <w:p w14:paraId="01AE198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如原厂不支持购买维保可非原厂维保（需提供证明材料）</w:t>
            </w:r>
          </w:p>
        </w:tc>
      </w:tr>
      <w:tr w14:paraId="473927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552" w:type="dxa"/>
            <w:noWrap/>
            <w:vAlign w:val="center"/>
          </w:tcPr>
          <w:p w14:paraId="495968E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color w:val="000000"/>
                <w:sz w:val="24"/>
                <w:szCs w:val="24"/>
                <w:lang w:val="en-US" w:eastAsia="zh-CN"/>
              </w:rPr>
            </w:pPr>
            <w:r>
              <w:rPr>
                <w:rFonts w:hint="eastAsia" w:ascii="宋体" w:eastAsia="宋体"/>
                <w:color w:val="000000"/>
                <w:sz w:val="24"/>
                <w:szCs w:val="24"/>
                <w:lang w:val="en-US" w:eastAsia="zh-CN"/>
              </w:rPr>
              <w:t>16</w:t>
            </w:r>
          </w:p>
        </w:tc>
        <w:tc>
          <w:tcPr>
            <w:tcW w:w="1155" w:type="dxa"/>
            <w:noWrap w:val="0"/>
            <w:vAlign w:val="center"/>
          </w:tcPr>
          <w:p w14:paraId="09DB209E">
            <w:pPr>
              <w:widowControl/>
              <w:autoSpaceDE/>
              <w:autoSpaceDN/>
              <w:snapToGrid w:val="0"/>
              <w:ind w:left="0" w:leftChars="0" w:right="0" w:rightChars="0" w:firstLine="0" w:firstLineChars="0"/>
              <w:jc w:val="center"/>
              <w:rPr>
                <w:rFonts w:hint="eastAsia" w:ascii="宋体" w:hAnsi="宋体" w:eastAsia="宋体" w:cs="宋体"/>
                <w:color w:val="000000"/>
                <w:sz w:val="24"/>
                <w:szCs w:val="24"/>
                <w:lang w:val="en-US" w:eastAsia="en-US" w:bidi="ar-SA"/>
              </w:rPr>
            </w:pPr>
            <w:r>
              <w:rPr>
                <w:rFonts w:hint="eastAsia"/>
                <w:color w:val="auto"/>
                <w:sz w:val="24"/>
                <w:szCs w:val="24"/>
              </w:rPr>
              <w:t>光纤交换机</w:t>
            </w:r>
          </w:p>
        </w:tc>
        <w:tc>
          <w:tcPr>
            <w:tcW w:w="728" w:type="dxa"/>
            <w:noWrap w:val="0"/>
            <w:vAlign w:val="center"/>
          </w:tcPr>
          <w:p w14:paraId="1E8460D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H3C</w:t>
            </w:r>
          </w:p>
        </w:tc>
        <w:tc>
          <w:tcPr>
            <w:tcW w:w="1935" w:type="dxa"/>
            <w:noWrap w:val="0"/>
            <w:vAlign w:val="center"/>
          </w:tcPr>
          <w:p w14:paraId="5D074137">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CN6600B</w:t>
            </w:r>
          </w:p>
        </w:tc>
        <w:tc>
          <w:tcPr>
            <w:tcW w:w="825" w:type="dxa"/>
            <w:noWrap w:val="0"/>
            <w:vAlign w:val="center"/>
          </w:tcPr>
          <w:p w14:paraId="3A4DCCE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000000"/>
                <w:sz w:val="24"/>
                <w:szCs w:val="24"/>
                <w:lang w:val="en-US" w:eastAsia="zh-CN"/>
              </w:rPr>
            </w:pPr>
            <w:r>
              <w:rPr>
                <w:rFonts w:hint="eastAsia" w:ascii="宋体" w:eastAsia="宋体"/>
                <w:color w:val="000000"/>
                <w:sz w:val="24"/>
                <w:szCs w:val="24"/>
                <w:lang w:val="en-US" w:eastAsia="zh-CN"/>
              </w:rPr>
              <w:t>2</w:t>
            </w:r>
          </w:p>
        </w:tc>
        <w:tc>
          <w:tcPr>
            <w:tcW w:w="539" w:type="dxa"/>
            <w:noWrap w:val="0"/>
            <w:vAlign w:val="center"/>
          </w:tcPr>
          <w:p w14:paraId="17EC3DE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585" w:type="dxa"/>
            <w:noWrap w:val="0"/>
            <w:vAlign w:val="center"/>
          </w:tcPr>
          <w:p w14:paraId="3926953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000000"/>
                <w:sz w:val="24"/>
                <w:szCs w:val="24"/>
                <w:lang w:val="en-US" w:eastAsia="zh-CN"/>
              </w:rPr>
            </w:pPr>
            <w:r>
              <w:rPr>
                <w:rFonts w:hint="eastAsia" w:ascii="宋体" w:eastAsia="宋体"/>
                <w:color w:val="000000"/>
                <w:sz w:val="24"/>
                <w:szCs w:val="24"/>
                <w:lang w:val="en-US" w:eastAsia="zh-CN"/>
              </w:rPr>
              <w:t>2</w:t>
            </w:r>
          </w:p>
        </w:tc>
        <w:tc>
          <w:tcPr>
            <w:tcW w:w="765" w:type="dxa"/>
            <w:noWrap w:val="0"/>
            <w:vAlign w:val="center"/>
          </w:tcPr>
          <w:p w14:paraId="3950FC8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color w:val="000000"/>
                <w:sz w:val="24"/>
                <w:szCs w:val="24"/>
                <w:lang w:val="en-US" w:eastAsia="zh-CN"/>
              </w:rPr>
            </w:pPr>
            <w:r>
              <w:rPr>
                <w:rFonts w:hint="eastAsia" w:ascii="宋体" w:eastAsia="宋体"/>
                <w:color w:val="000000"/>
                <w:sz w:val="24"/>
                <w:szCs w:val="24"/>
                <w:lang w:val="en-US" w:eastAsia="zh-CN"/>
              </w:rPr>
              <w:t>2020年</w:t>
            </w:r>
          </w:p>
        </w:tc>
        <w:tc>
          <w:tcPr>
            <w:tcW w:w="1095" w:type="dxa"/>
            <w:noWrap w:val="0"/>
            <w:vAlign w:val="center"/>
          </w:tcPr>
          <w:p w14:paraId="39AF21B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000000"/>
                <w:sz w:val="24"/>
                <w:szCs w:val="24"/>
                <w:lang w:val="en-US" w:eastAsia="zh-CN"/>
              </w:rPr>
            </w:pPr>
            <w:r>
              <w:rPr>
                <w:rFonts w:hint="eastAsia" w:ascii="宋体" w:eastAsia="宋体"/>
                <w:color w:val="000000"/>
                <w:sz w:val="24"/>
                <w:szCs w:val="24"/>
                <w:lang w:val="en-US" w:eastAsia="zh-CN"/>
              </w:rPr>
              <w:t>是</w:t>
            </w:r>
          </w:p>
        </w:tc>
        <w:tc>
          <w:tcPr>
            <w:tcW w:w="1763" w:type="dxa"/>
            <w:noWrap w:val="0"/>
            <w:vAlign w:val="center"/>
          </w:tcPr>
          <w:p w14:paraId="259ACE8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000000"/>
                <w:sz w:val="24"/>
                <w:szCs w:val="24"/>
                <w:lang w:eastAsia="zh-CN"/>
              </w:rPr>
            </w:pPr>
            <w:r>
              <w:rPr>
                <w:rFonts w:hint="eastAsia" w:eastAsia="宋体"/>
                <w:color w:val="000000"/>
                <w:sz w:val="24"/>
                <w:szCs w:val="24"/>
                <w:lang w:eastAsia="zh-CN"/>
              </w:rPr>
              <w:t>如原厂不支持购买维保可非原厂维保（需提供证明材料）</w:t>
            </w:r>
          </w:p>
        </w:tc>
      </w:tr>
    </w:tbl>
    <w:p w14:paraId="73D3D857">
      <w:pPr>
        <w:pStyle w:val="12"/>
        <w:numPr>
          <w:ilvl w:val="1"/>
          <w:numId w:val="0"/>
        </w:numPr>
        <w:spacing w:before="120" w:beforeLines="50" w:line="300" w:lineRule="auto"/>
        <w:rPr>
          <w:rFonts w:hint="eastAsia" w:cs="宋体"/>
          <w:sz w:val="24"/>
          <w:szCs w:val="22"/>
          <w:lang w:val="en-US" w:eastAsia="zh-CN" w:bidi="ar-SA"/>
        </w:rPr>
      </w:pPr>
    </w:p>
    <w:p w14:paraId="4900A198">
      <w:pPr>
        <w:pStyle w:val="12"/>
        <w:numPr>
          <w:ilvl w:val="1"/>
          <w:numId w:val="0"/>
        </w:numPr>
        <w:spacing w:before="120" w:beforeLines="50" w:line="300" w:lineRule="auto"/>
        <w:rPr>
          <w:rFonts w:hint="eastAsia"/>
        </w:rPr>
      </w:pPr>
      <w:r>
        <w:rPr>
          <w:rFonts w:hint="eastAsia" w:cs="宋体"/>
          <w:sz w:val="24"/>
          <w:szCs w:val="22"/>
          <w:lang w:val="en-US" w:eastAsia="zh-CN" w:bidi="ar-SA"/>
        </w:rPr>
        <w:t>（3）</w:t>
      </w:r>
      <w:r>
        <w:rPr>
          <w:rFonts w:hint="eastAsia"/>
          <w:sz w:val="24"/>
        </w:rPr>
        <w:t>网络</w:t>
      </w:r>
      <w:r>
        <w:rPr>
          <w:sz w:val="24"/>
        </w:rPr>
        <w:t>安全设备</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21"/>
        <w:gridCol w:w="1185"/>
        <w:gridCol w:w="760"/>
        <w:gridCol w:w="1429"/>
        <w:gridCol w:w="791"/>
        <w:gridCol w:w="517"/>
        <w:gridCol w:w="728"/>
        <w:gridCol w:w="1215"/>
        <w:gridCol w:w="1065"/>
        <w:gridCol w:w="1485"/>
        <w:gridCol w:w="15"/>
      </w:tblGrid>
      <w:tr w14:paraId="3C146F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After w:val="1"/>
          <w:wAfter w:w="15" w:type="dxa"/>
          <w:trHeight w:val="859" w:hRule="atLeast"/>
          <w:jc w:val="center"/>
        </w:trPr>
        <w:tc>
          <w:tcPr>
            <w:tcW w:w="621" w:type="dxa"/>
            <w:noWrap/>
            <w:vAlign w:val="center"/>
          </w:tcPr>
          <w:p w14:paraId="0C63F10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序号</w:t>
            </w:r>
          </w:p>
        </w:tc>
        <w:tc>
          <w:tcPr>
            <w:tcW w:w="1185" w:type="dxa"/>
            <w:noWrap/>
            <w:vAlign w:val="center"/>
          </w:tcPr>
          <w:p w14:paraId="443182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名称</w:t>
            </w:r>
          </w:p>
        </w:tc>
        <w:tc>
          <w:tcPr>
            <w:tcW w:w="760" w:type="dxa"/>
            <w:noWrap/>
            <w:vAlign w:val="center"/>
          </w:tcPr>
          <w:p w14:paraId="18AF3A3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品牌</w:t>
            </w:r>
          </w:p>
        </w:tc>
        <w:tc>
          <w:tcPr>
            <w:tcW w:w="1429" w:type="dxa"/>
            <w:noWrap/>
            <w:vAlign w:val="center"/>
          </w:tcPr>
          <w:p w14:paraId="7AB05E9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型号</w:t>
            </w:r>
          </w:p>
        </w:tc>
        <w:tc>
          <w:tcPr>
            <w:tcW w:w="791" w:type="dxa"/>
            <w:noWrap/>
            <w:vAlign w:val="center"/>
          </w:tcPr>
          <w:p w14:paraId="18E1B1C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数量</w:t>
            </w:r>
          </w:p>
        </w:tc>
        <w:tc>
          <w:tcPr>
            <w:tcW w:w="517" w:type="dxa"/>
            <w:noWrap w:val="0"/>
            <w:vAlign w:val="center"/>
          </w:tcPr>
          <w:p w14:paraId="740A420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单位</w:t>
            </w:r>
          </w:p>
        </w:tc>
        <w:tc>
          <w:tcPr>
            <w:tcW w:w="728" w:type="dxa"/>
            <w:noWrap w:val="0"/>
            <w:vAlign w:val="center"/>
          </w:tcPr>
          <w:p w14:paraId="5FBFB4F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数量</w:t>
            </w:r>
          </w:p>
        </w:tc>
        <w:tc>
          <w:tcPr>
            <w:tcW w:w="1215" w:type="dxa"/>
            <w:noWrap w:val="0"/>
            <w:vAlign w:val="center"/>
          </w:tcPr>
          <w:p w14:paraId="0A18BF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00"/>
                <w:sz w:val="24"/>
                <w:szCs w:val="24"/>
                <w:lang w:val="en-US" w:eastAsia="en-US" w:bidi="ar-SA"/>
              </w:rPr>
            </w:pPr>
            <w:r>
              <w:rPr>
                <w:rFonts w:hint="eastAsia" w:ascii="宋体" w:eastAsia="宋体"/>
                <w:b/>
                <w:bCs/>
                <w:color w:val="000000"/>
                <w:sz w:val="24"/>
                <w:szCs w:val="24"/>
                <w:lang w:val="en-US" w:eastAsia="zh-CN"/>
              </w:rPr>
              <w:t>购置时间</w:t>
            </w:r>
          </w:p>
        </w:tc>
        <w:tc>
          <w:tcPr>
            <w:tcW w:w="1065" w:type="dxa"/>
            <w:noWrap w:val="0"/>
            <w:vAlign w:val="center"/>
          </w:tcPr>
          <w:p w14:paraId="4A9377A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00"/>
                <w:sz w:val="24"/>
                <w:szCs w:val="24"/>
                <w:lang w:val="en-US" w:eastAsia="en-US" w:bidi="ar-SA"/>
              </w:rPr>
            </w:pPr>
            <w:r>
              <w:rPr>
                <w:rFonts w:hint="eastAsia" w:ascii="宋体" w:eastAsia="宋体"/>
                <w:b/>
                <w:bCs/>
                <w:color w:val="000000"/>
                <w:sz w:val="24"/>
                <w:szCs w:val="24"/>
                <w:lang w:val="en-US" w:eastAsia="zh-CN"/>
              </w:rPr>
              <w:t>是否有保修</w:t>
            </w:r>
          </w:p>
        </w:tc>
        <w:tc>
          <w:tcPr>
            <w:tcW w:w="1485" w:type="dxa"/>
            <w:noWrap w:val="0"/>
            <w:vAlign w:val="center"/>
          </w:tcPr>
          <w:p w14:paraId="1791D27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00"/>
                <w:sz w:val="24"/>
                <w:szCs w:val="24"/>
                <w:lang w:val="en-US" w:eastAsia="en-US" w:bidi="ar-SA"/>
              </w:rPr>
            </w:pPr>
            <w:r>
              <w:rPr>
                <w:rFonts w:hint="eastAsia"/>
                <w:b/>
                <w:bCs/>
                <w:color w:val="000000"/>
                <w:sz w:val="24"/>
                <w:szCs w:val="24"/>
              </w:rPr>
              <w:t>是否需要购买原厂维保</w:t>
            </w:r>
          </w:p>
        </w:tc>
      </w:tr>
      <w:tr w14:paraId="01BA2F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80" w:hRule="atLeast"/>
          <w:jc w:val="center"/>
        </w:trPr>
        <w:tc>
          <w:tcPr>
            <w:tcW w:w="621" w:type="dxa"/>
            <w:vMerge w:val="restart"/>
            <w:noWrap w:val="0"/>
            <w:vAlign w:val="center"/>
          </w:tcPr>
          <w:p w14:paraId="3E579F4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185" w:type="dxa"/>
            <w:vMerge w:val="restart"/>
            <w:noWrap w:val="0"/>
            <w:vAlign w:val="center"/>
          </w:tcPr>
          <w:p w14:paraId="4463612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防火墙</w:t>
            </w:r>
          </w:p>
        </w:tc>
        <w:tc>
          <w:tcPr>
            <w:tcW w:w="760" w:type="dxa"/>
            <w:vMerge w:val="restart"/>
            <w:noWrap w:val="0"/>
            <w:vAlign w:val="center"/>
          </w:tcPr>
          <w:p w14:paraId="64A9ED7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华为</w:t>
            </w:r>
          </w:p>
        </w:tc>
        <w:tc>
          <w:tcPr>
            <w:tcW w:w="1429" w:type="dxa"/>
            <w:noWrap w:val="0"/>
            <w:vAlign w:val="center"/>
          </w:tcPr>
          <w:p w14:paraId="365F377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USG6655E-AC</w:t>
            </w:r>
          </w:p>
        </w:tc>
        <w:tc>
          <w:tcPr>
            <w:tcW w:w="791" w:type="dxa"/>
            <w:noWrap w:val="0"/>
            <w:vAlign w:val="center"/>
          </w:tcPr>
          <w:p w14:paraId="347E812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517" w:type="dxa"/>
            <w:vMerge w:val="restart"/>
            <w:noWrap w:val="0"/>
            <w:vAlign w:val="center"/>
          </w:tcPr>
          <w:p w14:paraId="61AB19C3">
            <w:pPr>
              <w:keepNext w:val="0"/>
              <w:keepLines w:val="0"/>
              <w:pageBreakBefore w:val="0"/>
              <w:widowControl/>
              <w:kinsoku/>
              <w:wordWrap/>
              <w:overflowPunct/>
              <w:topLinePunct w:val="0"/>
              <w:autoSpaceDE/>
              <w:autoSpaceDN/>
              <w:bidi w:val="0"/>
              <w:adjustRightInd/>
              <w:snapToGrid/>
              <w:spacing w:line="240" w:lineRule="auto"/>
              <w:jc w:val="right"/>
              <w:textAlignment w:val="auto"/>
              <w:rPr>
                <w:rFonts w:hint="eastAsia"/>
                <w:color w:val="000000"/>
                <w:sz w:val="24"/>
                <w:szCs w:val="24"/>
              </w:rPr>
            </w:pPr>
            <w:r>
              <w:rPr>
                <w:rFonts w:hint="eastAsia"/>
                <w:color w:val="000000"/>
                <w:sz w:val="24"/>
                <w:szCs w:val="24"/>
              </w:rPr>
              <w:t>台</w:t>
            </w:r>
          </w:p>
        </w:tc>
        <w:tc>
          <w:tcPr>
            <w:tcW w:w="728" w:type="dxa"/>
            <w:vMerge w:val="restart"/>
            <w:noWrap w:val="0"/>
            <w:vAlign w:val="center"/>
          </w:tcPr>
          <w:p w14:paraId="009C3E3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4 </w:t>
            </w:r>
          </w:p>
        </w:tc>
        <w:tc>
          <w:tcPr>
            <w:tcW w:w="1215" w:type="dxa"/>
            <w:vMerge w:val="restart"/>
            <w:noWrap w:val="0"/>
            <w:vAlign w:val="center"/>
          </w:tcPr>
          <w:p w14:paraId="397627C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65" w:type="dxa"/>
            <w:vMerge w:val="restart"/>
            <w:noWrap w:val="0"/>
            <w:vAlign w:val="center"/>
          </w:tcPr>
          <w:p w14:paraId="7A5B739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gridSpan w:val="2"/>
            <w:vMerge w:val="restart"/>
            <w:noWrap w:val="0"/>
            <w:vAlign w:val="center"/>
          </w:tcPr>
          <w:p w14:paraId="6FC2A4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460F80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621" w:type="dxa"/>
            <w:vMerge w:val="continue"/>
            <w:noWrap w:val="0"/>
            <w:vAlign w:val="center"/>
          </w:tcPr>
          <w:p w14:paraId="35B3038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85" w:type="dxa"/>
            <w:vMerge w:val="continue"/>
            <w:noWrap w:val="0"/>
            <w:vAlign w:val="center"/>
          </w:tcPr>
          <w:p w14:paraId="120AAE9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60" w:type="dxa"/>
            <w:vMerge w:val="continue"/>
            <w:noWrap w:val="0"/>
            <w:vAlign w:val="center"/>
          </w:tcPr>
          <w:p w14:paraId="11E3B7A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429" w:type="dxa"/>
            <w:noWrap w:val="0"/>
            <w:vAlign w:val="center"/>
          </w:tcPr>
          <w:p w14:paraId="1865BF1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SSD-Sata240G-A</w:t>
            </w:r>
          </w:p>
        </w:tc>
        <w:tc>
          <w:tcPr>
            <w:tcW w:w="791" w:type="dxa"/>
            <w:noWrap w:val="0"/>
            <w:vAlign w:val="center"/>
          </w:tcPr>
          <w:p w14:paraId="7B497E1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517" w:type="dxa"/>
            <w:vMerge w:val="continue"/>
            <w:noWrap w:val="0"/>
            <w:vAlign w:val="center"/>
          </w:tcPr>
          <w:p w14:paraId="02E4036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28" w:type="dxa"/>
            <w:vMerge w:val="continue"/>
            <w:noWrap w:val="0"/>
            <w:vAlign w:val="center"/>
          </w:tcPr>
          <w:p w14:paraId="374A650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215" w:type="dxa"/>
            <w:vMerge w:val="continue"/>
            <w:noWrap w:val="0"/>
            <w:vAlign w:val="center"/>
          </w:tcPr>
          <w:p w14:paraId="37631ED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65" w:type="dxa"/>
            <w:vMerge w:val="continue"/>
            <w:noWrap w:val="0"/>
            <w:vAlign w:val="center"/>
          </w:tcPr>
          <w:p w14:paraId="688F02E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500" w:type="dxa"/>
            <w:gridSpan w:val="2"/>
            <w:vMerge w:val="continue"/>
            <w:noWrap w:val="0"/>
            <w:vAlign w:val="center"/>
          </w:tcPr>
          <w:p w14:paraId="2D9B9BA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64C2CA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621" w:type="dxa"/>
            <w:vMerge w:val="continue"/>
            <w:noWrap w:val="0"/>
            <w:vAlign w:val="center"/>
          </w:tcPr>
          <w:p w14:paraId="6E401A7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85" w:type="dxa"/>
            <w:vMerge w:val="continue"/>
            <w:noWrap w:val="0"/>
            <w:vAlign w:val="center"/>
          </w:tcPr>
          <w:p w14:paraId="690C4B4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60" w:type="dxa"/>
            <w:vMerge w:val="continue"/>
            <w:noWrap w:val="0"/>
            <w:vAlign w:val="center"/>
          </w:tcPr>
          <w:p w14:paraId="0A30E3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429" w:type="dxa"/>
            <w:noWrap w:val="0"/>
            <w:vAlign w:val="center"/>
          </w:tcPr>
          <w:p w14:paraId="520BFA3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OMXD30000</w:t>
            </w:r>
          </w:p>
        </w:tc>
        <w:tc>
          <w:tcPr>
            <w:tcW w:w="791" w:type="dxa"/>
            <w:noWrap w:val="0"/>
            <w:vAlign w:val="center"/>
          </w:tcPr>
          <w:p w14:paraId="7A6728C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32</w:t>
            </w:r>
          </w:p>
        </w:tc>
        <w:tc>
          <w:tcPr>
            <w:tcW w:w="517" w:type="dxa"/>
            <w:vMerge w:val="continue"/>
            <w:noWrap w:val="0"/>
            <w:vAlign w:val="center"/>
          </w:tcPr>
          <w:p w14:paraId="618D1058">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28" w:type="dxa"/>
            <w:vMerge w:val="continue"/>
            <w:noWrap w:val="0"/>
            <w:vAlign w:val="center"/>
          </w:tcPr>
          <w:p w14:paraId="3D7E6870">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215" w:type="dxa"/>
            <w:vMerge w:val="continue"/>
            <w:noWrap w:val="0"/>
            <w:vAlign w:val="center"/>
          </w:tcPr>
          <w:p w14:paraId="1100A6C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65" w:type="dxa"/>
            <w:vMerge w:val="continue"/>
            <w:noWrap w:val="0"/>
            <w:vAlign w:val="center"/>
          </w:tcPr>
          <w:p w14:paraId="113C43C5">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500" w:type="dxa"/>
            <w:gridSpan w:val="2"/>
            <w:vMerge w:val="continue"/>
            <w:noWrap w:val="0"/>
            <w:vAlign w:val="center"/>
          </w:tcPr>
          <w:p w14:paraId="2BB1591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2272C4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621" w:type="dxa"/>
            <w:vMerge w:val="continue"/>
            <w:noWrap w:val="0"/>
            <w:vAlign w:val="center"/>
          </w:tcPr>
          <w:p w14:paraId="6754877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85" w:type="dxa"/>
            <w:vMerge w:val="continue"/>
            <w:noWrap w:val="0"/>
            <w:vAlign w:val="center"/>
          </w:tcPr>
          <w:p w14:paraId="20658FE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60" w:type="dxa"/>
            <w:vMerge w:val="continue"/>
            <w:noWrap w:val="0"/>
            <w:vAlign w:val="center"/>
          </w:tcPr>
          <w:p w14:paraId="499A9FA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429" w:type="dxa"/>
            <w:noWrap w:val="0"/>
            <w:vAlign w:val="center"/>
          </w:tcPr>
          <w:p w14:paraId="46199F28">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RAIL-02</w:t>
            </w:r>
          </w:p>
        </w:tc>
        <w:tc>
          <w:tcPr>
            <w:tcW w:w="791" w:type="dxa"/>
            <w:noWrap w:val="0"/>
            <w:vAlign w:val="center"/>
          </w:tcPr>
          <w:p w14:paraId="4BBE23B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517" w:type="dxa"/>
            <w:vMerge w:val="continue"/>
            <w:noWrap w:val="0"/>
            <w:vAlign w:val="center"/>
          </w:tcPr>
          <w:p w14:paraId="5F5BA17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28" w:type="dxa"/>
            <w:vMerge w:val="continue"/>
            <w:noWrap w:val="0"/>
            <w:vAlign w:val="center"/>
          </w:tcPr>
          <w:p w14:paraId="60FAEAB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215" w:type="dxa"/>
            <w:vMerge w:val="continue"/>
            <w:noWrap w:val="0"/>
            <w:vAlign w:val="center"/>
          </w:tcPr>
          <w:p w14:paraId="0C42DEB7">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65" w:type="dxa"/>
            <w:vMerge w:val="continue"/>
            <w:noWrap w:val="0"/>
            <w:vAlign w:val="center"/>
          </w:tcPr>
          <w:p w14:paraId="6E41593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500" w:type="dxa"/>
            <w:gridSpan w:val="2"/>
            <w:vMerge w:val="continue"/>
            <w:noWrap w:val="0"/>
            <w:vAlign w:val="center"/>
          </w:tcPr>
          <w:p w14:paraId="3BE3386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76346C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621" w:type="dxa"/>
            <w:vMerge w:val="continue"/>
            <w:noWrap w:val="0"/>
            <w:vAlign w:val="center"/>
          </w:tcPr>
          <w:p w14:paraId="50CB2B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85" w:type="dxa"/>
            <w:vMerge w:val="continue"/>
            <w:noWrap w:val="0"/>
            <w:vAlign w:val="center"/>
          </w:tcPr>
          <w:p w14:paraId="085982C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60" w:type="dxa"/>
            <w:vMerge w:val="continue"/>
            <w:noWrap w:val="0"/>
            <w:vAlign w:val="center"/>
          </w:tcPr>
          <w:p w14:paraId="1D70D62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429" w:type="dxa"/>
            <w:noWrap w:val="0"/>
            <w:vAlign w:val="center"/>
          </w:tcPr>
          <w:p w14:paraId="5898D0A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LIC-USG6KE-VSYS</w:t>
            </w:r>
          </w:p>
        </w:tc>
        <w:tc>
          <w:tcPr>
            <w:tcW w:w="791" w:type="dxa"/>
            <w:noWrap w:val="0"/>
            <w:vAlign w:val="center"/>
          </w:tcPr>
          <w:p w14:paraId="1694A48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517" w:type="dxa"/>
            <w:vMerge w:val="continue"/>
            <w:noWrap w:val="0"/>
            <w:vAlign w:val="center"/>
          </w:tcPr>
          <w:p w14:paraId="333131C8">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28" w:type="dxa"/>
            <w:vMerge w:val="continue"/>
            <w:noWrap w:val="0"/>
            <w:vAlign w:val="center"/>
          </w:tcPr>
          <w:p w14:paraId="144A026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215" w:type="dxa"/>
            <w:vMerge w:val="continue"/>
            <w:noWrap w:val="0"/>
            <w:vAlign w:val="center"/>
          </w:tcPr>
          <w:p w14:paraId="397BD860">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65" w:type="dxa"/>
            <w:vMerge w:val="continue"/>
            <w:noWrap w:val="0"/>
            <w:vAlign w:val="center"/>
          </w:tcPr>
          <w:p w14:paraId="31EA518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500" w:type="dxa"/>
            <w:gridSpan w:val="2"/>
            <w:vMerge w:val="continue"/>
            <w:noWrap w:val="0"/>
            <w:vAlign w:val="center"/>
          </w:tcPr>
          <w:p w14:paraId="630F4FE8">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1F59C5F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621" w:type="dxa"/>
            <w:vMerge w:val="restart"/>
            <w:noWrap w:val="0"/>
            <w:vAlign w:val="center"/>
          </w:tcPr>
          <w:p w14:paraId="484AEC4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185" w:type="dxa"/>
            <w:vMerge w:val="restart"/>
            <w:noWrap w:val="0"/>
            <w:vAlign w:val="center"/>
          </w:tcPr>
          <w:p w14:paraId="29E3B7A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网络审计</w:t>
            </w:r>
          </w:p>
        </w:tc>
        <w:tc>
          <w:tcPr>
            <w:tcW w:w="760" w:type="dxa"/>
            <w:vMerge w:val="restart"/>
            <w:noWrap w:val="0"/>
            <w:vAlign w:val="center"/>
          </w:tcPr>
          <w:p w14:paraId="65481C7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华为</w:t>
            </w:r>
          </w:p>
        </w:tc>
        <w:tc>
          <w:tcPr>
            <w:tcW w:w="1429" w:type="dxa"/>
            <w:noWrap w:val="0"/>
            <w:vAlign w:val="center"/>
          </w:tcPr>
          <w:p w14:paraId="7AF4892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ASG5520</w:t>
            </w:r>
          </w:p>
        </w:tc>
        <w:tc>
          <w:tcPr>
            <w:tcW w:w="791" w:type="dxa"/>
            <w:noWrap w:val="0"/>
            <w:vAlign w:val="center"/>
          </w:tcPr>
          <w:p w14:paraId="1F88F0F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517" w:type="dxa"/>
            <w:vMerge w:val="restart"/>
            <w:noWrap w:val="0"/>
            <w:vAlign w:val="center"/>
          </w:tcPr>
          <w:p w14:paraId="1949D1A1">
            <w:pPr>
              <w:keepNext w:val="0"/>
              <w:keepLines w:val="0"/>
              <w:pageBreakBefore w:val="0"/>
              <w:widowControl/>
              <w:kinsoku/>
              <w:wordWrap/>
              <w:overflowPunct/>
              <w:topLinePunct w:val="0"/>
              <w:autoSpaceDE/>
              <w:autoSpaceDN/>
              <w:bidi w:val="0"/>
              <w:adjustRightInd/>
              <w:snapToGrid/>
              <w:spacing w:line="240" w:lineRule="auto"/>
              <w:jc w:val="right"/>
              <w:textAlignment w:val="auto"/>
              <w:rPr>
                <w:rFonts w:hint="eastAsia"/>
                <w:color w:val="000000"/>
                <w:sz w:val="24"/>
                <w:szCs w:val="24"/>
              </w:rPr>
            </w:pPr>
            <w:r>
              <w:rPr>
                <w:rFonts w:hint="eastAsia"/>
                <w:color w:val="000000"/>
                <w:sz w:val="24"/>
                <w:szCs w:val="24"/>
              </w:rPr>
              <w:t>台</w:t>
            </w:r>
          </w:p>
        </w:tc>
        <w:tc>
          <w:tcPr>
            <w:tcW w:w="728" w:type="dxa"/>
            <w:vMerge w:val="restart"/>
            <w:noWrap w:val="0"/>
            <w:vAlign w:val="center"/>
          </w:tcPr>
          <w:p w14:paraId="3D99AEA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2 </w:t>
            </w:r>
          </w:p>
        </w:tc>
        <w:tc>
          <w:tcPr>
            <w:tcW w:w="1215" w:type="dxa"/>
            <w:vMerge w:val="restart"/>
            <w:noWrap w:val="0"/>
            <w:vAlign w:val="center"/>
          </w:tcPr>
          <w:p w14:paraId="0337B08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65" w:type="dxa"/>
            <w:vMerge w:val="restart"/>
            <w:noWrap w:val="0"/>
            <w:vAlign w:val="center"/>
          </w:tcPr>
          <w:p w14:paraId="5159629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gridSpan w:val="2"/>
            <w:vMerge w:val="restart"/>
            <w:noWrap w:val="0"/>
            <w:vAlign w:val="center"/>
          </w:tcPr>
          <w:p w14:paraId="77E8F96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5E99B7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621" w:type="dxa"/>
            <w:vMerge w:val="continue"/>
            <w:noWrap w:val="0"/>
            <w:vAlign w:val="center"/>
          </w:tcPr>
          <w:p w14:paraId="36FB68B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85" w:type="dxa"/>
            <w:vMerge w:val="continue"/>
            <w:noWrap w:val="0"/>
            <w:vAlign w:val="center"/>
          </w:tcPr>
          <w:p w14:paraId="4C054CB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60" w:type="dxa"/>
            <w:vMerge w:val="continue"/>
            <w:noWrap w:val="0"/>
            <w:vAlign w:val="center"/>
          </w:tcPr>
          <w:p w14:paraId="3953CC2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429" w:type="dxa"/>
            <w:noWrap w:val="0"/>
            <w:vAlign w:val="center"/>
          </w:tcPr>
          <w:p w14:paraId="5DE66D0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OMXD30000</w:t>
            </w:r>
          </w:p>
        </w:tc>
        <w:tc>
          <w:tcPr>
            <w:tcW w:w="791" w:type="dxa"/>
            <w:noWrap w:val="0"/>
            <w:vAlign w:val="center"/>
          </w:tcPr>
          <w:p w14:paraId="316DA3F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8</w:t>
            </w:r>
          </w:p>
        </w:tc>
        <w:tc>
          <w:tcPr>
            <w:tcW w:w="517" w:type="dxa"/>
            <w:vMerge w:val="continue"/>
            <w:noWrap w:val="0"/>
            <w:vAlign w:val="center"/>
          </w:tcPr>
          <w:p w14:paraId="5C15203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28" w:type="dxa"/>
            <w:vMerge w:val="continue"/>
            <w:noWrap w:val="0"/>
            <w:vAlign w:val="center"/>
          </w:tcPr>
          <w:p w14:paraId="38464F0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215" w:type="dxa"/>
            <w:vMerge w:val="continue"/>
            <w:noWrap w:val="0"/>
            <w:vAlign w:val="center"/>
          </w:tcPr>
          <w:p w14:paraId="015E51F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65" w:type="dxa"/>
            <w:vMerge w:val="continue"/>
            <w:noWrap w:val="0"/>
            <w:vAlign w:val="center"/>
          </w:tcPr>
          <w:p w14:paraId="2D9290C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500" w:type="dxa"/>
            <w:gridSpan w:val="2"/>
            <w:vMerge w:val="continue"/>
            <w:noWrap w:val="0"/>
            <w:vAlign w:val="center"/>
          </w:tcPr>
          <w:p w14:paraId="568BB6D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2A1C16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621" w:type="dxa"/>
            <w:vMerge w:val="continue"/>
            <w:noWrap w:val="0"/>
            <w:vAlign w:val="center"/>
          </w:tcPr>
          <w:p w14:paraId="3A2B29C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85" w:type="dxa"/>
            <w:vMerge w:val="continue"/>
            <w:noWrap w:val="0"/>
            <w:vAlign w:val="center"/>
          </w:tcPr>
          <w:p w14:paraId="5CB2D96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60" w:type="dxa"/>
            <w:vMerge w:val="continue"/>
            <w:noWrap w:val="0"/>
            <w:vAlign w:val="center"/>
          </w:tcPr>
          <w:p w14:paraId="25BD443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429" w:type="dxa"/>
            <w:noWrap w:val="0"/>
            <w:vAlign w:val="center"/>
          </w:tcPr>
          <w:p w14:paraId="5EE80BE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SS-OP-D-LC-M-10</w:t>
            </w:r>
          </w:p>
        </w:tc>
        <w:tc>
          <w:tcPr>
            <w:tcW w:w="791" w:type="dxa"/>
            <w:noWrap w:val="0"/>
            <w:vAlign w:val="center"/>
          </w:tcPr>
          <w:p w14:paraId="4A82EB0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16</w:t>
            </w:r>
          </w:p>
        </w:tc>
        <w:tc>
          <w:tcPr>
            <w:tcW w:w="517" w:type="dxa"/>
            <w:vMerge w:val="continue"/>
            <w:noWrap w:val="0"/>
            <w:vAlign w:val="center"/>
          </w:tcPr>
          <w:p w14:paraId="1210198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28" w:type="dxa"/>
            <w:vMerge w:val="continue"/>
            <w:noWrap w:val="0"/>
            <w:vAlign w:val="center"/>
          </w:tcPr>
          <w:p w14:paraId="72B2BED5">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215" w:type="dxa"/>
            <w:vMerge w:val="continue"/>
            <w:noWrap w:val="0"/>
            <w:vAlign w:val="center"/>
          </w:tcPr>
          <w:p w14:paraId="1EFF9B8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65" w:type="dxa"/>
            <w:vMerge w:val="continue"/>
            <w:noWrap w:val="0"/>
            <w:vAlign w:val="center"/>
          </w:tcPr>
          <w:p w14:paraId="7BD2C3E7">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500" w:type="dxa"/>
            <w:gridSpan w:val="2"/>
            <w:vMerge w:val="continue"/>
            <w:noWrap w:val="0"/>
            <w:vAlign w:val="center"/>
          </w:tcPr>
          <w:p w14:paraId="650FD3A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65BF7F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80" w:hRule="atLeast"/>
          <w:jc w:val="center"/>
        </w:trPr>
        <w:tc>
          <w:tcPr>
            <w:tcW w:w="621" w:type="dxa"/>
            <w:vMerge w:val="restart"/>
            <w:noWrap w:val="0"/>
            <w:vAlign w:val="center"/>
          </w:tcPr>
          <w:p w14:paraId="38DB1CD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w:t>
            </w:r>
          </w:p>
        </w:tc>
        <w:tc>
          <w:tcPr>
            <w:tcW w:w="1185" w:type="dxa"/>
            <w:vMerge w:val="restart"/>
            <w:noWrap w:val="0"/>
            <w:vAlign w:val="center"/>
          </w:tcPr>
          <w:p w14:paraId="56781BA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入侵防御</w:t>
            </w:r>
          </w:p>
        </w:tc>
        <w:tc>
          <w:tcPr>
            <w:tcW w:w="760" w:type="dxa"/>
            <w:vMerge w:val="restart"/>
            <w:noWrap w:val="0"/>
            <w:vAlign w:val="center"/>
          </w:tcPr>
          <w:p w14:paraId="557AD38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华为</w:t>
            </w:r>
          </w:p>
        </w:tc>
        <w:tc>
          <w:tcPr>
            <w:tcW w:w="1429" w:type="dxa"/>
            <w:noWrap w:val="0"/>
            <w:vAlign w:val="center"/>
          </w:tcPr>
          <w:p w14:paraId="20CA3BF5">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IPS6555E-AC</w:t>
            </w:r>
          </w:p>
        </w:tc>
        <w:tc>
          <w:tcPr>
            <w:tcW w:w="791" w:type="dxa"/>
            <w:noWrap w:val="0"/>
            <w:vAlign w:val="center"/>
          </w:tcPr>
          <w:p w14:paraId="5D37B03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517" w:type="dxa"/>
            <w:vMerge w:val="restart"/>
            <w:noWrap w:val="0"/>
            <w:vAlign w:val="center"/>
          </w:tcPr>
          <w:p w14:paraId="5E9D2D90">
            <w:pPr>
              <w:keepNext w:val="0"/>
              <w:keepLines w:val="0"/>
              <w:pageBreakBefore w:val="0"/>
              <w:widowControl/>
              <w:kinsoku/>
              <w:wordWrap/>
              <w:overflowPunct/>
              <w:topLinePunct w:val="0"/>
              <w:autoSpaceDE/>
              <w:autoSpaceDN/>
              <w:bidi w:val="0"/>
              <w:adjustRightInd/>
              <w:snapToGrid/>
              <w:spacing w:line="240" w:lineRule="auto"/>
              <w:jc w:val="right"/>
              <w:textAlignment w:val="auto"/>
              <w:rPr>
                <w:rFonts w:hint="eastAsia"/>
                <w:color w:val="000000"/>
                <w:sz w:val="24"/>
                <w:szCs w:val="24"/>
              </w:rPr>
            </w:pPr>
            <w:r>
              <w:rPr>
                <w:rFonts w:hint="eastAsia"/>
                <w:color w:val="000000"/>
                <w:sz w:val="24"/>
                <w:szCs w:val="24"/>
              </w:rPr>
              <w:t>台</w:t>
            </w:r>
          </w:p>
        </w:tc>
        <w:tc>
          <w:tcPr>
            <w:tcW w:w="728" w:type="dxa"/>
            <w:vMerge w:val="restart"/>
            <w:noWrap w:val="0"/>
            <w:vAlign w:val="center"/>
          </w:tcPr>
          <w:p w14:paraId="258D6F1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2 </w:t>
            </w:r>
          </w:p>
        </w:tc>
        <w:tc>
          <w:tcPr>
            <w:tcW w:w="1215" w:type="dxa"/>
            <w:vMerge w:val="restart"/>
            <w:noWrap w:val="0"/>
            <w:vAlign w:val="center"/>
          </w:tcPr>
          <w:p w14:paraId="14F878D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65" w:type="dxa"/>
            <w:vMerge w:val="restart"/>
            <w:noWrap w:val="0"/>
            <w:vAlign w:val="center"/>
          </w:tcPr>
          <w:p w14:paraId="513D76C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gridSpan w:val="2"/>
            <w:vMerge w:val="restart"/>
            <w:noWrap w:val="0"/>
            <w:vAlign w:val="center"/>
          </w:tcPr>
          <w:p w14:paraId="6F88792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4FD58E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621" w:type="dxa"/>
            <w:vMerge w:val="continue"/>
            <w:noWrap w:val="0"/>
            <w:vAlign w:val="center"/>
          </w:tcPr>
          <w:p w14:paraId="615146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85" w:type="dxa"/>
            <w:vMerge w:val="continue"/>
            <w:noWrap w:val="0"/>
            <w:vAlign w:val="center"/>
          </w:tcPr>
          <w:p w14:paraId="29CF933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60" w:type="dxa"/>
            <w:vMerge w:val="continue"/>
            <w:noWrap w:val="0"/>
            <w:vAlign w:val="center"/>
          </w:tcPr>
          <w:p w14:paraId="426436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429" w:type="dxa"/>
            <w:noWrap w:val="0"/>
            <w:vAlign w:val="center"/>
          </w:tcPr>
          <w:p w14:paraId="23F8483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OMXD30000</w:t>
            </w:r>
          </w:p>
        </w:tc>
        <w:tc>
          <w:tcPr>
            <w:tcW w:w="791" w:type="dxa"/>
            <w:noWrap w:val="0"/>
            <w:vAlign w:val="center"/>
          </w:tcPr>
          <w:p w14:paraId="7DC8873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8</w:t>
            </w:r>
          </w:p>
        </w:tc>
        <w:tc>
          <w:tcPr>
            <w:tcW w:w="517" w:type="dxa"/>
            <w:vMerge w:val="continue"/>
            <w:noWrap w:val="0"/>
            <w:vAlign w:val="center"/>
          </w:tcPr>
          <w:p w14:paraId="33880E8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28" w:type="dxa"/>
            <w:vMerge w:val="continue"/>
            <w:noWrap w:val="0"/>
            <w:vAlign w:val="center"/>
          </w:tcPr>
          <w:p w14:paraId="5B5B44A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215" w:type="dxa"/>
            <w:vMerge w:val="continue"/>
            <w:noWrap w:val="0"/>
            <w:vAlign w:val="center"/>
          </w:tcPr>
          <w:p w14:paraId="73C1643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65" w:type="dxa"/>
            <w:vMerge w:val="continue"/>
            <w:noWrap w:val="0"/>
            <w:vAlign w:val="center"/>
          </w:tcPr>
          <w:p w14:paraId="4D9FF2F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500" w:type="dxa"/>
            <w:gridSpan w:val="2"/>
            <w:vMerge w:val="continue"/>
            <w:noWrap w:val="0"/>
            <w:vAlign w:val="center"/>
          </w:tcPr>
          <w:p w14:paraId="752947F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5D94A1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621" w:type="dxa"/>
            <w:vMerge w:val="continue"/>
            <w:noWrap w:val="0"/>
            <w:vAlign w:val="center"/>
          </w:tcPr>
          <w:p w14:paraId="1755DD8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85" w:type="dxa"/>
            <w:vMerge w:val="continue"/>
            <w:noWrap w:val="0"/>
            <w:vAlign w:val="center"/>
          </w:tcPr>
          <w:p w14:paraId="4192EE0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60" w:type="dxa"/>
            <w:vMerge w:val="continue"/>
            <w:noWrap w:val="0"/>
            <w:vAlign w:val="center"/>
          </w:tcPr>
          <w:p w14:paraId="0FA4A54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429" w:type="dxa"/>
            <w:noWrap w:val="0"/>
            <w:vAlign w:val="center"/>
          </w:tcPr>
          <w:p w14:paraId="2A418E5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RAIL-02</w:t>
            </w:r>
          </w:p>
        </w:tc>
        <w:tc>
          <w:tcPr>
            <w:tcW w:w="791" w:type="dxa"/>
            <w:noWrap w:val="0"/>
            <w:vAlign w:val="center"/>
          </w:tcPr>
          <w:p w14:paraId="74AB8AE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517" w:type="dxa"/>
            <w:vMerge w:val="continue"/>
            <w:noWrap w:val="0"/>
            <w:vAlign w:val="center"/>
          </w:tcPr>
          <w:p w14:paraId="11F8D9C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28" w:type="dxa"/>
            <w:vMerge w:val="continue"/>
            <w:noWrap w:val="0"/>
            <w:vAlign w:val="center"/>
          </w:tcPr>
          <w:p w14:paraId="499A236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215" w:type="dxa"/>
            <w:vMerge w:val="continue"/>
            <w:noWrap w:val="0"/>
            <w:vAlign w:val="center"/>
          </w:tcPr>
          <w:p w14:paraId="51EF817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65" w:type="dxa"/>
            <w:vMerge w:val="continue"/>
            <w:noWrap w:val="0"/>
            <w:vAlign w:val="center"/>
          </w:tcPr>
          <w:p w14:paraId="44A3D89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500" w:type="dxa"/>
            <w:gridSpan w:val="2"/>
            <w:vMerge w:val="continue"/>
            <w:noWrap w:val="0"/>
            <w:vAlign w:val="center"/>
          </w:tcPr>
          <w:p w14:paraId="425634E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5ED495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621" w:type="dxa"/>
            <w:vMerge w:val="continue"/>
            <w:noWrap w:val="0"/>
            <w:vAlign w:val="center"/>
          </w:tcPr>
          <w:p w14:paraId="2B6E10F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85" w:type="dxa"/>
            <w:vMerge w:val="continue"/>
            <w:noWrap w:val="0"/>
            <w:vAlign w:val="center"/>
          </w:tcPr>
          <w:p w14:paraId="5F05024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60" w:type="dxa"/>
            <w:vMerge w:val="continue"/>
            <w:noWrap w:val="0"/>
            <w:vAlign w:val="center"/>
          </w:tcPr>
          <w:p w14:paraId="0B563F8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429" w:type="dxa"/>
            <w:noWrap w:val="0"/>
            <w:vAlign w:val="center"/>
          </w:tcPr>
          <w:p w14:paraId="0E14FFD2">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SS-OP-D-LC-M-10</w:t>
            </w:r>
          </w:p>
        </w:tc>
        <w:tc>
          <w:tcPr>
            <w:tcW w:w="791" w:type="dxa"/>
            <w:noWrap w:val="0"/>
            <w:vAlign w:val="center"/>
          </w:tcPr>
          <w:p w14:paraId="580E0AF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16</w:t>
            </w:r>
          </w:p>
        </w:tc>
        <w:tc>
          <w:tcPr>
            <w:tcW w:w="517" w:type="dxa"/>
            <w:vMerge w:val="continue"/>
            <w:noWrap w:val="0"/>
            <w:vAlign w:val="center"/>
          </w:tcPr>
          <w:p w14:paraId="45E0E635">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28" w:type="dxa"/>
            <w:vMerge w:val="continue"/>
            <w:noWrap w:val="0"/>
            <w:vAlign w:val="center"/>
          </w:tcPr>
          <w:p w14:paraId="357E77D8">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215" w:type="dxa"/>
            <w:vMerge w:val="continue"/>
            <w:noWrap w:val="0"/>
            <w:vAlign w:val="center"/>
          </w:tcPr>
          <w:p w14:paraId="0D2872F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065" w:type="dxa"/>
            <w:vMerge w:val="continue"/>
            <w:noWrap w:val="0"/>
            <w:vAlign w:val="center"/>
          </w:tcPr>
          <w:p w14:paraId="0E035D1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1500" w:type="dxa"/>
            <w:gridSpan w:val="2"/>
            <w:vMerge w:val="continue"/>
            <w:noWrap w:val="0"/>
            <w:vAlign w:val="center"/>
          </w:tcPr>
          <w:p w14:paraId="635BAA5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r>
      <w:tr w14:paraId="26A8B0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00" w:hRule="atLeast"/>
          <w:jc w:val="center"/>
        </w:trPr>
        <w:tc>
          <w:tcPr>
            <w:tcW w:w="621" w:type="dxa"/>
            <w:noWrap w:val="0"/>
            <w:vAlign w:val="center"/>
          </w:tcPr>
          <w:p w14:paraId="6D6C6B6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1185" w:type="dxa"/>
            <w:noWrap w:val="0"/>
            <w:vAlign w:val="center"/>
          </w:tcPr>
          <w:p w14:paraId="450F291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日志审计</w:t>
            </w:r>
          </w:p>
        </w:tc>
        <w:tc>
          <w:tcPr>
            <w:tcW w:w="760" w:type="dxa"/>
            <w:noWrap w:val="0"/>
            <w:vAlign w:val="center"/>
          </w:tcPr>
          <w:p w14:paraId="0224613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网御星云</w:t>
            </w:r>
          </w:p>
        </w:tc>
        <w:tc>
          <w:tcPr>
            <w:tcW w:w="1429" w:type="dxa"/>
            <w:noWrap w:val="0"/>
            <w:vAlign w:val="center"/>
          </w:tcPr>
          <w:p w14:paraId="5D6A9E9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LEADSEC-RS-1000N-SA5100N-HW06</w:t>
            </w:r>
          </w:p>
        </w:tc>
        <w:tc>
          <w:tcPr>
            <w:tcW w:w="791" w:type="dxa"/>
            <w:noWrap w:val="0"/>
            <w:vAlign w:val="center"/>
          </w:tcPr>
          <w:p w14:paraId="7646948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517" w:type="dxa"/>
            <w:noWrap/>
            <w:vAlign w:val="center"/>
          </w:tcPr>
          <w:p w14:paraId="1C348B14">
            <w:pPr>
              <w:keepNext w:val="0"/>
              <w:keepLines w:val="0"/>
              <w:pageBreakBefore w:val="0"/>
              <w:widowControl/>
              <w:kinsoku/>
              <w:wordWrap/>
              <w:overflowPunct/>
              <w:topLinePunct w:val="0"/>
              <w:autoSpaceDE/>
              <w:autoSpaceDN/>
              <w:bidi w:val="0"/>
              <w:adjustRightInd/>
              <w:snapToGrid/>
              <w:spacing w:line="240" w:lineRule="auto"/>
              <w:jc w:val="right"/>
              <w:textAlignment w:val="auto"/>
              <w:rPr>
                <w:rFonts w:hint="eastAsia"/>
                <w:color w:val="000000"/>
                <w:sz w:val="24"/>
                <w:szCs w:val="24"/>
              </w:rPr>
            </w:pPr>
            <w:r>
              <w:rPr>
                <w:rFonts w:hint="eastAsia"/>
                <w:color w:val="000000"/>
                <w:sz w:val="24"/>
                <w:szCs w:val="24"/>
              </w:rPr>
              <w:t>台</w:t>
            </w:r>
          </w:p>
        </w:tc>
        <w:tc>
          <w:tcPr>
            <w:tcW w:w="728" w:type="dxa"/>
            <w:noWrap/>
            <w:vAlign w:val="center"/>
          </w:tcPr>
          <w:p w14:paraId="2E4BEBD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 </w:t>
            </w:r>
          </w:p>
        </w:tc>
        <w:tc>
          <w:tcPr>
            <w:tcW w:w="1215" w:type="dxa"/>
            <w:noWrap/>
            <w:vAlign w:val="center"/>
          </w:tcPr>
          <w:p w14:paraId="2C0686B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65" w:type="dxa"/>
            <w:noWrap/>
            <w:vAlign w:val="center"/>
          </w:tcPr>
          <w:p w14:paraId="04BB2F4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gridSpan w:val="2"/>
            <w:noWrap/>
            <w:vAlign w:val="center"/>
          </w:tcPr>
          <w:p w14:paraId="554B70E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740936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00" w:hRule="atLeast"/>
          <w:jc w:val="center"/>
        </w:trPr>
        <w:tc>
          <w:tcPr>
            <w:tcW w:w="621" w:type="dxa"/>
            <w:noWrap w:val="0"/>
            <w:vAlign w:val="center"/>
          </w:tcPr>
          <w:p w14:paraId="0741EAA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w:t>
            </w:r>
          </w:p>
        </w:tc>
        <w:tc>
          <w:tcPr>
            <w:tcW w:w="1185" w:type="dxa"/>
            <w:noWrap w:val="0"/>
            <w:vAlign w:val="center"/>
          </w:tcPr>
          <w:p w14:paraId="0E39DA1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防病毒网关</w:t>
            </w:r>
          </w:p>
        </w:tc>
        <w:tc>
          <w:tcPr>
            <w:tcW w:w="760" w:type="dxa"/>
            <w:noWrap w:val="0"/>
            <w:vAlign w:val="center"/>
          </w:tcPr>
          <w:p w14:paraId="7F16268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网御星云</w:t>
            </w:r>
          </w:p>
        </w:tc>
        <w:tc>
          <w:tcPr>
            <w:tcW w:w="1429" w:type="dxa"/>
            <w:noWrap w:val="0"/>
            <w:vAlign w:val="center"/>
          </w:tcPr>
          <w:p w14:paraId="20B07C3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（20G）POWER V6000-A7310-HW06</w:t>
            </w:r>
          </w:p>
        </w:tc>
        <w:tc>
          <w:tcPr>
            <w:tcW w:w="791" w:type="dxa"/>
            <w:noWrap w:val="0"/>
            <w:vAlign w:val="center"/>
          </w:tcPr>
          <w:p w14:paraId="1B7E5ED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517" w:type="dxa"/>
            <w:noWrap/>
            <w:vAlign w:val="center"/>
          </w:tcPr>
          <w:p w14:paraId="5E5D44DF">
            <w:pPr>
              <w:keepNext w:val="0"/>
              <w:keepLines w:val="0"/>
              <w:pageBreakBefore w:val="0"/>
              <w:widowControl/>
              <w:kinsoku/>
              <w:wordWrap/>
              <w:overflowPunct/>
              <w:topLinePunct w:val="0"/>
              <w:autoSpaceDE/>
              <w:autoSpaceDN/>
              <w:bidi w:val="0"/>
              <w:adjustRightInd/>
              <w:snapToGrid/>
              <w:spacing w:line="240" w:lineRule="auto"/>
              <w:jc w:val="right"/>
              <w:textAlignment w:val="auto"/>
              <w:rPr>
                <w:rFonts w:hint="eastAsia"/>
                <w:color w:val="000000"/>
                <w:sz w:val="24"/>
                <w:szCs w:val="24"/>
              </w:rPr>
            </w:pPr>
            <w:r>
              <w:rPr>
                <w:rFonts w:hint="eastAsia"/>
                <w:color w:val="000000"/>
                <w:sz w:val="24"/>
                <w:szCs w:val="24"/>
              </w:rPr>
              <w:t>台</w:t>
            </w:r>
          </w:p>
        </w:tc>
        <w:tc>
          <w:tcPr>
            <w:tcW w:w="728" w:type="dxa"/>
            <w:noWrap/>
            <w:vAlign w:val="center"/>
          </w:tcPr>
          <w:p w14:paraId="17D2065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4 </w:t>
            </w:r>
          </w:p>
        </w:tc>
        <w:tc>
          <w:tcPr>
            <w:tcW w:w="1215" w:type="dxa"/>
            <w:noWrap/>
            <w:vAlign w:val="center"/>
          </w:tcPr>
          <w:p w14:paraId="50D98D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65" w:type="dxa"/>
            <w:noWrap/>
            <w:vAlign w:val="center"/>
          </w:tcPr>
          <w:p w14:paraId="03BBD6A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gridSpan w:val="2"/>
            <w:noWrap/>
            <w:vAlign w:val="center"/>
          </w:tcPr>
          <w:p w14:paraId="33A00C2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35EB60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621" w:type="dxa"/>
            <w:noWrap w:val="0"/>
            <w:vAlign w:val="center"/>
          </w:tcPr>
          <w:p w14:paraId="0BAD723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w:t>
            </w:r>
          </w:p>
        </w:tc>
        <w:tc>
          <w:tcPr>
            <w:tcW w:w="1185" w:type="dxa"/>
            <w:noWrap w:val="0"/>
            <w:vAlign w:val="center"/>
          </w:tcPr>
          <w:p w14:paraId="0613D6C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负载均衡</w:t>
            </w:r>
          </w:p>
        </w:tc>
        <w:tc>
          <w:tcPr>
            <w:tcW w:w="760" w:type="dxa"/>
            <w:noWrap w:val="0"/>
            <w:vAlign w:val="center"/>
          </w:tcPr>
          <w:p w14:paraId="5656D5C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上海威实</w:t>
            </w:r>
          </w:p>
        </w:tc>
        <w:tc>
          <w:tcPr>
            <w:tcW w:w="1429" w:type="dxa"/>
            <w:noWrap w:val="0"/>
            <w:vAlign w:val="center"/>
          </w:tcPr>
          <w:p w14:paraId="3130CDF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TH1040ADC</w:t>
            </w:r>
          </w:p>
        </w:tc>
        <w:tc>
          <w:tcPr>
            <w:tcW w:w="791" w:type="dxa"/>
            <w:noWrap w:val="0"/>
            <w:vAlign w:val="center"/>
          </w:tcPr>
          <w:p w14:paraId="45E0B1B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517" w:type="dxa"/>
            <w:noWrap/>
            <w:vAlign w:val="center"/>
          </w:tcPr>
          <w:p w14:paraId="14BBCB21">
            <w:pPr>
              <w:keepNext w:val="0"/>
              <w:keepLines w:val="0"/>
              <w:pageBreakBefore w:val="0"/>
              <w:widowControl/>
              <w:kinsoku/>
              <w:wordWrap/>
              <w:overflowPunct/>
              <w:topLinePunct w:val="0"/>
              <w:autoSpaceDE/>
              <w:autoSpaceDN/>
              <w:bidi w:val="0"/>
              <w:adjustRightInd/>
              <w:snapToGrid/>
              <w:spacing w:line="240" w:lineRule="auto"/>
              <w:jc w:val="right"/>
              <w:textAlignment w:val="auto"/>
              <w:rPr>
                <w:rFonts w:hint="eastAsia"/>
                <w:color w:val="000000"/>
                <w:sz w:val="24"/>
                <w:szCs w:val="24"/>
              </w:rPr>
            </w:pPr>
            <w:r>
              <w:rPr>
                <w:rFonts w:hint="eastAsia"/>
                <w:color w:val="000000"/>
                <w:sz w:val="24"/>
                <w:szCs w:val="24"/>
              </w:rPr>
              <w:t>台</w:t>
            </w:r>
          </w:p>
        </w:tc>
        <w:tc>
          <w:tcPr>
            <w:tcW w:w="728" w:type="dxa"/>
            <w:noWrap/>
            <w:vAlign w:val="center"/>
          </w:tcPr>
          <w:p w14:paraId="190F6DF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 </w:t>
            </w:r>
          </w:p>
        </w:tc>
        <w:tc>
          <w:tcPr>
            <w:tcW w:w="1215" w:type="dxa"/>
            <w:noWrap/>
            <w:vAlign w:val="center"/>
          </w:tcPr>
          <w:p w14:paraId="2DE7204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65" w:type="dxa"/>
            <w:noWrap/>
            <w:vAlign w:val="center"/>
          </w:tcPr>
          <w:p w14:paraId="25DDCDA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gridSpan w:val="2"/>
            <w:noWrap/>
            <w:vAlign w:val="center"/>
          </w:tcPr>
          <w:p w14:paraId="57449B4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CA132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80" w:hRule="atLeast"/>
          <w:jc w:val="center"/>
        </w:trPr>
        <w:tc>
          <w:tcPr>
            <w:tcW w:w="621" w:type="dxa"/>
            <w:vMerge w:val="restart"/>
            <w:shd w:val="clear" w:color="auto" w:fill="auto"/>
            <w:noWrap w:val="0"/>
            <w:vAlign w:val="center"/>
          </w:tcPr>
          <w:p w14:paraId="3215D2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7</w:t>
            </w:r>
          </w:p>
        </w:tc>
        <w:tc>
          <w:tcPr>
            <w:tcW w:w="1185" w:type="dxa"/>
            <w:vMerge w:val="restart"/>
            <w:shd w:val="clear" w:color="auto" w:fill="auto"/>
            <w:noWrap w:val="0"/>
            <w:vAlign w:val="center"/>
          </w:tcPr>
          <w:p w14:paraId="338C0F0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下一代防火墙</w:t>
            </w:r>
          </w:p>
        </w:tc>
        <w:tc>
          <w:tcPr>
            <w:tcW w:w="760" w:type="dxa"/>
            <w:vMerge w:val="restart"/>
            <w:shd w:val="clear" w:color="auto" w:fill="auto"/>
            <w:noWrap w:val="0"/>
            <w:vAlign w:val="center"/>
          </w:tcPr>
          <w:p w14:paraId="320DDE0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深信服</w:t>
            </w:r>
          </w:p>
        </w:tc>
        <w:tc>
          <w:tcPr>
            <w:tcW w:w="1429" w:type="dxa"/>
            <w:vMerge w:val="restart"/>
            <w:shd w:val="clear" w:color="auto" w:fill="auto"/>
            <w:noWrap w:val="0"/>
            <w:vAlign w:val="center"/>
          </w:tcPr>
          <w:p w14:paraId="6BB095AE">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AF-1000-FA40-JY</w:t>
            </w:r>
          </w:p>
        </w:tc>
        <w:tc>
          <w:tcPr>
            <w:tcW w:w="791" w:type="dxa"/>
            <w:shd w:val="clear" w:color="000000" w:fill="FFFFFF"/>
            <w:noWrap w:val="0"/>
            <w:vAlign w:val="center"/>
          </w:tcPr>
          <w:p w14:paraId="0D49713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517" w:type="dxa"/>
            <w:noWrap/>
            <w:vAlign w:val="center"/>
          </w:tcPr>
          <w:p w14:paraId="12475AC5">
            <w:pPr>
              <w:keepNext w:val="0"/>
              <w:keepLines w:val="0"/>
              <w:pageBreakBefore w:val="0"/>
              <w:widowControl/>
              <w:kinsoku/>
              <w:wordWrap/>
              <w:overflowPunct/>
              <w:topLinePunct w:val="0"/>
              <w:autoSpaceDE/>
              <w:autoSpaceDN/>
              <w:bidi w:val="0"/>
              <w:adjustRightInd/>
              <w:snapToGrid/>
              <w:spacing w:line="240" w:lineRule="auto"/>
              <w:jc w:val="right"/>
              <w:textAlignment w:val="auto"/>
              <w:rPr>
                <w:rFonts w:hint="eastAsia"/>
                <w:color w:val="000000"/>
                <w:sz w:val="24"/>
                <w:szCs w:val="24"/>
              </w:rPr>
            </w:pPr>
            <w:r>
              <w:rPr>
                <w:rFonts w:hint="eastAsia"/>
                <w:color w:val="000000"/>
                <w:sz w:val="24"/>
                <w:szCs w:val="24"/>
              </w:rPr>
              <w:t>台</w:t>
            </w:r>
          </w:p>
        </w:tc>
        <w:tc>
          <w:tcPr>
            <w:tcW w:w="728" w:type="dxa"/>
            <w:noWrap/>
            <w:vAlign w:val="center"/>
          </w:tcPr>
          <w:p w14:paraId="67029B7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 </w:t>
            </w:r>
          </w:p>
        </w:tc>
        <w:tc>
          <w:tcPr>
            <w:tcW w:w="1215" w:type="dxa"/>
            <w:vMerge w:val="restart"/>
            <w:noWrap/>
            <w:vAlign w:val="center"/>
          </w:tcPr>
          <w:p w14:paraId="6940885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65" w:type="dxa"/>
            <w:vMerge w:val="restart"/>
            <w:noWrap/>
            <w:vAlign w:val="center"/>
          </w:tcPr>
          <w:p w14:paraId="5A00F23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gridSpan w:val="2"/>
            <w:vMerge w:val="restart"/>
            <w:noWrap/>
            <w:vAlign w:val="center"/>
          </w:tcPr>
          <w:p w14:paraId="616C2B0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6ACD5A2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621" w:type="dxa"/>
            <w:vMerge w:val="continue"/>
            <w:shd w:val="clear" w:color="auto" w:fill="auto"/>
            <w:noWrap w:val="0"/>
            <w:vAlign w:val="center"/>
          </w:tcPr>
          <w:p w14:paraId="7FDE2D1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85" w:type="dxa"/>
            <w:vMerge w:val="continue"/>
            <w:shd w:val="clear" w:color="auto" w:fill="auto"/>
            <w:noWrap w:val="0"/>
            <w:vAlign w:val="center"/>
          </w:tcPr>
          <w:p w14:paraId="44CB8AC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60" w:type="dxa"/>
            <w:vMerge w:val="continue"/>
            <w:shd w:val="clear" w:color="auto" w:fill="auto"/>
            <w:noWrap w:val="0"/>
            <w:vAlign w:val="center"/>
          </w:tcPr>
          <w:p w14:paraId="62ACDEE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429" w:type="dxa"/>
            <w:vMerge w:val="continue"/>
            <w:shd w:val="clear" w:color="auto" w:fill="auto"/>
            <w:noWrap w:val="0"/>
            <w:vAlign w:val="center"/>
          </w:tcPr>
          <w:p w14:paraId="4DA5C36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91" w:type="dxa"/>
            <w:shd w:val="clear" w:color="000000" w:fill="FFFFFF"/>
            <w:noWrap w:val="0"/>
            <w:vAlign w:val="center"/>
          </w:tcPr>
          <w:p w14:paraId="231AEB9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517" w:type="dxa"/>
            <w:noWrap/>
            <w:vAlign w:val="center"/>
          </w:tcPr>
          <w:p w14:paraId="2B2E5F86">
            <w:pPr>
              <w:keepNext w:val="0"/>
              <w:keepLines w:val="0"/>
              <w:pageBreakBefore w:val="0"/>
              <w:widowControl/>
              <w:kinsoku/>
              <w:wordWrap/>
              <w:overflowPunct/>
              <w:topLinePunct w:val="0"/>
              <w:autoSpaceDE/>
              <w:autoSpaceDN/>
              <w:bidi w:val="0"/>
              <w:adjustRightInd/>
              <w:snapToGrid/>
              <w:spacing w:line="240" w:lineRule="auto"/>
              <w:jc w:val="right"/>
              <w:textAlignment w:val="auto"/>
              <w:rPr>
                <w:rFonts w:hint="eastAsia"/>
                <w:color w:val="000000"/>
                <w:sz w:val="24"/>
                <w:szCs w:val="24"/>
              </w:rPr>
            </w:pPr>
            <w:r>
              <w:rPr>
                <w:rFonts w:hint="eastAsia"/>
                <w:color w:val="000000"/>
                <w:sz w:val="24"/>
                <w:szCs w:val="24"/>
              </w:rPr>
              <w:t>个</w:t>
            </w:r>
          </w:p>
        </w:tc>
        <w:tc>
          <w:tcPr>
            <w:tcW w:w="728" w:type="dxa"/>
            <w:noWrap/>
            <w:vAlign w:val="center"/>
          </w:tcPr>
          <w:p w14:paraId="05E197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2 </w:t>
            </w:r>
          </w:p>
        </w:tc>
        <w:tc>
          <w:tcPr>
            <w:tcW w:w="1215" w:type="dxa"/>
            <w:vMerge w:val="continue"/>
            <w:noWrap/>
            <w:vAlign w:val="center"/>
          </w:tcPr>
          <w:p w14:paraId="527E7D0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065" w:type="dxa"/>
            <w:vMerge w:val="continue"/>
            <w:noWrap/>
            <w:vAlign w:val="center"/>
          </w:tcPr>
          <w:p w14:paraId="14089BE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500" w:type="dxa"/>
            <w:gridSpan w:val="2"/>
            <w:vMerge w:val="continue"/>
            <w:noWrap/>
            <w:vAlign w:val="center"/>
          </w:tcPr>
          <w:p w14:paraId="7BDC10F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r>
      <w:tr w14:paraId="2BC75B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621" w:type="dxa"/>
            <w:vMerge w:val="continue"/>
            <w:shd w:val="clear" w:color="auto" w:fill="auto"/>
            <w:noWrap w:val="0"/>
            <w:vAlign w:val="center"/>
          </w:tcPr>
          <w:p w14:paraId="0F0B735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85" w:type="dxa"/>
            <w:vMerge w:val="continue"/>
            <w:shd w:val="clear" w:color="auto" w:fill="auto"/>
            <w:noWrap w:val="0"/>
            <w:vAlign w:val="center"/>
          </w:tcPr>
          <w:p w14:paraId="5000921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60" w:type="dxa"/>
            <w:vMerge w:val="continue"/>
            <w:shd w:val="clear" w:color="auto" w:fill="auto"/>
            <w:noWrap w:val="0"/>
            <w:vAlign w:val="center"/>
          </w:tcPr>
          <w:p w14:paraId="6761EDD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429" w:type="dxa"/>
            <w:vMerge w:val="continue"/>
            <w:shd w:val="clear" w:color="auto" w:fill="auto"/>
            <w:noWrap w:val="0"/>
            <w:vAlign w:val="center"/>
          </w:tcPr>
          <w:p w14:paraId="1049A35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91" w:type="dxa"/>
            <w:shd w:val="clear" w:color="000000" w:fill="FFFFFF"/>
            <w:noWrap w:val="0"/>
            <w:vAlign w:val="center"/>
          </w:tcPr>
          <w:p w14:paraId="1CF2052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w:t>
            </w:r>
          </w:p>
        </w:tc>
        <w:tc>
          <w:tcPr>
            <w:tcW w:w="517" w:type="dxa"/>
            <w:noWrap/>
            <w:vAlign w:val="center"/>
          </w:tcPr>
          <w:p w14:paraId="09847E04">
            <w:pPr>
              <w:keepNext w:val="0"/>
              <w:keepLines w:val="0"/>
              <w:pageBreakBefore w:val="0"/>
              <w:widowControl/>
              <w:kinsoku/>
              <w:wordWrap/>
              <w:overflowPunct/>
              <w:topLinePunct w:val="0"/>
              <w:autoSpaceDE/>
              <w:autoSpaceDN/>
              <w:bidi w:val="0"/>
              <w:adjustRightInd/>
              <w:snapToGrid/>
              <w:spacing w:line="240" w:lineRule="auto"/>
              <w:jc w:val="right"/>
              <w:textAlignment w:val="auto"/>
              <w:rPr>
                <w:rFonts w:hint="eastAsia"/>
                <w:color w:val="000000"/>
                <w:sz w:val="24"/>
                <w:szCs w:val="24"/>
              </w:rPr>
            </w:pPr>
            <w:r>
              <w:rPr>
                <w:rFonts w:hint="eastAsia"/>
                <w:color w:val="000000"/>
                <w:sz w:val="24"/>
                <w:szCs w:val="24"/>
              </w:rPr>
              <w:t>个</w:t>
            </w:r>
          </w:p>
        </w:tc>
        <w:tc>
          <w:tcPr>
            <w:tcW w:w="728" w:type="dxa"/>
            <w:noWrap/>
            <w:vAlign w:val="center"/>
          </w:tcPr>
          <w:p w14:paraId="0F382EA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3 </w:t>
            </w:r>
          </w:p>
        </w:tc>
        <w:tc>
          <w:tcPr>
            <w:tcW w:w="1215" w:type="dxa"/>
            <w:vMerge w:val="continue"/>
            <w:noWrap/>
            <w:vAlign w:val="center"/>
          </w:tcPr>
          <w:p w14:paraId="7DD372A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065" w:type="dxa"/>
            <w:vMerge w:val="continue"/>
            <w:noWrap/>
            <w:vAlign w:val="center"/>
          </w:tcPr>
          <w:p w14:paraId="0C7789B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500" w:type="dxa"/>
            <w:gridSpan w:val="2"/>
            <w:vMerge w:val="continue"/>
            <w:noWrap/>
            <w:vAlign w:val="center"/>
          </w:tcPr>
          <w:p w14:paraId="64D2CB0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r>
      <w:tr w14:paraId="6F41F1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621" w:type="dxa"/>
            <w:vMerge w:val="continue"/>
            <w:shd w:val="clear" w:color="auto" w:fill="auto"/>
            <w:noWrap w:val="0"/>
            <w:vAlign w:val="center"/>
          </w:tcPr>
          <w:p w14:paraId="7556E87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185" w:type="dxa"/>
            <w:vMerge w:val="continue"/>
            <w:shd w:val="clear" w:color="auto" w:fill="auto"/>
            <w:noWrap w:val="0"/>
            <w:vAlign w:val="center"/>
          </w:tcPr>
          <w:p w14:paraId="5E870FC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760" w:type="dxa"/>
            <w:vMerge w:val="continue"/>
            <w:shd w:val="clear" w:color="auto" w:fill="auto"/>
            <w:noWrap w:val="0"/>
            <w:vAlign w:val="center"/>
          </w:tcPr>
          <w:p w14:paraId="1F0625F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429" w:type="dxa"/>
            <w:vMerge w:val="continue"/>
            <w:shd w:val="clear" w:color="auto" w:fill="auto"/>
            <w:noWrap w:val="0"/>
            <w:vAlign w:val="center"/>
          </w:tcPr>
          <w:p w14:paraId="65B851B6">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p>
        </w:tc>
        <w:tc>
          <w:tcPr>
            <w:tcW w:w="791" w:type="dxa"/>
            <w:shd w:val="clear" w:color="000000" w:fill="FFFFFF"/>
            <w:noWrap w:val="0"/>
            <w:vAlign w:val="center"/>
          </w:tcPr>
          <w:p w14:paraId="7FFE1FF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517" w:type="dxa"/>
            <w:noWrap/>
            <w:vAlign w:val="center"/>
          </w:tcPr>
          <w:p w14:paraId="6A54042C">
            <w:pPr>
              <w:keepNext w:val="0"/>
              <w:keepLines w:val="0"/>
              <w:pageBreakBefore w:val="0"/>
              <w:widowControl/>
              <w:kinsoku/>
              <w:wordWrap/>
              <w:overflowPunct/>
              <w:topLinePunct w:val="0"/>
              <w:autoSpaceDE/>
              <w:autoSpaceDN/>
              <w:bidi w:val="0"/>
              <w:adjustRightInd/>
              <w:snapToGrid/>
              <w:spacing w:line="240" w:lineRule="auto"/>
              <w:jc w:val="right"/>
              <w:textAlignment w:val="auto"/>
              <w:rPr>
                <w:rFonts w:hint="eastAsia"/>
                <w:color w:val="000000"/>
                <w:sz w:val="24"/>
                <w:szCs w:val="24"/>
              </w:rPr>
            </w:pPr>
            <w:r>
              <w:rPr>
                <w:rFonts w:hint="eastAsia"/>
                <w:color w:val="000000"/>
                <w:sz w:val="24"/>
                <w:szCs w:val="24"/>
              </w:rPr>
              <w:t>个</w:t>
            </w:r>
          </w:p>
        </w:tc>
        <w:tc>
          <w:tcPr>
            <w:tcW w:w="728" w:type="dxa"/>
            <w:noWrap/>
            <w:vAlign w:val="center"/>
          </w:tcPr>
          <w:p w14:paraId="4DAFD80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 </w:t>
            </w:r>
          </w:p>
        </w:tc>
        <w:tc>
          <w:tcPr>
            <w:tcW w:w="1215" w:type="dxa"/>
            <w:vMerge w:val="continue"/>
            <w:noWrap/>
            <w:vAlign w:val="center"/>
          </w:tcPr>
          <w:p w14:paraId="11E61E6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065" w:type="dxa"/>
            <w:vMerge w:val="continue"/>
            <w:noWrap/>
            <w:vAlign w:val="center"/>
          </w:tcPr>
          <w:p w14:paraId="4FF137B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c>
          <w:tcPr>
            <w:tcW w:w="1500" w:type="dxa"/>
            <w:gridSpan w:val="2"/>
            <w:vMerge w:val="continue"/>
            <w:noWrap/>
            <w:vAlign w:val="center"/>
          </w:tcPr>
          <w:p w14:paraId="2F82835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p>
        </w:tc>
      </w:tr>
      <w:tr w14:paraId="010C74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00" w:hRule="atLeast"/>
          <w:jc w:val="center"/>
        </w:trPr>
        <w:tc>
          <w:tcPr>
            <w:tcW w:w="621" w:type="dxa"/>
            <w:noWrap w:val="0"/>
            <w:vAlign w:val="center"/>
          </w:tcPr>
          <w:p w14:paraId="029E3E2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8</w:t>
            </w:r>
          </w:p>
        </w:tc>
        <w:tc>
          <w:tcPr>
            <w:tcW w:w="1185" w:type="dxa"/>
            <w:noWrap w:val="0"/>
            <w:vAlign w:val="center"/>
          </w:tcPr>
          <w:p w14:paraId="1366008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VPN设备</w:t>
            </w:r>
          </w:p>
        </w:tc>
        <w:tc>
          <w:tcPr>
            <w:tcW w:w="760" w:type="dxa"/>
            <w:noWrap w:val="0"/>
            <w:vAlign w:val="center"/>
          </w:tcPr>
          <w:p w14:paraId="19EB71C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深信服</w:t>
            </w:r>
          </w:p>
        </w:tc>
        <w:tc>
          <w:tcPr>
            <w:tcW w:w="1429" w:type="dxa"/>
            <w:noWrap w:val="0"/>
            <w:vAlign w:val="center"/>
          </w:tcPr>
          <w:p w14:paraId="1683BFFA">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VPN-1000-B400-HT</w:t>
            </w:r>
          </w:p>
        </w:tc>
        <w:tc>
          <w:tcPr>
            <w:tcW w:w="791" w:type="dxa"/>
            <w:noWrap w:val="0"/>
            <w:vAlign w:val="center"/>
          </w:tcPr>
          <w:p w14:paraId="7C2632E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517" w:type="dxa"/>
            <w:noWrap/>
            <w:vAlign w:val="center"/>
          </w:tcPr>
          <w:p w14:paraId="19761BB6">
            <w:pPr>
              <w:keepNext w:val="0"/>
              <w:keepLines w:val="0"/>
              <w:pageBreakBefore w:val="0"/>
              <w:widowControl/>
              <w:kinsoku/>
              <w:wordWrap/>
              <w:overflowPunct/>
              <w:topLinePunct w:val="0"/>
              <w:autoSpaceDE/>
              <w:autoSpaceDN/>
              <w:bidi w:val="0"/>
              <w:adjustRightInd/>
              <w:snapToGrid/>
              <w:spacing w:line="240" w:lineRule="auto"/>
              <w:jc w:val="right"/>
              <w:textAlignment w:val="auto"/>
              <w:rPr>
                <w:rFonts w:hint="eastAsia"/>
                <w:color w:val="000000"/>
                <w:sz w:val="24"/>
                <w:szCs w:val="24"/>
              </w:rPr>
            </w:pPr>
            <w:r>
              <w:rPr>
                <w:rFonts w:hint="eastAsia"/>
                <w:color w:val="000000"/>
                <w:sz w:val="24"/>
                <w:szCs w:val="24"/>
              </w:rPr>
              <w:t>台</w:t>
            </w:r>
          </w:p>
        </w:tc>
        <w:tc>
          <w:tcPr>
            <w:tcW w:w="728" w:type="dxa"/>
            <w:noWrap/>
            <w:vAlign w:val="center"/>
          </w:tcPr>
          <w:p w14:paraId="3E6B648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 </w:t>
            </w:r>
          </w:p>
        </w:tc>
        <w:tc>
          <w:tcPr>
            <w:tcW w:w="1215" w:type="dxa"/>
            <w:noWrap/>
            <w:vAlign w:val="center"/>
          </w:tcPr>
          <w:p w14:paraId="1312F46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65" w:type="dxa"/>
            <w:noWrap/>
            <w:vAlign w:val="center"/>
          </w:tcPr>
          <w:p w14:paraId="6145FCC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gridSpan w:val="2"/>
            <w:noWrap/>
            <w:vAlign w:val="center"/>
          </w:tcPr>
          <w:p w14:paraId="78C47BA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151286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80" w:hRule="atLeast"/>
          <w:jc w:val="center"/>
        </w:trPr>
        <w:tc>
          <w:tcPr>
            <w:tcW w:w="621" w:type="dxa"/>
            <w:noWrap/>
            <w:vAlign w:val="center"/>
          </w:tcPr>
          <w:p w14:paraId="12BCCB1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9</w:t>
            </w:r>
          </w:p>
        </w:tc>
        <w:tc>
          <w:tcPr>
            <w:tcW w:w="1185" w:type="dxa"/>
            <w:noWrap w:val="0"/>
            <w:vAlign w:val="center"/>
          </w:tcPr>
          <w:p w14:paraId="325F559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态势感知探针（潜伏威胁探针）</w:t>
            </w:r>
          </w:p>
        </w:tc>
        <w:tc>
          <w:tcPr>
            <w:tcW w:w="760" w:type="dxa"/>
            <w:noWrap w:val="0"/>
            <w:vAlign w:val="center"/>
          </w:tcPr>
          <w:p w14:paraId="24E7142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深信服</w:t>
            </w:r>
          </w:p>
        </w:tc>
        <w:tc>
          <w:tcPr>
            <w:tcW w:w="1429" w:type="dxa"/>
            <w:noWrap/>
            <w:vAlign w:val="center"/>
          </w:tcPr>
          <w:p w14:paraId="75A155A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STA-100-B420</w:t>
            </w:r>
          </w:p>
        </w:tc>
        <w:tc>
          <w:tcPr>
            <w:tcW w:w="791" w:type="dxa"/>
            <w:noWrap w:val="0"/>
            <w:vAlign w:val="center"/>
          </w:tcPr>
          <w:p w14:paraId="48FFE8C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517" w:type="dxa"/>
            <w:noWrap w:val="0"/>
            <w:vAlign w:val="center"/>
          </w:tcPr>
          <w:p w14:paraId="6B705DF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728" w:type="dxa"/>
            <w:noWrap w:val="0"/>
            <w:vAlign w:val="center"/>
          </w:tcPr>
          <w:p w14:paraId="4C4D003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 </w:t>
            </w:r>
          </w:p>
        </w:tc>
        <w:tc>
          <w:tcPr>
            <w:tcW w:w="1215" w:type="dxa"/>
            <w:noWrap w:val="0"/>
            <w:vAlign w:val="center"/>
          </w:tcPr>
          <w:p w14:paraId="7784DCE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65" w:type="dxa"/>
            <w:noWrap w:val="0"/>
            <w:vAlign w:val="center"/>
          </w:tcPr>
          <w:p w14:paraId="55B21B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gridSpan w:val="2"/>
            <w:noWrap w:val="0"/>
            <w:vAlign w:val="center"/>
          </w:tcPr>
          <w:p w14:paraId="151DB99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5BC7C91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621" w:type="dxa"/>
            <w:noWrap w:val="0"/>
            <w:vAlign w:val="center"/>
          </w:tcPr>
          <w:p w14:paraId="7F41231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10</w:t>
            </w:r>
          </w:p>
        </w:tc>
        <w:tc>
          <w:tcPr>
            <w:tcW w:w="1185" w:type="dxa"/>
            <w:noWrap w:val="0"/>
            <w:vAlign w:val="center"/>
          </w:tcPr>
          <w:p w14:paraId="6E8F598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态势感知平台</w:t>
            </w:r>
          </w:p>
        </w:tc>
        <w:tc>
          <w:tcPr>
            <w:tcW w:w="760" w:type="dxa"/>
            <w:noWrap w:val="0"/>
            <w:vAlign w:val="center"/>
          </w:tcPr>
          <w:p w14:paraId="009BEED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深信服</w:t>
            </w:r>
          </w:p>
        </w:tc>
        <w:tc>
          <w:tcPr>
            <w:tcW w:w="1429" w:type="dxa"/>
            <w:noWrap/>
            <w:vAlign w:val="center"/>
          </w:tcPr>
          <w:p w14:paraId="49D2B86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SIP-1000-B400</w:t>
            </w:r>
          </w:p>
        </w:tc>
        <w:tc>
          <w:tcPr>
            <w:tcW w:w="791" w:type="dxa"/>
            <w:noWrap w:val="0"/>
            <w:vAlign w:val="center"/>
          </w:tcPr>
          <w:p w14:paraId="6D39295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517" w:type="dxa"/>
            <w:noWrap w:val="0"/>
            <w:vAlign w:val="center"/>
          </w:tcPr>
          <w:p w14:paraId="4D914B0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728" w:type="dxa"/>
            <w:noWrap w:val="0"/>
            <w:vAlign w:val="center"/>
          </w:tcPr>
          <w:p w14:paraId="4BACDC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 </w:t>
            </w:r>
          </w:p>
        </w:tc>
        <w:tc>
          <w:tcPr>
            <w:tcW w:w="1215" w:type="dxa"/>
            <w:noWrap w:val="0"/>
            <w:vAlign w:val="center"/>
          </w:tcPr>
          <w:p w14:paraId="3C045DE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65" w:type="dxa"/>
            <w:noWrap w:val="0"/>
            <w:vAlign w:val="center"/>
          </w:tcPr>
          <w:p w14:paraId="1FA43F3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gridSpan w:val="2"/>
            <w:noWrap w:val="0"/>
            <w:vAlign w:val="center"/>
          </w:tcPr>
          <w:p w14:paraId="1CF706E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DE431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00" w:hRule="atLeast"/>
          <w:jc w:val="center"/>
        </w:trPr>
        <w:tc>
          <w:tcPr>
            <w:tcW w:w="621" w:type="dxa"/>
            <w:noWrap/>
            <w:vAlign w:val="center"/>
          </w:tcPr>
          <w:p w14:paraId="5B52D47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11</w:t>
            </w:r>
          </w:p>
        </w:tc>
        <w:tc>
          <w:tcPr>
            <w:tcW w:w="1185" w:type="dxa"/>
            <w:noWrap w:val="0"/>
            <w:vAlign w:val="center"/>
          </w:tcPr>
          <w:p w14:paraId="7830D84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下一代防火墙</w:t>
            </w:r>
          </w:p>
        </w:tc>
        <w:tc>
          <w:tcPr>
            <w:tcW w:w="760" w:type="dxa"/>
            <w:noWrap w:val="0"/>
            <w:vAlign w:val="center"/>
          </w:tcPr>
          <w:p w14:paraId="0A180AD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深信服</w:t>
            </w:r>
          </w:p>
        </w:tc>
        <w:tc>
          <w:tcPr>
            <w:tcW w:w="1429" w:type="dxa"/>
            <w:noWrap/>
            <w:vAlign w:val="center"/>
          </w:tcPr>
          <w:p w14:paraId="71D707A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AF-1000-FA40</w:t>
            </w:r>
          </w:p>
        </w:tc>
        <w:tc>
          <w:tcPr>
            <w:tcW w:w="791" w:type="dxa"/>
            <w:noWrap w:val="0"/>
            <w:vAlign w:val="center"/>
          </w:tcPr>
          <w:p w14:paraId="5F0F394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517" w:type="dxa"/>
            <w:noWrap w:val="0"/>
            <w:vAlign w:val="center"/>
          </w:tcPr>
          <w:p w14:paraId="6AF7A44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　</w:t>
            </w:r>
          </w:p>
        </w:tc>
        <w:tc>
          <w:tcPr>
            <w:tcW w:w="728" w:type="dxa"/>
            <w:noWrap w:val="0"/>
            <w:vAlign w:val="center"/>
          </w:tcPr>
          <w:p w14:paraId="45EF2D9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 </w:t>
            </w:r>
          </w:p>
        </w:tc>
        <w:tc>
          <w:tcPr>
            <w:tcW w:w="1215" w:type="dxa"/>
            <w:noWrap w:val="0"/>
            <w:vAlign w:val="center"/>
          </w:tcPr>
          <w:p w14:paraId="6D59C08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65" w:type="dxa"/>
            <w:noWrap w:val="0"/>
            <w:vAlign w:val="center"/>
          </w:tcPr>
          <w:p w14:paraId="2A9F165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gridSpan w:val="2"/>
            <w:noWrap w:val="0"/>
            <w:vAlign w:val="center"/>
          </w:tcPr>
          <w:p w14:paraId="06ED623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81554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80" w:hRule="atLeast"/>
          <w:jc w:val="center"/>
        </w:trPr>
        <w:tc>
          <w:tcPr>
            <w:tcW w:w="621" w:type="dxa"/>
            <w:noWrap w:val="0"/>
            <w:vAlign w:val="center"/>
          </w:tcPr>
          <w:p w14:paraId="1AD11A4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12</w:t>
            </w:r>
          </w:p>
        </w:tc>
        <w:tc>
          <w:tcPr>
            <w:tcW w:w="1185" w:type="dxa"/>
            <w:noWrap w:val="0"/>
            <w:vAlign w:val="center"/>
          </w:tcPr>
          <w:p w14:paraId="3283B31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终端安全防御（上网行为管理）</w:t>
            </w:r>
          </w:p>
        </w:tc>
        <w:tc>
          <w:tcPr>
            <w:tcW w:w="760" w:type="dxa"/>
            <w:noWrap w:val="0"/>
            <w:vAlign w:val="center"/>
          </w:tcPr>
          <w:p w14:paraId="7F8B584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深信服</w:t>
            </w:r>
          </w:p>
        </w:tc>
        <w:tc>
          <w:tcPr>
            <w:tcW w:w="1429" w:type="dxa"/>
            <w:noWrap/>
            <w:vAlign w:val="center"/>
          </w:tcPr>
          <w:p w14:paraId="29EC02A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AC-1000-F600P</w:t>
            </w:r>
          </w:p>
        </w:tc>
        <w:tc>
          <w:tcPr>
            <w:tcW w:w="791" w:type="dxa"/>
            <w:noWrap w:val="0"/>
            <w:vAlign w:val="center"/>
          </w:tcPr>
          <w:p w14:paraId="38B8392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517" w:type="dxa"/>
            <w:noWrap w:val="0"/>
            <w:vAlign w:val="center"/>
          </w:tcPr>
          <w:p w14:paraId="647521D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728" w:type="dxa"/>
            <w:noWrap w:val="0"/>
            <w:vAlign w:val="center"/>
          </w:tcPr>
          <w:p w14:paraId="69571C7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 </w:t>
            </w:r>
          </w:p>
        </w:tc>
        <w:tc>
          <w:tcPr>
            <w:tcW w:w="1215" w:type="dxa"/>
            <w:noWrap w:val="0"/>
            <w:vAlign w:val="center"/>
          </w:tcPr>
          <w:p w14:paraId="37A79B0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65" w:type="dxa"/>
            <w:noWrap w:val="0"/>
            <w:vAlign w:val="center"/>
          </w:tcPr>
          <w:p w14:paraId="0319C6A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gridSpan w:val="2"/>
            <w:noWrap w:val="0"/>
            <w:vAlign w:val="center"/>
          </w:tcPr>
          <w:p w14:paraId="1CA6893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8B244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939" w:hRule="atLeast"/>
          <w:jc w:val="center"/>
        </w:trPr>
        <w:tc>
          <w:tcPr>
            <w:tcW w:w="621" w:type="dxa"/>
            <w:noWrap/>
            <w:vAlign w:val="center"/>
          </w:tcPr>
          <w:p w14:paraId="0481D1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13</w:t>
            </w:r>
          </w:p>
        </w:tc>
        <w:tc>
          <w:tcPr>
            <w:tcW w:w="1185" w:type="dxa"/>
            <w:noWrap w:val="0"/>
            <w:vAlign w:val="center"/>
          </w:tcPr>
          <w:p w14:paraId="7B20A71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堡垒机（运维安全管理系统）</w:t>
            </w:r>
          </w:p>
        </w:tc>
        <w:tc>
          <w:tcPr>
            <w:tcW w:w="760" w:type="dxa"/>
            <w:noWrap w:val="0"/>
            <w:vAlign w:val="center"/>
          </w:tcPr>
          <w:p w14:paraId="3306EB6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思福迪</w:t>
            </w:r>
          </w:p>
        </w:tc>
        <w:tc>
          <w:tcPr>
            <w:tcW w:w="1429" w:type="dxa"/>
            <w:noWrap/>
            <w:vAlign w:val="center"/>
          </w:tcPr>
          <w:p w14:paraId="23C0FB2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LogBase-B3898</w:t>
            </w:r>
          </w:p>
        </w:tc>
        <w:tc>
          <w:tcPr>
            <w:tcW w:w="791" w:type="dxa"/>
            <w:noWrap w:val="0"/>
            <w:vAlign w:val="center"/>
          </w:tcPr>
          <w:p w14:paraId="156ED25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517" w:type="dxa"/>
            <w:noWrap w:val="0"/>
            <w:vAlign w:val="center"/>
          </w:tcPr>
          <w:p w14:paraId="6B90237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728" w:type="dxa"/>
            <w:noWrap w:val="0"/>
            <w:vAlign w:val="center"/>
          </w:tcPr>
          <w:p w14:paraId="18F4405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 </w:t>
            </w:r>
          </w:p>
        </w:tc>
        <w:tc>
          <w:tcPr>
            <w:tcW w:w="1215" w:type="dxa"/>
            <w:noWrap w:val="0"/>
            <w:vAlign w:val="center"/>
          </w:tcPr>
          <w:p w14:paraId="595C666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65" w:type="dxa"/>
            <w:noWrap w:val="0"/>
            <w:vAlign w:val="center"/>
          </w:tcPr>
          <w:p w14:paraId="78C364B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gridSpan w:val="2"/>
            <w:noWrap w:val="0"/>
            <w:vAlign w:val="center"/>
          </w:tcPr>
          <w:p w14:paraId="68C3EBE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E4ED5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885" w:hRule="atLeast"/>
          <w:jc w:val="center"/>
        </w:trPr>
        <w:tc>
          <w:tcPr>
            <w:tcW w:w="621" w:type="dxa"/>
            <w:noWrap w:val="0"/>
            <w:vAlign w:val="center"/>
          </w:tcPr>
          <w:p w14:paraId="16F1A4C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14</w:t>
            </w:r>
          </w:p>
        </w:tc>
        <w:tc>
          <w:tcPr>
            <w:tcW w:w="1185" w:type="dxa"/>
            <w:noWrap w:val="0"/>
            <w:vAlign w:val="center"/>
          </w:tcPr>
          <w:p w14:paraId="4AE99B4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联软安略安全管控平台</w:t>
            </w:r>
          </w:p>
        </w:tc>
        <w:tc>
          <w:tcPr>
            <w:tcW w:w="760" w:type="dxa"/>
            <w:noWrap w:val="0"/>
            <w:vAlign w:val="center"/>
          </w:tcPr>
          <w:p w14:paraId="161CF70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联软科技</w:t>
            </w:r>
          </w:p>
        </w:tc>
        <w:tc>
          <w:tcPr>
            <w:tcW w:w="1429" w:type="dxa"/>
            <w:noWrap/>
            <w:vAlign w:val="center"/>
          </w:tcPr>
          <w:p w14:paraId="21C74FE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LV-7200</w:t>
            </w:r>
          </w:p>
        </w:tc>
        <w:tc>
          <w:tcPr>
            <w:tcW w:w="791" w:type="dxa"/>
            <w:noWrap w:val="0"/>
            <w:vAlign w:val="center"/>
          </w:tcPr>
          <w:p w14:paraId="60AEA0F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517" w:type="dxa"/>
            <w:noWrap w:val="0"/>
            <w:vAlign w:val="center"/>
          </w:tcPr>
          <w:p w14:paraId="1B5EC18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728" w:type="dxa"/>
            <w:noWrap w:val="0"/>
            <w:vAlign w:val="center"/>
          </w:tcPr>
          <w:p w14:paraId="346AB7C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 </w:t>
            </w:r>
          </w:p>
        </w:tc>
        <w:tc>
          <w:tcPr>
            <w:tcW w:w="1215" w:type="dxa"/>
            <w:noWrap w:val="0"/>
            <w:vAlign w:val="center"/>
          </w:tcPr>
          <w:p w14:paraId="13FE4C6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65" w:type="dxa"/>
            <w:noWrap w:val="0"/>
            <w:vAlign w:val="center"/>
          </w:tcPr>
          <w:p w14:paraId="4061894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gridSpan w:val="2"/>
            <w:noWrap w:val="0"/>
            <w:vAlign w:val="center"/>
          </w:tcPr>
          <w:p w14:paraId="3EE9454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A5780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98" w:hRule="atLeast"/>
          <w:jc w:val="center"/>
        </w:trPr>
        <w:tc>
          <w:tcPr>
            <w:tcW w:w="621" w:type="dxa"/>
            <w:noWrap/>
            <w:vAlign w:val="center"/>
          </w:tcPr>
          <w:p w14:paraId="0C7E4BF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15</w:t>
            </w:r>
          </w:p>
        </w:tc>
        <w:tc>
          <w:tcPr>
            <w:tcW w:w="1185" w:type="dxa"/>
            <w:noWrap w:val="0"/>
            <w:vAlign w:val="center"/>
          </w:tcPr>
          <w:p w14:paraId="49884D7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联软数据摆渡设备</w:t>
            </w:r>
          </w:p>
        </w:tc>
        <w:tc>
          <w:tcPr>
            <w:tcW w:w="760" w:type="dxa"/>
            <w:noWrap w:val="0"/>
            <w:vAlign w:val="center"/>
          </w:tcPr>
          <w:p w14:paraId="2B1A357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联软科技</w:t>
            </w:r>
          </w:p>
        </w:tc>
        <w:tc>
          <w:tcPr>
            <w:tcW w:w="1429" w:type="dxa"/>
            <w:noWrap/>
            <w:vAlign w:val="center"/>
          </w:tcPr>
          <w:p w14:paraId="12CA58B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NXG-2050</w:t>
            </w:r>
          </w:p>
        </w:tc>
        <w:tc>
          <w:tcPr>
            <w:tcW w:w="791" w:type="dxa"/>
            <w:noWrap w:val="0"/>
            <w:vAlign w:val="center"/>
          </w:tcPr>
          <w:p w14:paraId="40E9E3D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517" w:type="dxa"/>
            <w:noWrap w:val="0"/>
            <w:vAlign w:val="center"/>
          </w:tcPr>
          <w:p w14:paraId="407691F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728" w:type="dxa"/>
            <w:noWrap w:val="0"/>
            <w:vAlign w:val="center"/>
          </w:tcPr>
          <w:p w14:paraId="0117D81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 </w:t>
            </w:r>
          </w:p>
        </w:tc>
        <w:tc>
          <w:tcPr>
            <w:tcW w:w="1215" w:type="dxa"/>
            <w:noWrap w:val="0"/>
            <w:vAlign w:val="center"/>
          </w:tcPr>
          <w:p w14:paraId="5F1F45A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65" w:type="dxa"/>
            <w:noWrap w:val="0"/>
            <w:vAlign w:val="center"/>
          </w:tcPr>
          <w:p w14:paraId="3307D7E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gridSpan w:val="2"/>
            <w:noWrap w:val="0"/>
            <w:vAlign w:val="center"/>
          </w:tcPr>
          <w:p w14:paraId="6DBF7C0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2E68BE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0" w:hRule="atLeast"/>
          <w:jc w:val="center"/>
        </w:trPr>
        <w:tc>
          <w:tcPr>
            <w:tcW w:w="621" w:type="dxa"/>
            <w:noWrap w:val="0"/>
            <w:vAlign w:val="center"/>
          </w:tcPr>
          <w:p w14:paraId="779D862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16</w:t>
            </w:r>
          </w:p>
        </w:tc>
        <w:tc>
          <w:tcPr>
            <w:tcW w:w="1185" w:type="dxa"/>
            <w:noWrap w:val="0"/>
            <w:vAlign w:val="center"/>
          </w:tcPr>
          <w:p w14:paraId="0CE1B83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联软IT安全运维管理软件</w:t>
            </w:r>
          </w:p>
        </w:tc>
        <w:tc>
          <w:tcPr>
            <w:tcW w:w="760" w:type="dxa"/>
            <w:noWrap w:val="0"/>
            <w:vAlign w:val="center"/>
          </w:tcPr>
          <w:p w14:paraId="663AEA0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联软科技</w:t>
            </w:r>
          </w:p>
        </w:tc>
        <w:tc>
          <w:tcPr>
            <w:tcW w:w="1429" w:type="dxa"/>
            <w:noWrap/>
            <w:vAlign w:val="center"/>
          </w:tcPr>
          <w:p w14:paraId="030D8F9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V3.5</w:t>
            </w:r>
          </w:p>
        </w:tc>
        <w:tc>
          <w:tcPr>
            <w:tcW w:w="791" w:type="dxa"/>
            <w:noWrap w:val="0"/>
            <w:vAlign w:val="center"/>
          </w:tcPr>
          <w:p w14:paraId="25B631C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517" w:type="dxa"/>
            <w:noWrap w:val="0"/>
            <w:vAlign w:val="center"/>
          </w:tcPr>
          <w:p w14:paraId="57D7386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728" w:type="dxa"/>
            <w:noWrap w:val="0"/>
            <w:vAlign w:val="center"/>
          </w:tcPr>
          <w:p w14:paraId="7B24E52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1 </w:t>
            </w:r>
          </w:p>
        </w:tc>
        <w:tc>
          <w:tcPr>
            <w:tcW w:w="1215" w:type="dxa"/>
            <w:noWrap w:val="0"/>
            <w:vAlign w:val="center"/>
          </w:tcPr>
          <w:p w14:paraId="14A3205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65" w:type="dxa"/>
            <w:noWrap w:val="0"/>
            <w:vAlign w:val="center"/>
          </w:tcPr>
          <w:p w14:paraId="7E43203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gridSpan w:val="2"/>
            <w:noWrap w:val="0"/>
            <w:vAlign w:val="center"/>
          </w:tcPr>
          <w:p w14:paraId="6B2C0F1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bl>
    <w:p w14:paraId="440B636F">
      <w:pPr>
        <w:pStyle w:val="12"/>
        <w:numPr>
          <w:ilvl w:val="1"/>
          <w:numId w:val="0"/>
        </w:numPr>
        <w:spacing w:before="120" w:beforeLines="50" w:line="300" w:lineRule="auto"/>
        <w:rPr>
          <w:rFonts w:hint="eastAsia" w:cs="宋体"/>
          <w:sz w:val="24"/>
          <w:szCs w:val="22"/>
          <w:lang w:val="en-US" w:eastAsia="zh-CN" w:bidi="ar-SA"/>
        </w:rPr>
      </w:pPr>
    </w:p>
    <w:p w14:paraId="665B6058">
      <w:pPr>
        <w:pStyle w:val="12"/>
        <w:numPr>
          <w:ilvl w:val="1"/>
          <w:numId w:val="0"/>
        </w:numPr>
        <w:spacing w:before="120" w:beforeLines="50" w:line="300" w:lineRule="auto"/>
        <w:rPr>
          <w:rFonts w:hint="eastAsia"/>
          <w:sz w:val="24"/>
        </w:rPr>
      </w:pPr>
      <w:r>
        <w:rPr>
          <w:rFonts w:hint="eastAsia" w:cs="宋体"/>
          <w:sz w:val="24"/>
          <w:szCs w:val="22"/>
          <w:lang w:val="en-US" w:eastAsia="zh-CN" w:bidi="ar-SA"/>
        </w:rPr>
        <w:t>（4）</w:t>
      </w:r>
      <w:r>
        <w:rPr>
          <w:sz w:val="24"/>
        </w:rPr>
        <w:t>模块化机房设备</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447"/>
        <w:gridCol w:w="1701"/>
        <w:gridCol w:w="941"/>
        <w:gridCol w:w="1245"/>
        <w:gridCol w:w="1215"/>
        <w:gridCol w:w="1035"/>
        <w:gridCol w:w="1515"/>
      </w:tblGrid>
      <w:tr w14:paraId="5D6E2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76" w:type="dxa"/>
            <w:noWrap w:val="0"/>
            <w:vAlign w:val="center"/>
          </w:tcPr>
          <w:p w14:paraId="4987658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序号</w:t>
            </w:r>
          </w:p>
        </w:tc>
        <w:tc>
          <w:tcPr>
            <w:tcW w:w="1447" w:type="dxa"/>
            <w:noWrap w:val="0"/>
            <w:vAlign w:val="center"/>
          </w:tcPr>
          <w:p w14:paraId="0A34537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名称</w:t>
            </w:r>
          </w:p>
        </w:tc>
        <w:tc>
          <w:tcPr>
            <w:tcW w:w="1701" w:type="dxa"/>
            <w:noWrap w:val="0"/>
            <w:vAlign w:val="center"/>
          </w:tcPr>
          <w:p w14:paraId="0824E1D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型号</w:t>
            </w:r>
          </w:p>
        </w:tc>
        <w:tc>
          <w:tcPr>
            <w:tcW w:w="941" w:type="dxa"/>
            <w:noWrap/>
            <w:vAlign w:val="center"/>
          </w:tcPr>
          <w:p w14:paraId="76E15CF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单位</w:t>
            </w:r>
          </w:p>
        </w:tc>
        <w:tc>
          <w:tcPr>
            <w:tcW w:w="1245" w:type="dxa"/>
            <w:noWrap w:val="0"/>
            <w:vAlign w:val="center"/>
          </w:tcPr>
          <w:p w14:paraId="77ED19E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数量</w:t>
            </w:r>
          </w:p>
        </w:tc>
        <w:tc>
          <w:tcPr>
            <w:tcW w:w="1215" w:type="dxa"/>
            <w:noWrap w:val="0"/>
            <w:vAlign w:val="center"/>
          </w:tcPr>
          <w:p w14:paraId="6F56BF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00"/>
                <w:sz w:val="24"/>
                <w:szCs w:val="24"/>
                <w:lang w:val="en-US" w:eastAsia="en-US" w:bidi="ar-SA"/>
              </w:rPr>
            </w:pPr>
            <w:r>
              <w:rPr>
                <w:rFonts w:hint="eastAsia" w:ascii="宋体" w:eastAsia="宋体"/>
                <w:b/>
                <w:bCs/>
                <w:color w:val="000000"/>
                <w:sz w:val="24"/>
                <w:szCs w:val="24"/>
                <w:lang w:val="en-US" w:eastAsia="zh-CN"/>
              </w:rPr>
              <w:t>购置时间</w:t>
            </w:r>
          </w:p>
        </w:tc>
        <w:tc>
          <w:tcPr>
            <w:tcW w:w="1035" w:type="dxa"/>
            <w:noWrap w:val="0"/>
            <w:vAlign w:val="center"/>
          </w:tcPr>
          <w:p w14:paraId="433495F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00"/>
                <w:sz w:val="24"/>
                <w:szCs w:val="24"/>
                <w:lang w:val="en-US" w:eastAsia="en-US" w:bidi="ar-SA"/>
              </w:rPr>
            </w:pPr>
            <w:r>
              <w:rPr>
                <w:rFonts w:hint="eastAsia" w:ascii="宋体" w:eastAsia="宋体"/>
                <w:b/>
                <w:bCs/>
                <w:color w:val="000000"/>
                <w:sz w:val="24"/>
                <w:szCs w:val="24"/>
                <w:lang w:val="en-US" w:eastAsia="zh-CN"/>
              </w:rPr>
              <w:t>是否有保修</w:t>
            </w:r>
          </w:p>
        </w:tc>
        <w:tc>
          <w:tcPr>
            <w:tcW w:w="1515" w:type="dxa"/>
            <w:noWrap w:val="0"/>
            <w:vAlign w:val="center"/>
          </w:tcPr>
          <w:p w14:paraId="77BEC8C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00"/>
                <w:sz w:val="24"/>
                <w:szCs w:val="24"/>
                <w:lang w:val="en-US" w:eastAsia="en-US" w:bidi="ar-SA"/>
              </w:rPr>
            </w:pPr>
            <w:r>
              <w:rPr>
                <w:rFonts w:hint="eastAsia"/>
                <w:b/>
                <w:bCs/>
                <w:color w:val="000000"/>
                <w:sz w:val="24"/>
                <w:szCs w:val="24"/>
              </w:rPr>
              <w:t>是否需要购买原厂维保</w:t>
            </w:r>
          </w:p>
        </w:tc>
      </w:tr>
      <w:tr w14:paraId="3293F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676" w:type="dxa"/>
            <w:noWrap w:val="0"/>
            <w:vAlign w:val="center"/>
          </w:tcPr>
          <w:p w14:paraId="4663E79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447" w:type="dxa"/>
            <w:noWrap w:val="0"/>
            <w:vAlign w:val="center"/>
          </w:tcPr>
          <w:p w14:paraId="7439CC9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40E410A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DKBA41508649.ASM</w:t>
            </w:r>
          </w:p>
        </w:tc>
        <w:tc>
          <w:tcPr>
            <w:tcW w:w="941" w:type="dxa"/>
            <w:noWrap/>
            <w:vAlign w:val="center"/>
          </w:tcPr>
          <w:p w14:paraId="5659083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797755E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28</w:t>
            </w:r>
          </w:p>
        </w:tc>
        <w:tc>
          <w:tcPr>
            <w:tcW w:w="1215" w:type="dxa"/>
            <w:noWrap w:val="0"/>
            <w:vAlign w:val="center"/>
          </w:tcPr>
          <w:p w14:paraId="789E842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6BBAA89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46EA6B5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0B0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76" w:type="dxa"/>
            <w:noWrap/>
            <w:vAlign w:val="center"/>
          </w:tcPr>
          <w:p w14:paraId="2FFC80B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447" w:type="dxa"/>
            <w:noWrap w:val="0"/>
            <w:vAlign w:val="center"/>
          </w:tcPr>
          <w:p w14:paraId="2128795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4311545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华为</w:t>
            </w:r>
          </w:p>
        </w:tc>
        <w:tc>
          <w:tcPr>
            <w:tcW w:w="941" w:type="dxa"/>
            <w:noWrap/>
            <w:vAlign w:val="center"/>
          </w:tcPr>
          <w:p w14:paraId="4B86094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377C72D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215" w:type="dxa"/>
            <w:noWrap w:val="0"/>
            <w:vAlign w:val="center"/>
          </w:tcPr>
          <w:p w14:paraId="0C5158D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1B2E05E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68484C6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3C7E7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676" w:type="dxa"/>
            <w:noWrap w:val="0"/>
            <w:vAlign w:val="center"/>
          </w:tcPr>
          <w:p w14:paraId="349953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w:t>
            </w:r>
          </w:p>
        </w:tc>
        <w:tc>
          <w:tcPr>
            <w:tcW w:w="1447" w:type="dxa"/>
            <w:noWrap/>
            <w:vAlign w:val="center"/>
          </w:tcPr>
          <w:p w14:paraId="0D7C763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5F2FB54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941" w:type="dxa"/>
            <w:noWrap/>
            <w:vAlign w:val="center"/>
          </w:tcPr>
          <w:p w14:paraId="1743792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5C3F448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1215" w:type="dxa"/>
            <w:noWrap w:val="0"/>
            <w:vAlign w:val="center"/>
          </w:tcPr>
          <w:p w14:paraId="31A70CD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0DC7861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2ED4C7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45C5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76" w:type="dxa"/>
            <w:noWrap w:val="0"/>
            <w:vAlign w:val="center"/>
          </w:tcPr>
          <w:p w14:paraId="2B2CA6B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sz w:val="24"/>
                <w:szCs w:val="24"/>
              </w:rPr>
            </w:pPr>
            <w:r>
              <w:rPr>
                <w:rFonts w:hint="eastAsia"/>
                <w:sz w:val="24"/>
                <w:szCs w:val="24"/>
              </w:rPr>
              <w:t>4</w:t>
            </w:r>
          </w:p>
        </w:tc>
        <w:tc>
          <w:tcPr>
            <w:tcW w:w="1447" w:type="dxa"/>
            <w:noWrap w:val="0"/>
            <w:vAlign w:val="center"/>
          </w:tcPr>
          <w:p w14:paraId="06EE1A6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5E2127E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DKBA41508649.ASM</w:t>
            </w:r>
          </w:p>
        </w:tc>
        <w:tc>
          <w:tcPr>
            <w:tcW w:w="941" w:type="dxa"/>
            <w:noWrap/>
            <w:vAlign w:val="center"/>
          </w:tcPr>
          <w:p w14:paraId="708E84D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09F91D5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1215" w:type="dxa"/>
            <w:noWrap w:val="0"/>
            <w:vAlign w:val="center"/>
          </w:tcPr>
          <w:p w14:paraId="117AA7C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2EA4BE8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042C1BC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2C353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76" w:type="dxa"/>
            <w:noWrap/>
            <w:vAlign w:val="center"/>
          </w:tcPr>
          <w:p w14:paraId="01B868B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w:t>
            </w:r>
          </w:p>
        </w:tc>
        <w:tc>
          <w:tcPr>
            <w:tcW w:w="1447" w:type="dxa"/>
            <w:noWrap w:val="0"/>
            <w:vAlign w:val="center"/>
          </w:tcPr>
          <w:p w14:paraId="5A06025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sz w:val="24"/>
                <w:szCs w:val="24"/>
              </w:rPr>
            </w:pPr>
            <w:r>
              <w:rPr>
                <w:rFonts w:hint="eastAsia"/>
                <w:color w:val="000000"/>
                <w:sz w:val="24"/>
                <w:szCs w:val="24"/>
              </w:rPr>
              <w:t>机柜组件</w:t>
            </w:r>
          </w:p>
        </w:tc>
        <w:tc>
          <w:tcPr>
            <w:tcW w:w="1701" w:type="dxa"/>
            <w:noWrap/>
            <w:vAlign w:val="center"/>
          </w:tcPr>
          <w:p w14:paraId="2B1C5D2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DKBA41508654.ASM</w:t>
            </w:r>
          </w:p>
        </w:tc>
        <w:tc>
          <w:tcPr>
            <w:tcW w:w="941" w:type="dxa"/>
            <w:noWrap/>
            <w:vAlign w:val="center"/>
          </w:tcPr>
          <w:p w14:paraId="2C16E8D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1AA65E5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14</w:t>
            </w:r>
          </w:p>
        </w:tc>
        <w:tc>
          <w:tcPr>
            <w:tcW w:w="1215" w:type="dxa"/>
            <w:noWrap w:val="0"/>
            <w:vAlign w:val="center"/>
          </w:tcPr>
          <w:p w14:paraId="47EE9A8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6EF7796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1D14041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5CD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676" w:type="dxa"/>
            <w:noWrap w:val="0"/>
            <w:vAlign w:val="center"/>
          </w:tcPr>
          <w:p w14:paraId="543EA69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w:t>
            </w:r>
          </w:p>
        </w:tc>
        <w:tc>
          <w:tcPr>
            <w:tcW w:w="1447" w:type="dxa"/>
            <w:noWrap/>
            <w:vAlign w:val="center"/>
          </w:tcPr>
          <w:p w14:paraId="5E65CB9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6A45A20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Cable trough-600</w:t>
            </w:r>
          </w:p>
        </w:tc>
        <w:tc>
          <w:tcPr>
            <w:tcW w:w="941" w:type="dxa"/>
            <w:noWrap/>
            <w:vAlign w:val="center"/>
          </w:tcPr>
          <w:p w14:paraId="2799626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64E7265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18</w:t>
            </w:r>
          </w:p>
        </w:tc>
        <w:tc>
          <w:tcPr>
            <w:tcW w:w="1215" w:type="dxa"/>
            <w:noWrap w:val="0"/>
            <w:vAlign w:val="center"/>
          </w:tcPr>
          <w:p w14:paraId="072F47B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33D730D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091AF2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162D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76" w:type="dxa"/>
            <w:noWrap w:val="0"/>
            <w:vAlign w:val="center"/>
          </w:tcPr>
          <w:p w14:paraId="6326C30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7</w:t>
            </w:r>
          </w:p>
        </w:tc>
        <w:tc>
          <w:tcPr>
            <w:tcW w:w="1447" w:type="dxa"/>
            <w:noWrap w:val="0"/>
            <w:vAlign w:val="center"/>
          </w:tcPr>
          <w:p w14:paraId="6861AA9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27D3709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sz w:val="24"/>
                <w:szCs w:val="24"/>
              </w:rPr>
            </w:pPr>
            <w:r>
              <w:rPr>
                <w:rFonts w:hint="eastAsia"/>
                <w:sz w:val="24"/>
                <w:szCs w:val="24"/>
              </w:rPr>
              <w:t>DKBA41511026</w:t>
            </w:r>
          </w:p>
        </w:tc>
        <w:tc>
          <w:tcPr>
            <w:tcW w:w="941" w:type="dxa"/>
            <w:noWrap/>
            <w:vAlign w:val="center"/>
          </w:tcPr>
          <w:p w14:paraId="6108D0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45FB5C4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1215" w:type="dxa"/>
            <w:noWrap w:val="0"/>
            <w:vAlign w:val="center"/>
          </w:tcPr>
          <w:p w14:paraId="349DBF7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0D5D42A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5B71255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42BE4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76" w:type="dxa"/>
            <w:noWrap/>
            <w:vAlign w:val="center"/>
          </w:tcPr>
          <w:p w14:paraId="21496EE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8</w:t>
            </w:r>
          </w:p>
        </w:tc>
        <w:tc>
          <w:tcPr>
            <w:tcW w:w="1447" w:type="dxa"/>
            <w:noWrap w:val="0"/>
            <w:vAlign w:val="center"/>
          </w:tcPr>
          <w:p w14:paraId="32D063D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ign w:val="center"/>
          </w:tcPr>
          <w:p w14:paraId="66952B1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DKBA41507331.ASM</w:t>
            </w:r>
          </w:p>
        </w:tc>
        <w:tc>
          <w:tcPr>
            <w:tcW w:w="941" w:type="dxa"/>
            <w:noWrap/>
            <w:vAlign w:val="center"/>
          </w:tcPr>
          <w:p w14:paraId="749D8C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712D2DA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215" w:type="dxa"/>
            <w:noWrap w:val="0"/>
            <w:vAlign w:val="center"/>
          </w:tcPr>
          <w:p w14:paraId="4D39C8C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1500E3F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733F49A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F848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676" w:type="dxa"/>
            <w:noWrap w:val="0"/>
            <w:vAlign w:val="center"/>
          </w:tcPr>
          <w:p w14:paraId="2DDDE17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9</w:t>
            </w:r>
          </w:p>
        </w:tc>
        <w:tc>
          <w:tcPr>
            <w:tcW w:w="1447" w:type="dxa"/>
            <w:noWrap w:val="0"/>
            <w:vAlign w:val="center"/>
          </w:tcPr>
          <w:p w14:paraId="16BEAC4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19156E1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MATERPRPACK</w:t>
            </w:r>
          </w:p>
        </w:tc>
        <w:tc>
          <w:tcPr>
            <w:tcW w:w="941" w:type="dxa"/>
            <w:noWrap/>
            <w:vAlign w:val="center"/>
          </w:tcPr>
          <w:p w14:paraId="3961F1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290C9F7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215" w:type="dxa"/>
            <w:noWrap w:val="0"/>
            <w:vAlign w:val="center"/>
          </w:tcPr>
          <w:p w14:paraId="362A4C7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52C6020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7B33D89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9076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76" w:type="dxa"/>
            <w:noWrap w:val="0"/>
            <w:vAlign w:val="center"/>
          </w:tcPr>
          <w:p w14:paraId="2ACED88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10</w:t>
            </w:r>
          </w:p>
        </w:tc>
        <w:tc>
          <w:tcPr>
            <w:tcW w:w="1447" w:type="dxa"/>
            <w:noWrap w:val="0"/>
            <w:vAlign w:val="center"/>
          </w:tcPr>
          <w:p w14:paraId="06CE074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518BE6F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IDS2CABCHAS0</w:t>
            </w:r>
          </w:p>
        </w:tc>
        <w:tc>
          <w:tcPr>
            <w:tcW w:w="941" w:type="dxa"/>
            <w:noWrap/>
            <w:vAlign w:val="center"/>
          </w:tcPr>
          <w:p w14:paraId="65D0745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2B907E6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w:t>
            </w:r>
          </w:p>
        </w:tc>
        <w:tc>
          <w:tcPr>
            <w:tcW w:w="1215" w:type="dxa"/>
            <w:noWrap w:val="0"/>
            <w:vAlign w:val="center"/>
          </w:tcPr>
          <w:p w14:paraId="4FF98CF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0F7E614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3CCBC60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584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76" w:type="dxa"/>
            <w:noWrap w:val="0"/>
            <w:vAlign w:val="center"/>
          </w:tcPr>
          <w:p w14:paraId="43450FC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11</w:t>
            </w:r>
          </w:p>
        </w:tc>
        <w:tc>
          <w:tcPr>
            <w:tcW w:w="1447" w:type="dxa"/>
            <w:noWrap w:val="0"/>
            <w:vAlign w:val="center"/>
          </w:tcPr>
          <w:p w14:paraId="72908E4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6D61D35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照明系统-LED地脚灯-220V-240V-单相-50Hz-3600mW-地脚灯-蓝光</w:t>
            </w:r>
          </w:p>
        </w:tc>
        <w:tc>
          <w:tcPr>
            <w:tcW w:w="941" w:type="dxa"/>
            <w:noWrap/>
            <w:vAlign w:val="center"/>
          </w:tcPr>
          <w:p w14:paraId="3C10283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162F94A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18</w:t>
            </w:r>
          </w:p>
        </w:tc>
        <w:tc>
          <w:tcPr>
            <w:tcW w:w="1215" w:type="dxa"/>
            <w:noWrap w:val="0"/>
            <w:vAlign w:val="center"/>
          </w:tcPr>
          <w:p w14:paraId="72272B0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183762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25B61E1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99B1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6" w:type="dxa"/>
            <w:noWrap w:val="0"/>
            <w:vAlign w:val="center"/>
          </w:tcPr>
          <w:p w14:paraId="28CA282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12</w:t>
            </w:r>
          </w:p>
        </w:tc>
        <w:tc>
          <w:tcPr>
            <w:tcW w:w="1447" w:type="dxa"/>
            <w:noWrap w:val="0"/>
            <w:vAlign w:val="center"/>
          </w:tcPr>
          <w:p w14:paraId="6B5F677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09C925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CF-ECC800-Pro</w:t>
            </w:r>
          </w:p>
        </w:tc>
        <w:tc>
          <w:tcPr>
            <w:tcW w:w="941" w:type="dxa"/>
            <w:noWrap/>
            <w:vAlign w:val="center"/>
          </w:tcPr>
          <w:p w14:paraId="14D953C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6CB9D42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215" w:type="dxa"/>
            <w:noWrap w:val="0"/>
            <w:vAlign w:val="center"/>
          </w:tcPr>
          <w:p w14:paraId="13B00AB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4B6A53E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53F6359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2D93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676" w:type="dxa"/>
            <w:noWrap w:val="0"/>
            <w:vAlign w:val="center"/>
          </w:tcPr>
          <w:p w14:paraId="768B8AB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13</w:t>
            </w:r>
          </w:p>
        </w:tc>
        <w:tc>
          <w:tcPr>
            <w:tcW w:w="1447" w:type="dxa"/>
            <w:noWrap w:val="0"/>
            <w:vAlign w:val="center"/>
          </w:tcPr>
          <w:p w14:paraId="4B96A4A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17698CA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网络配件-智能ETH插座-48VDC-4个POE接口-UT-H606</w:t>
            </w:r>
          </w:p>
        </w:tc>
        <w:tc>
          <w:tcPr>
            <w:tcW w:w="941" w:type="dxa"/>
            <w:noWrap/>
            <w:vAlign w:val="center"/>
          </w:tcPr>
          <w:p w14:paraId="0C61E02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39F0476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215" w:type="dxa"/>
            <w:noWrap w:val="0"/>
            <w:vAlign w:val="center"/>
          </w:tcPr>
          <w:p w14:paraId="4187A38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3E6A250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27E90C8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340E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676" w:type="dxa"/>
            <w:noWrap w:val="0"/>
            <w:vAlign w:val="center"/>
          </w:tcPr>
          <w:p w14:paraId="7A690B8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14</w:t>
            </w:r>
          </w:p>
        </w:tc>
        <w:tc>
          <w:tcPr>
            <w:tcW w:w="1447" w:type="dxa"/>
            <w:noWrap w:val="0"/>
            <w:vAlign w:val="center"/>
          </w:tcPr>
          <w:p w14:paraId="6D8F92C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52C44ED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FMTABLETCH</w:t>
            </w:r>
          </w:p>
        </w:tc>
        <w:tc>
          <w:tcPr>
            <w:tcW w:w="941" w:type="dxa"/>
            <w:noWrap/>
            <w:vAlign w:val="center"/>
          </w:tcPr>
          <w:p w14:paraId="412F713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7E8F89F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215" w:type="dxa"/>
            <w:noWrap w:val="0"/>
            <w:vAlign w:val="center"/>
          </w:tcPr>
          <w:p w14:paraId="535EE19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61C2116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28A703F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D638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676" w:type="dxa"/>
            <w:noWrap/>
            <w:vAlign w:val="center"/>
          </w:tcPr>
          <w:p w14:paraId="12F47A6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15</w:t>
            </w:r>
          </w:p>
        </w:tc>
        <w:tc>
          <w:tcPr>
            <w:tcW w:w="1447" w:type="dxa"/>
            <w:noWrap w:val="0"/>
            <w:vAlign w:val="center"/>
          </w:tcPr>
          <w:p w14:paraId="1930D55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72B3CA2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华为</w:t>
            </w:r>
          </w:p>
        </w:tc>
        <w:tc>
          <w:tcPr>
            <w:tcW w:w="941" w:type="dxa"/>
            <w:noWrap/>
            <w:vAlign w:val="center"/>
          </w:tcPr>
          <w:p w14:paraId="5D20DF2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5E7E963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8</w:t>
            </w:r>
          </w:p>
        </w:tc>
        <w:tc>
          <w:tcPr>
            <w:tcW w:w="1215" w:type="dxa"/>
            <w:noWrap w:val="0"/>
            <w:vAlign w:val="center"/>
          </w:tcPr>
          <w:p w14:paraId="3A6F185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6AD21D4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32077A1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77E8C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0A0C3A9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16</w:t>
            </w:r>
          </w:p>
        </w:tc>
        <w:tc>
          <w:tcPr>
            <w:tcW w:w="1447" w:type="dxa"/>
            <w:noWrap/>
            <w:vAlign w:val="center"/>
          </w:tcPr>
          <w:p w14:paraId="39901A9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230005F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941" w:type="dxa"/>
            <w:noWrap/>
            <w:vAlign w:val="center"/>
          </w:tcPr>
          <w:p w14:paraId="3222F0A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7589B54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215" w:type="dxa"/>
            <w:noWrap w:val="0"/>
            <w:vAlign w:val="center"/>
          </w:tcPr>
          <w:p w14:paraId="3B38205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15E92A0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5028831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4BAA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5AE672C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sz w:val="24"/>
                <w:szCs w:val="24"/>
              </w:rPr>
            </w:pPr>
            <w:r>
              <w:rPr>
                <w:rFonts w:hint="eastAsia"/>
                <w:sz w:val="24"/>
                <w:szCs w:val="24"/>
              </w:rPr>
              <w:t>17</w:t>
            </w:r>
          </w:p>
        </w:tc>
        <w:tc>
          <w:tcPr>
            <w:tcW w:w="1447" w:type="dxa"/>
            <w:noWrap w:val="0"/>
            <w:vAlign w:val="center"/>
          </w:tcPr>
          <w:p w14:paraId="72F9FC0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3A7FF5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IPC6325-WD-VR</w:t>
            </w:r>
          </w:p>
        </w:tc>
        <w:tc>
          <w:tcPr>
            <w:tcW w:w="941" w:type="dxa"/>
            <w:noWrap/>
            <w:vAlign w:val="center"/>
          </w:tcPr>
          <w:p w14:paraId="2487DFE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1E17F6E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215" w:type="dxa"/>
            <w:noWrap w:val="0"/>
            <w:vAlign w:val="center"/>
          </w:tcPr>
          <w:p w14:paraId="7FCE606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0619DE4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4DD72F7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439F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ign w:val="center"/>
          </w:tcPr>
          <w:p w14:paraId="0A92E62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18</w:t>
            </w:r>
          </w:p>
        </w:tc>
        <w:tc>
          <w:tcPr>
            <w:tcW w:w="1447" w:type="dxa"/>
            <w:noWrap w:val="0"/>
            <w:vAlign w:val="center"/>
          </w:tcPr>
          <w:p w14:paraId="6700286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sz w:val="24"/>
                <w:szCs w:val="24"/>
              </w:rPr>
            </w:pPr>
            <w:r>
              <w:rPr>
                <w:rFonts w:hint="eastAsia"/>
                <w:color w:val="000000"/>
                <w:sz w:val="24"/>
                <w:szCs w:val="24"/>
              </w:rPr>
              <w:t>机柜组件</w:t>
            </w:r>
          </w:p>
        </w:tc>
        <w:tc>
          <w:tcPr>
            <w:tcW w:w="1701" w:type="dxa"/>
            <w:noWrap/>
            <w:vAlign w:val="center"/>
          </w:tcPr>
          <w:p w14:paraId="6178ACC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EC8GF-HW2</w:t>
            </w:r>
          </w:p>
        </w:tc>
        <w:tc>
          <w:tcPr>
            <w:tcW w:w="941" w:type="dxa"/>
            <w:noWrap/>
            <w:vAlign w:val="center"/>
          </w:tcPr>
          <w:p w14:paraId="78FA90D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17146F0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14</w:t>
            </w:r>
          </w:p>
        </w:tc>
        <w:tc>
          <w:tcPr>
            <w:tcW w:w="1215" w:type="dxa"/>
            <w:noWrap w:val="0"/>
            <w:vAlign w:val="center"/>
          </w:tcPr>
          <w:p w14:paraId="0221F39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08E32D8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27A198F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25367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4A75895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19</w:t>
            </w:r>
          </w:p>
        </w:tc>
        <w:tc>
          <w:tcPr>
            <w:tcW w:w="1447" w:type="dxa"/>
            <w:noWrap/>
            <w:vAlign w:val="center"/>
          </w:tcPr>
          <w:p w14:paraId="269181C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02305E3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UT-H101A</w:t>
            </w:r>
          </w:p>
        </w:tc>
        <w:tc>
          <w:tcPr>
            <w:tcW w:w="941" w:type="dxa"/>
            <w:noWrap/>
            <w:vAlign w:val="center"/>
          </w:tcPr>
          <w:p w14:paraId="18615AB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7EBC497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215" w:type="dxa"/>
            <w:noWrap w:val="0"/>
            <w:vAlign w:val="center"/>
          </w:tcPr>
          <w:p w14:paraId="79E9369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2C2F3F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236B034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576D4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3C15530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20</w:t>
            </w:r>
          </w:p>
        </w:tc>
        <w:tc>
          <w:tcPr>
            <w:tcW w:w="1447" w:type="dxa"/>
            <w:noWrap w:val="0"/>
            <w:vAlign w:val="center"/>
          </w:tcPr>
          <w:p w14:paraId="00C152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610E010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sz w:val="24"/>
                <w:szCs w:val="24"/>
              </w:rPr>
            </w:pPr>
            <w:r>
              <w:rPr>
                <w:rFonts w:hint="eastAsia"/>
                <w:sz w:val="24"/>
                <w:szCs w:val="24"/>
              </w:rPr>
              <w:t>LSLZJ0206000901</w:t>
            </w:r>
          </w:p>
        </w:tc>
        <w:tc>
          <w:tcPr>
            <w:tcW w:w="941" w:type="dxa"/>
            <w:noWrap/>
            <w:vAlign w:val="center"/>
          </w:tcPr>
          <w:p w14:paraId="5C95199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6C1DCE5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40</w:t>
            </w:r>
          </w:p>
        </w:tc>
        <w:tc>
          <w:tcPr>
            <w:tcW w:w="1215" w:type="dxa"/>
            <w:noWrap w:val="0"/>
            <w:vAlign w:val="center"/>
          </w:tcPr>
          <w:p w14:paraId="0A031A2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659218A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58666A6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53E2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ign w:val="center"/>
          </w:tcPr>
          <w:p w14:paraId="5EF0AD5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21</w:t>
            </w:r>
          </w:p>
        </w:tc>
        <w:tc>
          <w:tcPr>
            <w:tcW w:w="1447" w:type="dxa"/>
            <w:noWrap w:val="0"/>
            <w:vAlign w:val="center"/>
          </w:tcPr>
          <w:p w14:paraId="7CB78EF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ign w:val="center"/>
          </w:tcPr>
          <w:p w14:paraId="39EC28E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UT-H803</w:t>
            </w:r>
          </w:p>
        </w:tc>
        <w:tc>
          <w:tcPr>
            <w:tcW w:w="941" w:type="dxa"/>
            <w:noWrap/>
            <w:vAlign w:val="center"/>
          </w:tcPr>
          <w:p w14:paraId="49C002A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11F19C0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215" w:type="dxa"/>
            <w:noWrap w:val="0"/>
            <w:vAlign w:val="center"/>
          </w:tcPr>
          <w:p w14:paraId="181D3AB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2423088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75F442B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43AE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4085DE0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22</w:t>
            </w:r>
          </w:p>
        </w:tc>
        <w:tc>
          <w:tcPr>
            <w:tcW w:w="1447" w:type="dxa"/>
            <w:noWrap w:val="0"/>
            <w:vAlign w:val="center"/>
          </w:tcPr>
          <w:p w14:paraId="1BDA0B2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2834A74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FMDBLDRLK2AC0109</w:t>
            </w:r>
          </w:p>
        </w:tc>
        <w:tc>
          <w:tcPr>
            <w:tcW w:w="941" w:type="dxa"/>
            <w:noWrap/>
            <w:vAlign w:val="center"/>
          </w:tcPr>
          <w:p w14:paraId="065EBC5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0E8709B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1215" w:type="dxa"/>
            <w:noWrap w:val="0"/>
            <w:vAlign w:val="center"/>
          </w:tcPr>
          <w:p w14:paraId="11B4CB3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2841517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7DF1DD9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8BDE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2E19DBF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23</w:t>
            </w:r>
          </w:p>
        </w:tc>
        <w:tc>
          <w:tcPr>
            <w:tcW w:w="1447" w:type="dxa"/>
            <w:noWrap w:val="0"/>
            <w:vAlign w:val="center"/>
          </w:tcPr>
          <w:p w14:paraId="1C92A2D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2208088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GRS-RHSI</w:t>
            </w:r>
          </w:p>
        </w:tc>
        <w:tc>
          <w:tcPr>
            <w:tcW w:w="941" w:type="dxa"/>
            <w:noWrap/>
            <w:vAlign w:val="center"/>
          </w:tcPr>
          <w:p w14:paraId="4469743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7B2ED44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1215" w:type="dxa"/>
            <w:noWrap w:val="0"/>
            <w:vAlign w:val="center"/>
          </w:tcPr>
          <w:p w14:paraId="3962BD5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2FB7F35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7B9DC77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3C2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097B7F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24</w:t>
            </w:r>
          </w:p>
        </w:tc>
        <w:tc>
          <w:tcPr>
            <w:tcW w:w="1447" w:type="dxa"/>
            <w:noWrap w:val="0"/>
            <w:vAlign w:val="center"/>
          </w:tcPr>
          <w:p w14:paraId="38E9219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传感器-非定位式水浸传感器检测绳-5m</w:t>
            </w:r>
          </w:p>
        </w:tc>
        <w:tc>
          <w:tcPr>
            <w:tcW w:w="1701" w:type="dxa"/>
            <w:noWrap/>
            <w:vAlign w:val="center"/>
          </w:tcPr>
          <w:p w14:paraId="356D6E0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33010352</w:t>
            </w:r>
          </w:p>
        </w:tc>
        <w:tc>
          <w:tcPr>
            <w:tcW w:w="941" w:type="dxa"/>
            <w:noWrap/>
            <w:vAlign w:val="center"/>
          </w:tcPr>
          <w:p w14:paraId="5A33E1D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22B1890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215" w:type="dxa"/>
            <w:noWrap w:val="0"/>
            <w:vAlign w:val="center"/>
          </w:tcPr>
          <w:p w14:paraId="489E867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0466670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2854032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33266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76" w:type="dxa"/>
            <w:noWrap w:val="0"/>
            <w:vAlign w:val="center"/>
          </w:tcPr>
          <w:p w14:paraId="4F688EC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25</w:t>
            </w:r>
          </w:p>
        </w:tc>
        <w:tc>
          <w:tcPr>
            <w:tcW w:w="1447" w:type="dxa"/>
            <w:noWrap w:val="0"/>
            <w:vAlign w:val="center"/>
          </w:tcPr>
          <w:p w14:paraId="725CCF2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温湿度传感器</w:t>
            </w:r>
          </w:p>
        </w:tc>
        <w:tc>
          <w:tcPr>
            <w:tcW w:w="1701" w:type="dxa"/>
            <w:noWrap w:val="0"/>
            <w:vAlign w:val="center"/>
          </w:tcPr>
          <w:p w14:paraId="5F1C571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33010445</w:t>
            </w:r>
          </w:p>
        </w:tc>
        <w:tc>
          <w:tcPr>
            <w:tcW w:w="941" w:type="dxa"/>
            <w:noWrap/>
            <w:vAlign w:val="center"/>
          </w:tcPr>
          <w:p w14:paraId="5C7AA72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59D18CF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w:t>
            </w:r>
          </w:p>
        </w:tc>
        <w:tc>
          <w:tcPr>
            <w:tcW w:w="1215" w:type="dxa"/>
            <w:noWrap w:val="0"/>
            <w:vAlign w:val="center"/>
          </w:tcPr>
          <w:p w14:paraId="7509AF7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4A789D4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29AFFD2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46FE0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76" w:type="dxa"/>
            <w:noWrap w:val="0"/>
            <w:vAlign w:val="center"/>
          </w:tcPr>
          <w:p w14:paraId="4E2E647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26</w:t>
            </w:r>
          </w:p>
        </w:tc>
        <w:tc>
          <w:tcPr>
            <w:tcW w:w="1447" w:type="dxa"/>
            <w:noWrap w:val="0"/>
            <w:vAlign w:val="center"/>
          </w:tcPr>
          <w:p w14:paraId="6899FD0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温湿度传感器</w:t>
            </w:r>
          </w:p>
        </w:tc>
        <w:tc>
          <w:tcPr>
            <w:tcW w:w="1701" w:type="dxa"/>
            <w:noWrap w:val="0"/>
            <w:vAlign w:val="center"/>
          </w:tcPr>
          <w:p w14:paraId="42634D2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束线座-DKBA04804899_HW-WMT-12</w:t>
            </w:r>
          </w:p>
        </w:tc>
        <w:tc>
          <w:tcPr>
            <w:tcW w:w="941" w:type="dxa"/>
            <w:noWrap/>
            <w:vAlign w:val="center"/>
          </w:tcPr>
          <w:p w14:paraId="058ACFC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236E502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w:t>
            </w:r>
          </w:p>
        </w:tc>
        <w:tc>
          <w:tcPr>
            <w:tcW w:w="1215" w:type="dxa"/>
            <w:noWrap w:val="0"/>
            <w:vAlign w:val="center"/>
          </w:tcPr>
          <w:p w14:paraId="50416D7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2451E2D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59DA94B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C754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76" w:type="dxa"/>
            <w:noWrap w:val="0"/>
            <w:vAlign w:val="center"/>
          </w:tcPr>
          <w:p w14:paraId="49FAC6D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27</w:t>
            </w:r>
          </w:p>
        </w:tc>
        <w:tc>
          <w:tcPr>
            <w:tcW w:w="1447" w:type="dxa"/>
            <w:noWrap w:val="0"/>
            <w:vAlign w:val="center"/>
          </w:tcPr>
          <w:p w14:paraId="6C22B24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7AEE64D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HC-102(HW)</w:t>
            </w:r>
          </w:p>
        </w:tc>
        <w:tc>
          <w:tcPr>
            <w:tcW w:w="941" w:type="dxa"/>
            <w:noWrap/>
            <w:vAlign w:val="center"/>
          </w:tcPr>
          <w:p w14:paraId="6AF3DB5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0F86E29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160</w:t>
            </w:r>
          </w:p>
        </w:tc>
        <w:tc>
          <w:tcPr>
            <w:tcW w:w="1215" w:type="dxa"/>
            <w:noWrap w:val="0"/>
            <w:vAlign w:val="center"/>
          </w:tcPr>
          <w:p w14:paraId="62884E1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056C255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6B963C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346B8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76" w:type="dxa"/>
            <w:noWrap/>
            <w:vAlign w:val="center"/>
          </w:tcPr>
          <w:p w14:paraId="7FA060A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28</w:t>
            </w:r>
          </w:p>
        </w:tc>
        <w:tc>
          <w:tcPr>
            <w:tcW w:w="1447" w:type="dxa"/>
            <w:noWrap w:val="0"/>
            <w:vAlign w:val="center"/>
          </w:tcPr>
          <w:p w14:paraId="1512423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机柜组件</w:t>
            </w:r>
          </w:p>
        </w:tc>
        <w:tc>
          <w:tcPr>
            <w:tcW w:w="1701" w:type="dxa"/>
            <w:noWrap w:val="0"/>
            <w:vAlign w:val="center"/>
          </w:tcPr>
          <w:p w14:paraId="20060AD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华为</w:t>
            </w:r>
          </w:p>
        </w:tc>
        <w:tc>
          <w:tcPr>
            <w:tcW w:w="941" w:type="dxa"/>
            <w:noWrap/>
            <w:vAlign w:val="center"/>
          </w:tcPr>
          <w:p w14:paraId="0B69387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78C17F0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215" w:type="dxa"/>
            <w:noWrap w:val="0"/>
            <w:vAlign w:val="center"/>
          </w:tcPr>
          <w:p w14:paraId="5B7A709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49F8BFA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17FA2DD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94A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676" w:type="dxa"/>
            <w:noWrap w:val="0"/>
            <w:vAlign w:val="center"/>
          </w:tcPr>
          <w:p w14:paraId="0642010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29</w:t>
            </w:r>
          </w:p>
        </w:tc>
        <w:tc>
          <w:tcPr>
            <w:tcW w:w="1447" w:type="dxa"/>
            <w:noWrap w:val="0"/>
            <w:vAlign w:val="center"/>
          </w:tcPr>
          <w:p w14:paraId="0D5907D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配电组件</w:t>
            </w:r>
          </w:p>
        </w:tc>
        <w:tc>
          <w:tcPr>
            <w:tcW w:w="1701" w:type="dxa"/>
            <w:noWrap w:val="0"/>
            <w:vAlign w:val="center"/>
          </w:tcPr>
          <w:p w14:paraId="150B07D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配电组件</w:t>
            </w:r>
          </w:p>
        </w:tc>
        <w:tc>
          <w:tcPr>
            <w:tcW w:w="941" w:type="dxa"/>
            <w:noWrap/>
            <w:vAlign w:val="center"/>
          </w:tcPr>
          <w:p w14:paraId="5BC1EAE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1A811F1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100</w:t>
            </w:r>
          </w:p>
        </w:tc>
        <w:tc>
          <w:tcPr>
            <w:tcW w:w="1215" w:type="dxa"/>
            <w:noWrap w:val="0"/>
            <w:vAlign w:val="center"/>
          </w:tcPr>
          <w:p w14:paraId="1243D49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53545A6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0039E7C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44E50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676" w:type="dxa"/>
            <w:noWrap w:val="0"/>
            <w:vAlign w:val="center"/>
          </w:tcPr>
          <w:p w14:paraId="0207E53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sz w:val="24"/>
                <w:szCs w:val="24"/>
              </w:rPr>
            </w:pPr>
            <w:r>
              <w:rPr>
                <w:rFonts w:hint="eastAsia"/>
                <w:sz w:val="24"/>
                <w:szCs w:val="24"/>
              </w:rPr>
              <w:t>30</w:t>
            </w:r>
          </w:p>
        </w:tc>
        <w:tc>
          <w:tcPr>
            <w:tcW w:w="1447" w:type="dxa"/>
            <w:noWrap w:val="0"/>
            <w:vAlign w:val="center"/>
          </w:tcPr>
          <w:p w14:paraId="2018229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配电组件</w:t>
            </w:r>
          </w:p>
        </w:tc>
        <w:tc>
          <w:tcPr>
            <w:tcW w:w="1701" w:type="dxa"/>
            <w:noWrap w:val="0"/>
            <w:vAlign w:val="center"/>
          </w:tcPr>
          <w:p w14:paraId="3D92C11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UPS5000-E-125K-HASBS</w:t>
            </w:r>
          </w:p>
        </w:tc>
        <w:tc>
          <w:tcPr>
            <w:tcW w:w="941" w:type="dxa"/>
            <w:noWrap/>
            <w:vAlign w:val="center"/>
          </w:tcPr>
          <w:p w14:paraId="004147E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5B7D66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215" w:type="dxa"/>
            <w:noWrap w:val="0"/>
            <w:vAlign w:val="center"/>
          </w:tcPr>
          <w:p w14:paraId="4CD28ED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0AA9EC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1EF6716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5E012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6" w:type="dxa"/>
            <w:noWrap/>
            <w:vAlign w:val="center"/>
          </w:tcPr>
          <w:p w14:paraId="6F8B67F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31</w:t>
            </w:r>
          </w:p>
        </w:tc>
        <w:tc>
          <w:tcPr>
            <w:tcW w:w="1447" w:type="dxa"/>
            <w:noWrap w:val="0"/>
            <w:vAlign w:val="center"/>
          </w:tcPr>
          <w:p w14:paraId="595CFE0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sz w:val="24"/>
                <w:szCs w:val="24"/>
              </w:rPr>
            </w:pPr>
            <w:r>
              <w:rPr>
                <w:rFonts w:hint="eastAsia"/>
                <w:color w:val="000000"/>
                <w:sz w:val="24"/>
                <w:szCs w:val="24"/>
              </w:rPr>
              <w:t>配电组件</w:t>
            </w:r>
          </w:p>
        </w:tc>
        <w:tc>
          <w:tcPr>
            <w:tcW w:w="1701" w:type="dxa"/>
            <w:noWrap/>
            <w:vAlign w:val="center"/>
          </w:tcPr>
          <w:p w14:paraId="1CFC166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UPS5000-E-50-125K-C63/3P*8,ABB</w:t>
            </w:r>
          </w:p>
        </w:tc>
        <w:tc>
          <w:tcPr>
            <w:tcW w:w="941" w:type="dxa"/>
            <w:noWrap/>
            <w:vAlign w:val="center"/>
          </w:tcPr>
          <w:p w14:paraId="119518D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32F2DA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215" w:type="dxa"/>
            <w:noWrap w:val="0"/>
            <w:vAlign w:val="center"/>
          </w:tcPr>
          <w:p w14:paraId="7F256D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645A36C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67F4BAC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7675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6" w:type="dxa"/>
            <w:noWrap w:val="0"/>
            <w:vAlign w:val="center"/>
          </w:tcPr>
          <w:p w14:paraId="60FB4D1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32</w:t>
            </w:r>
          </w:p>
        </w:tc>
        <w:tc>
          <w:tcPr>
            <w:tcW w:w="1447" w:type="dxa"/>
            <w:noWrap/>
            <w:vAlign w:val="center"/>
          </w:tcPr>
          <w:p w14:paraId="459E237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配电组件</w:t>
            </w:r>
          </w:p>
        </w:tc>
        <w:tc>
          <w:tcPr>
            <w:tcW w:w="1701" w:type="dxa"/>
            <w:noWrap w:val="0"/>
            <w:vAlign w:val="center"/>
          </w:tcPr>
          <w:p w14:paraId="3E5AF42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PM25K-V4S</w:t>
            </w:r>
          </w:p>
        </w:tc>
        <w:tc>
          <w:tcPr>
            <w:tcW w:w="941" w:type="dxa"/>
            <w:noWrap/>
            <w:vAlign w:val="center"/>
          </w:tcPr>
          <w:p w14:paraId="66B0B47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5AFA0F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w:t>
            </w:r>
          </w:p>
        </w:tc>
        <w:tc>
          <w:tcPr>
            <w:tcW w:w="1215" w:type="dxa"/>
            <w:noWrap w:val="0"/>
            <w:vAlign w:val="center"/>
          </w:tcPr>
          <w:p w14:paraId="31823B6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75DD61B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4DCE42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309CA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676" w:type="dxa"/>
            <w:noWrap w:val="0"/>
            <w:vAlign w:val="center"/>
          </w:tcPr>
          <w:p w14:paraId="31D38E4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33</w:t>
            </w:r>
          </w:p>
        </w:tc>
        <w:tc>
          <w:tcPr>
            <w:tcW w:w="1447" w:type="dxa"/>
            <w:noWrap w:val="0"/>
            <w:vAlign w:val="center"/>
          </w:tcPr>
          <w:p w14:paraId="6ADC060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配电组件</w:t>
            </w:r>
          </w:p>
        </w:tc>
        <w:tc>
          <w:tcPr>
            <w:tcW w:w="1701" w:type="dxa"/>
            <w:noWrap w:val="0"/>
            <w:vAlign w:val="center"/>
          </w:tcPr>
          <w:p w14:paraId="165E638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sz w:val="24"/>
                <w:szCs w:val="24"/>
              </w:rPr>
            </w:pPr>
            <w:r>
              <w:rPr>
                <w:rFonts w:hint="eastAsia"/>
                <w:sz w:val="24"/>
                <w:szCs w:val="24"/>
              </w:rPr>
              <w:t>BSD12V100AH02</w:t>
            </w:r>
          </w:p>
        </w:tc>
        <w:tc>
          <w:tcPr>
            <w:tcW w:w="941" w:type="dxa"/>
            <w:noWrap/>
            <w:vAlign w:val="center"/>
          </w:tcPr>
          <w:p w14:paraId="75C85BD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3BAE657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192</w:t>
            </w:r>
          </w:p>
        </w:tc>
        <w:tc>
          <w:tcPr>
            <w:tcW w:w="1215" w:type="dxa"/>
            <w:noWrap w:val="0"/>
            <w:vAlign w:val="center"/>
          </w:tcPr>
          <w:p w14:paraId="15F95E1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382F50B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356776F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252E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jc w:val="center"/>
        </w:trPr>
        <w:tc>
          <w:tcPr>
            <w:tcW w:w="676" w:type="dxa"/>
            <w:noWrap/>
            <w:vAlign w:val="center"/>
          </w:tcPr>
          <w:p w14:paraId="01938DB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34</w:t>
            </w:r>
          </w:p>
        </w:tc>
        <w:tc>
          <w:tcPr>
            <w:tcW w:w="1447" w:type="dxa"/>
            <w:noWrap w:val="0"/>
            <w:vAlign w:val="center"/>
          </w:tcPr>
          <w:p w14:paraId="5837426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配电组件</w:t>
            </w:r>
          </w:p>
        </w:tc>
        <w:tc>
          <w:tcPr>
            <w:tcW w:w="1701" w:type="dxa"/>
            <w:noWrap/>
            <w:vAlign w:val="center"/>
          </w:tcPr>
          <w:p w14:paraId="7183DBF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EBR100A4004</w:t>
            </w:r>
          </w:p>
        </w:tc>
        <w:tc>
          <w:tcPr>
            <w:tcW w:w="941" w:type="dxa"/>
            <w:noWrap/>
            <w:vAlign w:val="center"/>
          </w:tcPr>
          <w:p w14:paraId="089F7FF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02BCEC6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w:t>
            </w:r>
          </w:p>
        </w:tc>
        <w:tc>
          <w:tcPr>
            <w:tcW w:w="1215" w:type="dxa"/>
            <w:noWrap w:val="0"/>
            <w:vAlign w:val="center"/>
          </w:tcPr>
          <w:p w14:paraId="29AE3B9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2BE97A3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23D3D47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E912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76" w:type="dxa"/>
            <w:noWrap w:val="0"/>
            <w:vAlign w:val="center"/>
          </w:tcPr>
          <w:p w14:paraId="591DF15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35</w:t>
            </w:r>
          </w:p>
        </w:tc>
        <w:tc>
          <w:tcPr>
            <w:tcW w:w="1447" w:type="dxa"/>
            <w:noWrap w:val="0"/>
            <w:vAlign w:val="center"/>
          </w:tcPr>
          <w:p w14:paraId="44F58DA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配电组件</w:t>
            </w:r>
          </w:p>
        </w:tc>
        <w:tc>
          <w:tcPr>
            <w:tcW w:w="1701" w:type="dxa"/>
            <w:noWrap w:val="0"/>
            <w:vAlign w:val="center"/>
          </w:tcPr>
          <w:p w14:paraId="675755F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EBRCBundle09</w:t>
            </w:r>
          </w:p>
        </w:tc>
        <w:tc>
          <w:tcPr>
            <w:tcW w:w="941" w:type="dxa"/>
            <w:noWrap/>
            <w:vAlign w:val="center"/>
          </w:tcPr>
          <w:p w14:paraId="0B09EF1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69A4966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w:t>
            </w:r>
          </w:p>
        </w:tc>
        <w:tc>
          <w:tcPr>
            <w:tcW w:w="1215" w:type="dxa"/>
            <w:noWrap w:val="0"/>
            <w:vAlign w:val="center"/>
          </w:tcPr>
          <w:p w14:paraId="4F56156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47B2CA2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0448ABB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052B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76" w:type="dxa"/>
            <w:noWrap w:val="0"/>
            <w:vAlign w:val="center"/>
          </w:tcPr>
          <w:p w14:paraId="18AAD5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36</w:t>
            </w:r>
          </w:p>
        </w:tc>
        <w:tc>
          <w:tcPr>
            <w:tcW w:w="1447" w:type="dxa"/>
            <w:noWrap w:val="0"/>
            <w:vAlign w:val="center"/>
          </w:tcPr>
          <w:p w14:paraId="16DC23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配电组件</w:t>
            </w:r>
          </w:p>
        </w:tc>
        <w:tc>
          <w:tcPr>
            <w:tcW w:w="1701" w:type="dxa"/>
            <w:noWrap w:val="0"/>
            <w:vAlign w:val="center"/>
          </w:tcPr>
          <w:p w14:paraId="1A88A10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PDU8000-0125DCV8-BXA001</w:t>
            </w:r>
          </w:p>
        </w:tc>
        <w:tc>
          <w:tcPr>
            <w:tcW w:w="941" w:type="dxa"/>
            <w:noWrap/>
            <w:vAlign w:val="center"/>
          </w:tcPr>
          <w:p w14:paraId="00DEC22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253B5EE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w:t>
            </w:r>
          </w:p>
        </w:tc>
        <w:tc>
          <w:tcPr>
            <w:tcW w:w="1215" w:type="dxa"/>
            <w:noWrap w:val="0"/>
            <w:vAlign w:val="center"/>
          </w:tcPr>
          <w:p w14:paraId="26E92D8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7C4DF63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6FC1295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59C7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76" w:type="dxa"/>
            <w:noWrap w:val="0"/>
            <w:vAlign w:val="center"/>
          </w:tcPr>
          <w:p w14:paraId="4A3DFFF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37</w:t>
            </w:r>
          </w:p>
        </w:tc>
        <w:tc>
          <w:tcPr>
            <w:tcW w:w="1447" w:type="dxa"/>
            <w:noWrap w:val="0"/>
            <w:vAlign w:val="center"/>
          </w:tcPr>
          <w:p w14:paraId="45F885C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配电组件</w:t>
            </w:r>
          </w:p>
        </w:tc>
        <w:tc>
          <w:tcPr>
            <w:tcW w:w="1701" w:type="dxa"/>
            <w:noWrap w:val="0"/>
            <w:vAlign w:val="center"/>
          </w:tcPr>
          <w:p w14:paraId="61B7C56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裸压端子, JG, 120mm^2, M10, 380A, 镀锡</w:t>
            </w:r>
          </w:p>
        </w:tc>
        <w:tc>
          <w:tcPr>
            <w:tcW w:w="941" w:type="dxa"/>
            <w:noWrap/>
            <w:vAlign w:val="center"/>
          </w:tcPr>
          <w:p w14:paraId="54C4BB9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63FB47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10</w:t>
            </w:r>
          </w:p>
        </w:tc>
        <w:tc>
          <w:tcPr>
            <w:tcW w:w="1215" w:type="dxa"/>
            <w:noWrap w:val="0"/>
            <w:vAlign w:val="center"/>
          </w:tcPr>
          <w:p w14:paraId="7385073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5E23464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78405CF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807C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76" w:type="dxa"/>
            <w:noWrap w:val="0"/>
            <w:vAlign w:val="center"/>
          </w:tcPr>
          <w:p w14:paraId="5F90D37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38</w:t>
            </w:r>
          </w:p>
        </w:tc>
        <w:tc>
          <w:tcPr>
            <w:tcW w:w="1447" w:type="dxa"/>
            <w:noWrap w:val="0"/>
            <w:vAlign w:val="center"/>
          </w:tcPr>
          <w:p w14:paraId="374C703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配电组件</w:t>
            </w:r>
          </w:p>
        </w:tc>
        <w:tc>
          <w:tcPr>
            <w:tcW w:w="1701" w:type="dxa"/>
            <w:noWrap w:val="0"/>
            <w:vAlign w:val="center"/>
          </w:tcPr>
          <w:p w14:paraId="5316A4B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CRDTER0006BK</w:t>
            </w:r>
          </w:p>
        </w:tc>
        <w:tc>
          <w:tcPr>
            <w:tcW w:w="941" w:type="dxa"/>
            <w:noWrap/>
            <w:vAlign w:val="center"/>
          </w:tcPr>
          <w:p w14:paraId="476B500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4811B0C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150</w:t>
            </w:r>
          </w:p>
        </w:tc>
        <w:tc>
          <w:tcPr>
            <w:tcW w:w="1215" w:type="dxa"/>
            <w:noWrap w:val="0"/>
            <w:vAlign w:val="center"/>
          </w:tcPr>
          <w:p w14:paraId="586CE7F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7DBAD9F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1B5E19A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42EE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76" w:type="dxa"/>
            <w:noWrap w:val="0"/>
            <w:vAlign w:val="center"/>
          </w:tcPr>
          <w:p w14:paraId="7F8964C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39</w:t>
            </w:r>
          </w:p>
        </w:tc>
        <w:tc>
          <w:tcPr>
            <w:tcW w:w="1447" w:type="dxa"/>
            <w:noWrap w:val="0"/>
            <w:vAlign w:val="center"/>
          </w:tcPr>
          <w:p w14:paraId="1992698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行级空调</w:t>
            </w:r>
          </w:p>
        </w:tc>
        <w:tc>
          <w:tcPr>
            <w:tcW w:w="1701" w:type="dxa"/>
            <w:noWrap w:val="0"/>
            <w:vAlign w:val="center"/>
          </w:tcPr>
          <w:p w14:paraId="6712BA2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NetCol5000-A050H4WE2</w:t>
            </w:r>
          </w:p>
        </w:tc>
        <w:tc>
          <w:tcPr>
            <w:tcW w:w="941" w:type="dxa"/>
            <w:noWrap/>
            <w:vAlign w:val="center"/>
          </w:tcPr>
          <w:p w14:paraId="18288FC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540F852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1215" w:type="dxa"/>
            <w:noWrap w:val="0"/>
            <w:vAlign w:val="center"/>
          </w:tcPr>
          <w:p w14:paraId="0B20C32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6D097E7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6A1A8A7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EE27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76" w:type="dxa"/>
            <w:noWrap w:val="0"/>
            <w:vAlign w:val="center"/>
          </w:tcPr>
          <w:p w14:paraId="2C741CC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40</w:t>
            </w:r>
          </w:p>
        </w:tc>
        <w:tc>
          <w:tcPr>
            <w:tcW w:w="1447" w:type="dxa"/>
            <w:noWrap w:val="0"/>
            <w:vAlign w:val="center"/>
          </w:tcPr>
          <w:p w14:paraId="1F3B5F2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行级空调</w:t>
            </w:r>
          </w:p>
        </w:tc>
        <w:tc>
          <w:tcPr>
            <w:tcW w:w="1701" w:type="dxa"/>
            <w:noWrap w:val="0"/>
            <w:vAlign w:val="center"/>
          </w:tcPr>
          <w:p w14:paraId="2B6E5B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NetCol500-A060MC1D0</w:t>
            </w:r>
          </w:p>
        </w:tc>
        <w:tc>
          <w:tcPr>
            <w:tcW w:w="941" w:type="dxa"/>
            <w:noWrap/>
            <w:vAlign w:val="center"/>
          </w:tcPr>
          <w:p w14:paraId="22AC29C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32407E6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1215" w:type="dxa"/>
            <w:noWrap w:val="0"/>
            <w:vAlign w:val="center"/>
          </w:tcPr>
          <w:p w14:paraId="05C78FA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58434C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0D1CDB3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51B67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76" w:type="dxa"/>
            <w:noWrap w:val="0"/>
            <w:vAlign w:val="center"/>
          </w:tcPr>
          <w:p w14:paraId="7C15CA7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41</w:t>
            </w:r>
          </w:p>
        </w:tc>
        <w:tc>
          <w:tcPr>
            <w:tcW w:w="1447" w:type="dxa"/>
            <w:noWrap w:val="0"/>
            <w:vAlign w:val="center"/>
          </w:tcPr>
          <w:p w14:paraId="11642E2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行级空调</w:t>
            </w:r>
          </w:p>
        </w:tc>
        <w:tc>
          <w:tcPr>
            <w:tcW w:w="1701" w:type="dxa"/>
            <w:noWrap w:val="0"/>
            <w:vAlign w:val="center"/>
          </w:tcPr>
          <w:p w14:paraId="7BE287F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52270386</w:t>
            </w:r>
          </w:p>
        </w:tc>
        <w:tc>
          <w:tcPr>
            <w:tcW w:w="941" w:type="dxa"/>
            <w:noWrap/>
            <w:vAlign w:val="center"/>
          </w:tcPr>
          <w:p w14:paraId="102EEAE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542F94A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w:t>
            </w:r>
          </w:p>
        </w:tc>
        <w:tc>
          <w:tcPr>
            <w:tcW w:w="1215" w:type="dxa"/>
            <w:noWrap w:val="0"/>
            <w:vAlign w:val="center"/>
          </w:tcPr>
          <w:p w14:paraId="50B0304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391876C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67C225E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77D0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76" w:type="dxa"/>
            <w:noWrap w:val="0"/>
            <w:vAlign w:val="center"/>
          </w:tcPr>
          <w:p w14:paraId="787FDBE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42</w:t>
            </w:r>
          </w:p>
        </w:tc>
        <w:tc>
          <w:tcPr>
            <w:tcW w:w="1447" w:type="dxa"/>
            <w:noWrap w:val="0"/>
            <w:vAlign w:val="center"/>
          </w:tcPr>
          <w:p w14:paraId="1F8BA7D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行级空调</w:t>
            </w:r>
          </w:p>
        </w:tc>
        <w:tc>
          <w:tcPr>
            <w:tcW w:w="1701" w:type="dxa"/>
            <w:noWrap w:val="0"/>
            <w:vAlign w:val="center"/>
          </w:tcPr>
          <w:p w14:paraId="51FFDED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52272346</w:t>
            </w:r>
          </w:p>
        </w:tc>
        <w:tc>
          <w:tcPr>
            <w:tcW w:w="941" w:type="dxa"/>
            <w:noWrap/>
            <w:vAlign w:val="center"/>
          </w:tcPr>
          <w:p w14:paraId="4D2F5BD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4D0CBA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w:t>
            </w:r>
          </w:p>
        </w:tc>
        <w:tc>
          <w:tcPr>
            <w:tcW w:w="1215" w:type="dxa"/>
            <w:noWrap w:val="0"/>
            <w:vAlign w:val="center"/>
          </w:tcPr>
          <w:p w14:paraId="0E41DF1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77F5B5D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690998A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48977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76" w:type="dxa"/>
            <w:noWrap w:val="0"/>
            <w:vAlign w:val="center"/>
          </w:tcPr>
          <w:p w14:paraId="7084A26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43</w:t>
            </w:r>
          </w:p>
        </w:tc>
        <w:tc>
          <w:tcPr>
            <w:tcW w:w="1447" w:type="dxa"/>
            <w:noWrap w:val="0"/>
            <w:vAlign w:val="center"/>
          </w:tcPr>
          <w:p w14:paraId="5D2A7E6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行级空调</w:t>
            </w:r>
          </w:p>
        </w:tc>
        <w:tc>
          <w:tcPr>
            <w:tcW w:w="1701" w:type="dxa"/>
            <w:noWrap w:val="0"/>
            <w:vAlign w:val="center"/>
          </w:tcPr>
          <w:p w14:paraId="3650DFE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C1010W501</w:t>
            </w:r>
          </w:p>
        </w:tc>
        <w:tc>
          <w:tcPr>
            <w:tcW w:w="941" w:type="dxa"/>
            <w:noWrap/>
            <w:vAlign w:val="center"/>
          </w:tcPr>
          <w:p w14:paraId="67A3290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59E1D8F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140</w:t>
            </w:r>
          </w:p>
        </w:tc>
        <w:tc>
          <w:tcPr>
            <w:tcW w:w="1215" w:type="dxa"/>
            <w:noWrap w:val="0"/>
            <w:vAlign w:val="center"/>
          </w:tcPr>
          <w:p w14:paraId="22CC387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5E1580E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5813E66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BADE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76" w:type="dxa"/>
            <w:noWrap w:val="0"/>
            <w:vAlign w:val="center"/>
          </w:tcPr>
          <w:p w14:paraId="7C56EB4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44</w:t>
            </w:r>
          </w:p>
        </w:tc>
        <w:tc>
          <w:tcPr>
            <w:tcW w:w="1447" w:type="dxa"/>
            <w:noWrap w:val="0"/>
            <w:vAlign w:val="center"/>
          </w:tcPr>
          <w:p w14:paraId="3BEE8DD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行级空调</w:t>
            </w:r>
          </w:p>
        </w:tc>
        <w:tc>
          <w:tcPr>
            <w:tcW w:w="1701" w:type="dxa"/>
            <w:noWrap w:val="0"/>
            <w:vAlign w:val="center"/>
          </w:tcPr>
          <w:p w14:paraId="42FCE70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CRDTER0010WH</w:t>
            </w:r>
          </w:p>
        </w:tc>
        <w:tc>
          <w:tcPr>
            <w:tcW w:w="941" w:type="dxa"/>
            <w:noWrap/>
            <w:vAlign w:val="center"/>
          </w:tcPr>
          <w:p w14:paraId="5687648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1560B5E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46</w:t>
            </w:r>
          </w:p>
        </w:tc>
        <w:tc>
          <w:tcPr>
            <w:tcW w:w="1215" w:type="dxa"/>
            <w:noWrap w:val="0"/>
            <w:vAlign w:val="center"/>
          </w:tcPr>
          <w:p w14:paraId="1DD2806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4FB92A3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3E28C2C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3D5E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76" w:type="dxa"/>
            <w:noWrap w:val="0"/>
            <w:vAlign w:val="center"/>
          </w:tcPr>
          <w:p w14:paraId="554E15E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45</w:t>
            </w:r>
          </w:p>
        </w:tc>
        <w:tc>
          <w:tcPr>
            <w:tcW w:w="1447" w:type="dxa"/>
            <w:noWrap w:val="0"/>
            <w:vAlign w:val="center"/>
          </w:tcPr>
          <w:p w14:paraId="3C3DDAE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行级空调</w:t>
            </w:r>
          </w:p>
        </w:tc>
        <w:tc>
          <w:tcPr>
            <w:tcW w:w="1701" w:type="dxa"/>
            <w:noWrap w:val="0"/>
            <w:vAlign w:val="center"/>
          </w:tcPr>
          <w:p w14:paraId="7EBFAAE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OT0010M6RO00</w:t>
            </w:r>
          </w:p>
        </w:tc>
        <w:tc>
          <w:tcPr>
            <w:tcW w:w="941" w:type="dxa"/>
            <w:noWrap/>
            <w:vAlign w:val="center"/>
          </w:tcPr>
          <w:p w14:paraId="742144D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48B1A2D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94</w:t>
            </w:r>
          </w:p>
        </w:tc>
        <w:tc>
          <w:tcPr>
            <w:tcW w:w="1215" w:type="dxa"/>
            <w:noWrap w:val="0"/>
            <w:vAlign w:val="center"/>
          </w:tcPr>
          <w:p w14:paraId="752F0F9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6C20B43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7A9214B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5D7E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76" w:type="dxa"/>
            <w:noWrap w:val="0"/>
            <w:vAlign w:val="center"/>
          </w:tcPr>
          <w:p w14:paraId="1CE17F5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46</w:t>
            </w:r>
          </w:p>
        </w:tc>
        <w:tc>
          <w:tcPr>
            <w:tcW w:w="1447" w:type="dxa"/>
            <w:noWrap w:val="0"/>
            <w:vAlign w:val="center"/>
          </w:tcPr>
          <w:p w14:paraId="60E50BD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行级空调</w:t>
            </w:r>
          </w:p>
        </w:tc>
        <w:tc>
          <w:tcPr>
            <w:tcW w:w="1701" w:type="dxa"/>
            <w:noWrap w:val="0"/>
            <w:vAlign w:val="center"/>
          </w:tcPr>
          <w:p w14:paraId="25B9B39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IDSPWRCBL002</w:t>
            </w:r>
          </w:p>
        </w:tc>
        <w:tc>
          <w:tcPr>
            <w:tcW w:w="941" w:type="dxa"/>
            <w:noWrap/>
            <w:vAlign w:val="center"/>
          </w:tcPr>
          <w:p w14:paraId="3B42071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7441CF7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218</w:t>
            </w:r>
          </w:p>
        </w:tc>
        <w:tc>
          <w:tcPr>
            <w:tcW w:w="1215" w:type="dxa"/>
            <w:noWrap w:val="0"/>
            <w:vAlign w:val="center"/>
          </w:tcPr>
          <w:p w14:paraId="44EBF0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045FDE4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1BB2596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CD7A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5" w:hRule="atLeast"/>
          <w:jc w:val="center"/>
        </w:trPr>
        <w:tc>
          <w:tcPr>
            <w:tcW w:w="676" w:type="dxa"/>
            <w:noWrap w:val="0"/>
            <w:vAlign w:val="center"/>
          </w:tcPr>
          <w:p w14:paraId="5C8DCE6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47</w:t>
            </w:r>
          </w:p>
        </w:tc>
        <w:tc>
          <w:tcPr>
            <w:tcW w:w="1447" w:type="dxa"/>
            <w:noWrap w:val="0"/>
            <w:vAlign w:val="center"/>
          </w:tcPr>
          <w:p w14:paraId="3BBF417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行级空调</w:t>
            </w:r>
          </w:p>
        </w:tc>
        <w:tc>
          <w:tcPr>
            <w:tcW w:w="1701" w:type="dxa"/>
            <w:noWrap w:val="0"/>
            <w:vAlign w:val="center"/>
          </w:tcPr>
          <w:p w14:paraId="15B698A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CSJTWB000</w:t>
            </w:r>
          </w:p>
        </w:tc>
        <w:tc>
          <w:tcPr>
            <w:tcW w:w="941" w:type="dxa"/>
            <w:noWrap/>
            <w:vAlign w:val="center"/>
          </w:tcPr>
          <w:p w14:paraId="114F198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5304FCD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218</w:t>
            </w:r>
          </w:p>
        </w:tc>
        <w:tc>
          <w:tcPr>
            <w:tcW w:w="1215" w:type="dxa"/>
            <w:noWrap w:val="0"/>
            <w:vAlign w:val="center"/>
          </w:tcPr>
          <w:p w14:paraId="275040C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546F626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1A49F21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7502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76" w:type="dxa"/>
            <w:noWrap w:val="0"/>
            <w:vAlign w:val="center"/>
          </w:tcPr>
          <w:p w14:paraId="6F3BDEF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48</w:t>
            </w:r>
          </w:p>
        </w:tc>
        <w:tc>
          <w:tcPr>
            <w:tcW w:w="1447" w:type="dxa"/>
            <w:noWrap w:val="0"/>
            <w:vAlign w:val="center"/>
          </w:tcPr>
          <w:p w14:paraId="52DF7C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行级空调</w:t>
            </w:r>
          </w:p>
        </w:tc>
        <w:tc>
          <w:tcPr>
            <w:tcW w:w="1701" w:type="dxa"/>
            <w:noWrap w:val="0"/>
            <w:vAlign w:val="center"/>
          </w:tcPr>
          <w:p w14:paraId="721498D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CT1P50D12BK0</w:t>
            </w:r>
          </w:p>
        </w:tc>
        <w:tc>
          <w:tcPr>
            <w:tcW w:w="941" w:type="dxa"/>
            <w:noWrap/>
            <w:vAlign w:val="center"/>
          </w:tcPr>
          <w:p w14:paraId="310B698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4052FC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46</w:t>
            </w:r>
          </w:p>
        </w:tc>
        <w:tc>
          <w:tcPr>
            <w:tcW w:w="1215" w:type="dxa"/>
            <w:noWrap w:val="0"/>
            <w:vAlign w:val="center"/>
          </w:tcPr>
          <w:p w14:paraId="2FCA27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71C9D3B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7ABF6E3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527FF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76" w:type="dxa"/>
            <w:noWrap w:val="0"/>
            <w:vAlign w:val="center"/>
          </w:tcPr>
          <w:p w14:paraId="4F0B0CA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49</w:t>
            </w:r>
          </w:p>
        </w:tc>
        <w:tc>
          <w:tcPr>
            <w:tcW w:w="1447" w:type="dxa"/>
            <w:noWrap w:val="0"/>
            <w:vAlign w:val="center"/>
          </w:tcPr>
          <w:p w14:paraId="3CBD871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配电间空调</w:t>
            </w:r>
          </w:p>
        </w:tc>
        <w:tc>
          <w:tcPr>
            <w:tcW w:w="1701" w:type="dxa"/>
            <w:noWrap w:val="0"/>
            <w:vAlign w:val="center"/>
          </w:tcPr>
          <w:p w14:paraId="2D826A5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NetCol8000-A013U40E0</w:t>
            </w:r>
          </w:p>
        </w:tc>
        <w:tc>
          <w:tcPr>
            <w:tcW w:w="941" w:type="dxa"/>
            <w:noWrap/>
            <w:vAlign w:val="center"/>
          </w:tcPr>
          <w:p w14:paraId="7B5C64C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2936A0F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w:t>
            </w:r>
          </w:p>
        </w:tc>
        <w:tc>
          <w:tcPr>
            <w:tcW w:w="1215" w:type="dxa"/>
            <w:noWrap w:val="0"/>
            <w:vAlign w:val="center"/>
          </w:tcPr>
          <w:p w14:paraId="73A931C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0CAB693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6F891BF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4E0F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76" w:type="dxa"/>
            <w:noWrap w:val="0"/>
            <w:vAlign w:val="center"/>
          </w:tcPr>
          <w:p w14:paraId="7D4EFA7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50</w:t>
            </w:r>
          </w:p>
        </w:tc>
        <w:tc>
          <w:tcPr>
            <w:tcW w:w="1447" w:type="dxa"/>
            <w:noWrap w:val="0"/>
            <w:vAlign w:val="center"/>
          </w:tcPr>
          <w:p w14:paraId="1E60010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配电间空调</w:t>
            </w:r>
          </w:p>
        </w:tc>
        <w:tc>
          <w:tcPr>
            <w:tcW w:w="1701" w:type="dxa"/>
            <w:noWrap w:val="0"/>
            <w:vAlign w:val="center"/>
          </w:tcPr>
          <w:p w14:paraId="3F12E54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NetCol500-A0186C3E0</w:t>
            </w:r>
          </w:p>
        </w:tc>
        <w:tc>
          <w:tcPr>
            <w:tcW w:w="941" w:type="dxa"/>
            <w:noWrap/>
            <w:vAlign w:val="center"/>
          </w:tcPr>
          <w:p w14:paraId="0ECC1B6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716CD58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w:t>
            </w:r>
          </w:p>
        </w:tc>
        <w:tc>
          <w:tcPr>
            <w:tcW w:w="1215" w:type="dxa"/>
            <w:noWrap w:val="0"/>
            <w:vAlign w:val="center"/>
          </w:tcPr>
          <w:p w14:paraId="4A2DBC0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76D2751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2C9557B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3B43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76" w:type="dxa"/>
            <w:noWrap w:val="0"/>
            <w:vAlign w:val="center"/>
          </w:tcPr>
          <w:p w14:paraId="477649C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51</w:t>
            </w:r>
          </w:p>
        </w:tc>
        <w:tc>
          <w:tcPr>
            <w:tcW w:w="1447" w:type="dxa"/>
            <w:noWrap w:val="0"/>
            <w:vAlign w:val="center"/>
          </w:tcPr>
          <w:p w14:paraId="1B3DBD5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配电间空调</w:t>
            </w:r>
          </w:p>
        </w:tc>
        <w:tc>
          <w:tcPr>
            <w:tcW w:w="1701" w:type="dxa"/>
            <w:noWrap w:val="0"/>
            <w:vAlign w:val="center"/>
          </w:tcPr>
          <w:p w14:paraId="68FC83E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52272346</w:t>
            </w:r>
          </w:p>
        </w:tc>
        <w:tc>
          <w:tcPr>
            <w:tcW w:w="941" w:type="dxa"/>
            <w:noWrap/>
            <w:vAlign w:val="center"/>
          </w:tcPr>
          <w:p w14:paraId="069299F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2EC7FDB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15" w:type="dxa"/>
            <w:noWrap w:val="0"/>
            <w:vAlign w:val="center"/>
          </w:tcPr>
          <w:p w14:paraId="1047B0B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52BFACF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39387EB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2F59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676" w:type="dxa"/>
            <w:noWrap w:val="0"/>
            <w:vAlign w:val="center"/>
          </w:tcPr>
          <w:p w14:paraId="33226E8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52</w:t>
            </w:r>
          </w:p>
        </w:tc>
        <w:tc>
          <w:tcPr>
            <w:tcW w:w="1447" w:type="dxa"/>
            <w:noWrap w:val="0"/>
            <w:vAlign w:val="center"/>
          </w:tcPr>
          <w:p w14:paraId="5CC1EF8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配电间空调</w:t>
            </w:r>
          </w:p>
        </w:tc>
        <w:tc>
          <w:tcPr>
            <w:tcW w:w="1701" w:type="dxa"/>
            <w:noWrap w:val="0"/>
            <w:vAlign w:val="center"/>
          </w:tcPr>
          <w:p w14:paraId="2580B2E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ENR1DETA1</w:t>
            </w:r>
          </w:p>
        </w:tc>
        <w:tc>
          <w:tcPr>
            <w:tcW w:w="941" w:type="dxa"/>
            <w:noWrap/>
            <w:vAlign w:val="center"/>
          </w:tcPr>
          <w:p w14:paraId="1D551D2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768976C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w:t>
            </w:r>
          </w:p>
        </w:tc>
        <w:tc>
          <w:tcPr>
            <w:tcW w:w="1215" w:type="dxa"/>
            <w:noWrap w:val="0"/>
            <w:vAlign w:val="center"/>
          </w:tcPr>
          <w:p w14:paraId="47F8985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7DAF19F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42639E0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6008B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676" w:type="dxa"/>
            <w:noWrap w:val="0"/>
            <w:vAlign w:val="center"/>
          </w:tcPr>
          <w:p w14:paraId="3D6E023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53</w:t>
            </w:r>
          </w:p>
        </w:tc>
        <w:tc>
          <w:tcPr>
            <w:tcW w:w="1447" w:type="dxa"/>
            <w:noWrap w:val="0"/>
            <w:vAlign w:val="center"/>
          </w:tcPr>
          <w:p w14:paraId="45D38AF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配电间空调</w:t>
            </w:r>
          </w:p>
        </w:tc>
        <w:tc>
          <w:tcPr>
            <w:tcW w:w="1701" w:type="dxa"/>
            <w:noWrap w:val="0"/>
            <w:vAlign w:val="center"/>
          </w:tcPr>
          <w:p w14:paraId="1AC4D4E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IDSPWRCBL006</w:t>
            </w:r>
          </w:p>
        </w:tc>
        <w:tc>
          <w:tcPr>
            <w:tcW w:w="941" w:type="dxa"/>
            <w:noWrap/>
            <w:vAlign w:val="center"/>
          </w:tcPr>
          <w:p w14:paraId="05BED8B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0000200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75</w:t>
            </w:r>
          </w:p>
        </w:tc>
        <w:tc>
          <w:tcPr>
            <w:tcW w:w="1215" w:type="dxa"/>
            <w:noWrap w:val="0"/>
            <w:vAlign w:val="center"/>
          </w:tcPr>
          <w:p w14:paraId="28B3E85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575D304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47BDD86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5549A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76" w:type="dxa"/>
            <w:noWrap w:val="0"/>
            <w:vAlign w:val="center"/>
          </w:tcPr>
          <w:p w14:paraId="7F4A4AF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54</w:t>
            </w:r>
          </w:p>
        </w:tc>
        <w:tc>
          <w:tcPr>
            <w:tcW w:w="1447" w:type="dxa"/>
            <w:noWrap w:val="0"/>
            <w:vAlign w:val="center"/>
          </w:tcPr>
          <w:p w14:paraId="6AEF652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配电间空调</w:t>
            </w:r>
          </w:p>
        </w:tc>
        <w:tc>
          <w:tcPr>
            <w:tcW w:w="1701" w:type="dxa"/>
            <w:noWrap w:val="0"/>
            <w:vAlign w:val="center"/>
          </w:tcPr>
          <w:p w14:paraId="69A1B6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ENPWRCBL01</w:t>
            </w:r>
          </w:p>
        </w:tc>
        <w:tc>
          <w:tcPr>
            <w:tcW w:w="941" w:type="dxa"/>
            <w:noWrap/>
            <w:vAlign w:val="center"/>
          </w:tcPr>
          <w:p w14:paraId="381D74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06387E4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10</w:t>
            </w:r>
          </w:p>
        </w:tc>
        <w:tc>
          <w:tcPr>
            <w:tcW w:w="1215" w:type="dxa"/>
            <w:noWrap w:val="0"/>
            <w:vAlign w:val="center"/>
          </w:tcPr>
          <w:p w14:paraId="15307AE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7E8348B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40DC294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62F1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76" w:type="dxa"/>
            <w:noWrap w:val="0"/>
            <w:vAlign w:val="center"/>
          </w:tcPr>
          <w:p w14:paraId="68F0C3A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55</w:t>
            </w:r>
          </w:p>
        </w:tc>
        <w:tc>
          <w:tcPr>
            <w:tcW w:w="1447" w:type="dxa"/>
            <w:noWrap w:val="0"/>
            <w:vAlign w:val="center"/>
          </w:tcPr>
          <w:p w14:paraId="3E97811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配电间空调</w:t>
            </w:r>
          </w:p>
        </w:tc>
        <w:tc>
          <w:tcPr>
            <w:tcW w:w="1701" w:type="dxa"/>
            <w:noWrap w:val="0"/>
            <w:vAlign w:val="center"/>
          </w:tcPr>
          <w:p w14:paraId="769AF50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CSJTWB000</w:t>
            </w:r>
          </w:p>
        </w:tc>
        <w:tc>
          <w:tcPr>
            <w:tcW w:w="941" w:type="dxa"/>
            <w:noWrap/>
            <w:vAlign w:val="center"/>
          </w:tcPr>
          <w:p w14:paraId="1412AF3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477DE03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120</w:t>
            </w:r>
          </w:p>
        </w:tc>
        <w:tc>
          <w:tcPr>
            <w:tcW w:w="1215" w:type="dxa"/>
            <w:noWrap w:val="0"/>
            <w:vAlign w:val="center"/>
          </w:tcPr>
          <w:p w14:paraId="0C5CD51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0168090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6349E85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765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676" w:type="dxa"/>
            <w:noWrap w:val="0"/>
            <w:vAlign w:val="center"/>
          </w:tcPr>
          <w:p w14:paraId="3862F8D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56</w:t>
            </w:r>
          </w:p>
        </w:tc>
        <w:tc>
          <w:tcPr>
            <w:tcW w:w="1447" w:type="dxa"/>
            <w:noWrap w:val="0"/>
            <w:vAlign w:val="center"/>
          </w:tcPr>
          <w:p w14:paraId="5B23CD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配电间空调</w:t>
            </w:r>
          </w:p>
        </w:tc>
        <w:tc>
          <w:tcPr>
            <w:tcW w:w="1701" w:type="dxa"/>
            <w:noWrap w:val="0"/>
            <w:vAlign w:val="center"/>
          </w:tcPr>
          <w:p w14:paraId="76F6950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C3006BK01</w:t>
            </w:r>
          </w:p>
        </w:tc>
        <w:tc>
          <w:tcPr>
            <w:tcW w:w="941" w:type="dxa"/>
            <w:noWrap/>
            <w:vAlign w:val="center"/>
          </w:tcPr>
          <w:p w14:paraId="6BD5B45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5D3DCFA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120</w:t>
            </w:r>
          </w:p>
        </w:tc>
        <w:tc>
          <w:tcPr>
            <w:tcW w:w="1215" w:type="dxa"/>
            <w:noWrap w:val="0"/>
            <w:vAlign w:val="center"/>
          </w:tcPr>
          <w:p w14:paraId="3B8E251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35DDA8B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5BFA804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AE8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676" w:type="dxa"/>
            <w:noWrap w:val="0"/>
            <w:vAlign w:val="center"/>
          </w:tcPr>
          <w:p w14:paraId="44EDC8A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57</w:t>
            </w:r>
          </w:p>
        </w:tc>
        <w:tc>
          <w:tcPr>
            <w:tcW w:w="1447" w:type="dxa"/>
            <w:noWrap w:val="0"/>
            <w:vAlign w:val="center"/>
          </w:tcPr>
          <w:p w14:paraId="4246B7E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77FA105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S5720-28X-PWR-SI</w:t>
            </w:r>
          </w:p>
        </w:tc>
        <w:tc>
          <w:tcPr>
            <w:tcW w:w="941" w:type="dxa"/>
            <w:noWrap/>
            <w:vAlign w:val="center"/>
          </w:tcPr>
          <w:p w14:paraId="0D2D791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7EC0FCA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15" w:type="dxa"/>
            <w:noWrap w:val="0"/>
            <w:vAlign w:val="center"/>
          </w:tcPr>
          <w:p w14:paraId="39F75AB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5EA2651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157DB4D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652C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676" w:type="dxa"/>
            <w:noWrap w:val="0"/>
            <w:vAlign w:val="center"/>
          </w:tcPr>
          <w:p w14:paraId="1E60DD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58</w:t>
            </w:r>
          </w:p>
        </w:tc>
        <w:tc>
          <w:tcPr>
            <w:tcW w:w="1447" w:type="dxa"/>
            <w:noWrap w:val="0"/>
            <w:vAlign w:val="center"/>
          </w:tcPr>
          <w:p w14:paraId="3D2720C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21AB3DD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ECC800-Pro</w:t>
            </w:r>
          </w:p>
        </w:tc>
        <w:tc>
          <w:tcPr>
            <w:tcW w:w="941" w:type="dxa"/>
            <w:noWrap/>
            <w:vAlign w:val="center"/>
          </w:tcPr>
          <w:p w14:paraId="0188CC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493BC57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15" w:type="dxa"/>
            <w:noWrap w:val="0"/>
            <w:vAlign w:val="center"/>
          </w:tcPr>
          <w:p w14:paraId="43A312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394F4AC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02B5BBF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54F5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676" w:type="dxa"/>
            <w:noWrap w:val="0"/>
            <w:vAlign w:val="center"/>
          </w:tcPr>
          <w:p w14:paraId="563CCF2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59</w:t>
            </w:r>
          </w:p>
        </w:tc>
        <w:tc>
          <w:tcPr>
            <w:tcW w:w="1447" w:type="dxa"/>
            <w:noWrap w:val="0"/>
            <w:vAlign w:val="center"/>
          </w:tcPr>
          <w:p w14:paraId="5ADB4E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3003627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IPC6325-WD-VR</w:t>
            </w:r>
          </w:p>
        </w:tc>
        <w:tc>
          <w:tcPr>
            <w:tcW w:w="941" w:type="dxa"/>
            <w:noWrap/>
            <w:vAlign w:val="center"/>
          </w:tcPr>
          <w:p w14:paraId="56AFDF2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191113E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8</w:t>
            </w:r>
          </w:p>
        </w:tc>
        <w:tc>
          <w:tcPr>
            <w:tcW w:w="1215" w:type="dxa"/>
            <w:noWrap w:val="0"/>
            <w:vAlign w:val="center"/>
          </w:tcPr>
          <w:p w14:paraId="11560C6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1E84608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5BAA8D7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62DE0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76" w:type="dxa"/>
            <w:noWrap w:val="0"/>
            <w:vAlign w:val="center"/>
          </w:tcPr>
          <w:p w14:paraId="51CA79B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60</w:t>
            </w:r>
          </w:p>
        </w:tc>
        <w:tc>
          <w:tcPr>
            <w:tcW w:w="1447" w:type="dxa"/>
            <w:noWrap w:val="0"/>
            <w:vAlign w:val="center"/>
          </w:tcPr>
          <w:p w14:paraId="23A12CA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29EEEFF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VCN540-64</w:t>
            </w:r>
          </w:p>
        </w:tc>
        <w:tc>
          <w:tcPr>
            <w:tcW w:w="941" w:type="dxa"/>
            <w:noWrap/>
            <w:vAlign w:val="center"/>
          </w:tcPr>
          <w:p w14:paraId="51B42ED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34B67AF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15" w:type="dxa"/>
            <w:noWrap w:val="0"/>
            <w:vAlign w:val="center"/>
          </w:tcPr>
          <w:p w14:paraId="0A55857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2A27A55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45681B4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7785A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1B66C70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61</w:t>
            </w:r>
          </w:p>
        </w:tc>
        <w:tc>
          <w:tcPr>
            <w:tcW w:w="1447" w:type="dxa"/>
            <w:noWrap w:val="0"/>
            <w:vAlign w:val="center"/>
          </w:tcPr>
          <w:p w14:paraId="268A63E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51CB71D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VCN500-DSK-E8T</w:t>
            </w:r>
          </w:p>
        </w:tc>
        <w:tc>
          <w:tcPr>
            <w:tcW w:w="941" w:type="dxa"/>
            <w:noWrap/>
            <w:vAlign w:val="center"/>
          </w:tcPr>
          <w:p w14:paraId="779B0E6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785C51A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7</w:t>
            </w:r>
          </w:p>
        </w:tc>
        <w:tc>
          <w:tcPr>
            <w:tcW w:w="1215" w:type="dxa"/>
            <w:noWrap w:val="0"/>
            <w:vAlign w:val="center"/>
          </w:tcPr>
          <w:p w14:paraId="1E74B98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6B3B01E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29C0A83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77CE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488C2D6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62</w:t>
            </w:r>
          </w:p>
        </w:tc>
        <w:tc>
          <w:tcPr>
            <w:tcW w:w="1447" w:type="dxa"/>
            <w:noWrap w:val="0"/>
            <w:vAlign w:val="center"/>
          </w:tcPr>
          <w:p w14:paraId="028FA3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62C9515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A8802RS</w:t>
            </w:r>
          </w:p>
        </w:tc>
        <w:tc>
          <w:tcPr>
            <w:tcW w:w="941" w:type="dxa"/>
            <w:noWrap/>
            <w:vAlign w:val="center"/>
          </w:tcPr>
          <w:p w14:paraId="7E4F428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3A51028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w:t>
            </w:r>
          </w:p>
        </w:tc>
        <w:tc>
          <w:tcPr>
            <w:tcW w:w="1215" w:type="dxa"/>
            <w:noWrap w:val="0"/>
            <w:vAlign w:val="center"/>
          </w:tcPr>
          <w:p w14:paraId="367ADEC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030CB38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0BAB126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317F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75CE64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63</w:t>
            </w:r>
          </w:p>
        </w:tc>
        <w:tc>
          <w:tcPr>
            <w:tcW w:w="1447" w:type="dxa"/>
            <w:noWrap w:val="0"/>
            <w:vAlign w:val="center"/>
          </w:tcPr>
          <w:p w14:paraId="561B989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62FE89D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EC180GF2-HW3</w:t>
            </w:r>
          </w:p>
        </w:tc>
        <w:tc>
          <w:tcPr>
            <w:tcW w:w="941" w:type="dxa"/>
            <w:noWrap/>
            <w:vAlign w:val="center"/>
          </w:tcPr>
          <w:p w14:paraId="2647FDF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0AA8684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215" w:type="dxa"/>
            <w:noWrap w:val="0"/>
            <w:vAlign w:val="center"/>
          </w:tcPr>
          <w:p w14:paraId="24AA0C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36A8B7D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775BD1A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7EAB0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jc w:val="center"/>
        </w:trPr>
        <w:tc>
          <w:tcPr>
            <w:tcW w:w="676" w:type="dxa"/>
            <w:noWrap w:val="0"/>
            <w:vAlign w:val="center"/>
          </w:tcPr>
          <w:p w14:paraId="54AAA4C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64</w:t>
            </w:r>
          </w:p>
        </w:tc>
        <w:tc>
          <w:tcPr>
            <w:tcW w:w="1447" w:type="dxa"/>
            <w:noWrap w:val="0"/>
            <w:vAlign w:val="center"/>
          </w:tcPr>
          <w:p w14:paraId="62D3B90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38CAFD9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YM-350(LED)</w:t>
            </w:r>
          </w:p>
        </w:tc>
        <w:tc>
          <w:tcPr>
            <w:tcW w:w="941" w:type="dxa"/>
            <w:noWrap/>
            <w:vAlign w:val="center"/>
          </w:tcPr>
          <w:p w14:paraId="50499BF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3F3026D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1215" w:type="dxa"/>
            <w:noWrap w:val="0"/>
            <w:vAlign w:val="center"/>
          </w:tcPr>
          <w:p w14:paraId="70851AC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5203B0A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3370514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75DC5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16B5B83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65</w:t>
            </w:r>
          </w:p>
        </w:tc>
        <w:tc>
          <w:tcPr>
            <w:tcW w:w="1447" w:type="dxa"/>
            <w:noWrap w:val="0"/>
            <w:vAlign w:val="center"/>
          </w:tcPr>
          <w:p w14:paraId="3BD0272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5CF9F7A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ABK-900 A</w:t>
            </w:r>
          </w:p>
        </w:tc>
        <w:tc>
          <w:tcPr>
            <w:tcW w:w="941" w:type="dxa"/>
            <w:noWrap/>
            <w:vAlign w:val="center"/>
          </w:tcPr>
          <w:p w14:paraId="6C4C473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29B9135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w:t>
            </w:r>
          </w:p>
        </w:tc>
        <w:tc>
          <w:tcPr>
            <w:tcW w:w="1215" w:type="dxa"/>
            <w:noWrap w:val="0"/>
            <w:vAlign w:val="center"/>
          </w:tcPr>
          <w:p w14:paraId="0974480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60E1E19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091277D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77E79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66838F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66</w:t>
            </w:r>
          </w:p>
        </w:tc>
        <w:tc>
          <w:tcPr>
            <w:tcW w:w="1447" w:type="dxa"/>
            <w:noWrap w:val="0"/>
            <w:vAlign w:val="center"/>
          </w:tcPr>
          <w:p w14:paraId="311ECC6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4C03D1C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S50</w:t>
            </w:r>
          </w:p>
        </w:tc>
        <w:tc>
          <w:tcPr>
            <w:tcW w:w="941" w:type="dxa"/>
            <w:noWrap/>
            <w:vAlign w:val="center"/>
          </w:tcPr>
          <w:p w14:paraId="3B39D12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4E9951F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30</w:t>
            </w:r>
          </w:p>
        </w:tc>
        <w:tc>
          <w:tcPr>
            <w:tcW w:w="1215" w:type="dxa"/>
            <w:noWrap w:val="0"/>
            <w:vAlign w:val="center"/>
          </w:tcPr>
          <w:p w14:paraId="02A0948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5783F05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1C2AEC5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02BB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7005917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67</w:t>
            </w:r>
          </w:p>
        </w:tc>
        <w:tc>
          <w:tcPr>
            <w:tcW w:w="1447" w:type="dxa"/>
            <w:noWrap w:val="0"/>
            <w:vAlign w:val="center"/>
          </w:tcPr>
          <w:p w14:paraId="69F4EC2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0AA975C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CHD200GICK</w:t>
            </w:r>
          </w:p>
        </w:tc>
        <w:tc>
          <w:tcPr>
            <w:tcW w:w="941" w:type="dxa"/>
            <w:noWrap/>
            <w:vAlign w:val="center"/>
          </w:tcPr>
          <w:p w14:paraId="178B8AE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54BEC60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w:t>
            </w:r>
          </w:p>
        </w:tc>
        <w:tc>
          <w:tcPr>
            <w:tcW w:w="1215" w:type="dxa"/>
            <w:noWrap w:val="0"/>
            <w:vAlign w:val="center"/>
          </w:tcPr>
          <w:p w14:paraId="0E10482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5EF14D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351B7C8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38991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301E51E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68</w:t>
            </w:r>
          </w:p>
        </w:tc>
        <w:tc>
          <w:tcPr>
            <w:tcW w:w="1447" w:type="dxa"/>
            <w:noWrap w:val="0"/>
            <w:vAlign w:val="center"/>
          </w:tcPr>
          <w:p w14:paraId="038B04C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39EE476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CHD200G-U</w:t>
            </w:r>
          </w:p>
        </w:tc>
        <w:tc>
          <w:tcPr>
            <w:tcW w:w="941" w:type="dxa"/>
            <w:noWrap/>
            <w:vAlign w:val="center"/>
          </w:tcPr>
          <w:p w14:paraId="7B55EF7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7F8F5F8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15" w:type="dxa"/>
            <w:noWrap w:val="0"/>
            <w:vAlign w:val="center"/>
          </w:tcPr>
          <w:p w14:paraId="3B6C50E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0325D5E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0D2159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113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4A279FE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69</w:t>
            </w:r>
          </w:p>
        </w:tc>
        <w:tc>
          <w:tcPr>
            <w:tcW w:w="1447" w:type="dxa"/>
            <w:noWrap w:val="0"/>
            <w:vAlign w:val="center"/>
          </w:tcPr>
          <w:p w14:paraId="1566A09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2D94F95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PBK-812</w:t>
            </w:r>
          </w:p>
        </w:tc>
        <w:tc>
          <w:tcPr>
            <w:tcW w:w="941" w:type="dxa"/>
            <w:noWrap/>
            <w:vAlign w:val="center"/>
          </w:tcPr>
          <w:p w14:paraId="2206DE4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1766FAF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w:t>
            </w:r>
          </w:p>
        </w:tc>
        <w:tc>
          <w:tcPr>
            <w:tcW w:w="1215" w:type="dxa"/>
            <w:noWrap w:val="0"/>
            <w:vAlign w:val="center"/>
          </w:tcPr>
          <w:p w14:paraId="3CEF97B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5A49461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43AB4D1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4116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41B8773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70</w:t>
            </w:r>
          </w:p>
        </w:tc>
        <w:tc>
          <w:tcPr>
            <w:tcW w:w="1447" w:type="dxa"/>
            <w:noWrap w:val="0"/>
            <w:vAlign w:val="center"/>
          </w:tcPr>
          <w:p w14:paraId="1D5CA27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5648CA0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33010352</w:t>
            </w:r>
          </w:p>
        </w:tc>
        <w:tc>
          <w:tcPr>
            <w:tcW w:w="941" w:type="dxa"/>
            <w:noWrap/>
            <w:vAlign w:val="center"/>
          </w:tcPr>
          <w:p w14:paraId="2E9B90A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35C1AE4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w:t>
            </w:r>
          </w:p>
        </w:tc>
        <w:tc>
          <w:tcPr>
            <w:tcW w:w="1215" w:type="dxa"/>
            <w:noWrap w:val="0"/>
            <w:vAlign w:val="center"/>
          </w:tcPr>
          <w:p w14:paraId="09F3ECD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00D191A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4C6F835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571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0D9BE2F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71</w:t>
            </w:r>
          </w:p>
        </w:tc>
        <w:tc>
          <w:tcPr>
            <w:tcW w:w="1447" w:type="dxa"/>
            <w:noWrap w:val="0"/>
            <w:vAlign w:val="center"/>
          </w:tcPr>
          <w:p w14:paraId="6941554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45D6123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33010346</w:t>
            </w:r>
          </w:p>
        </w:tc>
        <w:tc>
          <w:tcPr>
            <w:tcW w:w="941" w:type="dxa"/>
            <w:noWrap/>
            <w:vAlign w:val="center"/>
          </w:tcPr>
          <w:p w14:paraId="43371E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6357EE4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w:t>
            </w:r>
          </w:p>
        </w:tc>
        <w:tc>
          <w:tcPr>
            <w:tcW w:w="1215" w:type="dxa"/>
            <w:noWrap w:val="0"/>
            <w:vAlign w:val="center"/>
          </w:tcPr>
          <w:p w14:paraId="6C95278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3C4DAD9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32106BB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364F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jc w:val="center"/>
        </w:trPr>
        <w:tc>
          <w:tcPr>
            <w:tcW w:w="676" w:type="dxa"/>
            <w:noWrap w:val="0"/>
            <w:vAlign w:val="center"/>
          </w:tcPr>
          <w:p w14:paraId="5BAC5B0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72</w:t>
            </w:r>
          </w:p>
        </w:tc>
        <w:tc>
          <w:tcPr>
            <w:tcW w:w="1447" w:type="dxa"/>
            <w:noWrap w:val="0"/>
            <w:vAlign w:val="center"/>
          </w:tcPr>
          <w:p w14:paraId="2D749C7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23829C5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CPWR20101</w:t>
            </w:r>
          </w:p>
        </w:tc>
        <w:tc>
          <w:tcPr>
            <w:tcW w:w="941" w:type="dxa"/>
            <w:noWrap/>
            <w:vAlign w:val="center"/>
          </w:tcPr>
          <w:p w14:paraId="168C7D8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7B85300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26</w:t>
            </w:r>
          </w:p>
        </w:tc>
        <w:tc>
          <w:tcPr>
            <w:tcW w:w="1215" w:type="dxa"/>
            <w:noWrap w:val="0"/>
            <w:vAlign w:val="center"/>
          </w:tcPr>
          <w:p w14:paraId="17AEE3B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336DFF4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6C09AC0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E68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76" w:type="dxa"/>
            <w:noWrap w:val="0"/>
            <w:vAlign w:val="center"/>
          </w:tcPr>
          <w:p w14:paraId="5856353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73</w:t>
            </w:r>
          </w:p>
        </w:tc>
        <w:tc>
          <w:tcPr>
            <w:tcW w:w="1447" w:type="dxa"/>
            <w:noWrap w:val="0"/>
            <w:vAlign w:val="center"/>
          </w:tcPr>
          <w:p w14:paraId="7BBD109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动环系统</w:t>
            </w:r>
          </w:p>
        </w:tc>
        <w:tc>
          <w:tcPr>
            <w:tcW w:w="1701" w:type="dxa"/>
            <w:noWrap w:val="0"/>
            <w:vAlign w:val="center"/>
          </w:tcPr>
          <w:p w14:paraId="068A770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WM5BSCSOFT6</w:t>
            </w:r>
          </w:p>
        </w:tc>
        <w:tc>
          <w:tcPr>
            <w:tcW w:w="941" w:type="dxa"/>
            <w:noWrap/>
            <w:vAlign w:val="center"/>
          </w:tcPr>
          <w:p w14:paraId="03EB64E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245" w:type="dxa"/>
            <w:noWrap w:val="0"/>
            <w:vAlign w:val="center"/>
          </w:tcPr>
          <w:p w14:paraId="799CF37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15" w:type="dxa"/>
            <w:noWrap w:val="0"/>
            <w:vAlign w:val="center"/>
          </w:tcPr>
          <w:p w14:paraId="5837F5E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3C7E66D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15" w:type="dxa"/>
            <w:noWrap w:val="0"/>
            <w:vAlign w:val="center"/>
          </w:tcPr>
          <w:p w14:paraId="5F935DA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bl>
    <w:p w14:paraId="240F6EB5">
      <w:pPr>
        <w:pStyle w:val="2"/>
        <w:spacing w:before="120" w:beforeLines="50" w:line="300" w:lineRule="auto"/>
        <w:rPr>
          <w:rFonts w:hint="eastAsia"/>
        </w:rPr>
      </w:pPr>
    </w:p>
    <w:p w14:paraId="21E65CF0">
      <w:pPr>
        <w:pStyle w:val="12"/>
        <w:numPr>
          <w:ilvl w:val="1"/>
          <w:numId w:val="0"/>
        </w:numPr>
        <w:spacing w:before="120" w:beforeLines="50" w:line="300" w:lineRule="auto"/>
        <w:rPr>
          <w:rFonts w:hint="eastAsia"/>
          <w:sz w:val="24"/>
        </w:rPr>
      </w:pPr>
      <w:r>
        <w:rPr>
          <w:rFonts w:hint="eastAsia" w:cs="宋体"/>
          <w:sz w:val="24"/>
          <w:szCs w:val="22"/>
          <w:lang w:val="en-US" w:eastAsia="zh-CN" w:bidi="ar-SA"/>
        </w:rPr>
        <w:t>（5）</w:t>
      </w:r>
      <w:r>
        <w:rPr>
          <w:rFonts w:hint="eastAsia"/>
          <w:sz w:val="24"/>
        </w:rPr>
        <w:t>数字证书应用产品</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25"/>
        <w:gridCol w:w="885"/>
        <w:gridCol w:w="1050"/>
        <w:gridCol w:w="825"/>
        <w:gridCol w:w="1140"/>
        <w:gridCol w:w="1200"/>
        <w:gridCol w:w="1035"/>
        <w:gridCol w:w="1500"/>
      </w:tblGrid>
      <w:tr w14:paraId="58B4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720" w:type="dxa"/>
            <w:noWrap/>
            <w:vAlign w:val="center"/>
          </w:tcPr>
          <w:p w14:paraId="6766434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序号</w:t>
            </w:r>
          </w:p>
        </w:tc>
        <w:tc>
          <w:tcPr>
            <w:tcW w:w="1425" w:type="dxa"/>
            <w:noWrap/>
            <w:vAlign w:val="center"/>
          </w:tcPr>
          <w:p w14:paraId="561C05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设备名称</w:t>
            </w:r>
          </w:p>
        </w:tc>
        <w:tc>
          <w:tcPr>
            <w:tcW w:w="885" w:type="dxa"/>
            <w:noWrap/>
            <w:vAlign w:val="center"/>
          </w:tcPr>
          <w:p w14:paraId="5B40FB5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品牌</w:t>
            </w:r>
          </w:p>
        </w:tc>
        <w:tc>
          <w:tcPr>
            <w:tcW w:w="1050" w:type="dxa"/>
            <w:noWrap/>
            <w:vAlign w:val="center"/>
          </w:tcPr>
          <w:p w14:paraId="40817EA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型号</w:t>
            </w:r>
          </w:p>
        </w:tc>
        <w:tc>
          <w:tcPr>
            <w:tcW w:w="825" w:type="dxa"/>
            <w:noWrap w:val="0"/>
            <w:vAlign w:val="center"/>
          </w:tcPr>
          <w:p w14:paraId="75350BD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单位</w:t>
            </w:r>
          </w:p>
        </w:tc>
        <w:tc>
          <w:tcPr>
            <w:tcW w:w="1140" w:type="dxa"/>
            <w:noWrap/>
            <w:vAlign w:val="center"/>
          </w:tcPr>
          <w:p w14:paraId="5AF3F0B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数量</w:t>
            </w:r>
          </w:p>
        </w:tc>
        <w:tc>
          <w:tcPr>
            <w:tcW w:w="1200" w:type="dxa"/>
            <w:noWrap/>
            <w:vAlign w:val="center"/>
          </w:tcPr>
          <w:p w14:paraId="73AAF71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00"/>
                <w:sz w:val="24"/>
                <w:szCs w:val="24"/>
                <w:lang w:val="en-US" w:eastAsia="en-US" w:bidi="ar-SA"/>
              </w:rPr>
            </w:pPr>
            <w:r>
              <w:rPr>
                <w:rFonts w:hint="eastAsia" w:ascii="宋体" w:eastAsia="宋体"/>
                <w:b/>
                <w:bCs/>
                <w:color w:val="000000"/>
                <w:sz w:val="24"/>
                <w:szCs w:val="24"/>
                <w:lang w:val="en-US" w:eastAsia="zh-CN"/>
              </w:rPr>
              <w:t>购置时间</w:t>
            </w:r>
          </w:p>
        </w:tc>
        <w:tc>
          <w:tcPr>
            <w:tcW w:w="1035" w:type="dxa"/>
            <w:noWrap/>
            <w:vAlign w:val="center"/>
          </w:tcPr>
          <w:p w14:paraId="67B1F3F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00"/>
                <w:sz w:val="24"/>
                <w:szCs w:val="24"/>
                <w:lang w:val="en-US" w:eastAsia="en-US" w:bidi="ar-SA"/>
              </w:rPr>
            </w:pPr>
            <w:r>
              <w:rPr>
                <w:rFonts w:hint="eastAsia" w:ascii="宋体" w:eastAsia="宋体"/>
                <w:b/>
                <w:bCs/>
                <w:color w:val="000000"/>
                <w:sz w:val="24"/>
                <w:szCs w:val="24"/>
                <w:lang w:val="en-US" w:eastAsia="zh-CN"/>
              </w:rPr>
              <w:t>是否有保修</w:t>
            </w:r>
          </w:p>
        </w:tc>
        <w:tc>
          <w:tcPr>
            <w:tcW w:w="1500" w:type="dxa"/>
            <w:noWrap/>
            <w:vAlign w:val="center"/>
          </w:tcPr>
          <w:p w14:paraId="399F89E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00"/>
                <w:sz w:val="24"/>
                <w:szCs w:val="24"/>
                <w:lang w:val="en-US" w:eastAsia="en-US" w:bidi="ar-SA"/>
              </w:rPr>
            </w:pPr>
            <w:r>
              <w:rPr>
                <w:rFonts w:hint="eastAsia"/>
                <w:b/>
                <w:bCs/>
                <w:color w:val="000000"/>
                <w:sz w:val="24"/>
                <w:szCs w:val="24"/>
              </w:rPr>
              <w:t>是否需要购买原厂维保</w:t>
            </w:r>
          </w:p>
        </w:tc>
      </w:tr>
      <w:tr w14:paraId="2510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5" w:hRule="atLeast"/>
          <w:jc w:val="center"/>
        </w:trPr>
        <w:tc>
          <w:tcPr>
            <w:tcW w:w="720" w:type="dxa"/>
            <w:noWrap/>
            <w:vAlign w:val="center"/>
          </w:tcPr>
          <w:p w14:paraId="4CEE34F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425" w:type="dxa"/>
            <w:noWrap w:val="0"/>
            <w:vAlign w:val="center"/>
          </w:tcPr>
          <w:p w14:paraId="62A2711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数字签名验证服务器 </w:t>
            </w:r>
          </w:p>
        </w:tc>
        <w:tc>
          <w:tcPr>
            <w:tcW w:w="885" w:type="dxa"/>
            <w:noWrap w:val="0"/>
            <w:vAlign w:val="center"/>
          </w:tcPr>
          <w:p w14:paraId="2DBC25E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BJCA</w:t>
            </w:r>
          </w:p>
        </w:tc>
        <w:tc>
          <w:tcPr>
            <w:tcW w:w="1050" w:type="dxa"/>
            <w:noWrap w:val="0"/>
            <w:vAlign w:val="center"/>
          </w:tcPr>
          <w:p w14:paraId="081A54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sz w:val="24"/>
                <w:szCs w:val="24"/>
              </w:rPr>
            </w:pPr>
            <w:r>
              <w:rPr>
                <w:rFonts w:hint="eastAsia"/>
                <w:sz w:val="24"/>
                <w:szCs w:val="24"/>
              </w:rPr>
              <w:t>DSVS4000-SH-S</w:t>
            </w:r>
          </w:p>
        </w:tc>
        <w:tc>
          <w:tcPr>
            <w:tcW w:w="825" w:type="dxa"/>
            <w:noWrap/>
            <w:vAlign w:val="center"/>
          </w:tcPr>
          <w:p w14:paraId="20E76EF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套</w:t>
            </w:r>
          </w:p>
        </w:tc>
        <w:tc>
          <w:tcPr>
            <w:tcW w:w="1140" w:type="dxa"/>
            <w:noWrap w:val="0"/>
            <w:vAlign w:val="center"/>
          </w:tcPr>
          <w:p w14:paraId="274593C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200" w:type="dxa"/>
            <w:noWrap w:val="0"/>
            <w:vAlign w:val="center"/>
          </w:tcPr>
          <w:p w14:paraId="6981B15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6DAF11D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noWrap w:val="0"/>
            <w:vAlign w:val="center"/>
          </w:tcPr>
          <w:p w14:paraId="1CBC9F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54993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jc w:val="center"/>
        </w:trPr>
        <w:tc>
          <w:tcPr>
            <w:tcW w:w="720" w:type="dxa"/>
            <w:noWrap/>
            <w:vAlign w:val="center"/>
          </w:tcPr>
          <w:p w14:paraId="6F0F60A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425" w:type="dxa"/>
            <w:noWrap w:val="0"/>
            <w:vAlign w:val="center"/>
          </w:tcPr>
          <w:p w14:paraId="1E8BA7F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时间戳服务器</w:t>
            </w:r>
          </w:p>
        </w:tc>
        <w:tc>
          <w:tcPr>
            <w:tcW w:w="885" w:type="dxa"/>
            <w:noWrap w:val="0"/>
            <w:vAlign w:val="center"/>
          </w:tcPr>
          <w:p w14:paraId="6302915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BJCA</w:t>
            </w:r>
          </w:p>
        </w:tc>
        <w:tc>
          <w:tcPr>
            <w:tcW w:w="1050" w:type="dxa"/>
            <w:noWrap w:val="0"/>
            <w:vAlign w:val="center"/>
          </w:tcPr>
          <w:p w14:paraId="7EC405F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sz w:val="24"/>
                <w:szCs w:val="24"/>
              </w:rPr>
            </w:pPr>
            <w:r>
              <w:rPr>
                <w:rFonts w:hint="eastAsia"/>
                <w:sz w:val="24"/>
                <w:szCs w:val="24"/>
              </w:rPr>
              <w:t>TSS4000-HS-S</w:t>
            </w:r>
          </w:p>
        </w:tc>
        <w:tc>
          <w:tcPr>
            <w:tcW w:w="825" w:type="dxa"/>
            <w:noWrap/>
            <w:vAlign w:val="center"/>
          </w:tcPr>
          <w:p w14:paraId="1EF45BD0">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套</w:t>
            </w:r>
          </w:p>
        </w:tc>
        <w:tc>
          <w:tcPr>
            <w:tcW w:w="1140" w:type="dxa"/>
            <w:noWrap w:val="0"/>
            <w:vAlign w:val="center"/>
          </w:tcPr>
          <w:p w14:paraId="101C637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00" w:type="dxa"/>
            <w:noWrap w:val="0"/>
            <w:vAlign w:val="center"/>
          </w:tcPr>
          <w:p w14:paraId="285F4AC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0AA5646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noWrap w:val="0"/>
            <w:vAlign w:val="center"/>
          </w:tcPr>
          <w:p w14:paraId="749BF3D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3DF7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720" w:type="dxa"/>
            <w:noWrap/>
            <w:vAlign w:val="center"/>
          </w:tcPr>
          <w:p w14:paraId="6D39AD2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w:t>
            </w:r>
          </w:p>
        </w:tc>
        <w:tc>
          <w:tcPr>
            <w:tcW w:w="1425" w:type="dxa"/>
            <w:noWrap w:val="0"/>
            <w:vAlign w:val="center"/>
          </w:tcPr>
          <w:p w14:paraId="777F692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 xml:space="preserve">证书管理服务器 </w:t>
            </w:r>
          </w:p>
        </w:tc>
        <w:tc>
          <w:tcPr>
            <w:tcW w:w="885" w:type="dxa"/>
            <w:noWrap w:val="0"/>
            <w:vAlign w:val="center"/>
          </w:tcPr>
          <w:p w14:paraId="3B462B2B">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BJCA</w:t>
            </w:r>
          </w:p>
        </w:tc>
        <w:tc>
          <w:tcPr>
            <w:tcW w:w="1050" w:type="dxa"/>
            <w:noWrap w:val="0"/>
            <w:vAlign w:val="center"/>
          </w:tcPr>
          <w:p w14:paraId="3B653B1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CSS500-HS-S</w:t>
            </w:r>
          </w:p>
        </w:tc>
        <w:tc>
          <w:tcPr>
            <w:tcW w:w="825" w:type="dxa"/>
            <w:noWrap/>
            <w:vAlign w:val="center"/>
          </w:tcPr>
          <w:p w14:paraId="399BFD10">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套</w:t>
            </w:r>
          </w:p>
        </w:tc>
        <w:tc>
          <w:tcPr>
            <w:tcW w:w="1140" w:type="dxa"/>
            <w:noWrap w:val="0"/>
            <w:vAlign w:val="center"/>
          </w:tcPr>
          <w:p w14:paraId="347A341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00" w:type="dxa"/>
            <w:noWrap w:val="0"/>
            <w:vAlign w:val="center"/>
          </w:tcPr>
          <w:p w14:paraId="71A4C1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222C2B9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noWrap w:val="0"/>
            <w:vAlign w:val="center"/>
          </w:tcPr>
          <w:p w14:paraId="053FF72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7B4FC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720" w:type="dxa"/>
            <w:noWrap/>
            <w:vAlign w:val="center"/>
          </w:tcPr>
          <w:p w14:paraId="78F93E8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1425" w:type="dxa"/>
            <w:noWrap w:val="0"/>
            <w:vAlign w:val="center"/>
          </w:tcPr>
          <w:p w14:paraId="6632766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电子印章系统</w:t>
            </w:r>
          </w:p>
        </w:tc>
        <w:tc>
          <w:tcPr>
            <w:tcW w:w="885" w:type="dxa"/>
            <w:noWrap w:val="0"/>
            <w:vAlign w:val="center"/>
          </w:tcPr>
          <w:p w14:paraId="6EE02B69">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BJCA</w:t>
            </w:r>
          </w:p>
        </w:tc>
        <w:tc>
          <w:tcPr>
            <w:tcW w:w="1050" w:type="dxa"/>
            <w:noWrap w:val="0"/>
            <w:vAlign w:val="center"/>
          </w:tcPr>
          <w:p w14:paraId="1781242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ESS-W</w:t>
            </w:r>
          </w:p>
        </w:tc>
        <w:tc>
          <w:tcPr>
            <w:tcW w:w="825" w:type="dxa"/>
            <w:noWrap/>
            <w:vAlign w:val="center"/>
          </w:tcPr>
          <w:p w14:paraId="6FEA3F1F">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套</w:t>
            </w:r>
          </w:p>
        </w:tc>
        <w:tc>
          <w:tcPr>
            <w:tcW w:w="1140" w:type="dxa"/>
            <w:noWrap w:val="0"/>
            <w:vAlign w:val="center"/>
          </w:tcPr>
          <w:p w14:paraId="20AE230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00" w:type="dxa"/>
            <w:noWrap w:val="0"/>
            <w:vAlign w:val="center"/>
          </w:tcPr>
          <w:p w14:paraId="78C9E74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1F8482C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noWrap w:val="0"/>
            <w:vAlign w:val="center"/>
          </w:tcPr>
          <w:p w14:paraId="6248317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2AAD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720" w:type="dxa"/>
            <w:noWrap/>
            <w:vAlign w:val="center"/>
          </w:tcPr>
          <w:p w14:paraId="3455A89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w:t>
            </w:r>
          </w:p>
        </w:tc>
        <w:tc>
          <w:tcPr>
            <w:tcW w:w="1425" w:type="dxa"/>
            <w:noWrap w:val="0"/>
            <w:vAlign w:val="center"/>
          </w:tcPr>
          <w:p w14:paraId="45A801C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协同签名系统</w:t>
            </w:r>
          </w:p>
        </w:tc>
        <w:tc>
          <w:tcPr>
            <w:tcW w:w="885" w:type="dxa"/>
            <w:noWrap w:val="0"/>
            <w:vAlign w:val="center"/>
          </w:tcPr>
          <w:p w14:paraId="62467684">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BJCA</w:t>
            </w:r>
          </w:p>
        </w:tc>
        <w:tc>
          <w:tcPr>
            <w:tcW w:w="1050" w:type="dxa"/>
            <w:noWrap w:val="0"/>
            <w:vAlign w:val="center"/>
          </w:tcPr>
          <w:p w14:paraId="6E9152D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COSS2000M</w:t>
            </w:r>
          </w:p>
        </w:tc>
        <w:tc>
          <w:tcPr>
            <w:tcW w:w="825" w:type="dxa"/>
            <w:noWrap/>
            <w:vAlign w:val="center"/>
          </w:tcPr>
          <w:p w14:paraId="5AD96A3E">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套</w:t>
            </w:r>
          </w:p>
        </w:tc>
        <w:tc>
          <w:tcPr>
            <w:tcW w:w="1140" w:type="dxa"/>
            <w:noWrap w:val="0"/>
            <w:vAlign w:val="center"/>
          </w:tcPr>
          <w:p w14:paraId="214BCC7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00" w:type="dxa"/>
            <w:noWrap w:val="0"/>
            <w:vAlign w:val="center"/>
          </w:tcPr>
          <w:p w14:paraId="04E48D8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542D4AB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noWrap w:val="0"/>
            <w:vAlign w:val="center"/>
          </w:tcPr>
          <w:p w14:paraId="6EEF2F0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6D660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20" w:type="dxa"/>
            <w:noWrap/>
            <w:vAlign w:val="center"/>
          </w:tcPr>
          <w:p w14:paraId="189F9A7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w:t>
            </w:r>
          </w:p>
        </w:tc>
        <w:tc>
          <w:tcPr>
            <w:tcW w:w="1425" w:type="dxa"/>
            <w:noWrap w:val="0"/>
            <w:vAlign w:val="center"/>
          </w:tcPr>
          <w:p w14:paraId="70DE38B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个人数字证书</w:t>
            </w:r>
          </w:p>
        </w:tc>
        <w:tc>
          <w:tcPr>
            <w:tcW w:w="885" w:type="dxa"/>
            <w:noWrap w:val="0"/>
            <w:vAlign w:val="center"/>
          </w:tcPr>
          <w:p w14:paraId="4816362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BJCA</w:t>
            </w:r>
          </w:p>
        </w:tc>
        <w:tc>
          <w:tcPr>
            <w:tcW w:w="1050" w:type="dxa"/>
            <w:noWrap w:val="0"/>
            <w:vAlign w:val="center"/>
          </w:tcPr>
          <w:p w14:paraId="51FCBEB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CERT-I</w:t>
            </w:r>
          </w:p>
        </w:tc>
        <w:tc>
          <w:tcPr>
            <w:tcW w:w="825" w:type="dxa"/>
            <w:noWrap/>
            <w:vAlign w:val="center"/>
          </w:tcPr>
          <w:p w14:paraId="01D34983">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color w:val="000000"/>
                <w:sz w:val="24"/>
                <w:szCs w:val="24"/>
              </w:rPr>
            </w:pPr>
            <w:r>
              <w:rPr>
                <w:rFonts w:hint="eastAsia"/>
                <w:color w:val="000000"/>
                <w:sz w:val="24"/>
                <w:szCs w:val="24"/>
              </w:rPr>
              <w:t>套</w:t>
            </w:r>
          </w:p>
        </w:tc>
        <w:tc>
          <w:tcPr>
            <w:tcW w:w="1140" w:type="dxa"/>
            <w:noWrap w:val="0"/>
            <w:vAlign w:val="center"/>
          </w:tcPr>
          <w:p w14:paraId="0CF214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1600</w:t>
            </w:r>
          </w:p>
        </w:tc>
        <w:tc>
          <w:tcPr>
            <w:tcW w:w="1200" w:type="dxa"/>
            <w:noWrap w:val="0"/>
            <w:vAlign w:val="center"/>
          </w:tcPr>
          <w:p w14:paraId="78491A1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35" w:type="dxa"/>
            <w:noWrap w:val="0"/>
            <w:vAlign w:val="center"/>
          </w:tcPr>
          <w:p w14:paraId="40C2614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00" w:type="dxa"/>
            <w:noWrap w:val="0"/>
            <w:vAlign w:val="center"/>
          </w:tcPr>
          <w:p w14:paraId="0AC3512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bl>
    <w:p w14:paraId="6AEAA9DA">
      <w:pPr>
        <w:pStyle w:val="2"/>
        <w:spacing w:before="120" w:beforeLines="50" w:line="300" w:lineRule="auto"/>
        <w:rPr>
          <w:rFonts w:hint="eastAsia"/>
        </w:rPr>
      </w:pPr>
    </w:p>
    <w:p w14:paraId="031B4561">
      <w:pPr>
        <w:pStyle w:val="12"/>
        <w:numPr>
          <w:ilvl w:val="1"/>
          <w:numId w:val="0"/>
        </w:numPr>
        <w:spacing w:before="120" w:beforeLines="50" w:line="300" w:lineRule="auto"/>
        <w:rPr>
          <w:rFonts w:hint="eastAsia"/>
          <w:sz w:val="24"/>
        </w:rPr>
      </w:pPr>
      <w:r>
        <w:rPr>
          <w:rFonts w:hint="eastAsia" w:cs="宋体"/>
          <w:sz w:val="24"/>
          <w:szCs w:val="22"/>
          <w:lang w:val="en-US" w:eastAsia="zh-CN" w:bidi="ar-SA"/>
        </w:rPr>
        <w:t>（6）</w:t>
      </w:r>
      <w:r>
        <w:rPr>
          <w:rFonts w:hint="eastAsia"/>
          <w:sz w:val="24"/>
        </w:rPr>
        <w:t>应急视频系统</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425"/>
        <w:gridCol w:w="885"/>
        <w:gridCol w:w="1035"/>
        <w:gridCol w:w="855"/>
        <w:gridCol w:w="839"/>
        <w:gridCol w:w="1080"/>
        <w:gridCol w:w="990"/>
        <w:gridCol w:w="1951"/>
      </w:tblGrid>
      <w:tr w14:paraId="44E76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34" w:type="dxa"/>
            <w:noWrap/>
            <w:vAlign w:val="center"/>
          </w:tcPr>
          <w:p w14:paraId="09C318D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序号</w:t>
            </w:r>
          </w:p>
        </w:tc>
        <w:tc>
          <w:tcPr>
            <w:tcW w:w="1425" w:type="dxa"/>
            <w:noWrap w:val="0"/>
            <w:vAlign w:val="center"/>
          </w:tcPr>
          <w:p w14:paraId="1EB075D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名称</w:t>
            </w:r>
          </w:p>
        </w:tc>
        <w:tc>
          <w:tcPr>
            <w:tcW w:w="885" w:type="dxa"/>
            <w:noWrap/>
            <w:vAlign w:val="center"/>
          </w:tcPr>
          <w:p w14:paraId="15CCC8C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品牌</w:t>
            </w:r>
          </w:p>
        </w:tc>
        <w:tc>
          <w:tcPr>
            <w:tcW w:w="1035" w:type="dxa"/>
            <w:noWrap/>
            <w:vAlign w:val="center"/>
          </w:tcPr>
          <w:p w14:paraId="5BF2A99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型号</w:t>
            </w:r>
          </w:p>
        </w:tc>
        <w:tc>
          <w:tcPr>
            <w:tcW w:w="855" w:type="dxa"/>
            <w:noWrap w:val="0"/>
            <w:vAlign w:val="center"/>
          </w:tcPr>
          <w:p w14:paraId="642C792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单位</w:t>
            </w:r>
          </w:p>
        </w:tc>
        <w:tc>
          <w:tcPr>
            <w:tcW w:w="839" w:type="dxa"/>
            <w:noWrap/>
            <w:vAlign w:val="center"/>
          </w:tcPr>
          <w:p w14:paraId="30D30FA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数量</w:t>
            </w:r>
          </w:p>
        </w:tc>
        <w:tc>
          <w:tcPr>
            <w:tcW w:w="1080" w:type="dxa"/>
            <w:noWrap/>
            <w:vAlign w:val="center"/>
          </w:tcPr>
          <w:p w14:paraId="6A78B5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00"/>
                <w:sz w:val="24"/>
                <w:szCs w:val="24"/>
                <w:lang w:val="en-US" w:eastAsia="en-US" w:bidi="ar-SA"/>
              </w:rPr>
            </w:pPr>
            <w:r>
              <w:rPr>
                <w:rFonts w:hint="eastAsia" w:ascii="宋体" w:eastAsia="宋体"/>
                <w:b/>
                <w:bCs/>
                <w:color w:val="000000"/>
                <w:sz w:val="24"/>
                <w:szCs w:val="24"/>
                <w:lang w:val="en-US" w:eastAsia="zh-CN"/>
              </w:rPr>
              <w:t>购置时间</w:t>
            </w:r>
          </w:p>
        </w:tc>
        <w:tc>
          <w:tcPr>
            <w:tcW w:w="990" w:type="dxa"/>
            <w:noWrap/>
            <w:vAlign w:val="center"/>
          </w:tcPr>
          <w:p w14:paraId="0D32373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00"/>
                <w:sz w:val="24"/>
                <w:szCs w:val="24"/>
                <w:lang w:val="en-US" w:eastAsia="en-US" w:bidi="ar-SA"/>
              </w:rPr>
            </w:pPr>
            <w:r>
              <w:rPr>
                <w:rFonts w:hint="eastAsia" w:ascii="宋体" w:eastAsia="宋体"/>
                <w:b/>
                <w:bCs/>
                <w:color w:val="000000"/>
                <w:sz w:val="24"/>
                <w:szCs w:val="24"/>
                <w:lang w:val="en-US" w:eastAsia="zh-CN"/>
              </w:rPr>
              <w:t>是否有保修</w:t>
            </w:r>
          </w:p>
        </w:tc>
        <w:tc>
          <w:tcPr>
            <w:tcW w:w="1951" w:type="dxa"/>
            <w:noWrap/>
            <w:vAlign w:val="center"/>
          </w:tcPr>
          <w:p w14:paraId="5B3DACD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00"/>
                <w:sz w:val="24"/>
                <w:szCs w:val="24"/>
                <w:lang w:val="en-US" w:eastAsia="en-US" w:bidi="ar-SA"/>
              </w:rPr>
            </w:pPr>
            <w:r>
              <w:rPr>
                <w:rFonts w:hint="eastAsia"/>
                <w:b/>
                <w:bCs/>
                <w:color w:val="000000"/>
                <w:sz w:val="24"/>
                <w:szCs w:val="24"/>
              </w:rPr>
              <w:t>是否需要购买原厂维保</w:t>
            </w:r>
          </w:p>
        </w:tc>
      </w:tr>
      <w:tr w14:paraId="418D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734" w:type="dxa"/>
            <w:noWrap/>
            <w:vAlign w:val="center"/>
          </w:tcPr>
          <w:p w14:paraId="2D56B6C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425" w:type="dxa"/>
            <w:noWrap w:val="0"/>
            <w:vAlign w:val="center"/>
          </w:tcPr>
          <w:p w14:paraId="1083793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核心交换服务器</w:t>
            </w:r>
          </w:p>
        </w:tc>
        <w:tc>
          <w:tcPr>
            <w:tcW w:w="885" w:type="dxa"/>
            <w:noWrap w:val="0"/>
            <w:vAlign w:val="center"/>
          </w:tcPr>
          <w:p w14:paraId="107055A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视联医疗</w:t>
            </w:r>
          </w:p>
        </w:tc>
        <w:tc>
          <w:tcPr>
            <w:tcW w:w="1035" w:type="dxa"/>
            <w:noWrap w:val="0"/>
            <w:vAlign w:val="center"/>
          </w:tcPr>
          <w:p w14:paraId="7806E57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BPC-BLI-(VV-HX10)</w:t>
            </w:r>
          </w:p>
        </w:tc>
        <w:tc>
          <w:tcPr>
            <w:tcW w:w="855" w:type="dxa"/>
            <w:noWrap w:val="0"/>
            <w:vAlign w:val="center"/>
          </w:tcPr>
          <w:p w14:paraId="5E1977A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839" w:type="dxa"/>
            <w:noWrap w:val="0"/>
            <w:vAlign w:val="center"/>
          </w:tcPr>
          <w:p w14:paraId="023FA2B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080" w:type="dxa"/>
            <w:noWrap w:val="0"/>
            <w:vAlign w:val="center"/>
          </w:tcPr>
          <w:p w14:paraId="5CD1C0E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990" w:type="dxa"/>
            <w:noWrap w:val="0"/>
            <w:vAlign w:val="center"/>
          </w:tcPr>
          <w:p w14:paraId="31FD9F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951" w:type="dxa"/>
            <w:noWrap w:val="0"/>
            <w:vAlign w:val="center"/>
          </w:tcPr>
          <w:p w14:paraId="28666F9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3C03C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4" w:type="dxa"/>
            <w:noWrap/>
            <w:vAlign w:val="center"/>
          </w:tcPr>
          <w:p w14:paraId="30ADB38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425" w:type="dxa"/>
            <w:noWrap w:val="0"/>
            <w:vAlign w:val="center"/>
          </w:tcPr>
          <w:p w14:paraId="03F097E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会议管理服务器</w:t>
            </w:r>
          </w:p>
        </w:tc>
        <w:tc>
          <w:tcPr>
            <w:tcW w:w="885" w:type="dxa"/>
            <w:noWrap w:val="0"/>
            <w:vAlign w:val="center"/>
          </w:tcPr>
          <w:p w14:paraId="150E08D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视联医疗</w:t>
            </w:r>
          </w:p>
        </w:tc>
        <w:tc>
          <w:tcPr>
            <w:tcW w:w="1035" w:type="dxa"/>
            <w:noWrap w:val="0"/>
            <w:vAlign w:val="center"/>
          </w:tcPr>
          <w:p w14:paraId="4804229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VMHS-X86202-0000M</w:t>
            </w:r>
          </w:p>
        </w:tc>
        <w:tc>
          <w:tcPr>
            <w:tcW w:w="855" w:type="dxa"/>
            <w:noWrap w:val="0"/>
            <w:vAlign w:val="center"/>
          </w:tcPr>
          <w:p w14:paraId="165AC83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839" w:type="dxa"/>
            <w:noWrap w:val="0"/>
            <w:vAlign w:val="center"/>
          </w:tcPr>
          <w:p w14:paraId="19422A1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080" w:type="dxa"/>
            <w:noWrap w:val="0"/>
            <w:vAlign w:val="center"/>
          </w:tcPr>
          <w:p w14:paraId="3D22E7E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990" w:type="dxa"/>
            <w:noWrap w:val="0"/>
            <w:vAlign w:val="center"/>
          </w:tcPr>
          <w:p w14:paraId="108888C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951" w:type="dxa"/>
            <w:noWrap w:val="0"/>
            <w:vAlign w:val="center"/>
          </w:tcPr>
          <w:p w14:paraId="1B8D164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1A4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734" w:type="dxa"/>
            <w:noWrap/>
            <w:vAlign w:val="center"/>
          </w:tcPr>
          <w:p w14:paraId="1B3B01F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w:t>
            </w:r>
          </w:p>
        </w:tc>
        <w:tc>
          <w:tcPr>
            <w:tcW w:w="1425" w:type="dxa"/>
            <w:noWrap w:val="0"/>
            <w:vAlign w:val="center"/>
          </w:tcPr>
          <w:p w14:paraId="1EC7523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多媒体录播服务器</w:t>
            </w:r>
          </w:p>
        </w:tc>
        <w:tc>
          <w:tcPr>
            <w:tcW w:w="885" w:type="dxa"/>
            <w:noWrap w:val="0"/>
            <w:vAlign w:val="center"/>
          </w:tcPr>
          <w:p w14:paraId="0C2DEFB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视联医疗</w:t>
            </w:r>
          </w:p>
        </w:tc>
        <w:tc>
          <w:tcPr>
            <w:tcW w:w="1035" w:type="dxa"/>
            <w:noWrap w:val="0"/>
            <w:vAlign w:val="center"/>
          </w:tcPr>
          <w:p w14:paraId="48E29E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VMHS-X86201-0000M</w:t>
            </w:r>
          </w:p>
        </w:tc>
        <w:tc>
          <w:tcPr>
            <w:tcW w:w="855" w:type="dxa"/>
            <w:noWrap w:val="0"/>
            <w:vAlign w:val="center"/>
          </w:tcPr>
          <w:p w14:paraId="76E5797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839" w:type="dxa"/>
            <w:noWrap w:val="0"/>
            <w:vAlign w:val="center"/>
          </w:tcPr>
          <w:p w14:paraId="7C7CBB5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080" w:type="dxa"/>
            <w:noWrap w:val="0"/>
            <w:vAlign w:val="center"/>
          </w:tcPr>
          <w:p w14:paraId="5DBE4EC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990" w:type="dxa"/>
            <w:noWrap w:val="0"/>
            <w:vAlign w:val="center"/>
          </w:tcPr>
          <w:p w14:paraId="2D1FA7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951" w:type="dxa"/>
            <w:noWrap w:val="0"/>
            <w:vAlign w:val="center"/>
          </w:tcPr>
          <w:p w14:paraId="73F19EA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37CC0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734" w:type="dxa"/>
            <w:noWrap/>
            <w:vAlign w:val="center"/>
          </w:tcPr>
          <w:p w14:paraId="2284E4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1425" w:type="dxa"/>
            <w:noWrap w:val="0"/>
            <w:vAlign w:val="center"/>
          </w:tcPr>
          <w:p w14:paraId="4607C3D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流媒体服务器</w:t>
            </w:r>
          </w:p>
        </w:tc>
        <w:tc>
          <w:tcPr>
            <w:tcW w:w="885" w:type="dxa"/>
            <w:noWrap w:val="0"/>
            <w:vAlign w:val="center"/>
          </w:tcPr>
          <w:p w14:paraId="32E1C5B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视联医疗</w:t>
            </w:r>
          </w:p>
        </w:tc>
        <w:tc>
          <w:tcPr>
            <w:tcW w:w="1035" w:type="dxa"/>
            <w:noWrap w:val="0"/>
            <w:vAlign w:val="center"/>
          </w:tcPr>
          <w:p w14:paraId="35BDF98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VMHS-X86203-0000M</w:t>
            </w:r>
          </w:p>
        </w:tc>
        <w:tc>
          <w:tcPr>
            <w:tcW w:w="855" w:type="dxa"/>
            <w:noWrap w:val="0"/>
            <w:vAlign w:val="center"/>
          </w:tcPr>
          <w:p w14:paraId="016E954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台</w:t>
            </w:r>
          </w:p>
        </w:tc>
        <w:tc>
          <w:tcPr>
            <w:tcW w:w="839" w:type="dxa"/>
            <w:noWrap w:val="0"/>
            <w:vAlign w:val="center"/>
          </w:tcPr>
          <w:p w14:paraId="090053D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080" w:type="dxa"/>
            <w:noWrap w:val="0"/>
            <w:vAlign w:val="center"/>
          </w:tcPr>
          <w:p w14:paraId="2FA8E2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990" w:type="dxa"/>
            <w:noWrap w:val="0"/>
            <w:vAlign w:val="center"/>
          </w:tcPr>
          <w:p w14:paraId="313B4C5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951" w:type="dxa"/>
            <w:noWrap w:val="0"/>
            <w:vAlign w:val="center"/>
          </w:tcPr>
          <w:p w14:paraId="551F22B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7792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734" w:type="dxa"/>
            <w:noWrap/>
            <w:vAlign w:val="center"/>
          </w:tcPr>
          <w:p w14:paraId="12135B1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w:t>
            </w:r>
          </w:p>
        </w:tc>
        <w:tc>
          <w:tcPr>
            <w:tcW w:w="1425" w:type="dxa"/>
            <w:noWrap w:val="0"/>
            <w:vAlign w:val="center"/>
          </w:tcPr>
          <w:p w14:paraId="3379458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隔离病区应急视频系统</w:t>
            </w:r>
          </w:p>
        </w:tc>
        <w:tc>
          <w:tcPr>
            <w:tcW w:w="885" w:type="dxa"/>
            <w:noWrap w:val="0"/>
            <w:vAlign w:val="center"/>
          </w:tcPr>
          <w:p w14:paraId="55C1372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视联医疗</w:t>
            </w:r>
          </w:p>
        </w:tc>
        <w:tc>
          <w:tcPr>
            <w:tcW w:w="1035" w:type="dxa"/>
            <w:noWrap w:val="0"/>
            <w:vAlign w:val="center"/>
          </w:tcPr>
          <w:p w14:paraId="32603583">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olor w:val="000000"/>
                <w:sz w:val="24"/>
                <w:szCs w:val="24"/>
              </w:rPr>
            </w:pPr>
            <w:r>
              <w:rPr>
                <w:rFonts w:hint="eastAsia"/>
                <w:color w:val="000000"/>
                <w:sz w:val="24"/>
                <w:szCs w:val="24"/>
              </w:rPr>
              <w:t>　</w:t>
            </w:r>
          </w:p>
        </w:tc>
        <w:tc>
          <w:tcPr>
            <w:tcW w:w="855" w:type="dxa"/>
            <w:noWrap w:val="0"/>
            <w:vAlign w:val="center"/>
          </w:tcPr>
          <w:p w14:paraId="54625B5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839" w:type="dxa"/>
            <w:noWrap w:val="0"/>
            <w:vAlign w:val="center"/>
          </w:tcPr>
          <w:p w14:paraId="135847F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080" w:type="dxa"/>
            <w:noWrap w:val="0"/>
            <w:vAlign w:val="center"/>
          </w:tcPr>
          <w:p w14:paraId="1DC50F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990" w:type="dxa"/>
            <w:noWrap w:val="0"/>
            <w:vAlign w:val="center"/>
          </w:tcPr>
          <w:p w14:paraId="03EAF69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951" w:type="dxa"/>
            <w:noWrap w:val="0"/>
            <w:vAlign w:val="center"/>
          </w:tcPr>
          <w:p w14:paraId="4D8E696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bl>
    <w:p w14:paraId="04854FF1">
      <w:pPr>
        <w:pStyle w:val="2"/>
        <w:spacing w:before="120" w:beforeLines="50" w:line="300" w:lineRule="auto"/>
        <w:rPr>
          <w:rFonts w:hint="eastAsia"/>
        </w:rPr>
      </w:pPr>
    </w:p>
    <w:p w14:paraId="4FE16224">
      <w:pPr>
        <w:pStyle w:val="12"/>
        <w:numPr>
          <w:ilvl w:val="1"/>
          <w:numId w:val="0"/>
        </w:numPr>
        <w:spacing w:before="120" w:beforeLines="50" w:line="300" w:lineRule="auto"/>
        <w:rPr>
          <w:rFonts w:hint="eastAsia"/>
          <w:sz w:val="24"/>
        </w:rPr>
      </w:pPr>
      <w:r>
        <w:rPr>
          <w:rFonts w:hint="eastAsia" w:cs="宋体"/>
          <w:sz w:val="24"/>
          <w:szCs w:val="22"/>
          <w:lang w:val="en-US" w:eastAsia="zh-CN" w:bidi="ar-SA"/>
        </w:rPr>
        <w:t>（7）</w:t>
      </w:r>
      <w:r>
        <w:rPr>
          <w:rFonts w:hint="eastAsia"/>
          <w:sz w:val="24"/>
        </w:rPr>
        <w:t>应用系统</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425"/>
        <w:gridCol w:w="885"/>
        <w:gridCol w:w="1149"/>
        <w:gridCol w:w="756"/>
        <w:gridCol w:w="1125"/>
        <w:gridCol w:w="1230"/>
        <w:gridCol w:w="1005"/>
        <w:gridCol w:w="1520"/>
      </w:tblGrid>
      <w:tr w14:paraId="74044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5" w:hRule="atLeast"/>
          <w:jc w:val="center"/>
        </w:trPr>
        <w:tc>
          <w:tcPr>
            <w:tcW w:w="750" w:type="dxa"/>
            <w:noWrap/>
            <w:vAlign w:val="center"/>
          </w:tcPr>
          <w:p w14:paraId="252331E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序号</w:t>
            </w:r>
          </w:p>
        </w:tc>
        <w:tc>
          <w:tcPr>
            <w:tcW w:w="1425" w:type="dxa"/>
            <w:noWrap w:val="0"/>
            <w:vAlign w:val="center"/>
          </w:tcPr>
          <w:p w14:paraId="65D5253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名称</w:t>
            </w:r>
          </w:p>
        </w:tc>
        <w:tc>
          <w:tcPr>
            <w:tcW w:w="885" w:type="dxa"/>
            <w:noWrap/>
            <w:vAlign w:val="center"/>
          </w:tcPr>
          <w:p w14:paraId="4E2345C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品牌</w:t>
            </w:r>
          </w:p>
        </w:tc>
        <w:tc>
          <w:tcPr>
            <w:tcW w:w="1149" w:type="dxa"/>
            <w:noWrap/>
            <w:vAlign w:val="center"/>
          </w:tcPr>
          <w:p w14:paraId="4FA5526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型号</w:t>
            </w:r>
          </w:p>
        </w:tc>
        <w:tc>
          <w:tcPr>
            <w:tcW w:w="756" w:type="dxa"/>
            <w:noWrap w:val="0"/>
            <w:vAlign w:val="center"/>
          </w:tcPr>
          <w:p w14:paraId="28D85B6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单位</w:t>
            </w:r>
          </w:p>
        </w:tc>
        <w:tc>
          <w:tcPr>
            <w:tcW w:w="1125" w:type="dxa"/>
            <w:noWrap/>
            <w:vAlign w:val="center"/>
          </w:tcPr>
          <w:p w14:paraId="7B34D20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000000"/>
                <w:sz w:val="24"/>
                <w:szCs w:val="24"/>
              </w:rPr>
            </w:pPr>
            <w:r>
              <w:rPr>
                <w:rFonts w:hint="eastAsia"/>
                <w:b/>
                <w:bCs/>
                <w:color w:val="000000"/>
                <w:sz w:val="24"/>
                <w:szCs w:val="24"/>
              </w:rPr>
              <w:t>数量</w:t>
            </w:r>
          </w:p>
        </w:tc>
        <w:tc>
          <w:tcPr>
            <w:tcW w:w="1230" w:type="dxa"/>
            <w:noWrap/>
            <w:vAlign w:val="center"/>
          </w:tcPr>
          <w:p w14:paraId="0F58E1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00"/>
                <w:sz w:val="24"/>
                <w:szCs w:val="24"/>
                <w:lang w:val="en-US" w:eastAsia="en-US" w:bidi="ar-SA"/>
              </w:rPr>
            </w:pPr>
            <w:r>
              <w:rPr>
                <w:rFonts w:hint="eastAsia" w:ascii="宋体" w:eastAsia="宋体"/>
                <w:b/>
                <w:bCs/>
                <w:color w:val="000000"/>
                <w:sz w:val="24"/>
                <w:szCs w:val="24"/>
                <w:lang w:val="en-US" w:eastAsia="zh-CN"/>
              </w:rPr>
              <w:t>购置时间</w:t>
            </w:r>
          </w:p>
        </w:tc>
        <w:tc>
          <w:tcPr>
            <w:tcW w:w="1005" w:type="dxa"/>
            <w:noWrap/>
            <w:vAlign w:val="center"/>
          </w:tcPr>
          <w:p w14:paraId="52AA8BE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00"/>
                <w:sz w:val="24"/>
                <w:szCs w:val="24"/>
                <w:lang w:val="en-US" w:eastAsia="en-US" w:bidi="ar-SA"/>
              </w:rPr>
            </w:pPr>
            <w:r>
              <w:rPr>
                <w:rFonts w:hint="eastAsia" w:ascii="宋体" w:eastAsia="宋体"/>
                <w:b/>
                <w:bCs/>
                <w:color w:val="000000"/>
                <w:sz w:val="24"/>
                <w:szCs w:val="24"/>
                <w:lang w:val="en-US" w:eastAsia="zh-CN"/>
              </w:rPr>
              <w:t>是否有保修</w:t>
            </w:r>
          </w:p>
        </w:tc>
        <w:tc>
          <w:tcPr>
            <w:tcW w:w="1520" w:type="dxa"/>
            <w:noWrap/>
            <w:vAlign w:val="center"/>
          </w:tcPr>
          <w:p w14:paraId="59C94C7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000000"/>
                <w:sz w:val="24"/>
                <w:szCs w:val="24"/>
                <w:lang w:val="en-US" w:eastAsia="en-US" w:bidi="ar-SA"/>
              </w:rPr>
            </w:pPr>
            <w:r>
              <w:rPr>
                <w:rFonts w:hint="eastAsia"/>
                <w:b/>
                <w:bCs/>
                <w:color w:val="000000"/>
                <w:sz w:val="24"/>
                <w:szCs w:val="24"/>
              </w:rPr>
              <w:t>是否需要购买原厂维保</w:t>
            </w:r>
          </w:p>
        </w:tc>
      </w:tr>
      <w:tr w14:paraId="337B7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750" w:type="dxa"/>
            <w:noWrap/>
            <w:vAlign w:val="center"/>
          </w:tcPr>
          <w:p w14:paraId="03D74EE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425" w:type="dxa"/>
            <w:noWrap w:val="0"/>
            <w:vAlign w:val="center"/>
          </w:tcPr>
          <w:p w14:paraId="1376B7C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病案管理系统</w:t>
            </w:r>
          </w:p>
        </w:tc>
        <w:tc>
          <w:tcPr>
            <w:tcW w:w="885" w:type="dxa"/>
            <w:noWrap w:val="0"/>
            <w:vAlign w:val="center"/>
          </w:tcPr>
          <w:p w14:paraId="314287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东华医为</w:t>
            </w:r>
          </w:p>
        </w:tc>
        <w:tc>
          <w:tcPr>
            <w:tcW w:w="1149" w:type="dxa"/>
            <w:noWrap w:val="0"/>
            <w:vAlign w:val="center"/>
          </w:tcPr>
          <w:p w14:paraId="746C668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Imedical 8.3</w:t>
            </w:r>
          </w:p>
        </w:tc>
        <w:tc>
          <w:tcPr>
            <w:tcW w:w="756" w:type="dxa"/>
            <w:noWrap/>
            <w:vAlign w:val="center"/>
          </w:tcPr>
          <w:p w14:paraId="2C6F864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77317C6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7417D5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460EFD5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5D93F26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6659F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50" w:type="dxa"/>
            <w:noWrap/>
            <w:vAlign w:val="center"/>
          </w:tcPr>
          <w:p w14:paraId="7502038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1425" w:type="dxa"/>
            <w:noWrap w:val="0"/>
            <w:vAlign w:val="center"/>
          </w:tcPr>
          <w:p w14:paraId="0E483F1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临床病危值管理和消息推送系统</w:t>
            </w:r>
          </w:p>
        </w:tc>
        <w:tc>
          <w:tcPr>
            <w:tcW w:w="885" w:type="dxa"/>
            <w:noWrap w:val="0"/>
            <w:vAlign w:val="center"/>
          </w:tcPr>
          <w:p w14:paraId="5B695FB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东华医为</w:t>
            </w:r>
          </w:p>
        </w:tc>
        <w:tc>
          <w:tcPr>
            <w:tcW w:w="1149" w:type="dxa"/>
            <w:noWrap w:val="0"/>
            <w:vAlign w:val="center"/>
          </w:tcPr>
          <w:p w14:paraId="325C703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Imedical 8.3</w:t>
            </w:r>
          </w:p>
        </w:tc>
        <w:tc>
          <w:tcPr>
            <w:tcW w:w="756" w:type="dxa"/>
            <w:noWrap/>
            <w:vAlign w:val="center"/>
          </w:tcPr>
          <w:p w14:paraId="7C8B4D1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0AFD382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75F2FF3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3DADAB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5317C84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62013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50" w:type="dxa"/>
            <w:noWrap/>
            <w:vAlign w:val="center"/>
          </w:tcPr>
          <w:p w14:paraId="31505E2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w:t>
            </w:r>
          </w:p>
        </w:tc>
        <w:tc>
          <w:tcPr>
            <w:tcW w:w="1425" w:type="dxa"/>
            <w:noWrap w:val="0"/>
            <w:vAlign w:val="center"/>
          </w:tcPr>
          <w:p w14:paraId="6071064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流感医疗检测服务上报</w:t>
            </w:r>
          </w:p>
        </w:tc>
        <w:tc>
          <w:tcPr>
            <w:tcW w:w="885" w:type="dxa"/>
            <w:noWrap w:val="0"/>
            <w:vAlign w:val="center"/>
          </w:tcPr>
          <w:p w14:paraId="6B6D179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东华医为</w:t>
            </w:r>
          </w:p>
        </w:tc>
        <w:tc>
          <w:tcPr>
            <w:tcW w:w="1149" w:type="dxa"/>
            <w:noWrap w:val="0"/>
            <w:vAlign w:val="center"/>
          </w:tcPr>
          <w:p w14:paraId="3C207B1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Imedical 8.3</w:t>
            </w:r>
          </w:p>
        </w:tc>
        <w:tc>
          <w:tcPr>
            <w:tcW w:w="756" w:type="dxa"/>
            <w:noWrap/>
            <w:vAlign w:val="center"/>
          </w:tcPr>
          <w:p w14:paraId="658681A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59A5B3C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397D16A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01A6727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39B6ECE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67FA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750" w:type="dxa"/>
            <w:noWrap/>
            <w:vAlign w:val="center"/>
          </w:tcPr>
          <w:p w14:paraId="74AE548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4</w:t>
            </w:r>
          </w:p>
        </w:tc>
        <w:tc>
          <w:tcPr>
            <w:tcW w:w="1425" w:type="dxa"/>
            <w:noWrap w:val="0"/>
            <w:vAlign w:val="center"/>
          </w:tcPr>
          <w:p w14:paraId="2BCC7FC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死亡证明管理</w:t>
            </w:r>
          </w:p>
        </w:tc>
        <w:tc>
          <w:tcPr>
            <w:tcW w:w="885" w:type="dxa"/>
            <w:noWrap w:val="0"/>
            <w:vAlign w:val="center"/>
          </w:tcPr>
          <w:p w14:paraId="41F774E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东华医为</w:t>
            </w:r>
          </w:p>
        </w:tc>
        <w:tc>
          <w:tcPr>
            <w:tcW w:w="1149" w:type="dxa"/>
            <w:noWrap w:val="0"/>
            <w:vAlign w:val="center"/>
          </w:tcPr>
          <w:p w14:paraId="3D7D280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Imedical 8.3</w:t>
            </w:r>
          </w:p>
        </w:tc>
        <w:tc>
          <w:tcPr>
            <w:tcW w:w="756" w:type="dxa"/>
            <w:noWrap/>
            <w:vAlign w:val="center"/>
          </w:tcPr>
          <w:p w14:paraId="2827A6D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65B6737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48668D2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3DFF37F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25B9D06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9EC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750" w:type="dxa"/>
            <w:noWrap/>
            <w:vAlign w:val="center"/>
          </w:tcPr>
          <w:p w14:paraId="2272746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5</w:t>
            </w:r>
          </w:p>
        </w:tc>
        <w:tc>
          <w:tcPr>
            <w:tcW w:w="1425" w:type="dxa"/>
            <w:noWrap w:val="0"/>
            <w:vAlign w:val="center"/>
          </w:tcPr>
          <w:p w14:paraId="0AD42CB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不良事件管理</w:t>
            </w:r>
          </w:p>
        </w:tc>
        <w:tc>
          <w:tcPr>
            <w:tcW w:w="885" w:type="dxa"/>
            <w:noWrap w:val="0"/>
            <w:vAlign w:val="center"/>
          </w:tcPr>
          <w:p w14:paraId="5A0B16B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东华医为</w:t>
            </w:r>
          </w:p>
        </w:tc>
        <w:tc>
          <w:tcPr>
            <w:tcW w:w="1149" w:type="dxa"/>
            <w:noWrap w:val="0"/>
            <w:vAlign w:val="center"/>
          </w:tcPr>
          <w:p w14:paraId="6E2D032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Imedical 8.3</w:t>
            </w:r>
          </w:p>
        </w:tc>
        <w:tc>
          <w:tcPr>
            <w:tcW w:w="756" w:type="dxa"/>
            <w:noWrap/>
            <w:vAlign w:val="center"/>
          </w:tcPr>
          <w:p w14:paraId="1CEAC3D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76D723B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01296E0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2FA7B8C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5C93F92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598D3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50" w:type="dxa"/>
            <w:noWrap/>
            <w:vAlign w:val="center"/>
          </w:tcPr>
          <w:p w14:paraId="25ECD13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6</w:t>
            </w:r>
          </w:p>
        </w:tc>
        <w:tc>
          <w:tcPr>
            <w:tcW w:w="1425" w:type="dxa"/>
            <w:noWrap w:val="0"/>
            <w:vAlign w:val="center"/>
          </w:tcPr>
          <w:p w14:paraId="4F739C3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微生物管理系统</w:t>
            </w:r>
          </w:p>
        </w:tc>
        <w:tc>
          <w:tcPr>
            <w:tcW w:w="885" w:type="dxa"/>
            <w:noWrap w:val="0"/>
            <w:vAlign w:val="center"/>
          </w:tcPr>
          <w:p w14:paraId="52C339C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东华医为</w:t>
            </w:r>
          </w:p>
        </w:tc>
        <w:tc>
          <w:tcPr>
            <w:tcW w:w="1149" w:type="dxa"/>
            <w:noWrap w:val="0"/>
            <w:vAlign w:val="center"/>
          </w:tcPr>
          <w:p w14:paraId="21A020F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Imedical 8.3</w:t>
            </w:r>
          </w:p>
        </w:tc>
        <w:tc>
          <w:tcPr>
            <w:tcW w:w="756" w:type="dxa"/>
            <w:noWrap/>
            <w:vAlign w:val="center"/>
          </w:tcPr>
          <w:p w14:paraId="1FF4AF9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58E5380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010B008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36F144E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784B17F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7378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750" w:type="dxa"/>
            <w:noWrap/>
            <w:vAlign w:val="center"/>
          </w:tcPr>
          <w:p w14:paraId="209BCF2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7</w:t>
            </w:r>
          </w:p>
        </w:tc>
        <w:tc>
          <w:tcPr>
            <w:tcW w:w="1425" w:type="dxa"/>
            <w:noWrap w:val="0"/>
            <w:vAlign w:val="center"/>
          </w:tcPr>
          <w:p w14:paraId="712D33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血库系统</w:t>
            </w:r>
          </w:p>
        </w:tc>
        <w:tc>
          <w:tcPr>
            <w:tcW w:w="885" w:type="dxa"/>
            <w:noWrap w:val="0"/>
            <w:vAlign w:val="center"/>
          </w:tcPr>
          <w:p w14:paraId="1783F5D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东华医为</w:t>
            </w:r>
          </w:p>
        </w:tc>
        <w:tc>
          <w:tcPr>
            <w:tcW w:w="1149" w:type="dxa"/>
            <w:noWrap w:val="0"/>
            <w:vAlign w:val="center"/>
          </w:tcPr>
          <w:p w14:paraId="7A2AB04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Imedical 8.3</w:t>
            </w:r>
          </w:p>
        </w:tc>
        <w:tc>
          <w:tcPr>
            <w:tcW w:w="756" w:type="dxa"/>
            <w:noWrap/>
            <w:vAlign w:val="center"/>
          </w:tcPr>
          <w:p w14:paraId="391A9DF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36A7A72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6934509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045302D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75B8E92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6155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750" w:type="dxa"/>
            <w:noWrap/>
            <w:vAlign w:val="center"/>
          </w:tcPr>
          <w:p w14:paraId="538A501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8</w:t>
            </w:r>
          </w:p>
        </w:tc>
        <w:tc>
          <w:tcPr>
            <w:tcW w:w="1425" w:type="dxa"/>
            <w:noWrap w:val="0"/>
            <w:vAlign w:val="center"/>
          </w:tcPr>
          <w:p w14:paraId="1075377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护理管理系统</w:t>
            </w:r>
          </w:p>
        </w:tc>
        <w:tc>
          <w:tcPr>
            <w:tcW w:w="885" w:type="dxa"/>
            <w:noWrap w:val="0"/>
            <w:vAlign w:val="center"/>
          </w:tcPr>
          <w:p w14:paraId="697CE99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东华医为</w:t>
            </w:r>
          </w:p>
        </w:tc>
        <w:tc>
          <w:tcPr>
            <w:tcW w:w="1149" w:type="dxa"/>
            <w:noWrap w:val="0"/>
            <w:vAlign w:val="center"/>
          </w:tcPr>
          <w:p w14:paraId="2E93D9C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Imedical 8.3</w:t>
            </w:r>
          </w:p>
        </w:tc>
        <w:tc>
          <w:tcPr>
            <w:tcW w:w="756" w:type="dxa"/>
            <w:noWrap/>
            <w:vAlign w:val="center"/>
          </w:tcPr>
          <w:p w14:paraId="585AA09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406F46E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15E724A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4D15963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1CF788E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2F1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50" w:type="dxa"/>
            <w:noWrap/>
            <w:vAlign w:val="center"/>
          </w:tcPr>
          <w:p w14:paraId="62829E0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9</w:t>
            </w:r>
          </w:p>
        </w:tc>
        <w:tc>
          <w:tcPr>
            <w:tcW w:w="1425" w:type="dxa"/>
            <w:noWrap w:val="0"/>
            <w:vAlign w:val="center"/>
          </w:tcPr>
          <w:p w14:paraId="4C40DAD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综合查询系统</w:t>
            </w:r>
          </w:p>
        </w:tc>
        <w:tc>
          <w:tcPr>
            <w:tcW w:w="885" w:type="dxa"/>
            <w:noWrap w:val="0"/>
            <w:vAlign w:val="center"/>
          </w:tcPr>
          <w:p w14:paraId="3B23884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东华医为</w:t>
            </w:r>
          </w:p>
        </w:tc>
        <w:tc>
          <w:tcPr>
            <w:tcW w:w="1149" w:type="dxa"/>
            <w:noWrap w:val="0"/>
            <w:vAlign w:val="center"/>
          </w:tcPr>
          <w:p w14:paraId="47EF5F7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Imedical 8.3</w:t>
            </w:r>
          </w:p>
        </w:tc>
        <w:tc>
          <w:tcPr>
            <w:tcW w:w="756" w:type="dxa"/>
            <w:noWrap/>
            <w:vAlign w:val="center"/>
          </w:tcPr>
          <w:p w14:paraId="3A199F2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3618AA8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332268D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6310B8C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4A64AC5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492F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750" w:type="dxa"/>
            <w:noWrap/>
            <w:vAlign w:val="center"/>
          </w:tcPr>
          <w:p w14:paraId="2901BD9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10</w:t>
            </w:r>
          </w:p>
        </w:tc>
        <w:tc>
          <w:tcPr>
            <w:tcW w:w="1425" w:type="dxa"/>
            <w:noWrap w:val="0"/>
            <w:vAlign w:val="center"/>
          </w:tcPr>
          <w:p w14:paraId="5B2C234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重症监护系统</w:t>
            </w:r>
          </w:p>
        </w:tc>
        <w:tc>
          <w:tcPr>
            <w:tcW w:w="885" w:type="dxa"/>
            <w:noWrap w:val="0"/>
            <w:vAlign w:val="center"/>
          </w:tcPr>
          <w:p w14:paraId="202F44F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东华医为</w:t>
            </w:r>
          </w:p>
        </w:tc>
        <w:tc>
          <w:tcPr>
            <w:tcW w:w="1149" w:type="dxa"/>
            <w:noWrap w:val="0"/>
            <w:vAlign w:val="center"/>
          </w:tcPr>
          <w:p w14:paraId="7FC8CB5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Imedical 8.3</w:t>
            </w:r>
          </w:p>
        </w:tc>
        <w:tc>
          <w:tcPr>
            <w:tcW w:w="756" w:type="dxa"/>
            <w:noWrap/>
            <w:vAlign w:val="center"/>
          </w:tcPr>
          <w:p w14:paraId="22AC30D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5168C0C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1398C60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13DF376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288033B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7EFE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50" w:type="dxa"/>
            <w:noWrap/>
            <w:vAlign w:val="center"/>
          </w:tcPr>
          <w:p w14:paraId="46FC66C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11</w:t>
            </w:r>
          </w:p>
        </w:tc>
        <w:tc>
          <w:tcPr>
            <w:tcW w:w="1425" w:type="dxa"/>
            <w:noWrap w:val="0"/>
            <w:vAlign w:val="center"/>
          </w:tcPr>
          <w:p w14:paraId="59F8FE9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院内感染管理系统</w:t>
            </w:r>
          </w:p>
        </w:tc>
        <w:tc>
          <w:tcPr>
            <w:tcW w:w="885" w:type="dxa"/>
            <w:noWrap w:val="0"/>
            <w:vAlign w:val="center"/>
          </w:tcPr>
          <w:p w14:paraId="0DC8E4B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东华医为</w:t>
            </w:r>
          </w:p>
        </w:tc>
        <w:tc>
          <w:tcPr>
            <w:tcW w:w="1149" w:type="dxa"/>
            <w:noWrap w:val="0"/>
            <w:vAlign w:val="center"/>
          </w:tcPr>
          <w:p w14:paraId="2E05980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Imedical 8.3</w:t>
            </w:r>
          </w:p>
        </w:tc>
        <w:tc>
          <w:tcPr>
            <w:tcW w:w="756" w:type="dxa"/>
            <w:noWrap/>
            <w:vAlign w:val="center"/>
          </w:tcPr>
          <w:p w14:paraId="7344777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469AC0C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23A9B33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1B0D05E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6AFD4A2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4E3A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750" w:type="dxa"/>
            <w:noWrap/>
            <w:vAlign w:val="center"/>
          </w:tcPr>
          <w:p w14:paraId="5A1A729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12</w:t>
            </w:r>
          </w:p>
        </w:tc>
        <w:tc>
          <w:tcPr>
            <w:tcW w:w="1425" w:type="dxa"/>
            <w:noWrap w:val="0"/>
            <w:vAlign w:val="center"/>
          </w:tcPr>
          <w:p w14:paraId="4F1DDA5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会诊系统</w:t>
            </w:r>
          </w:p>
        </w:tc>
        <w:tc>
          <w:tcPr>
            <w:tcW w:w="885" w:type="dxa"/>
            <w:noWrap w:val="0"/>
            <w:vAlign w:val="center"/>
          </w:tcPr>
          <w:p w14:paraId="13E8270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东华医为</w:t>
            </w:r>
          </w:p>
        </w:tc>
        <w:tc>
          <w:tcPr>
            <w:tcW w:w="1149" w:type="dxa"/>
            <w:noWrap w:val="0"/>
            <w:vAlign w:val="center"/>
          </w:tcPr>
          <w:p w14:paraId="2B32C64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Imedical 8.3</w:t>
            </w:r>
          </w:p>
        </w:tc>
        <w:tc>
          <w:tcPr>
            <w:tcW w:w="756" w:type="dxa"/>
            <w:noWrap/>
            <w:vAlign w:val="center"/>
          </w:tcPr>
          <w:p w14:paraId="37D8491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6A6DD4A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7AC2EDC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38160D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3C6A28B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1C88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750" w:type="dxa"/>
            <w:noWrap/>
            <w:vAlign w:val="center"/>
          </w:tcPr>
          <w:p w14:paraId="084AA3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13</w:t>
            </w:r>
          </w:p>
        </w:tc>
        <w:tc>
          <w:tcPr>
            <w:tcW w:w="1425" w:type="dxa"/>
            <w:noWrap w:val="0"/>
            <w:vAlign w:val="center"/>
          </w:tcPr>
          <w:p w14:paraId="693C9AD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远程会诊系统</w:t>
            </w:r>
          </w:p>
        </w:tc>
        <w:tc>
          <w:tcPr>
            <w:tcW w:w="885" w:type="dxa"/>
            <w:noWrap w:val="0"/>
            <w:vAlign w:val="center"/>
          </w:tcPr>
          <w:p w14:paraId="56DAB1B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东华医为</w:t>
            </w:r>
          </w:p>
        </w:tc>
        <w:tc>
          <w:tcPr>
            <w:tcW w:w="1149" w:type="dxa"/>
            <w:noWrap w:val="0"/>
            <w:vAlign w:val="center"/>
          </w:tcPr>
          <w:p w14:paraId="5A4CC0A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Imedical 8.3</w:t>
            </w:r>
          </w:p>
        </w:tc>
        <w:tc>
          <w:tcPr>
            <w:tcW w:w="756" w:type="dxa"/>
            <w:noWrap/>
            <w:vAlign w:val="center"/>
          </w:tcPr>
          <w:p w14:paraId="38530A9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4814CAA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76EBB7C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0D9540D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5AA6438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208F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50" w:type="dxa"/>
            <w:noWrap/>
            <w:vAlign w:val="center"/>
          </w:tcPr>
          <w:p w14:paraId="6332140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14</w:t>
            </w:r>
          </w:p>
        </w:tc>
        <w:tc>
          <w:tcPr>
            <w:tcW w:w="1425" w:type="dxa"/>
            <w:noWrap w:val="0"/>
            <w:vAlign w:val="center"/>
          </w:tcPr>
          <w:p w14:paraId="2C4C54C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医疗数据分析系统</w:t>
            </w:r>
          </w:p>
        </w:tc>
        <w:tc>
          <w:tcPr>
            <w:tcW w:w="885" w:type="dxa"/>
            <w:noWrap w:val="0"/>
            <w:vAlign w:val="center"/>
          </w:tcPr>
          <w:p w14:paraId="322538A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东华医为</w:t>
            </w:r>
          </w:p>
        </w:tc>
        <w:tc>
          <w:tcPr>
            <w:tcW w:w="1149" w:type="dxa"/>
            <w:noWrap w:val="0"/>
            <w:vAlign w:val="center"/>
          </w:tcPr>
          <w:p w14:paraId="5C83928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Imedical 8.3</w:t>
            </w:r>
          </w:p>
        </w:tc>
        <w:tc>
          <w:tcPr>
            <w:tcW w:w="756" w:type="dxa"/>
            <w:noWrap/>
            <w:vAlign w:val="center"/>
          </w:tcPr>
          <w:p w14:paraId="3EC9834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5B2AD0A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1853228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5973E64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2866008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055E1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750" w:type="dxa"/>
            <w:noWrap/>
            <w:vAlign w:val="center"/>
          </w:tcPr>
          <w:p w14:paraId="0D11FC6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15</w:t>
            </w:r>
          </w:p>
        </w:tc>
        <w:tc>
          <w:tcPr>
            <w:tcW w:w="1425" w:type="dxa"/>
            <w:noWrap w:val="0"/>
            <w:vAlign w:val="center"/>
          </w:tcPr>
          <w:p w14:paraId="64D8536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医院办公自动化系统</w:t>
            </w:r>
          </w:p>
        </w:tc>
        <w:tc>
          <w:tcPr>
            <w:tcW w:w="885" w:type="dxa"/>
            <w:noWrap w:val="0"/>
            <w:vAlign w:val="center"/>
          </w:tcPr>
          <w:p w14:paraId="69E7675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红帆</w:t>
            </w:r>
          </w:p>
        </w:tc>
        <w:tc>
          <w:tcPr>
            <w:tcW w:w="1149" w:type="dxa"/>
            <w:noWrap w:val="0"/>
            <w:vAlign w:val="center"/>
          </w:tcPr>
          <w:p w14:paraId="283D73E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红帆iOffice10信息管理软件</w:t>
            </w:r>
          </w:p>
        </w:tc>
        <w:tc>
          <w:tcPr>
            <w:tcW w:w="756" w:type="dxa"/>
            <w:noWrap/>
            <w:vAlign w:val="center"/>
          </w:tcPr>
          <w:p w14:paraId="36F4E50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52B9379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03A571D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0375EE9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3A4DE43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5097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750" w:type="dxa"/>
            <w:noWrap/>
            <w:vAlign w:val="center"/>
          </w:tcPr>
          <w:p w14:paraId="32D9EBE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16</w:t>
            </w:r>
          </w:p>
        </w:tc>
        <w:tc>
          <w:tcPr>
            <w:tcW w:w="1425" w:type="dxa"/>
            <w:noWrap w:val="0"/>
            <w:vAlign w:val="center"/>
          </w:tcPr>
          <w:p w14:paraId="07510D6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综合运维管理平台</w:t>
            </w:r>
          </w:p>
        </w:tc>
        <w:tc>
          <w:tcPr>
            <w:tcW w:w="885" w:type="dxa"/>
            <w:noWrap w:val="0"/>
            <w:vAlign w:val="center"/>
          </w:tcPr>
          <w:p w14:paraId="02BD02E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锐捷</w:t>
            </w:r>
          </w:p>
        </w:tc>
        <w:tc>
          <w:tcPr>
            <w:tcW w:w="1149" w:type="dxa"/>
            <w:noWrap w:val="0"/>
            <w:vAlign w:val="center"/>
          </w:tcPr>
          <w:p w14:paraId="48E5F3D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RG-RIIL6.0-BMC-LIC-100</w:t>
            </w:r>
          </w:p>
        </w:tc>
        <w:tc>
          <w:tcPr>
            <w:tcW w:w="756" w:type="dxa"/>
            <w:noWrap/>
            <w:vAlign w:val="center"/>
          </w:tcPr>
          <w:p w14:paraId="60CA2C4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56D71E9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4DF6EA4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6B7D6DC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420AEE1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58A9B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750" w:type="dxa"/>
            <w:noWrap/>
            <w:vAlign w:val="center"/>
          </w:tcPr>
          <w:p w14:paraId="2470689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17</w:t>
            </w:r>
          </w:p>
        </w:tc>
        <w:tc>
          <w:tcPr>
            <w:tcW w:w="1425" w:type="dxa"/>
            <w:noWrap w:val="0"/>
            <w:vAlign w:val="center"/>
          </w:tcPr>
          <w:p w14:paraId="52277FF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无线网管综合运维管理平台</w:t>
            </w:r>
          </w:p>
        </w:tc>
        <w:tc>
          <w:tcPr>
            <w:tcW w:w="885" w:type="dxa"/>
            <w:noWrap w:val="0"/>
            <w:vAlign w:val="center"/>
          </w:tcPr>
          <w:p w14:paraId="15C8930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锐捷</w:t>
            </w:r>
          </w:p>
        </w:tc>
        <w:tc>
          <w:tcPr>
            <w:tcW w:w="1149" w:type="dxa"/>
            <w:noWrap w:val="0"/>
            <w:vAlign w:val="center"/>
          </w:tcPr>
          <w:p w14:paraId="76C1171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RG-RIIL6.0-SRV-MA_Base</w:t>
            </w:r>
          </w:p>
        </w:tc>
        <w:tc>
          <w:tcPr>
            <w:tcW w:w="756" w:type="dxa"/>
            <w:noWrap/>
            <w:vAlign w:val="center"/>
          </w:tcPr>
          <w:p w14:paraId="4A16E01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2D8A589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374282B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2124B9B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1311D04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r w14:paraId="2C5A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50" w:type="dxa"/>
            <w:noWrap/>
            <w:vAlign w:val="center"/>
          </w:tcPr>
          <w:p w14:paraId="68615A3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18</w:t>
            </w:r>
          </w:p>
        </w:tc>
        <w:tc>
          <w:tcPr>
            <w:tcW w:w="1425" w:type="dxa"/>
            <w:noWrap w:val="0"/>
            <w:vAlign w:val="center"/>
          </w:tcPr>
          <w:p w14:paraId="631B188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集群软件</w:t>
            </w:r>
          </w:p>
        </w:tc>
        <w:tc>
          <w:tcPr>
            <w:tcW w:w="885" w:type="dxa"/>
            <w:noWrap w:val="0"/>
            <w:vAlign w:val="center"/>
          </w:tcPr>
          <w:p w14:paraId="3C02FB6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RoseHA</w:t>
            </w:r>
          </w:p>
        </w:tc>
        <w:tc>
          <w:tcPr>
            <w:tcW w:w="1149" w:type="dxa"/>
            <w:noWrap w:val="0"/>
            <w:vAlign w:val="center"/>
          </w:tcPr>
          <w:p w14:paraId="23A2CA2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ROSE-HA（M-N）-W</w:t>
            </w:r>
          </w:p>
        </w:tc>
        <w:tc>
          <w:tcPr>
            <w:tcW w:w="756" w:type="dxa"/>
            <w:noWrap/>
            <w:vAlign w:val="center"/>
          </w:tcPr>
          <w:p w14:paraId="04CCACE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套</w:t>
            </w:r>
          </w:p>
        </w:tc>
        <w:tc>
          <w:tcPr>
            <w:tcW w:w="1125" w:type="dxa"/>
            <w:noWrap/>
            <w:vAlign w:val="center"/>
          </w:tcPr>
          <w:p w14:paraId="4E031FC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1230" w:type="dxa"/>
            <w:noWrap/>
            <w:vAlign w:val="center"/>
          </w:tcPr>
          <w:p w14:paraId="1A6DB86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2020年</w:t>
            </w:r>
          </w:p>
        </w:tc>
        <w:tc>
          <w:tcPr>
            <w:tcW w:w="1005" w:type="dxa"/>
            <w:noWrap/>
            <w:vAlign w:val="center"/>
          </w:tcPr>
          <w:p w14:paraId="4E527F4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是</w:t>
            </w:r>
          </w:p>
        </w:tc>
        <w:tc>
          <w:tcPr>
            <w:tcW w:w="1520" w:type="dxa"/>
            <w:noWrap/>
            <w:vAlign w:val="center"/>
          </w:tcPr>
          <w:p w14:paraId="653DA74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4"/>
                <w:szCs w:val="24"/>
                <w:lang w:val="en-US" w:eastAsia="en-US" w:bidi="ar-SA"/>
              </w:rPr>
            </w:pPr>
            <w:r>
              <w:rPr>
                <w:rFonts w:hint="eastAsia" w:ascii="宋体" w:eastAsia="宋体"/>
                <w:color w:val="000000"/>
                <w:sz w:val="24"/>
                <w:szCs w:val="24"/>
                <w:lang w:val="en-US" w:eastAsia="zh-CN"/>
              </w:rPr>
              <w:t>如原厂不支持购买维保可非原厂维保（需提供证明材料）</w:t>
            </w:r>
          </w:p>
        </w:tc>
      </w:tr>
    </w:tbl>
    <w:p w14:paraId="0908228B">
      <w:pPr>
        <w:pStyle w:val="2"/>
        <w:spacing w:before="120" w:beforeLines="50" w:line="300" w:lineRule="auto"/>
        <w:rPr>
          <w:rFonts w:hint="eastAsia"/>
        </w:rPr>
      </w:pPr>
    </w:p>
    <w:p w14:paraId="5E4E3F39">
      <w:pPr>
        <w:pStyle w:val="5"/>
        <w:keepNext w:val="0"/>
        <w:keepLines w:val="0"/>
        <w:pageBreakBefore w:val="0"/>
        <w:widowControl w:val="0"/>
        <w:kinsoku/>
        <w:wordWrap/>
        <w:overflowPunct/>
        <w:topLinePunct w:val="0"/>
        <w:autoSpaceDE w:val="0"/>
        <w:autoSpaceDN w:val="0"/>
        <w:bidi w:val="0"/>
        <w:adjustRightInd/>
        <w:snapToGrid/>
        <w:spacing w:before="0" w:line="360" w:lineRule="auto"/>
        <w:jc w:val="left"/>
        <w:textAlignment w:val="auto"/>
        <w:rPr>
          <w:rFonts w:hint="eastAsia"/>
          <w:sz w:val="24"/>
        </w:rPr>
      </w:pPr>
      <w:r>
        <w:rPr>
          <w:rFonts w:hint="eastAsia"/>
          <w:sz w:val="24"/>
          <w:lang w:val="en-US" w:eastAsia="zh-CN"/>
        </w:rPr>
        <w:t>2.1.1.3</w:t>
      </w:r>
      <w:r>
        <w:rPr>
          <w:sz w:val="24"/>
        </w:rPr>
        <w:t>服务要求</w:t>
      </w:r>
    </w:p>
    <w:p w14:paraId="415BD001">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1、</w:t>
      </w:r>
      <w:r>
        <w:rPr>
          <w:sz w:val="24"/>
        </w:rPr>
        <w:t>维护服务</w:t>
      </w:r>
    </w:p>
    <w:p w14:paraId="69FAFE8F">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sz w:val="24"/>
        </w:rPr>
        <w:t>1)完备的服务方案</w:t>
      </w:r>
    </w:p>
    <w:p w14:paraId="7F71C9EE">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sz w:val="24"/>
        </w:rPr>
        <w:t>投标人应根据采购人的实际情况制定完备的服务方案，实施严格的项目管理，成立专门的服务团队。并指派项目经理统筹相关工作，以保证报修维护服务正常高效运行。</w:t>
      </w:r>
    </w:p>
    <w:p w14:paraId="7327051E">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sz w:val="24"/>
        </w:rPr>
        <w:t>服务方案应包括：现场支持服务、应急响应服务、备品备件服务、系统安全服务等。</w:t>
      </w:r>
    </w:p>
    <w:p w14:paraId="0007A887">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sz w:val="24"/>
        </w:rPr>
        <w:t>2)备机备件保障服务</w:t>
      </w:r>
    </w:p>
    <w:p w14:paraId="5042D8CB">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sz w:val="24"/>
        </w:rPr>
      </w:pPr>
      <w:r>
        <w:rPr>
          <w:rFonts w:hint="eastAsia"/>
          <w:sz w:val="24"/>
        </w:rPr>
        <w:t>中标后，投标人须在院内设立备件存放点，配备与本项目设备清单相对应的备机和备件；备件须为全新、未使用过的合格产品，与院内在用设备兼容，并提供产品合格证明；设备在原厂保修期内的，配件须使用原厂配件以保障保修，保修期外可使用经检测合格的兼容配件；备件使用后须在 5 个工作日内补齐，更换备件须保证设备稳定运行并提供相应质保。</w:t>
      </w:r>
      <w:r>
        <w:rPr>
          <w:rFonts w:hint="eastAsia" w:ascii="宋体" w:eastAsia="宋体"/>
          <w:sz w:val="24"/>
          <w:lang w:val="en-US" w:eastAsia="zh-CN"/>
        </w:rPr>
        <w:t>主要备件如下表：</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86"/>
        <w:gridCol w:w="3170"/>
        <w:gridCol w:w="1652"/>
        <w:gridCol w:w="2906"/>
      </w:tblGrid>
      <w:tr w14:paraId="09F0C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1686" w:type="dxa"/>
            <w:tcBorders>
              <w:top w:val="single" w:color="000000" w:sz="4" w:space="0"/>
              <w:left w:val="single" w:color="000000" w:sz="4" w:space="0"/>
              <w:bottom w:val="single" w:color="000000" w:sz="4" w:space="0"/>
              <w:right w:val="single" w:color="000000" w:sz="4" w:space="0"/>
            </w:tcBorders>
            <w:noWrap w:val="0"/>
            <w:vAlign w:val="center"/>
          </w:tcPr>
          <w:p w14:paraId="574732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类别</w:t>
            </w:r>
          </w:p>
        </w:tc>
        <w:tc>
          <w:tcPr>
            <w:tcW w:w="3170" w:type="dxa"/>
            <w:tcBorders>
              <w:top w:val="single" w:color="000000" w:sz="4" w:space="0"/>
              <w:left w:val="single" w:color="000000" w:sz="4" w:space="0"/>
              <w:bottom w:val="single" w:color="000000" w:sz="4" w:space="0"/>
              <w:right w:val="single" w:color="000000" w:sz="4" w:space="0"/>
            </w:tcBorders>
            <w:noWrap w:val="0"/>
            <w:vAlign w:val="center"/>
          </w:tcPr>
          <w:p w14:paraId="560C7A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名称</w:t>
            </w:r>
          </w:p>
        </w:tc>
        <w:tc>
          <w:tcPr>
            <w:tcW w:w="1652" w:type="dxa"/>
            <w:tcBorders>
              <w:top w:val="single" w:color="000000" w:sz="4" w:space="0"/>
              <w:left w:val="single" w:color="000000" w:sz="4" w:space="0"/>
              <w:bottom w:val="single" w:color="000000" w:sz="4" w:space="0"/>
              <w:right w:val="single" w:color="000000" w:sz="4" w:space="0"/>
            </w:tcBorders>
            <w:noWrap w:val="0"/>
            <w:vAlign w:val="center"/>
          </w:tcPr>
          <w:p w14:paraId="725374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数量</w:t>
            </w:r>
          </w:p>
        </w:tc>
        <w:tc>
          <w:tcPr>
            <w:tcW w:w="2906" w:type="dxa"/>
            <w:tcBorders>
              <w:top w:val="single" w:color="000000" w:sz="4" w:space="0"/>
              <w:left w:val="single" w:color="000000" w:sz="4" w:space="0"/>
              <w:bottom w:val="single" w:color="000000" w:sz="4" w:space="0"/>
              <w:right w:val="single" w:color="000000" w:sz="4" w:space="0"/>
            </w:tcBorders>
            <w:noWrap w:val="0"/>
            <w:vAlign w:val="center"/>
          </w:tcPr>
          <w:p w14:paraId="5BDE7B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用途说明</w:t>
            </w:r>
          </w:p>
        </w:tc>
      </w:tr>
      <w:tr w14:paraId="2B622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686" w:type="dxa"/>
            <w:tcBorders>
              <w:top w:val="single" w:color="000000" w:sz="4" w:space="0"/>
              <w:left w:val="single" w:color="000000" w:sz="4" w:space="0"/>
              <w:bottom w:val="single" w:color="000000" w:sz="4" w:space="0"/>
              <w:right w:val="single" w:color="000000" w:sz="4" w:space="0"/>
            </w:tcBorders>
            <w:noWrap w:val="0"/>
            <w:vAlign w:val="center"/>
          </w:tcPr>
          <w:p w14:paraId="0FB387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服务器</w:t>
            </w:r>
          </w:p>
        </w:tc>
        <w:tc>
          <w:tcPr>
            <w:tcW w:w="3170" w:type="dxa"/>
            <w:tcBorders>
              <w:top w:val="single" w:color="000000" w:sz="4" w:space="0"/>
              <w:left w:val="single" w:color="000000" w:sz="4" w:space="0"/>
              <w:bottom w:val="single" w:color="000000" w:sz="4" w:space="0"/>
              <w:right w:val="single" w:color="000000" w:sz="4" w:space="0"/>
            </w:tcBorders>
            <w:noWrap w:val="0"/>
            <w:vAlign w:val="center"/>
          </w:tcPr>
          <w:p w14:paraId="01BBEE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备用 x86 服务器整机（或与院内在用机型兼容的电源、硬盘、内存备件）</w:t>
            </w:r>
          </w:p>
        </w:tc>
        <w:tc>
          <w:tcPr>
            <w:tcW w:w="1652" w:type="dxa"/>
            <w:tcBorders>
              <w:top w:val="single" w:color="000000" w:sz="4" w:space="0"/>
              <w:left w:val="single" w:color="000000" w:sz="4" w:space="0"/>
              <w:bottom w:val="single" w:color="000000" w:sz="4" w:space="0"/>
              <w:right w:val="single" w:color="000000" w:sz="4" w:space="0"/>
            </w:tcBorders>
            <w:noWrap w:val="0"/>
            <w:vAlign w:val="center"/>
          </w:tcPr>
          <w:p w14:paraId="060FE9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1 套</w:t>
            </w:r>
          </w:p>
        </w:tc>
        <w:tc>
          <w:tcPr>
            <w:tcW w:w="2906" w:type="dxa"/>
            <w:tcBorders>
              <w:top w:val="single" w:color="000000" w:sz="4" w:space="0"/>
              <w:left w:val="single" w:color="000000" w:sz="4" w:space="0"/>
              <w:bottom w:val="single" w:color="000000" w:sz="4" w:space="0"/>
              <w:right w:val="single" w:color="000000" w:sz="4" w:space="0"/>
            </w:tcBorders>
            <w:noWrap w:val="0"/>
            <w:vAlign w:val="center"/>
          </w:tcPr>
          <w:p w14:paraId="662C6A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核心业务服务器故障应急替换</w:t>
            </w:r>
          </w:p>
        </w:tc>
      </w:tr>
      <w:tr w14:paraId="22943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86" w:type="dxa"/>
            <w:tcBorders>
              <w:top w:val="single" w:color="000000" w:sz="4" w:space="0"/>
              <w:left w:val="single" w:color="000000" w:sz="4" w:space="0"/>
              <w:bottom w:val="single" w:color="000000" w:sz="4" w:space="0"/>
              <w:right w:val="single" w:color="000000" w:sz="4" w:space="0"/>
            </w:tcBorders>
            <w:noWrap w:val="0"/>
            <w:vAlign w:val="center"/>
          </w:tcPr>
          <w:p w14:paraId="6495CE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网络设备</w:t>
            </w:r>
          </w:p>
        </w:tc>
        <w:tc>
          <w:tcPr>
            <w:tcW w:w="3170" w:type="dxa"/>
            <w:tcBorders>
              <w:top w:val="single" w:color="000000" w:sz="4" w:space="0"/>
              <w:left w:val="single" w:color="000000" w:sz="4" w:space="0"/>
              <w:bottom w:val="single" w:color="000000" w:sz="4" w:space="0"/>
              <w:right w:val="single" w:color="000000" w:sz="4" w:space="0"/>
            </w:tcBorders>
            <w:noWrap w:val="0"/>
            <w:vAlign w:val="center"/>
          </w:tcPr>
          <w:p w14:paraId="2A9F42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核心 / 汇聚交换机备机（同档次或兼容机型）</w:t>
            </w:r>
          </w:p>
        </w:tc>
        <w:tc>
          <w:tcPr>
            <w:tcW w:w="1652" w:type="dxa"/>
            <w:tcBorders>
              <w:top w:val="single" w:color="000000" w:sz="4" w:space="0"/>
              <w:left w:val="single" w:color="000000" w:sz="4" w:space="0"/>
              <w:bottom w:val="single" w:color="000000" w:sz="4" w:space="0"/>
              <w:right w:val="single" w:color="000000" w:sz="4" w:space="0"/>
            </w:tcBorders>
            <w:noWrap w:val="0"/>
            <w:vAlign w:val="center"/>
          </w:tcPr>
          <w:p w14:paraId="4997AD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不少于2 台</w:t>
            </w:r>
          </w:p>
        </w:tc>
        <w:tc>
          <w:tcPr>
            <w:tcW w:w="2906" w:type="dxa"/>
            <w:tcBorders>
              <w:top w:val="single" w:color="000000" w:sz="4" w:space="0"/>
              <w:left w:val="single" w:color="000000" w:sz="4" w:space="0"/>
              <w:bottom w:val="single" w:color="000000" w:sz="4" w:space="0"/>
              <w:right w:val="single" w:color="000000" w:sz="4" w:space="0"/>
            </w:tcBorders>
            <w:noWrap w:val="0"/>
            <w:vAlign w:val="center"/>
          </w:tcPr>
          <w:p w14:paraId="7318BB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关键网络节点故障替换</w:t>
            </w:r>
          </w:p>
        </w:tc>
      </w:tr>
      <w:tr w14:paraId="136C8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86" w:type="dxa"/>
            <w:tcBorders>
              <w:top w:val="single" w:color="000000" w:sz="4" w:space="0"/>
              <w:left w:val="single" w:color="000000" w:sz="4" w:space="0"/>
              <w:bottom w:val="single" w:color="000000" w:sz="4" w:space="0"/>
              <w:right w:val="single" w:color="000000" w:sz="4" w:space="0"/>
            </w:tcBorders>
            <w:noWrap w:val="0"/>
            <w:vAlign w:val="center"/>
          </w:tcPr>
          <w:p w14:paraId="1F5E8B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网络设备</w:t>
            </w:r>
          </w:p>
        </w:tc>
        <w:tc>
          <w:tcPr>
            <w:tcW w:w="3170" w:type="dxa"/>
            <w:tcBorders>
              <w:top w:val="single" w:color="000000" w:sz="4" w:space="0"/>
              <w:left w:val="single" w:color="000000" w:sz="4" w:space="0"/>
              <w:bottom w:val="single" w:color="000000" w:sz="4" w:space="0"/>
              <w:right w:val="single" w:color="000000" w:sz="4" w:space="0"/>
            </w:tcBorders>
            <w:noWrap w:val="0"/>
            <w:vAlign w:val="center"/>
          </w:tcPr>
          <w:p w14:paraId="2A5849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备用电源模块、风扇模块、光模块（SFP/SFP+）</w:t>
            </w:r>
          </w:p>
        </w:tc>
        <w:tc>
          <w:tcPr>
            <w:tcW w:w="1652" w:type="dxa"/>
            <w:tcBorders>
              <w:top w:val="single" w:color="000000" w:sz="4" w:space="0"/>
              <w:left w:val="single" w:color="000000" w:sz="4" w:space="0"/>
              <w:bottom w:val="single" w:color="000000" w:sz="4" w:space="0"/>
              <w:right w:val="single" w:color="000000" w:sz="4" w:space="0"/>
            </w:tcBorders>
            <w:noWrap w:val="0"/>
            <w:vAlign w:val="center"/>
          </w:tcPr>
          <w:p w14:paraId="34B025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若干</w:t>
            </w:r>
          </w:p>
        </w:tc>
        <w:tc>
          <w:tcPr>
            <w:tcW w:w="2906" w:type="dxa"/>
            <w:tcBorders>
              <w:top w:val="single" w:color="000000" w:sz="4" w:space="0"/>
              <w:left w:val="single" w:color="000000" w:sz="4" w:space="0"/>
              <w:bottom w:val="single" w:color="000000" w:sz="4" w:space="0"/>
              <w:right w:val="single" w:color="000000" w:sz="4" w:space="0"/>
            </w:tcBorders>
            <w:noWrap w:val="0"/>
            <w:vAlign w:val="center"/>
          </w:tcPr>
          <w:p w14:paraId="5731E3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网络设备易损件现场更换</w:t>
            </w:r>
          </w:p>
        </w:tc>
      </w:tr>
      <w:tr w14:paraId="4079B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86" w:type="dxa"/>
            <w:tcBorders>
              <w:top w:val="single" w:color="000000" w:sz="4" w:space="0"/>
              <w:left w:val="single" w:color="000000" w:sz="4" w:space="0"/>
              <w:bottom w:val="single" w:color="000000" w:sz="4" w:space="0"/>
              <w:right w:val="single" w:color="000000" w:sz="4" w:space="0"/>
            </w:tcBorders>
            <w:noWrap w:val="0"/>
            <w:vAlign w:val="center"/>
          </w:tcPr>
          <w:p w14:paraId="5F5991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安全设备</w:t>
            </w:r>
          </w:p>
        </w:tc>
        <w:tc>
          <w:tcPr>
            <w:tcW w:w="3170" w:type="dxa"/>
            <w:tcBorders>
              <w:top w:val="single" w:color="000000" w:sz="4" w:space="0"/>
              <w:left w:val="single" w:color="000000" w:sz="4" w:space="0"/>
              <w:bottom w:val="single" w:color="000000" w:sz="4" w:space="0"/>
              <w:right w:val="single" w:color="000000" w:sz="4" w:space="0"/>
            </w:tcBorders>
            <w:noWrap w:val="0"/>
            <w:vAlign w:val="center"/>
          </w:tcPr>
          <w:p w14:paraId="40B1B3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防火墙关键备件（电源、模块）</w:t>
            </w:r>
          </w:p>
        </w:tc>
        <w:tc>
          <w:tcPr>
            <w:tcW w:w="1652" w:type="dxa"/>
            <w:tcBorders>
              <w:top w:val="single" w:color="000000" w:sz="4" w:space="0"/>
              <w:left w:val="single" w:color="000000" w:sz="4" w:space="0"/>
              <w:bottom w:val="single" w:color="000000" w:sz="4" w:space="0"/>
              <w:right w:val="single" w:color="000000" w:sz="4" w:space="0"/>
            </w:tcBorders>
            <w:noWrap w:val="0"/>
            <w:vAlign w:val="center"/>
          </w:tcPr>
          <w:p w14:paraId="22889D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若干</w:t>
            </w:r>
          </w:p>
        </w:tc>
        <w:tc>
          <w:tcPr>
            <w:tcW w:w="2906" w:type="dxa"/>
            <w:tcBorders>
              <w:top w:val="single" w:color="000000" w:sz="4" w:space="0"/>
              <w:left w:val="single" w:color="000000" w:sz="4" w:space="0"/>
              <w:bottom w:val="single" w:color="000000" w:sz="4" w:space="0"/>
              <w:right w:val="single" w:color="000000" w:sz="4" w:space="0"/>
            </w:tcBorders>
            <w:noWrap w:val="0"/>
            <w:vAlign w:val="center"/>
          </w:tcPr>
          <w:p w14:paraId="630C4F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边界安全设备故障应急</w:t>
            </w:r>
          </w:p>
        </w:tc>
      </w:tr>
      <w:tr w14:paraId="23677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86" w:type="dxa"/>
            <w:tcBorders>
              <w:top w:val="single" w:color="000000" w:sz="4" w:space="0"/>
              <w:left w:val="single" w:color="000000" w:sz="4" w:space="0"/>
              <w:bottom w:val="single" w:color="000000" w:sz="4" w:space="0"/>
              <w:right w:val="single" w:color="000000" w:sz="4" w:space="0"/>
            </w:tcBorders>
            <w:noWrap w:val="0"/>
            <w:vAlign w:val="center"/>
          </w:tcPr>
          <w:p w14:paraId="460994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存储设备</w:t>
            </w:r>
          </w:p>
        </w:tc>
        <w:tc>
          <w:tcPr>
            <w:tcW w:w="3170" w:type="dxa"/>
            <w:tcBorders>
              <w:top w:val="single" w:color="000000" w:sz="4" w:space="0"/>
              <w:left w:val="single" w:color="000000" w:sz="4" w:space="0"/>
              <w:bottom w:val="single" w:color="000000" w:sz="4" w:space="0"/>
              <w:right w:val="single" w:color="000000" w:sz="4" w:space="0"/>
            </w:tcBorders>
            <w:noWrap w:val="0"/>
            <w:vAlign w:val="center"/>
          </w:tcPr>
          <w:p w14:paraId="466CAE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兼容硬盘、控制器电池等备件</w:t>
            </w:r>
          </w:p>
        </w:tc>
        <w:tc>
          <w:tcPr>
            <w:tcW w:w="1652" w:type="dxa"/>
            <w:tcBorders>
              <w:top w:val="single" w:color="000000" w:sz="4" w:space="0"/>
              <w:left w:val="single" w:color="000000" w:sz="4" w:space="0"/>
              <w:bottom w:val="single" w:color="000000" w:sz="4" w:space="0"/>
              <w:right w:val="single" w:color="000000" w:sz="4" w:space="0"/>
            </w:tcBorders>
            <w:noWrap w:val="0"/>
            <w:vAlign w:val="center"/>
          </w:tcPr>
          <w:p w14:paraId="6BCB47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若干</w:t>
            </w:r>
          </w:p>
        </w:tc>
        <w:tc>
          <w:tcPr>
            <w:tcW w:w="2906" w:type="dxa"/>
            <w:tcBorders>
              <w:top w:val="single" w:color="000000" w:sz="4" w:space="0"/>
              <w:left w:val="single" w:color="000000" w:sz="4" w:space="0"/>
              <w:bottom w:val="single" w:color="000000" w:sz="4" w:space="0"/>
              <w:right w:val="single" w:color="000000" w:sz="4" w:space="0"/>
            </w:tcBorders>
            <w:noWrap w:val="0"/>
            <w:vAlign w:val="center"/>
          </w:tcPr>
          <w:p w14:paraId="565C13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rPr>
              <w:t>存储介质故障更换</w:t>
            </w:r>
          </w:p>
        </w:tc>
      </w:tr>
    </w:tbl>
    <w:p w14:paraId="4DF7CFCF">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sz w:val="24"/>
        </w:rPr>
      </w:pPr>
    </w:p>
    <w:p w14:paraId="2AFCFD09">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sz w:val="24"/>
        </w:rPr>
        <w:t>3)现场损坏件更换服务</w:t>
      </w:r>
    </w:p>
    <w:p w14:paraId="6C952F86">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1）</w:t>
      </w:r>
      <w:r>
        <w:rPr>
          <w:rFonts w:hint="eastAsia"/>
          <w:sz w:val="24"/>
        </w:rPr>
        <w:t>在服务期限内，所有服务设备</w:t>
      </w:r>
      <w:r>
        <w:rPr>
          <w:rFonts w:hint="eastAsia" w:eastAsia="宋体"/>
          <w:sz w:val="24"/>
          <w:lang w:eastAsia="zh-CN"/>
        </w:rPr>
        <w:t>（</w:t>
      </w:r>
      <w:r>
        <w:rPr>
          <w:rFonts w:hint="eastAsia" w:ascii="宋体" w:eastAsia="宋体"/>
          <w:sz w:val="24"/>
          <w:lang w:val="en-US" w:eastAsia="zh-CN"/>
        </w:rPr>
        <w:t>包含备机</w:t>
      </w:r>
      <w:r>
        <w:rPr>
          <w:rFonts w:hint="eastAsia" w:eastAsia="宋体"/>
          <w:sz w:val="24"/>
          <w:lang w:eastAsia="zh-CN"/>
        </w:rPr>
        <w:t>）</w:t>
      </w:r>
      <w:r>
        <w:rPr>
          <w:rFonts w:hint="eastAsia"/>
          <w:sz w:val="24"/>
        </w:rPr>
        <w:t>的全部故障件的更换均是免费的，即已经包含在总体的服务费用之中，不再另行收取备件费用。</w:t>
      </w:r>
    </w:p>
    <w:p w14:paraId="3F90BB1E">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2）</w:t>
      </w:r>
      <w:r>
        <w:rPr>
          <w:rFonts w:hint="eastAsia"/>
          <w:sz w:val="24"/>
        </w:rPr>
        <w:t>所有更换的备件均与原设备或模块的型号相同，或各项性能规格不低于原有设备或模块的</w:t>
      </w:r>
      <w:r>
        <w:rPr>
          <w:rFonts w:hint="eastAsia" w:ascii="宋体" w:eastAsia="宋体"/>
          <w:sz w:val="24"/>
          <w:lang w:val="en-US" w:eastAsia="zh-CN"/>
        </w:rPr>
        <w:t>原厂</w:t>
      </w:r>
      <w:r>
        <w:rPr>
          <w:rFonts w:hint="eastAsia"/>
          <w:sz w:val="24"/>
        </w:rPr>
        <w:t>备件。所有更换的备件，均提供服务期内的保修。</w:t>
      </w:r>
    </w:p>
    <w:p w14:paraId="7255EC08">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sz w:val="24"/>
        </w:rPr>
        <w:t>4)现场设备检查服务</w:t>
      </w:r>
    </w:p>
    <w:p w14:paraId="7BE96EBC">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1）</w:t>
      </w:r>
      <w:r>
        <w:rPr>
          <w:rFonts w:hint="eastAsia"/>
          <w:sz w:val="24"/>
        </w:rPr>
        <w:t>投标人每月须</w:t>
      </w:r>
      <w:r>
        <w:rPr>
          <w:rFonts w:hint="eastAsia" w:ascii="宋体" w:eastAsia="宋体"/>
          <w:sz w:val="24"/>
          <w:lang w:val="en-US" w:eastAsia="zh-CN"/>
        </w:rPr>
        <w:t>至少</w:t>
      </w:r>
      <w:r>
        <w:rPr>
          <w:rFonts w:hint="eastAsia"/>
          <w:sz w:val="24"/>
        </w:rPr>
        <w:t>提供一次</w:t>
      </w:r>
      <w:r>
        <w:rPr>
          <w:sz w:val="24"/>
        </w:rPr>
        <w:t>(或根据采购人要求)设备现场巡检服务，对</w:t>
      </w:r>
      <w:r>
        <w:rPr>
          <w:rFonts w:hint="eastAsia"/>
          <w:sz w:val="24"/>
        </w:rPr>
        <w:t>采购人</w:t>
      </w:r>
      <w:r>
        <w:rPr>
          <w:sz w:val="24"/>
        </w:rPr>
        <w:t>设备进行细致全面的检查，现场进行环境评估与指导。</w:t>
      </w:r>
    </w:p>
    <w:p w14:paraId="3ACC2CA0">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2）</w:t>
      </w:r>
      <w:r>
        <w:rPr>
          <w:rFonts w:hint="eastAsia"/>
          <w:sz w:val="24"/>
        </w:rPr>
        <w:t>投标人完成现场设备巡检后需配合采购人工程师填写设备巡检记录表，并由双方签字。</w:t>
      </w:r>
    </w:p>
    <w:p w14:paraId="01E6778A">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3）</w:t>
      </w:r>
      <w:r>
        <w:rPr>
          <w:rFonts w:hint="eastAsia"/>
          <w:sz w:val="24"/>
        </w:rPr>
        <w:t>投标人在设备巡检完成后，提交设备巡检报告（报告模版由采购人提供），提出存在问题（隐患）和合理建议，并提供整改方案，采购人可以根据需要要求投标人增加或修改设备巡检内容。</w:t>
      </w:r>
    </w:p>
    <w:p w14:paraId="10C81C9C">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sz w:val="24"/>
        </w:rPr>
        <w:t>5)服务团队</w:t>
      </w:r>
    </w:p>
    <w:p w14:paraId="3B607303">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sz w:val="24"/>
        </w:rPr>
      </w:pPr>
      <w:r>
        <w:rPr>
          <w:rFonts w:hint="eastAsia"/>
          <w:sz w:val="24"/>
        </w:rPr>
        <w:t>投标人须</w:t>
      </w:r>
      <w:r>
        <w:rPr>
          <w:rFonts w:hint="eastAsia" w:ascii="宋体" w:eastAsia="宋体"/>
          <w:sz w:val="24"/>
          <w:lang w:val="en-US" w:eastAsia="zh-CN"/>
        </w:rPr>
        <w:t>针对本项目组建一支</w:t>
      </w:r>
      <w:r>
        <w:rPr>
          <w:rFonts w:hint="eastAsia"/>
          <w:sz w:val="24"/>
        </w:rPr>
        <w:t>技术熟练的售后维护队伍，确保服务快速、高效，项目团队应该包括：项目经理、存储工程师、网络工程师、操作系统工程师，技术认证证书须为国产厂商认证证书。具体如下：</w:t>
      </w:r>
    </w:p>
    <w:p w14:paraId="57127A27">
      <w:pPr>
        <w:pStyle w:val="1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0" w:firstLine="480" w:firstLineChars="200"/>
        <w:textAlignment w:val="auto"/>
        <w:rPr>
          <w:sz w:val="24"/>
        </w:rPr>
      </w:pPr>
      <w:r>
        <w:rPr>
          <w:rFonts w:hint="default" w:ascii="宋体" w:hAnsi="宋体" w:eastAsia="宋体" w:cs="宋体"/>
          <w:sz w:val="24"/>
          <w:szCs w:val="22"/>
          <w:lang w:val="en-US" w:eastAsia="en-US" w:bidi="ar-SA"/>
        </w:rPr>
        <w:t>1）</w:t>
      </w:r>
      <w:r>
        <w:rPr>
          <w:rFonts w:hint="eastAsia"/>
          <w:sz w:val="24"/>
        </w:rPr>
        <w:t>项目经理1名，项目管理经验不少于10年，须具备信息系统项目管理师认证证书；</w:t>
      </w:r>
    </w:p>
    <w:p w14:paraId="54213D1F">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color w:val="auto"/>
          <w:sz w:val="24"/>
          <w:highlight w:val="none"/>
        </w:rPr>
      </w:pPr>
      <w:r>
        <w:rPr>
          <w:rFonts w:hint="eastAsia" w:ascii="宋体" w:eastAsia="宋体"/>
          <w:color w:val="auto"/>
          <w:sz w:val="24"/>
          <w:highlight w:val="none"/>
          <w:lang w:val="en-US" w:eastAsia="zh-CN"/>
        </w:rPr>
        <w:t>2</w:t>
      </w:r>
      <w:r>
        <w:rPr>
          <w:rFonts w:hint="eastAsia"/>
          <w:color w:val="auto"/>
          <w:sz w:val="24"/>
          <w:highlight w:val="none"/>
        </w:rPr>
        <w:t>）网络工程师不少于 3 名，其中持有专家级网络认证（CCIE、HCIE、H3CIE、锐捷 RCIE、中兴 ZCIE 等任一厂商同等效力认证均可）不少于 1 名；持有专业级网络认证（CCNP、HCIP、H3CSE、锐捷 RCCP 等任一厂商同等效力认证均可）不少于 1 名</w:t>
      </w:r>
      <w:r>
        <w:rPr>
          <w:rFonts w:hint="eastAsia"/>
          <w:sz w:val="24"/>
          <w:highlight w:val="none"/>
        </w:rPr>
        <w:t>；</w:t>
      </w:r>
    </w:p>
    <w:p w14:paraId="0AB5ED99">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highlight w:val="none"/>
        </w:rPr>
      </w:pPr>
      <w:r>
        <w:rPr>
          <w:rFonts w:hint="eastAsia" w:ascii="宋体" w:eastAsia="宋体"/>
          <w:color w:val="auto"/>
          <w:sz w:val="24"/>
          <w:highlight w:val="none"/>
          <w:lang w:val="en-US" w:eastAsia="zh-CN"/>
        </w:rPr>
        <w:t>3</w:t>
      </w:r>
      <w:r>
        <w:rPr>
          <w:rFonts w:hint="eastAsia"/>
          <w:color w:val="auto"/>
          <w:sz w:val="24"/>
          <w:highlight w:val="none"/>
        </w:rPr>
        <w:t>）</w:t>
      </w:r>
      <w:r>
        <w:rPr>
          <w:rFonts w:hint="eastAsia"/>
          <w:sz w:val="24"/>
          <w:highlight w:val="none"/>
        </w:rPr>
        <w:t>Linux工程师不少于2名；</w:t>
      </w:r>
    </w:p>
    <w:p w14:paraId="6859694E">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highlight w:val="none"/>
        </w:rPr>
      </w:pPr>
      <w:r>
        <w:rPr>
          <w:rFonts w:hint="eastAsia" w:ascii="宋体" w:eastAsia="宋体"/>
          <w:sz w:val="24"/>
          <w:highlight w:val="none"/>
          <w:lang w:val="en-US" w:eastAsia="zh-CN"/>
        </w:rPr>
        <w:t>4</w:t>
      </w:r>
      <w:r>
        <w:rPr>
          <w:rFonts w:hint="eastAsia"/>
          <w:sz w:val="24"/>
          <w:highlight w:val="none"/>
        </w:rPr>
        <w:t>）数据库工程师不少于1名，熟悉主流数据库的安装调试；</w:t>
      </w:r>
    </w:p>
    <w:p w14:paraId="5CF5A907">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sz w:val="24"/>
        </w:rPr>
        <w:t>注：投标人需提供以上人员的技术认证证书和劳动合同证明。</w:t>
      </w:r>
    </w:p>
    <w:p w14:paraId="3AEEB1FB">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sz w:val="24"/>
        </w:rPr>
        <w:t>为保证服务质量，投标人中标后提供本地化服务。</w:t>
      </w:r>
    </w:p>
    <w:p w14:paraId="7EB2F5FB">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sz w:val="24"/>
        </w:rPr>
        <w:t>6)服务质量保证</w:t>
      </w:r>
    </w:p>
    <w:p w14:paraId="50204EAF">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1）</w:t>
      </w:r>
      <w:r>
        <w:rPr>
          <w:rFonts w:hint="eastAsia"/>
          <w:sz w:val="24"/>
        </w:rPr>
        <w:t>投标人应采取必要措施，保证故障服务合格率达到</w:t>
      </w:r>
      <w:r>
        <w:rPr>
          <w:sz w:val="24"/>
        </w:rPr>
        <w:t>95%以上；</w:t>
      </w:r>
    </w:p>
    <w:p w14:paraId="350D08CC">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sz w:val="24"/>
        </w:rPr>
      </w:pPr>
      <w:r>
        <w:rPr>
          <w:rFonts w:hint="eastAsia" w:ascii="宋体" w:eastAsia="宋体"/>
          <w:sz w:val="24"/>
          <w:lang w:val="en-US" w:eastAsia="zh-CN"/>
        </w:rPr>
        <w:t>2）</w:t>
      </w:r>
      <w:r>
        <w:rPr>
          <w:rFonts w:hint="eastAsia"/>
          <w:sz w:val="24"/>
        </w:rPr>
        <w:t>投标人应每月对运行维护范围内的设备进行现场巡检和预防性维护，合格率达到</w:t>
      </w:r>
      <w:r>
        <w:rPr>
          <w:sz w:val="24"/>
        </w:rPr>
        <w:t>95%以上；</w:t>
      </w:r>
    </w:p>
    <w:p w14:paraId="6BBAC60E">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3）</w:t>
      </w:r>
      <w:r>
        <w:rPr>
          <w:rFonts w:hint="eastAsia"/>
          <w:sz w:val="24"/>
        </w:rPr>
        <w:t>项目实施完成后，验收按照合同约定进行。</w:t>
      </w:r>
    </w:p>
    <w:p w14:paraId="2DA615C0">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4）</w:t>
      </w:r>
      <w:r>
        <w:rPr>
          <w:rFonts w:hint="eastAsia"/>
          <w:sz w:val="24"/>
        </w:rPr>
        <w:t>验收人员由甲方相关人员和投标人共同组成，验收标准按验收规范，并以系统稳定运行为前提。系统验收后投标人应提供全套技术手册（包括但不限于系统配置变改和日常维护报告、系统巡检报告、维护服务总结）电子文档、纸质文档各一份。）</w:t>
      </w:r>
    </w:p>
    <w:p w14:paraId="1F0CB8AB">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5）</w:t>
      </w:r>
      <w:r>
        <w:rPr>
          <w:rFonts w:hint="eastAsia"/>
          <w:sz w:val="24"/>
        </w:rPr>
        <w:t>投标人应</w:t>
      </w:r>
      <w:r>
        <w:rPr>
          <w:rFonts w:hint="eastAsia" w:ascii="宋体" w:eastAsia="宋体"/>
          <w:sz w:val="24"/>
          <w:lang w:val="en-US" w:eastAsia="zh-CN"/>
        </w:rPr>
        <w:t>遵循</w:t>
      </w:r>
      <w:r>
        <w:rPr>
          <w:sz w:val="24"/>
        </w:rPr>
        <w:t>ITIL建立良好的CASE管理体系，包含：服务进度跟踪，服务质量监督，服务升级处理机制，服务满意度调查等。</w:t>
      </w:r>
    </w:p>
    <w:p w14:paraId="1B46F4E9">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sz w:val="24"/>
        </w:rPr>
        <w:t>7)文档管理和信息支持服务</w:t>
      </w:r>
    </w:p>
    <w:p w14:paraId="0CE278B1">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eastAsia="宋体"/>
          <w:sz w:val="24"/>
          <w:lang w:eastAsia="zh-CN"/>
        </w:rPr>
      </w:pPr>
      <w:r>
        <w:rPr>
          <w:rFonts w:hint="eastAsia" w:ascii="宋体" w:eastAsia="宋体"/>
          <w:sz w:val="24"/>
          <w:lang w:val="en-US" w:eastAsia="zh-CN"/>
        </w:rPr>
        <w:t>1）</w:t>
      </w:r>
      <w:r>
        <w:rPr>
          <w:rFonts w:hint="eastAsia"/>
          <w:sz w:val="24"/>
        </w:rPr>
        <w:t>建立设备维护技术档案</w:t>
      </w:r>
      <w:r>
        <w:rPr>
          <w:rFonts w:hint="eastAsia" w:eastAsia="宋体"/>
          <w:sz w:val="24"/>
          <w:lang w:eastAsia="zh-CN"/>
        </w:rPr>
        <w:t>。</w:t>
      </w:r>
    </w:p>
    <w:p w14:paraId="66DAB1C0">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2）</w:t>
      </w:r>
      <w:r>
        <w:rPr>
          <w:rFonts w:hint="eastAsia"/>
          <w:sz w:val="24"/>
        </w:rPr>
        <w:t>投标人对采购人的所有保修设备，均须根据每次的电话记录、现场巡检报告和故障维修报告建立技术文档，详细记录设备型号、故障时间、故障类型、维护措施、维护质量、维护时间及维修人员等信息。</w:t>
      </w:r>
    </w:p>
    <w:p w14:paraId="3AF0B98D">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3）</w:t>
      </w:r>
      <w:r>
        <w:rPr>
          <w:rFonts w:hint="eastAsia"/>
          <w:sz w:val="24"/>
        </w:rPr>
        <w:t>投标人需为采购人建立和完善设备技术档案，并根据设备运行情况向采购人提供设备升级、更换的建议和方案。</w:t>
      </w:r>
    </w:p>
    <w:p w14:paraId="226D7DCF">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sz w:val="24"/>
        </w:rPr>
        <w:t>8)定期交流与总结</w:t>
      </w:r>
    </w:p>
    <w:p w14:paraId="53C21693">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1）</w:t>
      </w:r>
      <w:r>
        <w:rPr>
          <w:rFonts w:hint="eastAsia"/>
          <w:sz w:val="24"/>
        </w:rPr>
        <w:t>投标人每季度应结合设备维修服务工作与采购人技术负责人员召开一次工作碰头会，对维护设备的现状、维护情况、备件使用情况、性能改进建议等提出意见，交流季度服务情况，听取采购人意见和建议，并安排下一季度设备维护需解决的具体事宜。</w:t>
      </w:r>
    </w:p>
    <w:p w14:paraId="494EB0CC">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2）每季度</w:t>
      </w:r>
      <w:r>
        <w:rPr>
          <w:rFonts w:hint="eastAsia"/>
          <w:sz w:val="24"/>
        </w:rPr>
        <w:t>投标人与采购人举办一次技术研讨会，总结经验，听取意见</w:t>
      </w:r>
      <w:r>
        <w:rPr>
          <w:sz w:val="24"/>
        </w:rPr>
        <w:t>,找出问题，并就采购人系统情况作出总结报告。</w:t>
      </w:r>
    </w:p>
    <w:p w14:paraId="499D2FBB">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2、</w:t>
      </w:r>
      <w:r>
        <w:rPr>
          <w:sz w:val="24"/>
        </w:rPr>
        <w:t>响应支持服务</w:t>
      </w:r>
    </w:p>
    <w:p w14:paraId="6D437AA9">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sz w:val="24"/>
        </w:rPr>
        <w:t>1)电话支持服务</w:t>
      </w:r>
    </w:p>
    <w:p w14:paraId="0C90FEB6">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sz w:val="24"/>
        </w:rPr>
        <w:t>投标人</w:t>
      </w:r>
      <w:r>
        <w:rPr>
          <w:rFonts w:hint="eastAsia" w:ascii="宋体" w:eastAsia="宋体"/>
          <w:sz w:val="24"/>
          <w:lang w:val="en-US" w:eastAsia="zh-CN"/>
        </w:rPr>
        <w:t>需提供</w:t>
      </w:r>
      <w:r>
        <w:rPr>
          <w:rFonts w:hint="eastAsia"/>
          <w:sz w:val="24"/>
        </w:rPr>
        <w:t>全年</w:t>
      </w:r>
      <w:r>
        <w:rPr>
          <w:sz w:val="24"/>
        </w:rPr>
        <w:t>7×24小时的电话支持服务。</w:t>
      </w:r>
    </w:p>
    <w:p w14:paraId="2789915E">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sz w:val="24"/>
        </w:rPr>
        <w:t>2)远程分析服务</w:t>
      </w:r>
    </w:p>
    <w:p w14:paraId="0E0AE871">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sz w:val="24"/>
        </w:rPr>
        <w:t>在征得采购人允许的前提下，投标人的工程师能够通过远程拨入进行故障分析，对系统进行诊断与故障排除。</w:t>
      </w:r>
    </w:p>
    <w:p w14:paraId="1E742223">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sz w:val="24"/>
        </w:rPr>
        <w:t>3)现场支持服务</w:t>
      </w:r>
    </w:p>
    <w:p w14:paraId="2C2AF0A2">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1）</w:t>
      </w:r>
      <w:r>
        <w:rPr>
          <w:rFonts w:hint="eastAsia"/>
          <w:sz w:val="24"/>
        </w:rPr>
        <w:t>投标人提供现场支持服务时，应安排经验丰富的技术支持工程师赴现场分析故障原因，制定故障解决方案，并最终排除故障。</w:t>
      </w:r>
    </w:p>
    <w:p w14:paraId="0570C571">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2）</w:t>
      </w:r>
      <w:r>
        <w:rPr>
          <w:rFonts w:hint="eastAsia"/>
          <w:sz w:val="24"/>
        </w:rPr>
        <w:t>投标人接到故障报修后应即时响应：</w:t>
      </w:r>
      <w:r>
        <w:rPr>
          <w:rFonts w:hint="eastAsia" w:ascii="宋体" w:eastAsia="宋体"/>
          <w:sz w:val="24"/>
          <w:szCs w:val="24"/>
          <w:lang w:val="en-US" w:eastAsia="zh-CN"/>
        </w:rPr>
        <w:t>工作时间立即响应，非</w:t>
      </w:r>
      <w:r>
        <w:rPr>
          <w:rFonts w:hint="eastAsia"/>
          <w:sz w:val="24"/>
        </w:rPr>
        <w:t>工作时间</w:t>
      </w:r>
      <w:r>
        <w:rPr>
          <w:sz w:val="24"/>
        </w:rPr>
        <w:t>30分钟到达现场，</w:t>
      </w:r>
      <w:r>
        <w:rPr>
          <w:rFonts w:hint="eastAsia" w:ascii="宋体" w:eastAsia="宋体"/>
          <w:sz w:val="24"/>
          <w:lang w:val="en-US" w:eastAsia="zh-CN"/>
        </w:rPr>
        <w:t>1小时</w:t>
      </w:r>
      <w:r>
        <w:rPr>
          <w:sz w:val="24"/>
        </w:rPr>
        <w:t>内彻底排除故障。如果投标人无法在规定时间内恢复系统运行，</w:t>
      </w:r>
      <w:r>
        <w:rPr>
          <w:rFonts w:hint="eastAsia"/>
          <w:sz w:val="24"/>
        </w:rPr>
        <w:t>采购人</w:t>
      </w:r>
      <w:r>
        <w:rPr>
          <w:sz w:val="24"/>
        </w:rPr>
        <w:t>有权另请第三方维修，所发生费用由投标人承担。</w:t>
      </w:r>
    </w:p>
    <w:p w14:paraId="41B94803">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sz w:val="24"/>
        </w:rPr>
        <w:t>4)故障处理服务</w:t>
      </w:r>
    </w:p>
    <w:p w14:paraId="14800F27">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sz w:val="24"/>
        </w:rPr>
        <w:t>如果维保设备（故障包括主机的操作系统、硬件故障及相关附属配件）和软件（故障包括操作系统的故障）发生故障，投标人技术人员需要及时排查故障原因、免费更换故障备件、并出具维护报告。</w:t>
      </w:r>
    </w:p>
    <w:p w14:paraId="50D106AB">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sz w:val="24"/>
        </w:rPr>
        <w:t>5)重要</w:t>
      </w:r>
      <w:r>
        <w:rPr>
          <w:rFonts w:hint="eastAsia" w:ascii="宋体" w:eastAsia="宋体"/>
          <w:sz w:val="24"/>
          <w:lang w:val="en-US" w:eastAsia="zh-CN"/>
        </w:rPr>
        <w:t>时期</w:t>
      </w:r>
      <w:r>
        <w:rPr>
          <w:sz w:val="24"/>
        </w:rPr>
        <w:t>保障服务</w:t>
      </w:r>
    </w:p>
    <w:p w14:paraId="4D728CA5">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sz w:val="24"/>
        </w:rPr>
        <w:t>投标人</w:t>
      </w:r>
      <w:r>
        <w:rPr>
          <w:rFonts w:hint="eastAsia" w:ascii="宋体" w:eastAsia="宋体"/>
          <w:sz w:val="24"/>
          <w:lang w:val="en-US" w:eastAsia="zh-CN"/>
        </w:rPr>
        <w:t>在重保期间</w:t>
      </w:r>
      <w:r>
        <w:rPr>
          <w:rFonts w:hint="eastAsia"/>
          <w:sz w:val="24"/>
        </w:rPr>
        <w:t>（包括汛期、重大节假日、国家军事、政治活动等期间的服务保障工作），制定</w:t>
      </w:r>
      <w:r>
        <w:rPr>
          <w:rFonts w:hint="eastAsia" w:ascii="宋体" w:eastAsia="宋体"/>
          <w:sz w:val="24"/>
          <w:lang w:val="en-US" w:eastAsia="zh-CN"/>
        </w:rPr>
        <w:t>重保</w:t>
      </w:r>
      <w:r>
        <w:rPr>
          <w:rFonts w:hint="eastAsia"/>
          <w:sz w:val="24"/>
        </w:rPr>
        <w:t>方案，并指定技术支持工程师到现场实施服务。此服务按照现场服务标准，投标人不再另行收取费用。</w:t>
      </w:r>
    </w:p>
    <w:p w14:paraId="493DBAF4">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sz w:val="24"/>
        </w:rPr>
        <w:t>6)多厂商多平台技术支持服务</w:t>
      </w:r>
    </w:p>
    <w:p w14:paraId="48CF449A">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sz w:val="24"/>
        </w:rPr>
        <w:t>投标人应具有</w:t>
      </w:r>
      <w:r>
        <w:rPr>
          <w:rFonts w:hint="eastAsia" w:ascii="宋体" w:eastAsia="宋体"/>
          <w:sz w:val="24"/>
          <w:lang w:val="en-US" w:eastAsia="zh-CN"/>
        </w:rPr>
        <w:t>服务器</w:t>
      </w:r>
      <w:r>
        <w:rPr>
          <w:rFonts w:hint="eastAsia"/>
          <w:sz w:val="24"/>
        </w:rPr>
        <w:t>、网络、数据库、存储、中间件等多厂商多平台协作支持能力，能够迅速捕捉故障点并排除故障。</w:t>
      </w:r>
    </w:p>
    <w:p w14:paraId="447A33C6">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sz w:val="24"/>
        </w:rPr>
        <w:t>7)专业培训服务</w:t>
      </w:r>
    </w:p>
    <w:p w14:paraId="0FA6067C">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sz w:val="24"/>
        </w:rPr>
        <w:t>投标人应根据采购人设备维护的需要，有义务就现场服务中故障发生的原因、处理过程、以及类似故障的预防和处理过程等提供必要的集中培训或现场培训。</w:t>
      </w:r>
    </w:p>
    <w:p w14:paraId="7DF245DF">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sz w:val="24"/>
        </w:rPr>
        <w:t>培训的内容</w:t>
      </w:r>
      <w:r>
        <w:rPr>
          <w:rFonts w:hint="eastAsia" w:ascii="宋体" w:eastAsia="宋体"/>
          <w:sz w:val="24"/>
          <w:lang w:val="en-US" w:eastAsia="zh-CN"/>
        </w:rPr>
        <w:t>至少包含</w:t>
      </w:r>
      <w:r>
        <w:rPr>
          <w:rFonts w:hint="eastAsia"/>
          <w:sz w:val="24"/>
        </w:rPr>
        <w:t>设备维护相关的技术知识与管理知识，具体培训课程由采购人和投标人协商确定，可包括：</w:t>
      </w:r>
      <w:r>
        <w:rPr>
          <w:sz w:val="24"/>
        </w:rPr>
        <w:t>IT服务项目经理、IT服务工程师培训课程。</w:t>
      </w:r>
    </w:p>
    <w:p w14:paraId="3D28C21E">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3、</w:t>
      </w:r>
      <w:r>
        <w:rPr>
          <w:sz w:val="24"/>
        </w:rPr>
        <w:t>其他服务</w:t>
      </w:r>
    </w:p>
    <w:p w14:paraId="308F5441">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1</w:t>
      </w:r>
      <w:r>
        <w:rPr>
          <w:rFonts w:hint="eastAsia" w:eastAsia="宋体"/>
          <w:sz w:val="24"/>
          <w:lang w:eastAsia="zh-CN"/>
        </w:rPr>
        <w:t>）</w:t>
      </w:r>
      <w:r>
        <w:rPr>
          <w:rFonts w:hint="eastAsia"/>
          <w:sz w:val="24"/>
        </w:rPr>
        <w:t>投标人对服务范围内设备搬迁、</w:t>
      </w:r>
      <w:r>
        <w:rPr>
          <w:rFonts w:hint="eastAsia" w:ascii="宋体" w:eastAsia="宋体"/>
          <w:sz w:val="24"/>
          <w:lang w:val="en-US" w:eastAsia="zh-CN"/>
        </w:rPr>
        <w:t>新系统上线</w:t>
      </w:r>
      <w:r>
        <w:rPr>
          <w:rFonts w:hint="eastAsia"/>
          <w:sz w:val="24"/>
        </w:rPr>
        <w:t>提供技术支持与必要的现场配合工作。</w:t>
      </w:r>
    </w:p>
    <w:p w14:paraId="7CEEAC02">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2</w:t>
      </w:r>
      <w:r>
        <w:rPr>
          <w:rFonts w:hint="eastAsia" w:eastAsia="宋体"/>
          <w:sz w:val="24"/>
          <w:lang w:eastAsia="zh-CN"/>
        </w:rPr>
        <w:t>）</w:t>
      </w:r>
      <w:r>
        <w:rPr>
          <w:rFonts w:hint="eastAsia"/>
          <w:sz w:val="24"/>
        </w:rPr>
        <w:t>投标人提供与设备相关的技术咨询服务。</w:t>
      </w:r>
    </w:p>
    <w:p w14:paraId="05E9C771">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3</w:t>
      </w:r>
      <w:r>
        <w:rPr>
          <w:rFonts w:hint="eastAsia" w:eastAsia="宋体"/>
          <w:sz w:val="24"/>
          <w:lang w:eastAsia="zh-CN"/>
        </w:rPr>
        <w:t>）</w:t>
      </w:r>
      <w:r>
        <w:rPr>
          <w:rFonts w:hint="eastAsia"/>
          <w:sz w:val="24"/>
        </w:rPr>
        <w:t>投标人对维保响应、现场支持、故障维修等内容的运行数据情况，能够提出详细的图表分析和预判。</w:t>
      </w:r>
    </w:p>
    <w:p w14:paraId="21FE65AA">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4</w:t>
      </w:r>
      <w:r>
        <w:rPr>
          <w:rFonts w:hint="eastAsia" w:eastAsia="宋体"/>
          <w:sz w:val="24"/>
          <w:lang w:eastAsia="zh-CN"/>
        </w:rPr>
        <w:t>）</w:t>
      </w:r>
      <w:r>
        <w:rPr>
          <w:rFonts w:hint="eastAsia"/>
          <w:sz w:val="24"/>
        </w:rPr>
        <w:t>投标人应明确说明项目实施过程中所可能产生的各种文档。</w:t>
      </w:r>
    </w:p>
    <w:p w14:paraId="5905D1B5">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5</w:t>
      </w:r>
      <w:r>
        <w:rPr>
          <w:rFonts w:hint="eastAsia" w:eastAsia="宋体"/>
          <w:sz w:val="24"/>
          <w:lang w:eastAsia="zh-CN"/>
        </w:rPr>
        <w:t>）</w:t>
      </w:r>
      <w:r>
        <w:rPr>
          <w:rFonts w:hint="eastAsia"/>
          <w:sz w:val="24"/>
        </w:rPr>
        <w:t>投标人须根据自身的维护经验</w:t>
      </w:r>
      <w:r>
        <w:rPr>
          <w:sz w:val="24"/>
        </w:rPr>
        <w:t>,针对系统现状提出有效的建议和解决方案。</w:t>
      </w:r>
    </w:p>
    <w:p w14:paraId="30759043">
      <w:pPr>
        <w:pStyle w:val="4"/>
        <w:keepNext w:val="0"/>
        <w:keepLines w:val="0"/>
        <w:pageBreakBefore w:val="0"/>
        <w:widowControl w:val="0"/>
        <w:kinsoku/>
        <w:wordWrap/>
        <w:overflowPunct/>
        <w:topLinePunct w:val="0"/>
        <w:autoSpaceDE w:val="0"/>
        <w:autoSpaceDN w:val="0"/>
        <w:bidi w:val="0"/>
        <w:adjustRightInd/>
        <w:snapToGrid/>
        <w:spacing w:line="360" w:lineRule="auto"/>
        <w:ind w:left="0" w:firstLine="482" w:firstLineChars="200"/>
        <w:jc w:val="left"/>
        <w:textAlignment w:val="auto"/>
        <w:rPr>
          <w:rFonts w:hint="eastAsia"/>
          <w:b/>
          <w:sz w:val="24"/>
        </w:rPr>
      </w:pPr>
      <w:r>
        <w:rPr>
          <w:rFonts w:hint="eastAsia"/>
          <w:b/>
          <w:sz w:val="24"/>
          <w:lang w:val="en-US" w:eastAsia="zh-CN"/>
        </w:rPr>
        <w:t>2.1.2</w:t>
      </w:r>
      <w:r>
        <w:rPr>
          <w:b/>
          <w:sz w:val="24"/>
        </w:rPr>
        <w:t>安全运维服务</w:t>
      </w:r>
    </w:p>
    <w:p w14:paraId="152B959F">
      <w:pPr>
        <w:pStyle w:val="5"/>
        <w:keepNext w:val="0"/>
        <w:keepLines w:val="0"/>
        <w:pageBreakBefore w:val="0"/>
        <w:widowControl w:val="0"/>
        <w:kinsoku/>
        <w:wordWrap/>
        <w:overflowPunct/>
        <w:topLinePunct w:val="0"/>
        <w:autoSpaceDE w:val="0"/>
        <w:autoSpaceDN w:val="0"/>
        <w:bidi w:val="0"/>
        <w:adjustRightInd/>
        <w:snapToGrid/>
        <w:spacing w:before="0" w:line="360" w:lineRule="auto"/>
        <w:ind w:left="0" w:firstLine="480" w:firstLineChars="200"/>
        <w:jc w:val="left"/>
        <w:textAlignment w:val="auto"/>
        <w:rPr>
          <w:rFonts w:hint="eastAsia"/>
          <w:sz w:val="24"/>
        </w:rPr>
      </w:pPr>
      <w:r>
        <w:rPr>
          <w:rFonts w:hint="eastAsia"/>
          <w:sz w:val="24"/>
          <w:lang w:val="en-US" w:eastAsia="zh-CN"/>
        </w:rPr>
        <w:t>2.1.2.1</w:t>
      </w:r>
      <w:r>
        <w:rPr>
          <w:sz w:val="24"/>
        </w:rPr>
        <w:t>采购需求</w:t>
      </w:r>
    </w:p>
    <w:p w14:paraId="69881E8A">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ascii="宋体" w:eastAsia="宋体"/>
          <w:sz w:val="24"/>
          <w:lang w:val="en-US" w:eastAsia="zh-CN"/>
        </w:rPr>
        <w:t>（1）</w:t>
      </w:r>
      <w:r>
        <w:rPr>
          <w:rFonts w:hint="eastAsia"/>
          <w:sz w:val="24"/>
        </w:rPr>
        <w:t>为医院战备区信息化系统提供安全运维服务（包括：信息安全驻场运维服务、</w:t>
      </w:r>
      <w:r>
        <w:rPr>
          <w:sz w:val="24"/>
        </w:rPr>
        <w:t>安全运营服务</w:t>
      </w:r>
      <w:r>
        <w:rPr>
          <w:rFonts w:hint="eastAsia"/>
          <w:sz w:val="24"/>
        </w:rPr>
        <w:t>、</w:t>
      </w:r>
      <w:r>
        <w:rPr>
          <w:sz w:val="24"/>
        </w:rPr>
        <w:t>安全云防护服务等</w:t>
      </w:r>
      <w:r>
        <w:rPr>
          <w:rFonts w:hint="eastAsia"/>
          <w:sz w:val="24"/>
        </w:rPr>
        <w:t>），具体如下：</w:t>
      </w:r>
    </w:p>
    <w:tbl>
      <w:tblPr>
        <w:tblStyle w:val="7"/>
        <w:tblW w:w="0" w:type="auto"/>
        <w:jc w:val="center"/>
        <w:tblLayout w:type="fixed"/>
        <w:tblCellMar>
          <w:top w:w="0" w:type="dxa"/>
          <w:left w:w="108" w:type="dxa"/>
          <w:bottom w:w="0" w:type="dxa"/>
          <w:right w:w="108" w:type="dxa"/>
        </w:tblCellMar>
      </w:tblPr>
      <w:tblGrid>
        <w:gridCol w:w="1307"/>
        <w:gridCol w:w="4889"/>
        <w:gridCol w:w="3218"/>
      </w:tblGrid>
      <w:tr w14:paraId="1ECC4E5A">
        <w:tblPrEx>
          <w:tblCellMar>
            <w:top w:w="0" w:type="dxa"/>
            <w:left w:w="108" w:type="dxa"/>
            <w:bottom w:w="0" w:type="dxa"/>
            <w:right w:w="108" w:type="dxa"/>
          </w:tblCellMar>
        </w:tblPrEx>
        <w:trPr>
          <w:trHeight w:val="579" w:hRule="atLeast"/>
          <w:jc w:val="center"/>
        </w:trPr>
        <w:tc>
          <w:tcPr>
            <w:tcW w:w="1307" w:type="dxa"/>
            <w:tcBorders>
              <w:top w:val="single" w:color="auto" w:sz="8" w:space="0"/>
              <w:left w:val="single" w:color="auto" w:sz="8" w:space="0"/>
              <w:bottom w:val="single" w:color="auto" w:sz="8" w:space="0"/>
              <w:right w:val="single" w:color="auto" w:sz="8" w:space="0"/>
            </w:tcBorders>
            <w:noWrap w:val="0"/>
            <w:vAlign w:val="center"/>
          </w:tcPr>
          <w:p w14:paraId="5E73B9D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序号</w:t>
            </w:r>
          </w:p>
        </w:tc>
        <w:tc>
          <w:tcPr>
            <w:tcW w:w="4889" w:type="dxa"/>
            <w:tcBorders>
              <w:top w:val="single" w:color="auto" w:sz="8" w:space="0"/>
              <w:left w:val="nil"/>
              <w:bottom w:val="single" w:color="auto" w:sz="8" w:space="0"/>
              <w:right w:val="single" w:color="auto" w:sz="8" w:space="0"/>
            </w:tcBorders>
            <w:noWrap w:val="0"/>
            <w:vAlign w:val="center"/>
          </w:tcPr>
          <w:p w14:paraId="7F2942F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项目名称</w:t>
            </w:r>
          </w:p>
        </w:tc>
        <w:tc>
          <w:tcPr>
            <w:tcW w:w="3218" w:type="dxa"/>
            <w:tcBorders>
              <w:top w:val="single" w:color="auto" w:sz="8" w:space="0"/>
              <w:left w:val="nil"/>
              <w:bottom w:val="single" w:color="auto" w:sz="8" w:space="0"/>
              <w:right w:val="single" w:color="auto" w:sz="8" w:space="0"/>
            </w:tcBorders>
            <w:noWrap w:val="0"/>
            <w:vAlign w:val="center"/>
          </w:tcPr>
          <w:p w14:paraId="2731493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数量</w:t>
            </w:r>
          </w:p>
        </w:tc>
      </w:tr>
      <w:tr w14:paraId="2318DE50">
        <w:tblPrEx>
          <w:tblCellMar>
            <w:top w:w="0" w:type="dxa"/>
            <w:left w:w="108" w:type="dxa"/>
            <w:bottom w:w="0" w:type="dxa"/>
            <w:right w:w="108" w:type="dxa"/>
          </w:tblCellMar>
        </w:tblPrEx>
        <w:trPr>
          <w:trHeight w:val="494" w:hRule="atLeast"/>
          <w:jc w:val="center"/>
        </w:trPr>
        <w:tc>
          <w:tcPr>
            <w:tcW w:w="1307" w:type="dxa"/>
            <w:tcBorders>
              <w:top w:val="nil"/>
              <w:left w:val="single" w:color="auto" w:sz="8" w:space="0"/>
              <w:bottom w:val="single" w:color="auto" w:sz="8" w:space="0"/>
              <w:right w:val="single" w:color="auto" w:sz="8" w:space="0"/>
            </w:tcBorders>
            <w:noWrap w:val="0"/>
            <w:vAlign w:val="center"/>
          </w:tcPr>
          <w:p w14:paraId="37B2689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w:t>
            </w:r>
          </w:p>
        </w:tc>
        <w:tc>
          <w:tcPr>
            <w:tcW w:w="4889" w:type="dxa"/>
            <w:tcBorders>
              <w:top w:val="nil"/>
              <w:left w:val="nil"/>
              <w:bottom w:val="single" w:color="auto" w:sz="8" w:space="0"/>
              <w:right w:val="single" w:color="auto" w:sz="8" w:space="0"/>
            </w:tcBorders>
            <w:noWrap w:val="0"/>
            <w:vAlign w:val="center"/>
          </w:tcPr>
          <w:p w14:paraId="27BDCDF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sz w:val="24"/>
                <w:szCs w:val="24"/>
              </w:rPr>
              <w:t>信息安全驻场运维服务</w:t>
            </w:r>
          </w:p>
        </w:tc>
        <w:tc>
          <w:tcPr>
            <w:tcW w:w="3218" w:type="dxa"/>
            <w:tcBorders>
              <w:top w:val="nil"/>
              <w:left w:val="nil"/>
              <w:bottom w:val="single" w:color="auto" w:sz="8" w:space="0"/>
              <w:right w:val="single" w:color="auto" w:sz="8" w:space="0"/>
            </w:tcBorders>
            <w:noWrap w:val="0"/>
            <w:vAlign w:val="center"/>
          </w:tcPr>
          <w:p w14:paraId="000A8D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1人</w:t>
            </w:r>
          </w:p>
        </w:tc>
      </w:tr>
      <w:tr w14:paraId="43EAF193">
        <w:tblPrEx>
          <w:tblCellMar>
            <w:top w:w="0" w:type="dxa"/>
            <w:left w:w="108" w:type="dxa"/>
            <w:bottom w:w="0" w:type="dxa"/>
            <w:right w:w="108" w:type="dxa"/>
          </w:tblCellMar>
        </w:tblPrEx>
        <w:trPr>
          <w:trHeight w:val="673" w:hRule="atLeast"/>
          <w:jc w:val="center"/>
        </w:trPr>
        <w:tc>
          <w:tcPr>
            <w:tcW w:w="1307" w:type="dxa"/>
            <w:tcBorders>
              <w:top w:val="nil"/>
              <w:left w:val="single" w:color="auto" w:sz="8" w:space="0"/>
              <w:bottom w:val="single" w:color="auto" w:sz="8" w:space="0"/>
              <w:right w:val="single" w:color="auto" w:sz="8" w:space="0"/>
            </w:tcBorders>
            <w:noWrap w:val="0"/>
            <w:vAlign w:val="center"/>
          </w:tcPr>
          <w:p w14:paraId="41ACBA7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2</w:t>
            </w:r>
          </w:p>
        </w:tc>
        <w:tc>
          <w:tcPr>
            <w:tcW w:w="4889" w:type="dxa"/>
            <w:tcBorders>
              <w:top w:val="nil"/>
              <w:left w:val="nil"/>
              <w:bottom w:val="single" w:color="auto" w:sz="8" w:space="0"/>
              <w:right w:val="single" w:color="auto" w:sz="8" w:space="0"/>
            </w:tcBorders>
            <w:noWrap w:val="0"/>
            <w:vAlign w:val="center"/>
          </w:tcPr>
          <w:p w14:paraId="288D409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安全运营服务（渗透测试服务、WEB安全防护服务、漏洞扫描服务）</w:t>
            </w:r>
          </w:p>
        </w:tc>
        <w:tc>
          <w:tcPr>
            <w:tcW w:w="3218" w:type="dxa"/>
            <w:tcBorders>
              <w:top w:val="nil"/>
              <w:left w:val="nil"/>
              <w:bottom w:val="single" w:color="auto" w:sz="8" w:space="0"/>
              <w:right w:val="single" w:color="auto" w:sz="8" w:space="0"/>
            </w:tcBorders>
            <w:noWrap w:val="0"/>
            <w:vAlign w:val="center"/>
          </w:tcPr>
          <w:p w14:paraId="6DBB993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1次/每季度</w:t>
            </w:r>
          </w:p>
        </w:tc>
      </w:tr>
      <w:tr w14:paraId="7BF70AA9">
        <w:tblPrEx>
          <w:tblCellMar>
            <w:top w:w="0" w:type="dxa"/>
            <w:left w:w="108" w:type="dxa"/>
            <w:bottom w:w="0" w:type="dxa"/>
            <w:right w:w="108" w:type="dxa"/>
          </w:tblCellMar>
        </w:tblPrEx>
        <w:trPr>
          <w:trHeight w:val="504" w:hRule="atLeast"/>
          <w:jc w:val="center"/>
        </w:trPr>
        <w:tc>
          <w:tcPr>
            <w:tcW w:w="1307" w:type="dxa"/>
            <w:tcBorders>
              <w:top w:val="nil"/>
              <w:left w:val="single" w:color="auto" w:sz="8" w:space="0"/>
              <w:bottom w:val="single" w:color="auto" w:sz="8" w:space="0"/>
              <w:right w:val="single" w:color="auto" w:sz="8" w:space="0"/>
            </w:tcBorders>
            <w:noWrap w:val="0"/>
            <w:vAlign w:val="center"/>
          </w:tcPr>
          <w:p w14:paraId="33CCAE6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3</w:t>
            </w:r>
          </w:p>
        </w:tc>
        <w:tc>
          <w:tcPr>
            <w:tcW w:w="4889" w:type="dxa"/>
            <w:tcBorders>
              <w:top w:val="nil"/>
              <w:left w:val="nil"/>
              <w:bottom w:val="single" w:color="auto" w:sz="8" w:space="0"/>
              <w:right w:val="single" w:color="auto" w:sz="8" w:space="0"/>
            </w:tcBorders>
            <w:noWrap w:val="0"/>
            <w:vAlign w:val="center"/>
          </w:tcPr>
          <w:p w14:paraId="5305CFF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color w:val="000000"/>
                <w:sz w:val="24"/>
                <w:szCs w:val="24"/>
              </w:rPr>
              <w:t>安全云防护（防病毒软件升级服务）</w:t>
            </w:r>
          </w:p>
        </w:tc>
        <w:tc>
          <w:tcPr>
            <w:tcW w:w="3218" w:type="dxa"/>
            <w:tcBorders>
              <w:top w:val="nil"/>
              <w:left w:val="nil"/>
              <w:bottom w:val="single" w:color="auto" w:sz="8" w:space="0"/>
              <w:right w:val="single" w:color="auto" w:sz="8" w:space="0"/>
            </w:tcBorders>
            <w:noWrap w:val="0"/>
            <w:vAlign w:val="center"/>
          </w:tcPr>
          <w:p w14:paraId="0540E8F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000000"/>
                <w:sz w:val="24"/>
                <w:szCs w:val="24"/>
              </w:rPr>
            </w:pPr>
            <w:r>
              <w:rPr>
                <w:rFonts w:hint="eastAsia" w:ascii="宋体" w:eastAsia="宋体"/>
                <w:color w:val="000000"/>
                <w:sz w:val="24"/>
                <w:szCs w:val="24"/>
                <w:lang w:val="en-US" w:eastAsia="zh-CN"/>
              </w:rPr>
              <w:t>按需</w:t>
            </w:r>
          </w:p>
        </w:tc>
      </w:tr>
    </w:tbl>
    <w:p w14:paraId="15D7FCA7">
      <w:pPr>
        <w:spacing w:before="120" w:beforeLines="50" w:line="360" w:lineRule="auto"/>
        <w:ind w:firstLine="480" w:firstLineChars="200"/>
        <w:rPr>
          <w:rFonts w:hint="eastAsia"/>
          <w:sz w:val="24"/>
        </w:rPr>
      </w:pPr>
      <w:r>
        <w:rPr>
          <w:rFonts w:hint="eastAsia" w:ascii="宋体" w:eastAsia="宋体"/>
          <w:sz w:val="24"/>
          <w:lang w:val="en-US" w:eastAsia="zh-CN"/>
        </w:rPr>
        <w:t>（2）</w:t>
      </w:r>
      <w:r>
        <w:rPr>
          <w:rFonts w:hint="eastAsia"/>
          <w:sz w:val="24"/>
        </w:rPr>
        <w:t>要求投标人派驻信息安全技术工程师</w:t>
      </w:r>
      <w:r>
        <w:rPr>
          <w:sz w:val="24"/>
        </w:rPr>
        <w:t>1名，为采购人提供每周5天</w:t>
      </w:r>
      <w:r>
        <w:rPr>
          <w:rFonts w:hint="eastAsia"/>
          <w:sz w:val="24"/>
        </w:rPr>
        <w:t>×</w:t>
      </w:r>
      <w:r>
        <w:rPr>
          <w:sz w:val="24"/>
        </w:rPr>
        <w:t>8小时驻场服务。为</w:t>
      </w:r>
      <w:r>
        <w:rPr>
          <w:rFonts w:hint="eastAsia"/>
          <w:sz w:val="24"/>
        </w:rPr>
        <w:t>采购人</w:t>
      </w:r>
      <w:r>
        <w:rPr>
          <w:sz w:val="24"/>
        </w:rPr>
        <w:t>提供信息安全驻场运维服务，配合</w:t>
      </w:r>
      <w:r>
        <w:rPr>
          <w:rFonts w:hint="eastAsia"/>
          <w:sz w:val="24"/>
        </w:rPr>
        <w:t>采购人</w:t>
      </w:r>
      <w:r>
        <w:rPr>
          <w:sz w:val="24"/>
        </w:rPr>
        <w:t>的网络安全迎检工作，并保证</w:t>
      </w:r>
      <w:r>
        <w:rPr>
          <w:rFonts w:hint="eastAsia"/>
          <w:sz w:val="24"/>
        </w:rPr>
        <w:t>采购人</w:t>
      </w:r>
      <w:r>
        <w:rPr>
          <w:sz w:val="24"/>
        </w:rPr>
        <w:t>通过网络安全相关部门的检查工作，工作内容包括但不限于：迎检准备、后期整改及相关资料的整理等，采取有效的措施，保证医院的系统不被攻破。</w:t>
      </w:r>
    </w:p>
    <w:p w14:paraId="24B873F3">
      <w:pPr>
        <w:spacing w:before="120" w:beforeLines="50" w:line="360" w:lineRule="auto"/>
        <w:ind w:firstLine="480" w:firstLineChars="200"/>
        <w:rPr>
          <w:sz w:val="24"/>
          <w:highlight w:val="none"/>
        </w:rPr>
      </w:pPr>
      <w:r>
        <w:rPr>
          <w:rFonts w:hint="eastAsia" w:ascii="宋体" w:eastAsia="宋体"/>
          <w:sz w:val="24"/>
          <w:highlight w:val="none"/>
          <w:lang w:val="en-US" w:eastAsia="zh-CN"/>
        </w:rPr>
        <w:t>（3）</w:t>
      </w:r>
      <w:r>
        <w:rPr>
          <w:rFonts w:hint="eastAsia"/>
          <w:sz w:val="24"/>
          <w:highlight w:val="none"/>
        </w:rPr>
        <w:t>为保证信息系统和数据安全，投标人须为本项目组建安全运维服务团队，其中信息安全管理负责人 1 名、信息安全工程师不少于 2 名，上述人员均须持有信息安全专业认证（CISAW 或 CISP，或软考信息安全工程师、CISSP 等同等效力认证），并提供证书复印件加盖公章。</w:t>
      </w:r>
    </w:p>
    <w:p w14:paraId="500ABE27">
      <w:pPr>
        <w:spacing w:before="120" w:beforeLines="50" w:line="360" w:lineRule="auto"/>
        <w:ind w:firstLine="480" w:firstLineChars="200"/>
        <w:rPr>
          <w:rFonts w:hint="eastAsia"/>
          <w:sz w:val="24"/>
        </w:rPr>
      </w:pPr>
      <w:r>
        <w:rPr>
          <w:rFonts w:hint="eastAsia"/>
          <w:sz w:val="24"/>
        </w:rPr>
        <w:t>注：投标人需提供以上人员的技术认证证书和劳动合同证明。</w:t>
      </w:r>
    </w:p>
    <w:p w14:paraId="67A73080">
      <w:pPr>
        <w:pStyle w:val="5"/>
        <w:spacing w:before="120" w:beforeLines="50" w:line="360" w:lineRule="auto"/>
        <w:jc w:val="left"/>
        <w:rPr>
          <w:rFonts w:hint="eastAsia"/>
          <w:sz w:val="24"/>
        </w:rPr>
      </w:pPr>
      <w:r>
        <w:rPr>
          <w:rFonts w:hint="eastAsia"/>
          <w:sz w:val="24"/>
          <w:lang w:val="en-US" w:eastAsia="zh-CN"/>
        </w:rPr>
        <w:t>2.1.2.2</w:t>
      </w:r>
      <w:r>
        <w:rPr>
          <w:rFonts w:hint="eastAsia"/>
          <w:sz w:val="24"/>
        </w:rPr>
        <w:t>信息安全驻场运维服务</w:t>
      </w:r>
    </w:p>
    <w:p w14:paraId="2CA43C2D">
      <w:pPr>
        <w:spacing w:before="120" w:beforeLines="50" w:line="300" w:lineRule="auto"/>
        <w:ind w:firstLine="480" w:firstLineChars="200"/>
        <w:rPr>
          <w:rFonts w:hint="eastAsia"/>
          <w:sz w:val="24"/>
        </w:rPr>
      </w:pPr>
      <w:r>
        <w:rPr>
          <w:rFonts w:hint="eastAsia" w:ascii="宋体" w:eastAsia="宋体"/>
          <w:sz w:val="24"/>
          <w:lang w:val="en-US" w:eastAsia="zh-CN"/>
        </w:rPr>
        <w:t>1、</w:t>
      </w:r>
      <w:r>
        <w:rPr>
          <w:sz w:val="24"/>
        </w:rPr>
        <w:t>服务内容</w:t>
      </w:r>
    </w:p>
    <w:p w14:paraId="76E445B3">
      <w:pPr>
        <w:spacing w:before="120" w:beforeLines="50" w:line="300" w:lineRule="auto"/>
        <w:ind w:firstLine="480" w:firstLineChars="200"/>
        <w:rPr>
          <w:rFonts w:hint="eastAsia"/>
          <w:sz w:val="24"/>
        </w:rPr>
      </w:pPr>
      <w:r>
        <w:rPr>
          <w:rFonts w:hint="eastAsia"/>
          <w:sz w:val="24"/>
        </w:rPr>
        <w:t>负责全院及战备病区所有的网络安全设备及信息安全相关系统的巡检、运维、补丁升级、风险评估、故障处理、应急支持等工作，具体如下：</w:t>
      </w:r>
    </w:p>
    <w:tbl>
      <w:tblPr>
        <w:tblStyle w:val="7"/>
        <w:tblW w:w="0" w:type="auto"/>
        <w:jc w:val="center"/>
        <w:tblLayout w:type="fixed"/>
        <w:tblCellMar>
          <w:top w:w="0" w:type="dxa"/>
          <w:left w:w="108" w:type="dxa"/>
          <w:bottom w:w="0" w:type="dxa"/>
          <w:right w:w="108" w:type="dxa"/>
        </w:tblCellMar>
      </w:tblPr>
      <w:tblGrid>
        <w:gridCol w:w="756"/>
        <w:gridCol w:w="1385"/>
        <w:gridCol w:w="7044"/>
      </w:tblGrid>
      <w:tr w14:paraId="1DBB4F81">
        <w:tblPrEx>
          <w:tblCellMar>
            <w:top w:w="0" w:type="dxa"/>
            <w:left w:w="108" w:type="dxa"/>
            <w:bottom w:w="0" w:type="dxa"/>
            <w:right w:w="108" w:type="dxa"/>
          </w:tblCellMar>
        </w:tblPrEx>
        <w:trPr>
          <w:trHeight w:val="20" w:hRule="atLeast"/>
          <w:jc w:val="center"/>
        </w:trPr>
        <w:tc>
          <w:tcPr>
            <w:tcW w:w="756" w:type="dxa"/>
            <w:tcBorders>
              <w:top w:val="single" w:color="auto" w:sz="8" w:space="0"/>
              <w:left w:val="single" w:color="auto" w:sz="8" w:space="0"/>
              <w:bottom w:val="single" w:color="auto" w:sz="8" w:space="0"/>
              <w:right w:val="single" w:color="auto" w:sz="8" w:space="0"/>
            </w:tcBorders>
            <w:noWrap w:val="0"/>
            <w:vAlign w:val="center"/>
          </w:tcPr>
          <w:p w14:paraId="428BBD2D">
            <w:pPr>
              <w:widowControl/>
              <w:snapToGrid w:val="0"/>
              <w:spacing w:before="120" w:beforeLines="50" w:line="300" w:lineRule="auto"/>
              <w:jc w:val="center"/>
              <w:rPr>
                <w:rFonts w:hint="eastAsia" w:cs="仿宋_GB2312"/>
                <w:sz w:val="24"/>
                <w:szCs w:val="24"/>
              </w:rPr>
            </w:pPr>
            <w:r>
              <w:rPr>
                <w:rFonts w:hint="eastAsia" w:cs="仿宋_GB2312"/>
                <w:sz w:val="24"/>
                <w:szCs w:val="24"/>
              </w:rPr>
              <w:t>序号</w:t>
            </w:r>
          </w:p>
        </w:tc>
        <w:tc>
          <w:tcPr>
            <w:tcW w:w="1385" w:type="dxa"/>
            <w:tcBorders>
              <w:top w:val="single" w:color="auto" w:sz="8" w:space="0"/>
              <w:left w:val="nil"/>
              <w:bottom w:val="single" w:color="auto" w:sz="8" w:space="0"/>
              <w:right w:val="single" w:color="auto" w:sz="8" w:space="0"/>
            </w:tcBorders>
            <w:noWrap w:val="0"/>
            <w:vAlign w:val="center"/>
          </w:tcPr>
          <w:p w14:paraId="1F888A1B">
            <w:pPr>
              <w:widowControl/>
              <w:snapToGrid w:val="0"/>
              <w:spacing w:before="120" w:beforeLines="50" w:line="300" w:lineRule="auto"/>
              <w:jc w:val="center"/>
              <w:rPr>
                <w:rFonts w:hint="eastAsia" w:cs="仿宋_GB2312"/>
                <w:sz w:val="24"/>
                <w:szCs w:val="24"/>
              </w:rPr>
            </w:pPr>
            <w:r>
              <w:rPr>
                <w:rFonts w:hint="eastAsia" w:cs="仿宋_GB2312"/>
                <w:sz w:val="24"/>
                <w:szCs w:val="24"/>
              </w:rPr>
              <w:t>服务项目</w:t>
            </w:r>
          </w:p>
        </w:tc>
        <w:tc>
          <w:tcPr>
            <w:tcW w:w="7044" w:type="dxa"/>
            <w:tcBorders>
              <w:top w:val="single" w:color="auto" w:sz="8" w:space="0"/>
              <w:left w:val="nil"/>
              <w:bottom w:val="single" w:color="auto" w:sz="8" w:space="0"/>
              <w:right w:val="single" w:color="auto" w:sz="8" w:space="0"/>
            </w:tcBorders>
            <w:noWrap w:val="0"/>
            <w:vAlign w:val="center"/>
          </w:tcPr>
          <w:p w14:paraId="42F9C2C4">
            <w:pPr>
              <w:widowControl/>
              <w:snapToGrid w:val="0"/>
              <w:spacing w:before="120" w:beforeLines="50" w:line="300" w:lineRule="auto"/>
              <w:jc w:val="center"/>
              <w:rPr>
                <w:rFonts w:hint="eastAsia" w:cs="仿宋_GB2312"/>
                <w:sz w:val="24"/>
                <w:szCs w:val="24"/>
              </w:rPr>
            </w:pPr>
            <w:r>
              <w:rPr>
                <w:rFonts w:hint="eastAsia" w:cs="仿宋_GB2312"/>
                <w:sz w:val="24"/>
                <w:szCs w:val="24"/>
              </w:rPr>
              <w:t>服务内容</w:t>
            </w:r>
          </w:p>
        </w:tc>
      </w:tr>
      <w:tr w14:paraId="60FC57EF">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6CA140D5">
            <w:pPr>
              <w:widowControl/>
              <w:snapToGrid w:val="0"/>
              <w:spacing w:before="120" w:beforeLines="50" w:line="300" w:lineRule="auto"/>
              <w:jc w:val="center"/>
              <w:rPr>
                <w:rFonts w:hint="eastAsia" w:cs="仿宋_GB2312"/>
                <w:sz w:val="24"/>
                <w:szCs w:val="24"/>
              </w:rPr>
            </w:pPr>
            <w:r>
              <w:rPr>
                <w:rFonts w:hint="eastAsia" w:cs="仿宋_GB2312"/>
                <w:sz w:val="24"/>
                <w:szCs w:val="24"/>
              </w:rPr>
              <w:t>1</w:t>
            </w:r>
          </w:p>
        </w:tc>
        <w:tc>
          <w:tcPr>
            <w:tcW w:w="1385" w:type="dxa"/>
            <w:tcBorders>
              <w:top w:val="nil"/>
              <w:left w:val="nil"/>
              <w:bottom w:val="single" w:color="auto" w:sz="8" w:space="0"/>
              <w:right w:val="single" w:color="auto" w:sz="8" w:space="0"/>
            </w:tcBorders>
            <w:noWrap w:val="0"/>
            <w:vAlign w:val="center"/>
          </w:tcPr>
          <w:p w14:paraId="322DA270">
            <w:pPr>
              <w:widowControl/>
              <w:snapToGrid w:val="0"/>
              <w:spacing w:before="120" w:beforeLines="50" w:line="300" w:lineRule="auto"/>
              <w:jc w:val="center"/>
              <w:rPr>
                <w:rFonts w:hint="eastAsia" w:cs="仿宋_GB2312"/>
                <w:sz w:val="24"/>
                <w:szCs w:val="24"/>
              </w:rPr>
            </w:pPr>
            <w:r>
              <w:rPr>
                <w:rFonts w:hint="eastAsia" w:cs="仿宋_GB2312"/>
                <w:sz w:val="24"/>
                <w:szCs w:val="24"/>
              </w:rPr>
              <w:t>安全巡检</w:t>
            </w:r>
          </w:p>
        </w:tc>
        <w:tc>
          <w:tcPr>
            <w:tcW w:w="7044" w:type="dxa"/>
            <w:tcBorders>
              <w:top w:val="nil"/>
              <w:left w:val="nil"/>
              <w:bottom w:val="single" w:color="auto" w:sz="8" w:space="0"/>
              <w:right w:val="single" w:color="auto" w:sz="8" w:space="0"/>
            </w:tcBorders>
            <w:noWrap/>
            <w:vAlign w:val="center"/>
          </w:tcPr>
          <w:p w14:paraId="0CACF665">
            <w:pPr>
              <w:widowControl/>
              <w:snapToGrid w:val="0"/>
              <w:spacing w:before="120" w:beforeLines="50" w:line="300" w:lineRule="auto"/>
              <w:rPr>
                <w:rFonts w:hint="eastAsia" w:cs="仿宋_GB2312"/>
                <w:sz w:val="24"/>
                <w:szCs w:val="24"/>
              </w:rPr>
            </w:pPr>
            <w:r>
              <w:rPr>
                <w:rFonts w:hint="eastAsia" w:cs="仿宋_GB2312"/>
                <w:sz w:val="24"/>
                <w:szCs w:val="24"/>
              </w:rPr>
              <w:t>对院内已有信息安全相关系统</w:t>
            </w:r>
            <w:r>
              <w:rPr>
                <w:rFonts w:hint="eastAsia" w:cs="仿宋_GB2312"/>
                <w:sz w:val="24"/>
                <w:szCs w:val="24"/>
                <w:lang w:val="en-US" w:eastAsia="zh-CN"/>
              </w:rPr>
              <w:t>每月</w:t>
            </w:r>
            <w:r>
              <w:rPr>
                <w:rFonts w:hint="eastAsia" w:cs="仿宋_GB2312"/>
                <w:sz w:val="24"/>
                <w:szCs w:val="24"/>
              </w:rPr>
              <w:t>进行健康巡检，确保信息安全各系统的健康平稳的运行，包括防病毒等各项组件功能检查。</w:t>
            </w:r>
          </w:p>
        </w:tc>
      </w:tr>
      <w:tr w14:paraId="5FCD083B">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125602E9">
            <w:pPr>
              <w:widowControl/>
              <w:snapToGrid w:val="0"/>
              <w:spacing w:before="120" w:beforeLines="50" w:line="300" w:lineRule="auto"/>
              <w:jc w:val="center"/>
              <w:rPr>
                <w:rFonts w:hint="eastAsia" w:cs="仿宋_GB2312"/>
                <w:sz w:val="24"/>
                <w:szCs w:val="24"/>
              </w:rPr>
            </w:pPr>
            <w:r>
              <w:rPr>
                <w:rFonts w:hint="eastAsia" w:cs="仿宋_GB2312"/>
                <w:sz w:val="24"/>
                <w:szCs w:val="24"/>
              </w:rPr>
              <w:t>2</w:t>
            </w:r>
          </w:p>
        </w:tc>
        <w:tc>
          <w:tcPr>
            <w:tcW w:w="1385" w:type="dxa"/>
            <w:tcBorders>
              <w:top w:val="nil"/>
              <w:left w:val="nil"/>
              <w:bottom w:val="single" w:color="auto" w:sz="8" w:space="0"/>
              <w:right w:val="single" w:color="auto" w:sz="8" w:space="0"/>
            </w:tcBorders>
            <w:noWrap w:val="0"/>
            <w:vAlign w:val="center"/>
          </w:tcPr>
          <w:p w14:paraId="1654C42A">
            <w:pPr>
              <w:widowControl/>
              <w:snapToGrid w:val="0"/>
              <w:spacing w:before="120" w:beforeLines="50" w:line="300" w:lineRule="auto"/>
              <w:jc w:val="center"/>
              <w:rPr>
                <w:rFonts w:hint="eastAsia" w:cs="仿宋_GB2312"/>
                <w:sz w:val="24"/>
                <w:szCs w:val="24"/>
              </w:rPr>
            </w:pPr>
            <w:r>
              <w:rPr>
                <w:rFonts w:hint="eastAsia" w:cs="仿宋_GB2312"/>
                <w:sz w:val="24"/>
                <w:szCs w:val="24"/>
              </w:rPr>
              <w:t>日常运维</w:t>
            </w:r>
          </w:p>
        </w:tc>
        <w:tc>
          <w:tcPr>
            <w:tcW w:w="7044" w:type="dxa"/>
            <w:tcBorders>
              <w:top w:val="nil"/>
              <w:left w:val="nil"/>
              <w:bottom w:val="single" w:color="auto" w:sz="8" w:space="0"/>
              <w:right w:val="single" w:color="auto" w:sz="8" w:space="0"/>
            </w:tcBorders>
            <w:noWrap/>
            <w:vAlign w:val="center"/>
          </w:tcPr>
          <w:p w14:paraId="6B3C9460">
            <w:pPr>
              <w:widowControl/>
              <w:snapToGrid w:val="0"/>
              <w:spacing w:before="120" w:beforeLines="50" w:line="300" w:lineRule="auto"/>
              <w:rPr>
                <w:rFonts w:hint="eastAsia" w:cs="仿宋_GB2312"/>
                <w:sz w:val="24"/>
                <w:szCs w:val="24"/>
              </w:rPr>
            </w:pPr>
            <w:r>
              <w:rPr>
                <w:rFonts w:hint="eastAsia" w:cs="仿宋_GB2312"/>
                <w:sz w:val="24"/>
                <w:szCs w:val="24"/>
              </w:rPr>
              <w:t>常态化对院内信息安全</w:t>
            </w:r>
            <w:r>
              <w:rPr>
                <w:rFonts w:hint="eastAsia" w:cs="仿宋_GB2312"/>
                <w:sz w:val="24"/>
                <w:szCs w:val="24"/>
                <w:lang w:val="en-US" w:eastAsia="zh-CN"/>
              </w:rPr>
              <w:t>明确有哪些系统</w:t>
            </w:r>
            <w:r>
              <w:rPr>
                <w:rFonts w:hint="eastAsia" w:cs="仿宋_GB2312"/>
                <w:sz w:val="24"/>
                <w:szCs w:val="24"/>
              </w:rPr>
              <w:t>进行日常运维，确保相关系统运行的稳定性和可靠性，及时对相关系统策略进行优化调整。</w:t>
            </w:r>
          </w:p>
        </w:tc>
      </w:tr>
      <w:tr w14:paraId="42EDBEC8">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424110CB">
            <w:pPr>
              <w:widowControl/>
              <w:snapToGrid w:val="0"/>
              <w:spacing w:before="120" w:beforeLines="50" w:line="300" w:lineRule="auto"/>
              <w:jc w:val="center"/>
              <w:rPr>
                <w:rFonts w:hint="eastAsia" w:cs="仿宋_GB2312"/>
                <w:sz w:val="24"/>
                <w:szCs w:val="24"/>
              </w:rPr>
            </w:pPr>
            <w:r>
              <w:rPr>
                <w:rFonts w:hint="eastAsia" w:cs="仿宋_GB2312"/>
                <w:sz w:val="24"/>
                <w:szCs w:val="24"/>
              </w:rPr>
              <w:t>3</w:t>
            </w:r>
          </w:p>
        </w:tc>
        <w:tc>
          <w:tcPr>
            <w:tcW w:w="1385" w:type="dxa"/>
            <w:tcBorders>
              <w:top w:val="nil"/>
              <w:left w:val="nil"/>
              <w:bottom w:val="single" w:color="auto" w:sz="8" w:space="0"/>
              <w:right w:val="single" w:color="auto" w:sz="8" w:space="0"/>
            </w:tcBorders>
            <w:noWrap w:val="0"/>
            <w:vAlign w:val="center"/>
          </w:tcPr>
          <w:p w14:paraId="384B0A09">
            <w:pPr>
              <w:widowControl/>
              <w:snapToGrid w:val="0"/>
              <w:spacing w:before="120" w:beforeLines="50" w:line="300" w:lineRule="auto"/>
              <w:jc w:val="center"/>
              <w:rPr>
                <w:rFonts w:hint="eastAsia" w:cs="仿宋_GB2312"/>
                <w:sz w:val="24"/>
                <w:szCs w:val="24"/>
              </w:rPr>
            </w:pPr>
            <w:r>
              <w:rPr>
                <w:rFonts w:hint="eastAsia" w:cs="仿宋_GB2312"/>
                <w:sz w:val="24"/>
                <w:szCs w:val="24"/>
              </w:rPr>
              <w:t>故障处理</w:t>
            </w:r>
          </w:p>
        </w:tc>
        <w:tc>
          <w:tcPr>
            <w:tcW w:w="7044" w:type="dxa"/>
            <w:tcBorders>
              <w:top w:val="nil"/>
              <w:left w:val="nil"/>
              <w:bottom w:val="single" w:color="auto" w:sz="8" w:space="0"/>
              <w:right w:val="single" w:color="auto" w:sz="8" w:space="0"/>
            </w:tcBorders>
            <w:noWrap/>
            <w:vAlign w:val="center"/>
          </w:tcPr>
          <w:p w14:paraId="780170E8">
            <w:pPr>
              <w:widowControl/>
              <w:snapToGrid w:val="0"/>
              <w:spacing w:before="120" w:beforeLines="50" w:line="300" w:lineRule="auto"/>
              <w:rPr>
                <w:rFonts w:hint="eastAsia" w:cs="仿宋_GB2312"/>
                <w:sz w:val="24"/>
                <w:szCs w:val="24"/>
              </w:rPr>
            </w:pPr>
            <w:r>
              <w:rPr>
                <w:rFonts w:hint="eastAsia" w:cs="仿宋_GB2312"/>
                <w:sz w:val="24"/>
                <w:szCs w:val="24"/>
              </w:rPr>
              <w:t>完成信息安全相关系统的故障处理，完成系统版本升级工作。</w:t>
            </w:r>
          </w:p>
        </w:tc>
      </w:tr>
      <w:tr w14:paraId="240EF440">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60EF9962">
            <w:pPr>
              <w:widowControl/>
              <w:snapToGrid w:val="0"/>
              <w:spacing w:before="120" w:beforeLines="50" w:line="300" w:lineRule="auto"/>
              <w:jc w:val="center"/>
              <w:rPr>
                <w:rFonts w:hint="eastAsia" w:cs="仿宋_GB2312"/>
                <w:sz w:val="24"/>
                <w:szCs w:val="24"/>
              </w:rPr>
            </w:pPr>
            <w:r>
              <w:rPr>
                <w:rFonts w:hint="eastAsia" w:cs="仿宋_GB2312"/>
                <w:sz w:val="24"/>
                <w:szCs w:val="24"/>
              </w:rPr>
              <w:t>4</w:t>
            </w:r>
          </w:p>
        </w:tc>
        <w:tc>
          <w:tcPr>
            <w:tcW w:w="1385" w:type="dxa"/>
            <w:tcBorders>
              <w:top w:val="nil"/>
              <w:left w:val="nil"/>
              <w:bottom w:val="single" w:color="auto" w:sz="8" w:space="0"/>
              <w:right w:val="single" w:color="auto" w:sz="8" w:space="0"/>
            </w:tcBorders>
            <w:noWrap w:val="0"/>
            <w:vAlign w:val="center"/>
          </w:tcPr>
          <w:p w14:paraId="3810750E">
            <w:pPr>
              <w:widowControl/>
              <w:snapToGrid w:val="0"/>
              <w:spacing w:before="120" w:beforeLines="50" w:line="300" w:lineRule="auto"/>
              <w:jc w:val="center"/>
              <w:rPr>
                <w:rFonts w:hint="eastAsia" w:cs="仿宋_GB2312"/>
                <w:sz w:val="24"/>
                <w:szCs w:val="24"/>
              </w:rPr>
            </w:pPr>
            <w:r>
              <w:rPr>
                <w:rFonts w:hint="eastAsia" w:cs="仿宋_GB2312"/>
                <w:sz w:val="24"/>
                <w:szCs w:val="24"/>
              </w:rPr>
              <w:t>补丁升级</w:t>
            </w:r>
          </w:p>
        </w:tc>
        <w:tc>
          <w:tcPr>
            <w:tcW w:w="7044" w:type="dxa"/>
            <w:tcBorders>
              <w:top w:val="nil"/>
              <w:left w:val="nil"/>
              <w:bottom w:val="single" w:color="auto" w:sz="8" w:space="0"/>
              <w:right w:val="single" w:color="auto" w:sz="8" w:space="0"/>
            </w:tcBorders>
            <w:noWrap/>
            <w:vAlign w:val="center"/>
          </w:tcPr>
          <w:p w14:paraId="3D024781">
            <w:pPr>
              <w:widowControl/>
              <w:snapToGrid w:val="0"/>
              <w:spacing w:before="120" w:beforeLines="50" w:line="300" w:lineRule="auto"/>
              <w:rPr>
                <w:rFonts w:hint="eastAsia" w:cs="仿宋_GB2312"/>
                <w:sz w:val="24"/>
                <w:szCs w:val="24"/>
              </w:rPr>
            </w:pPr>
            <w:r>
              <w:rPr>
                <w:rFonts w:hint="eastAsia" w:cs="仿宋_GB2312"/>
                <w:sz w:val="24"/>
                <w:szCs w:val="24"/>
              </w:rPr>
              <w:t>定期对院内信息安全相关系统的特征库、补丁库及时更新。</w:t>
            </w:r>
          </w:p>
        </w:tc>
      </w:tr>
      <w:tr w14:paraId="35B7D1EA">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4C9B9DFD">
            <w:pPr>
              <w:widowControl/>
              <w:snapToGrid w:val="0"/>
              <w:spacing w:before="120" w:beforeLines="50" w:line="300" w:lineRule="auto"/>
              <w:jc w:val="center"/>
              <w:rPr>
                <w:rFonts w:hint="eastAsia" w:cs="仿宋_GB2312"/>
                <w:sz w:val="24"/>
                <w:szCs w:val="24"/>
              </w:rPr>
            </w:pPr>
            <w:r>
              <w:rPr>
                <w:rFonts w:hint="eastAsia" w:cs="仿宋_GB2312"/>
                <w:sz w:val="24"/>
                <w:szCs w:val="24"/>
              </w:rPr>
              <w:t>5</w:t>
            </w:r>
          </w:p>
        </w:tc>
        <w:tc>
          <w:tcPr>
            <w:tcW w:w="1385" w:type="dxa"/>
            <w:tcBorders>
              <w:top w:val="nil"/>
              <w:left w:val="nil"/>
              <w:bottom w:val="single" w:color="auto" w:sz="8" w:space="0"/>
              <w:right w:val="single" w:color="auto" w:sz="8" w:space="0"/>
            </w:tcBorders>
            <w:noWrap w:val="0"/>
            <w:vAlign w:val="center"/>
          </w:tcPr>
          <w:p w14:paraId="7AC6F41E">
            <w:pPr>
              <w:widowControl/>
              <w:snapToGrid w:val="0"/>
              <w:spacing w:before="120" w:beforeLines="50" w:line="300" w:lineRule="auto"/>
              <w:jc w:val="center"/>
              <w:rPr>
                <w:rFonts w:hint="eastAsia" w:cs="仿宋_GB2312"/>
                <w:sz w:val="24"/>
                <w:szCs w:val="24"/>
              </w:rPr>
            </w:pPr>
            <w:r>
              <w:rPr>
                <w:rFonts w:hint="eastAsia" w:cs="仿宋_GB2312"/>
                <w:sz w:val="24"/>
                <w:szCs w:val="24"/>
              </w:rPr>
              <w:t>漏洞风险评估</w:t>
            </w:r>
          </w:p>
        </w:tc>
        <w:tc>
          <w:tcPr>
            <w:tcW w:w="7044" w:type="dxa"/>
            <w:tcBorders>
              <w:top w:val="nil"/>
              <w:left w:val="nil"/>
              <w:bottom w:val="single" w:color="auto" w:sz="8" w:space="0"/>
              <w:right w:val="single" w:color="auto" w:sz="8" w:space="0"/>
            </w:tcBorders>
            <w:noWrap w:val="0"/>
            <w:vAlign w:val="center"/>
          </w:tcPr>
          <w:p w14:paraId="1383A914">
            <w:pPr>
              <w:widowControl/>
              <w:snapToGrid w:val="0"/>
              <w:spacing w:before="120" w:beforeLines="50" w:line="300" w:lineRule="auto"/>
              <w:rPr>
                <w:rFonts w:hint="eastAsia" w:cs="仿宋_GB2312"/>
                <w:sz w:val="24"/>
                <w:szCs w:val="24"/>
              </w:rPr>
            </w:pPr>
            <w:r>
              <w:rPr>
                <w:rFonts w:hint="eastAsia" w:ascii="宋体" w:eastAsia="宋体"/>
                <w:sz w:val="24"/>
                <w:szCs w:val="24"/>
                <w:lang w:val="en-US" w:eastAsia="zh-CN"/>
              </w:rPr>
              <w:t>每季度</w:t>
            </w:r>
            <w:r>
              <w:rPr>
                <w:rFonts w:hint="eastAsia" w:cs="仿宋_GB2312"/>
                <w:sz w:val="24"/>
                <w:szCs w:val="24"/>
              </w:rPr>
              <w:t>检测核心网络设备、操作系统、数据库和应用服务中存在的安全漏洞，提供漏洞评估报告和修复建议。</w:t>
            </w:r>
          </w:p>
        </w:tc>
      </w:tr>
      <w:tr w14:paraId="2504FC19">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31508F8F">
            <w:pPr>
              <w:widowControl/>
              <w:snapToGrid w:val="0"/>
              <w:spacing w:before="120" w:beforeLines="50" w:line="300" w:lineRule="auto"/>
              <w:jc w:val="center"/>
              <w:rPr>
                <w:rFonts w:hint="eastAsia" w:cs="仿宋_GB2312"/>
                <w:sz w:val="24"/>
                <w:szCs w:val="24"/>
              </w:rPr>
            </w:pPr>
            <w:r>
              <w:rPr>
                <w:rFonts w:hint="eastAsia" w:cs="仿宋_GB2312"/>
                <w:sz w:val="24"/>
                <w:szCs w:val="24"/>
              </w:rPr>
              <w:t>6</w:t>
            </w:r>
          </w:p>
        </w:tc>
        <w:tc>
          <w:tcPr>
            <w:tcW w:w="1385" w:type="dxa"/>
            <w:tcBorders>
              <w:top w:val="nil"/>
              <w:left w:val="nil"/>
              <w:bottom w:val="single" w:color="auto" w:sz="8" w:space="0"/>
              <w:right w:val="single" w:color="auto" w:sz="8" w:space="0"/>
            </w:tcBorders>
            <w:noWrap w:val="0"/>
            <w:vAlign w:val="center"/>
          </w:tcPr>
          <w:p w14:paraId="63FA6E6E">
            <w:pPr>
              <w:widowControl/>
              <w:snapToGrid w:val="0"/>
              <w:spacing w:before="120" w:beforeLines="50" w:line="300" w:lineRule="auto"/>
              <w:jc w:val="center"/>
              <w:rPr>
                <w:rFonts w:hint="eastAsia" w:cs="仿宋_GB2312"/>
                <w:sz w:val="24"/>
                <w:szCs w:val="24"/>
              </w:rPr>
            </w:pPr>
            <w:r>
              <w:rPr>
                <w:rFonts w:hint="eastAsia" w:cs="仿宋_GB2312"/>
                <w:sz w:val="24"/>
                <w:szCs w:val="24"/>
              </w:rPr>
              <w:t>安全审计服务</w:t>
            </w:r>
          </w:p>
        </w:tc>
        <w:tc>
          <w:tcPr>
            <w:tcW w:w="7044" w:type="dxa"/>
            <w:tcBorders>
              <w:top w:val="nil"/>
              <w:left w:val="nil"/>
              <w:bottom w:val="single" w:color="auto" w:sz="8" w:space="0"/>
              <w:right w:val="single" w:color="auto" w:sz="8" w:space="0"/>
            </w:tcBorders>
            <w:noWrap w:val="0"/>
            <w:vAlign w:val="center"/>
          </w:tcPr>
          <w:p w14:paraId="578B65CF">
            <w:pPr>
              <w:widowControl/>
              <w:snapToGrid w:val="0"/>
              <w:spacing w:before="120" w:beforeLines="50" w:line="300" w:lineRule="auto"/>
              <w:rPr>
                <w:rFonts w:hint="eastAsia" w:cs="仿宋_GB2312"/>
                <w:sz w:val="24"/>
                <w:szCs w:val="24"/>
              </w:rPr>
            </w:pPr>
            <w:r>
              <w:rPr>
                <w:rFonts w:hint="eastAsia" w:ascii="宋体" w:eastAsia="宋体"/>
                <w:sz w:val="24"/>
                <w:szCs w:val="24"/>
                <w:lang w:val="en-US" w:eastAsia="zh-CN"/>
              </w:rPr>
              <w:t>每季度</w:t>
            </w:r>
            <w:r>
              <w:rPr>
                <w:rFonts w:hint="eastAsia" w:cs="仿宋_GB2312"/>
                <w:sz w:val="24"/>
                <w:szCs w:val="24"/>
              </w:rPr>
              <w:t>对系统中核心网络设备、操作系统、数据库和应用服务器的配置进行安全检查，提供安全配置核查报告和改进建议。</w:t>
            </w:r>
          </w:p>
        </w:tc>
      </w:tr>
      <w:tr w14:paraId="7EFC0872">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3700A4F3">
            <w:pPr>
              <w:widowControl/>
              <w:snapToGrid w:val="0"/>
              <w:spacing w:before="120" w:beforeLines="50" w:line="300" w:lineRule="auto"/>
              <w:jc w:val="center"/>
              <w:rPr>
                <w:rFonts w:hint="eastAsia" w:cs="仿宋_GB2312"/>
                <w:sz w:val="24"/>
                <w:szCs w:val="24"/>
              </w:rPr>
            </w:pPr>
            <w:r>
              <w:rPr>
                <w:rFonts w:hint="eastAsia" w:cs="仿宋_GB2312"/>
                <w:sz w:val="24"/>
                <w:szCs w:val="24"/>
              </w:rPr>
              <w:t>7</w:t>
            </w:r>
          </w:p>
        </w:tc>
        <w:tc>
          <w:tcPr>
            <w:tcW w:w="1385" w:type="dxa"/>
            <w:tcBorders>
              <w:top w:val="nil"/>
              <w:left w:val="nil"/>
              <w:bottom w:val="single" w:color="auto" w:sz="8" w:space="0"/>
              <w:right w:val="single" w:color="auto" w:sz="8" w:space="0"/>
            </w:tcBorders>
            <w:noWrap w:val="0"/>
            <w:vAlign w:val="center"/>
          </w:tcPr>
          <w:p w14:paraId="32933593">
            <w:pPr>
              <w:widowControl/>
              <w:snapToGrid w:val="0"/>
              <w:spacing w:before="120" w:beforeLines="50" w:line="300" w:lineRule="auto"/>
              <w:jc w:val="center"/>
              <w:rPr>
                <w:rFonts w:hint="eastAsia" w:cs="仿宋_GB2312"/>
                <w:sz w:val="24"/>
                <w:szCs w:val="24"/>
              </w:rPr>
            </w:pPr>
            <w:r>
              <w:rPr>
                <w:rFonts w:hint="eastAsia" w:cs="仿宋_GB2312"/>
                <w:sz w:val="24"/>
                <w:szCs w:val="24"/>
              </w:rPr>
              <w:t>日志安全分析</w:t>
            </w:r>
          </w:p>
        </w:tc>
        <w:tc>
          <w:tcPr>
            <w:tcW w:w="7044" w:type="dxa"/>
            <w:tcBorders>
              <w:top w:val="nil"/>
              <w:left w:val="nil"/>
              <w:bottom w:val="single" w:color="auto" w:sz="8" w:space="0"/>
              <w:right w:val="single" w:color="auto" w:sz="8" w:space="0"/>
            </w:tcBorders>
            <w:noWrap w:val="0"/>
            <w:vAlign w:val="center"/>
          </w:tcPr>
          <w:p w14:paraId="58FF8723">
            <w:pPr>
              <w:widowControl/>
              <w:snapToGrid w:val="0"/>
              <w:spacing w:before="120" w:beforeLines="50" w:line="300" w:lineRule="auto"/>
              <w:rPr>
                <w:rFonts w:hint="eastAsia" w:cs="仿宋_GB2312"/>
                <w:sz w:val="24"/>
                <w:szCs w:val="24"/>
              </w:rPr>
            </w:pPr>
            <w:r>
              <w:rPr>
                <w:rFonts w:hint="eastAsia" w:cs="仿宋_GB2312"/>
                <w:sz w:val="24"/>
                <w:szCs w:val="24"/>
              </w:rPr>
              <w:t>对安全设备进行有效的日志分析，找出系统存在的安全威胁，并形成日志分析报告。</w:t>
            </w:r>
          </w:p>
        </w:tc>
      </w:tr>
      <w:tr w14:paraId="00CFADC0">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087DC3E4">
            <w:pPr>
              <w:widowControl/>
              <w:snapToGrid w:val="0"/>
              <w:spacing w:before="120" w:beforeLines="50" w:line="300" w:lineRule="auto"/>
              <w:jc w:val="center"/>
              <w:rPr>
                <w:rFonts w:hint="eastAsia" w:cs="仿宋_GB2312"/>
                <w:sz w:val="24"/>
                <w:szCs w:val="24"/>
              </w:rPr>
            </w:pPr>
            <w:r>
              <w:rPr>
                <w:rFonts w:hint="eastAsia" w:cs="仿宋_GB2312"/>
                <w:sz w:val="24"/>
                <w:szCs w:val="24"/>
              </w:rPr>
              <w:t>8</w:t>
            </w:r>
          </w:p>
        </w:tc>
        <w:tc>
          <w:tcPr>
            <w:tcW w:w="1385" w:type="dxa"/>
            <w:tcBorders>
              <w:top w:val="nil"/>
              <w:left w:val="nil"/>
              <w:bottom w:val="single" w:color="auto" w:sz="8" w:space="0"/>
              <w:right w:val="single" w:color="auto" w:sz="8" w:space="0"/>
            </w:tcBorders>
            <w:noWrap w:val="0"/>
            <w:vAlign w:val="center"/>
          </w:tcPr>
          <w:p w14:paraId="2FB90379">
            <w:pPr>
              <w:widowControl/>
              <w:snapToGrid w:val="0"/>
              <w:spacing w:before="120" w:beforeLines="50" w:line="300" w:lineRule="auto"/>
              <w:jc w:val="center"/>
              <w:rPr>
                <w:rFonts w:hint="eastAsia" w:cs="仿宋_GB2312"/>
                <w:sz w:val="24"/>
                <w:szCs w:val="24"/>
              </w:rPr>
            </w:pPr>
            <w:r>
              <w:rPr>
                <w:rFonts w:hint="eastAsia" w:cs="仿宋_GB2312"/>
                <w:sz w:val="24"/>
                <w:szCs w:val="24"/>
              </w:rPr>
              <w:t>安全加固</w:t>
            </w:r>
          </w:p>
        </w:tc>
        <w:tc>
          <w:tcPr>
            <w:tcW w:w="7044" w:type="dxa"/>
            <w:tcBorders>
              <w:top w:val="nil"/>
              <w:left w:val="nil"/>
              <w:bottom w:val="single" w:color="auto" w:sz="8" w:space="0"/>
              <w:right w:val="single" w:color="auto" w:sz="8" w:space="0"/>
            </w:tcBorders>
            <w:noWrap w:val="0"/>
            <w:vAlign w:val="center"/>
          </w:tcPr>
          <w:p w14:paraId="447B1E61">
            <w:pPr>
              <w:widowControl/>
              <w:snapToGrid w:val="0"/>
              <w:spacing w:before="120" w:beforeLines="50" w:line="300" w:lineRule="auto"/>
              <w:rPr>
                <w:rFonts w:hint="eastAsia" w:cs="仿宋_GB2312"/>
                <w:sz w:val="24"/>
                <w:szCs w:val="24"/>
              </w:rPr>
            </w:pPr>
            <w:r>
              <w:rPr>
                <w:rFonts w:hint="eastAsia" w:cs="仿宋_GB2312"/>
                <w:sz w:val="24"/>
                <w:szCs w:val="24"/>
              </w:rPr>
              <w:t>针对安全漏洞和安全配置评估中发现的安全漏洞和配置缺陷，提供加固意见和方案，</w:t>
            </w:r>
            <w:r>
              <w:rPr>
                <w:rFonts w:hint="eastAsia" w:cs="仿宋_GB2312"/>
                <w:sz w:val="24"/>
                <w:szCs w:val="24"/>
                <w:lang w:val="en-US" w:eastAsia="zh-CN"/>
              </w:rPr>
              <w:t>并</w:t>
            </w:r>
            <w:r>
              <w:rPr>
                <w:rFonts w:hint="eastAsia" w:cs="仿宋_GB2312"/>
                <w:sz w:val="24"/>
                <w:szCs w:val="24"/>
              </w:rPr>
              <w:t>完成安全漏洞和配置修复。</w:t>
            </w:r>
          </w:p>
        </w:tc>
      </w:tr>
      <w:tr w14:paraId="6F79C295">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0D2A102B">
            <w:pPr>
              <w:widowControl/>
              <w:snapToGrid w:val="0"/>
              <w:spacing w:before="120" w:beforeLines="50" w:line="300" w:lineRule="auto"/>
              <w:jc w:val="center"/>
              <w:rPr>
                <w:rFonts w:hint="eastAsia" w:cs="仿宋_GB2312"/>
                <w:sz w:val="24"/>
                <w:szCs w:val="24"/>
              </w:rPr>
            </w:pPr>
            <w:r>
              <w:rPr>
                <w:rFonts w:hint="eastAsia" w:cs="仿宋_GB2312"/>
                <w:sz w:val="24"/>
                <w:szCs w:val="24"/>
              </w:rPr>
              <w:t>9</w:t>
            </w:r>
          </w:p>
        </w:tc>
        <w:tc>
          <w:tcPr>
            <w:tcW w:w="1385" w:type="dxa"/>
            <w:tcBorders>
              <w:top w:val="nil"/>
              <w:left w:val="nil"/>
              <w:bottom w:val="single" w:color="auto" w:sz="8" w:space="0"/>
              <w:right w:val="single" w:color="auto" w:sz="8" w:space="0"/>
            </w:tcBorders>
            <w:noWrap w:val="0"/>
            <w:vAlign w:val="center"/>
          </w:tcPr>
          <w:p w14:paraId="4E6262A6">
            <w:pPr>
              <w:widowControl/>
              <w:snapToGrid w:val="0"/>
              <w:spacing w:before="120" w:beforeLines="50" w:line="300" w:lineRule="auto"/>
              <w:jc w:val="center"/>
              <w:rPr>
                <w:rFonts w:hint="eastAsia" w:cs="仿宋_GB2312"/>
                <w:sz w:val="24"/>
                <w:szCs w:val="24"/>
              </w:rPr>
            </w:pPr>
            <w:r>
              <w:rPr>
                <w:rFonts w:hint="eastAsia" w:cs="仿宋_GB2312"/>
                <w:sz w:val="24"/>
                <w:szCs w:val="24"/>
              </w:rPr>
              <w:t>应急响应</w:t>
            </w:r>
          </w:p>
        </w:tc>
        <w:tc>
          <w:tcPr>
            <w:tcW w:w="7044" w:type="dxa"/>
            <w:tcBorders>
              <w:top w:val="nil"/>
              <w:left w:val="nil"/>
              <w:bottom w:val="single" w:color="auto" w:sz="8" w:space="0"/>
              <w:right w:val="single" w:color="auto" w:sz="8" w:space="0"/>
            </w:tcBorders>
            <w:noWrap w:val="0"/>
            <w:vAlign w:val="center"/>
          </w:tcPr>
          <w:p w14:paraId="4CAF8A80">
            <w:pPr>
              <w:widowControl/>
              <w:snapToGrid w:val="0"/>
              <w:spacing w:before="120" w:beforeLines="50" w:line="300" w:lineRule="auto"/>
              <w:rPr>
                <w:rFonts w:hint="eastAsia" w:cs="仿宋_GB2312"/>
                <w:sz w:val="24"/>
                <w:szCs w:val="24"/>
              </w:rPr>
            </w:pPr>
            <w:r>
              <w:rPr>
                <w:rFonts w:hint="eastAsia" w:cs="仿宋_GB2312"/>
                <w:sz w:val="24"/>
                <w:szCs w:val="24"/>
              </w:rPr>
              <w:t>远程或现场方式及时响应和处理信息安全事件，协助采购人降低影响，分析问题产生的原因，提供应急响应报告和改进建议。</w:t>
            </w:r>
          </w:p>
        </w:tc>
      </w:tr>
      <w:tr w14:paraId="056F876B">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391AC2F3">
            <w:pPr>
              <w:widowControl/>
              <w:snapToGrid w:val="0"/>
              <w:spacing w:before="120" w:beforeLines="50" w:line="300" w:lineRule="auto"/>
              <w:jc w:val="center"/>
              <w:rPr>
                <w:rFonts w:hint="eastAsia" w:cs="仿宋_GB2312"/>
                <w:sz w:val="24"/>
                <w:szCs w:val="24"/>
              </w:rPr>
            </w:pPr>
            <w:r>
              <w:rPr>
                <w:rFonts w:hint="eastAsia" w:cs="仿宋_GB2312"/>
                <w:sz w:val="24"/>
                <w:szCs w:val="24"/>
              </w:rPr>
              <w:t>10</w:t>
            </w:r>
          </w:p>
        </w:tc>
        <w:tc>
          <w:tcPr>
            <w:tcW w:w="1385" w:type="dxa"/>
            <w:tcBorders>
              <w:top w:val="nil"/>
              <w:left w:val="nil"/>
              <w:bottom w:val="single" w:color="auto" w:sz="8" w:space="0"/>
              <w:right w:val="single" w:color="auto" w:sz="8" w:space="0"/>
            </w:tcBorders>
            <w:noWrap w:val="0"/>
            <w:vAlign w:val="center"/>
          </w:tcPr>
          <w:p w14:paraId="210A5453">
            <w:pPr>
              <w:widowControl/>
              <w:snapToGrid w:val="0"/>
              <w:spacing w:before="120" w:beforeLines="50" w:line="300" w:lineRule="auto"/>
              <w:jc w:val="center"/>
              <w:rPr>
                <w:rFonts w:hint="eastAsia" w:cs="仿宋_GB2312"/>
                <w:sz w:val="24"/>
                <w:szCs w:val="24"/>
              </w:rPr>
            </w:pPr>
            <w:r>
              <w:rPr>
                <w:rFonts w:hint="eastAsia" w:cs="仿宋_GB2312"/>
                <w:sz w:val="24"/>
                <w:szCs w:val="24"/>
              </w:rPr>
              <w:t>网站实时监测</w:t>
            </w:r>
          </w:p>
        </w:tc>
        <w:tc>
          <w:tcPr>
            <w:tcW w:w="7044" w:type="dxa"/>
            <w:tcBorders>
              <w:top w:val="nil"/>
              <w:left w:val="nil"/>
              <w:bottom w:val="single" w:color="auto" w:sz="8" w:space="0"/>
              <w:right w:val="single" w:color="auto" w:sz="8" w:space="0"/>
            </w:tcBorders>
            <w:noWrap w:val="0"/>
            <w:vAlign w:val="center"/>
          </w:tcPr>
          <w:p w14:paraId="0BA413E9">
            <w:pPr>
              <w:widowControl/>
              <w:snapToGrid w:val="0"/>
              <w:spacing w:before="120" w:beforeLines="50" w:line="300" w:lineRule="auto"/>
              <w:rPr>
                <w:rFonts w:hint="eastAsia" w:cs="仿宋_GB2312"/>
                <w:sz w:val="24"/>
                <w:szCs w:val="24"/>
              </w:rPr>
            </w:pPr>
            <w:r>
              <w:rPr>
                <w:rFonts w:hint="eastAsia" w:cs="仿宋_GB2312"/>
                <w:sz w:val="24"/>
                <w:szCs w:val="24"/>
              </w:rPr>
              <w:t>通过专业的网站安全监控平台，对应用系统网站状态、网站性能、关键内容等进行实时监控。</w:t>
            </w:r>
          </w:p>
        </w:tc>
      </w:tr>
      <w:tr w14:paraId="2D53A9B1">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63AD4AF2">
            <w:pPr>
              <w:widowControl/>
              <w:snapToGrid w:val="0"/>
              <w:spacing w:before="120" w:beforeLines="50" w:line="300" w:lineRule="auto"/>
              <w:jc w:val="center"/>
              <w:rPr>
                <w:rFonts w:hint="eastAsia" w:cs="仿宋_GB2312"/>
                <w:sz w:val="24"/>
                <w:szCs w:val="24"/>
              </w:rPr>
            </w:pPr>
            <w:r>
              <w:rPr>
                <w:rFonts w:hint="eastAsia" w:cs="仿宋_GB2312"/>
                <w:sz w:val="24"/>
                <w:szCs w:val="24"/>
              </w:rPr>
              <w:t>11</w:t>
            </w:r>
          </w:p>
        </w:tc>
        <w:tc>
          <w:tcPr>
            <w:tcW w:w="1385" w:type="dxa"/>
            <w:tcBorders>
              <w:top w:val="nil"/>
              <w:left w:val="nil"/>
              <w:bottom w:val="single" w:color="auto" w:sz="8" w:space="0"/>
              <w:right w:val="single" w:color="auto" w:sz="8" w:space="0"/>
            </w:tcBorders>
            <w:noWrap w:val="0"/>
            <w:vAlign w:val="center"/>
          </w:tcPr>
          <w:p w14:paraId="5401AF15">
            <w:pPr>
              <w:widowControl/>
              <w:snapToGrid w:val="0"/>
              <w:spacing w:before="120" w:beforeLines="50" w:line="300" w:lineRule="auto"/>
              <w:jc w:val="center"/>
              <w:rPr>
                <w:rFonts w:hint="eastAsia" w:cs="仿宋_GB2312"/>
                <w:sz w:val="24"/>
                <w:szCs w:val="24"/>
              </w:rPr>
            </w:pPr>
            <w:r>
              <w:rPr>
                <w:rFonts w:hint="eastAsia" w:cs="仿宋_GB2312"/>
                <w:sz w:val="24"/>
                <w:szCs w:val="24"/>
              </w:rPr>
              <w:t>安全管理制度完善</w:t>
            </w:r>
          </w:p>
        </w:tc>
        <w:tc>
          <w:tcPr>
            <w:tcW w:w="7044" w:type="dxa"/>
            <w:tcBorders>
              <w:top w:val="nil"/>
              <w:left w:val="nil"/>
              <w:bottom w:val="single" w:color="auto" w:sz="8" w:space="0"/>
              <w:right w:val="single" w:color="auto" w:sz="8" w:space="0"/>
            </w:tcBorders>
            <w:noWrap w:val="0"/>
            <w:vAlign w:val="center"/>
          </w:tcPr>
          <w:p w14:paraId="02902C14">
            <w:pPr>
              <w:widowControl/>
              <w:snapToGrid w:val="0"/>
              <w:spacing w:before="120" w:beforeLines="50" w:line="300" w:lineRule="auto"/>
              <w:rPr>
                <w:rFonts w:hint="eastAsia" w:cs="仿宋_GB2312"/>
                <w:sz w:val="24"/>
                <w:szCs w:val="24"/>
              </w:rPr>
            </w:pPr>
            <w:r>
              <w:rPr>
                <w:rFonts w:hint="eastAsia" w:cs="仿宋_GB2312"/>
                <w:sz w:val="24"/>
                <w:szCs w:val="24"/>
              </w:rPr>
              <w:t>根据等级保护三级要求，完善各项信息安全管理制度，通过对制度的补充、完善，形成一套可以满足信息安全等级保护三级要求，并且可以实际运用的管理制度文件。</w:t>
            </w:r>
          </w:p>
        </w:tc>
      </w:tr>
      <w:tr w14:paraId="77545954">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5C8C6DBD">
            <w:pPr>
              <w:widowControl/>
              <w:snapToGrid w:val="0"/>
              <w:spacing w:before="120" w:beforeLines="50" w:line="300" w:lineRule="auto"/>
              <w:jc w:val="center"/>
              <w:rPr>
                <w:rFonts w:hint="eastAsia" w:cs="仿宋_GB2312"/>
                <w:sz w:val="24"/>
                <w:szCs w:val="24"/>
              </w:rPr>
            </w:pPr>
            <w:r>
              <w:rPr>
                <w:rFonts w:hint="eastAsia" w:cs="仿宋_GB2312"/>
                <w:sz w:val="24"/>
                <w:szCs w:val="24"/>
              </w:rPr>
              <w:t>12</w:t>
            </w:r>
          </w:p>
        </w:tc>
        <w:tc>
          <w:tcPr>
            <w:tcW w:w="1385" w:type="dxa"/>
            <w:tcBorders>
              <w:top w:val="nil"/>
              <w:left w:val="nil"/>
              <w:bottom w:val="single" w:color="auto" w:sz="8" w:space="0"/>
              <w:right w:val="single" w:color="auto" w:sz="8" w:space="0"/>
            </w:tcBorders>
            <w:noWrap w:val="0"/>
            <w:vAlign w:val="center"/>
          </w:tcPr>
          <w:p w14:paraId="28B4FA7C">
            <w:pPr>
              <w:widowControl/>
              <w:snapToGrid w:val="0"/>
              <w:spacing w:before="120" w:beforeLines="50" w:line="300" w:lineRule="auto"/>
              <w:jc w:val="center"/>
              <w:rPr>
                <w:rFonts w:hint="eastAsia" w:cs="仿宋_GB2312"/>
                <w:sz w:val="24"/>
                <w:szCs w:val="24"/>
              </w:rPr>
            </w:pPr>
            <w:r>
              <w:rPr>
                <w:rFonts w:hint="eastAsia" w:cs="仿宋_GB2312"/>
                <w:sz w:val="24"/>
                <w:szCs w:val="24"/>
              </w:rPr>
              <w:t>安全通告</w:t>
            </w:r>
          </w:p>
        </w:tc>
        <w:tc>
          <w:tcPr>
            <w:tcW w:w="7044" w:type="dxa"/>
            <w:tcBorders>
              <w:top w:val="nil"/>
              <w:left w:val="nil"/>
              <w:bottom w:val="single" w:color="auto" w:sz="8" w:space="0"/>
              <w:right w:val="single" w:color="auto" w:sz="8" w:space="0"/>
            </w:tcBorders>
            <w:noWrap w:val="0"/>
            <w:vAlign w:val="center"/>
          </w:tcPr>
          <w:p w14:paraId="7ABCB805">
            <w:pPr>
              <w:widowControl/>
              <w:snapToGrid w:val="0"/>
              <w:spacing w:before="120" w:beforeLines="50" w:line="300" w:lineRule="auto"/>
              <w:rPr>
                <w:rFonts w:hint="eastAsia" w:cs="仿宋_GB2312"/>
                <w:sz w:val="24"/>
                <w:szCs w:val="24"/>
              </w:rPr>
            </w:pPr>
            <w:r>
              <w:rPr>
                <w:rFonts w:hint="eastAsia" w:cs="仿宋_GB2312"/>
                <w:sz w:val="24"/>
                <w:szCs w:val="24"/>
              </w:rPr>
              <w:t>安全通告包括安全漏洞(补丁)通告、安全威胁通告、安全业界动态、恶意代码防范、紧急通告等多项内容。</w:t>
            </w:r>
          </w:p>
        </w:tc>
      </w:tr>
      <w:tr w14:paraId="7BB0088C">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73396575">
            <w:pPr>
              <w:widowControl/>
              <w:snapToGrid w:val="0"/>
              <w:spacing w:before="120" w:beforeLines="50" w:line="300" w:lineRule="auto"/>
              <w:jc w:val="center"/>
              <w:rPr>
                <w:rFonts w:hint="eastAsia" w:cs="仿宋_GB2312"/>
                <w:sz w:val="24"/>
                <w:szCs w:val="24"/>
              </w:rPr>
            </w:pPr>
            <w:r>
              <w:rPr>
                <w:rFonts w:hint="eastAsia" w:cs="仿宋_GB2312"/>
                <w:sz w:val="24"/>
                <w:szCs w:val="24"/>
              </w:rPr>
              <w:t>13</w:t>
            </w:r>
          </w:p>
        </w:tc>
        <w:tc>
          <w:tcPr>
            <w:tcW w:w="1385" w:type="dxa"/>
            <w:tcBorders>
              <w:top w:val="nil"/>
              <w:left w:val="nil"/>
              <w:bottom w:val="single" w:color="auto" w:sz="8" w:space="0"/>
              <w:right w:val="single" w:color="auto" w:sz="8" w:space="0"/>
            </w:tcBorders>
            <w:noWrap w:val="0"/>
            <w:vAlign w:val="center"/>
          </w:tcPr>
          <w:p w14:paraId="334876B6">
            <w:pPr>
              <w:widowControl/>
              <w:snapToGrid w:val="0"/>
              <w:spacing w:before="120" w:beforeLines="50" w:line="300" w:lineRule="auto"/>
              <w:jc w:val="center"/>
              <w:rPr>
                <w:rFonts w:hint="eastAsia" w:cs="仿宋_GB2312"/>
                <w:sz w:val="24"/>
                <w:szCs w:val="24"/>
              </w:rPr>
            </w:pPr>
            <w:r>
              <w:rPr>
                <w:rFonts w:hint="eastAsia" w:cs="仿宋_GB2312"/>
                <w:sz w:val="24"/>
                <w:szCs w:val="24"/>
              </w:rPr>
              <w:t>安全咨询</w:t>
            </w:r>
          </w:p>
        </w:tc>
        <w:tc>
          <w:tcPr>
            <w:tcW w:w="7044" w:type="dxa"/>
            <w:tcBorders>
              <w:top w:val="nil"/>
              <w:left w:val="nil"/>
              <w:bottom w:val="single" w:color="auto" w:sz="8" w:space="0"/>
              <w:right w:val="single" w:color="auto" w:sz="8" w:space="0"/>
            </w:tcBorders>
            <w:noWrap w:val="0"/>
            <w:vAlign w:val="center"/>
          </w:tcPr>
          <w:p w14:paraId="253B2260">
            <w:pPr>
              <w:widowControl/>
              <w:snapToGrid w:val="0"/>
              <w:spacing w:before="120" w:beforeLines="50" w:line="300" w:lineRule="auto"/>
              <w:rPr>
                <w:rFonts w:hint="eastAsia" w:cs="仿宋_GB2312"/>
                <w:sz w:val="24"/>
                <w:szCs w:val="24"/>
              </w:rPr>
            </w:pPr>
            <w:r>
              <w:rPr>
                <w:rFonts w:hint="eastAsia" w:cs="仿宋_GB2312"/>
                <w:sz w:val="24"/>
                <w:szCs w:val="24"/>
              </w:rPr>
              <w:t>根据客户日常工作中遇到的实际问题进行分析和探讨，结合安全发展趋势从安全技术和安全策略等方面，向采购人提供专业的安全建议。</w:t>
            </w:r>
          </w:p>
        </w:tc>
      </w:tr>
      <w:tr w14:paraId="6740697D">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254E99AD">
            <w:pPr>
              <w:widowControl/>
              <w:snapToGrid w:val="0"/>
              <w:spacing w:before="120" w:beforeLines="50" w:line="300" w:lineRule="auto"/>
              <w:jc w:val="center"/>
              <w:rPr>
                <w:rFonts w:hint="eastAsia" w:cs="仿宋_GB2312"/>
                <w:sz w:val="24"/>
                <w:szCs w:val="24"/>
              </w:rPr>
            </w:pPr>
            <w:r>
              <w:rPr>
                <w:rFonts w:hint="eastAsia" w:cs="仿宋_GB2312"/>
                <w:sz w:val="24"/>
                <w:szCs w:val="24"/>
              </w:rPr>
              <w:t>14</w:t>
            </w:r>
          </w:p>
        </w:tc>
        <w:tc>
          <w:tcPr>
            <w:tcW w:w="1385" w:type="dxa"/>
            <w:tcBorders>
              <w:top w:val="nil"/>
              <w:left w:val="nil"/>
              <w:bottom w:val="single" w:color="auto" w:sz="8" w:space="0"/>
              <w:right w:val="single" w:color="auto" w:sz="8" w:space="0"/>
            </w:tcBorders>
            <w:noWrap w:val="0"/>
            <w:vAlign w:val="center"/>
          </w:tcPr>
          <w:p w14:paraId="39A9165B">
            <w:pPr>
              <w:widowControl/>
              <w:snapToGrid w:val="0"/>
              <w:spacing w:before="120" w:beforeLines="50" w:line="300" w:lineRule="auto"/>
              <w:jc w:val="center"/>
              <w:rPr>
                <w:rFonts w:hint="eastAsia" w:cs="仿宋_GB2312"/>
                <w:sz w:val="24"/>
                <w:szCs w:val="24"/>
              </w:rPr>
            </w:pPr>
            <w:r>
              <w:rPr>
                <w:rFonts w:hint="eastAsia" w:cs="仿宋_GB2312"/>
                <w:sz w:val="24"/>
                <w:szCs w:val="24"/>
              </w:rPr>
              <w:t>安全培训</w:t>
            </w:r>
          </w:p>
        </w:tc>
        <w:tc>
          <w:tcPr>
            <w:tcW w:w="7044" w:type="dxa"/>
            <w:tcBorders>
              <w:top w:val="nil"/>
              <w:left w:val="nil"/>
              <w:bottom w:val="single" w:color="auto" w:sz="8" w:space="0"/>
              <w:right w:val="single" w:color="auto" w:sz="8" w:space="0"/>
            </w:tcBorders>
            <w:noWrap w:val="0"/>
            <w:vAlign w:val="center"/>
          </w:tcPr>
          <w:p w14:paraId="060D47CE">
            <w:pPr>
              <w:widowControl/>
              <w:snapToGrid w:val="0"/>
              <w:spacing w:before="120" w:beforeLines="50" w:line="300" w:lineRule="auto"/>
              <w:rPr>
                <w:rFonts w:hint="eastAsia" w:cs="仿宋_GB2312"/>
                <w:sz w:val="24"/>
                <w:szCs w:val="24"/>
              </w:rPr>
            </w:pPr>
            <w:r>
              <w:rPr>
                <w:rFonts w:hint="eastAsia" w:cs="仿宋_GB2312"/>
                <w:sz w:val="24"/>
                <w:szCs w:val="24"/>
              </w:rPr>
              <w:t>根据采购人要求为用户提供安全培训服务，具体形式包括：现场、远程、电话、网络等。</w:t>
            </w:r>
          </w:p>
        </w:tc>
      </w:tr>
      <w:tr w14:paraId="64777F41">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56530496">
            <w:pPr>
              <w:widowControl/>
              <w:snapToGrid w:val="0"/>
              <w:spacing w:before="120" w:beforeLines="50" w:line="300" w:lineRule="auto"/>
              <w:jc w:val="center"/>
              <w:rPr>
                <w:rFonts w:hint="eastAsia" w:cs="仿宋_GB2312"/>
                <w:sz w:val="24"/>
                <w:szCs w:val="24"/>
              </w:rPr>
            </w:pPr>
            <w:r>
              <w:rPr>
                <w:rFonts w:hint="eastAsia" w:cs="仿宋_GB2312"/>
                <w:sz w:val="24"/>
                <w:szCs w:val="24"/>
              </w:rPr>
              <w:t>15</w:t>
            </w:r>
          </w:p>
        </w:tc>
        <w:tc>
          <w:tcPr>
            <w:tcW w:w="1385" w:type="dxa"/>
            <w:tcBorders>
              <w:top w:val="nil"/>
              <w:left w:val="nil"/>
              <w:bottom w:val="single" w:color="auto" w:sz="8" w:space="0"/>
              <w:right w:val="single" w:color="auto" w:sz="8" w:space="0"/>
            </w:tcBorders>
            <w:noWrap w:val="0"/>
            <w:vAlign w:val="center"/>
          </w:tcPr>
          <w:p w14:paraId="3434880E">
            <w:pPr>
              <w:widowControl/>
              <w:snapToGrid w:val="0"/>
              <w:spacing w:before="120" w:beforeLines="50" w:line="300" w:lineRule="auto"/>
              <w:jc w:val="center"/>
              <w:rPr>
                <w:rFonts w:hint="eastAsia" w:cs="仿宋_GB2312"/>
                <w:sz w:val="24"/>
                <w:szCs w:val="24"/>
              </w:rPr>
            </w:pPr>
            <w:r>
              <w:rPr>
                <w:rFonts w:hint="eastAsia" w:cs="仿宋_GB2312"/>
                <w:sz w:val="24"/>
                <w:szCs w:val="24"/>
              </w:rPr>
              <w:t>重要时期安全保障</w:t>
            </w:r>
          </w:p>
        </w:tc>
        <w:tc>
          <w:tcPr>
            <w:tcW w:w="7044" w:type="dxa"/>
            <w:tcBorders>
              <w:top w:val="nil"/>
              <w:left w:val="nil"/>
              <w:bottom w:val="single" w:color="auto" w:sz="8" w:space="0"/>
              <w:right w:val="single" w:color="auto" w:sz="8" w:space="0"/>
            </w:tcBorders>
            <w:noWrap w:val="0"/>
            <w:vAlign w:val="center"/>
          </w:tcPr>
          <w:p w14:paraId="2E69F27E">
            <w:pPr>
              <w:widowControl/>
              <w:snapToGrid w:val="0"/>
              <w:spacing w:before="120" w:beforeLines="50" w:line="300" w:lineRule="auto"/>
              <w:rPr>
                <w:rFonts w:hint="eastAsia" w:cs="仿宋_GB2312"/>
                <w:sz w:val="24"/>
                <w:szCs w:val="24"/>
              </w:rPr>
            </w:pPr>
            <w:r>
              <w:rPr>
                <w:rFonts w:hint="eastAsia" w:cs="仿宋_GB2312"/>
                <w:sz w:val="24"/>
                <w:szCs w:val="24"/>
              </w:rPr>
              <w:t>重大节假日和重大活动前加强相关应用系统的评估与加固服务；</w:t>
            </w:r>
          </w:p>
          <w:p w14:paraId="24DD75F0">
            <w:pPr>
              <w:widowControl/>
              <w:snapToGrid w:val="0"/>
              <w:spacing w:before="120" w:beforeLines="50" w:line="300" w:lineRule="auto"/>
              <w:rPr>
                <w:rFonts w:hint="eastAsia" w:cs="仿宋_GB2312"/>
                <w:sz w:val="24"/>
                <w:szCs w:val="24"/>
              </w:rPr>
            </w:pPr>
            <w:r>
              <w:rPr>
                <w:rFonts w:hint="eastAsia" w:cs="仿宋_GB2312"/>
                <w:sz w:val="24"/>
                <w:szCs w:val="24"/>
              </w:rPr>
              <w:t>在重大节假日和重大活动期间的服务团队7×24小时随时待命。</w:t>
            </w:r>
          </w:p>
        </w:tc>
      </w:tr>
      <w:tr w14:paraId="4FD9DDA0">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1840562B">
            <w:pPr>
              <w:widowControl/>
              <w:snapToGrid w:val="0"/>
              <w:spacing w:before="120" w:beforeLines="50" w:line="300" w:lineRule="auto"/>
              <w:jc w:val="center"/>
              <w:rPr>
                <w:rFonts w:hint="eastAsia" w:cs="仿宋_GB2312"/>
                <w:sz w:val="24"/>
                <w:szCs w:val="24"/>
              </w:rPr>
            </w:pPr>
            <w:r>
              <w:rPr>
                <w:rFonts w:hint="eastAsia" w:cs="仿宋_GB2312"/>
                <w:sz w:val="24"/>
                <w:szCs w:val="24"/>
              </w:rPr>
              <w:t>16</w:t>
            </w:r>
          </w:p>
        </w:tc>
        <w:tc>
          <w:tcPr>
            <w:tcW w:w="1385" w:type="dxa"/>
            <w:tcBorders>
              <w:top w:val="nil"/>
              <w:left w:val="nil"/>
              <w:bottom w:val="single" w:color="auto" w:sz="8" w:space="0"/>
              <w:right w:val="single" w:color="auto" w:sz="8" w:space="0"/>
            </w:tcBorders>
            <w:noWrap w:val="0"/>
            <w:vAlign w:val="center"/>
          </w:tcPr>
          <w:p w14:paraId="56B3E7BE">
            <w:pPr>
              <w:widowControl/>
              <w:snapToGrid w:val="0"/>
              <w:spacing w:before="120" w:beforeLines="50" w:line="300" w:lineRule="auto"/>
              <w:jc w:val="center"/>
              <w:rPr>
                <w:rFonts w:hint="eastAsia" w:cs="仿宋_GB2312"/>
                <w:sz w:val="24"/>
                <w:szCs w:val="24"/>
              </w:rPr>
            </w:pPr>
            <w:r>
              <w:rPr>
                <w:rFonts w:hint="eastAsia" w:cs="仿宋_GB2312"/>
                <w:sz w:val="24"/>
                <w:szCs w:val="24"/>
              </w:rPr>
              <w:t>医院</w:t>
            </w:r>
            <w:r>
              <w:rPr>
                <w:rFonts w:cs="仿宋_GB2312"/>
                <w:sz w:val="24"/>
                <w:szCs w:val="24"/>
              </w:rPr>
              <w:t>信息系统安全监控</w:t>
            </w:r>
          </w:p>
        </w:tc>
        <w:tc>
          <w:tcPr>
            <w:tcW w:w="7044" w:type="dxa"/>
            <w:tcBorders>
              <w:top w:val="nil"/>
              <w:left w:val="nil"/>
              <w:bottom w:val="single" w:color="auto" w:sz="8" w:space="0"/>
              <w:right w:val="single" w:color="auto" w:sz="8" w:space="0"/>
            </w:tcBorders>
            <w:noWrap w:val="0"/>
            <w:vAlign w:val="center"/>
          </w:tcPr>
          <w:p w14:paraId="5E39B213">
            <w:pPr>
              <w:widowControl/>
              <w:snapToGrid w:val="0"/>
              <w:spacing w:before="120" w:beforeLines="50" w:line="300" w:lineRule="auto"/>
              <w:rPr>
                <w:rFonts w:hint="eastAsia" w:cs="仿宋_GB2312"/>
                <w:sz w:val="24"/>
                <w:szCs w:val="24"/>
              </w:rPr>
            </w:pPr>
            <w:r>
              <w:rPr>
                <w:rFonts w:hint="eastAsia" w:cs="仿宋_GB2312"/>
                <w:sz w:val="24"/>
                <w:szCs w:val="24"/>
              </w:rPr>
              <w:t>通过专业的信息</w:t>
            </w:r>
            <w:r>
              <w:rPr>
                <w:rFonts w:cs="仿宋_GB2312"/>
                <w:sz w:val="24"/>
                <w:szCs w:val="24"/>
              </w:rPr>
              <w:t>系统</w:t>
            </w:r>
            <w:r>
              <w:rPr>
                <w:rFonts w:hint="eastAsia" w:cs="仿宋_GB2312"/>
                <w:sz w:val="24"/>
                <w:szCs w:val="24"/>
              </w:rPr>
              <w:t>安全监控平台，对应用系统状态、性能、关键内容等进行实时监控，</w:t>
            </w:r>
            <w:r>
              <w:rPr>
                <w:rFonts w:cs="仿宋_GB2312"/>
                <w:sz w:val="24"/>
                <w:szCs w:val="24"/>
              </w:rPr>
              <w:t>保证医院的信息系统不被攻破。</w:t>
            </w:r>
          </w:p>
        </w:tc>
      </w:tr>
      <w:tr w14:paraId="14DE4107">
        <w:tblPrEx>
          <w:tblCellMar>
            <w:top w:w="0" w:type="dxa"/>
            <w:left w:w="108" w:type="dxa"/>
            <w:bottom w:w="0" w:type="dxa"/>
            <w:right w:w="108" w:type="dxa"/>
          </w:tblCellMar>
        </w:tblPrEx>
        <w:trPr>
          <w:trHeight w:val="20" w:hRule="atLeast"/>
          <w:jc w:val="center"/>
        </w:trPr>
        <w:tc>
          <w:tcPr>
            <w:tcW w:w="756" w:type="dxa"/>
            <w:tcBorders>
              <w:top w:val="nil"/>
              <w:left w:val="single" w:color="auto" w:sz="8" w:space="0"/>
              <w:bottom w:val="single" w:color="auto" w:sz="8" w:space="0"/>
              <w:right w:val="single" w:color="auto" w:sz="8" w:space="0"/>
            </w:tcBorders>
            <w:noWrap w:val="0"/>
            <w:vAlign w:val="center"/>
          </w:tcPr>
          <w:p w14:paraId="7C10BE9F">
            <w:pPr>
              <w:widowControl/>
              <w:snapToGrid w:val="0"/>
              <w:spacing w:before="120" w:beforeLines="50" w:line="300" w:lineRule="auto"/>
              <w:jc w:val="center"/>
              <w:rPr>
                <w:rFonts w:hint="eastAsia" w:cs="仿宋_GB2312"/>
                <w:sz w:val="24"/>
                <w:szCs w:val="24"/>
              </w:rPr>
            </w:pPr>
            <w:r>
              <w:rPr>
                <w:rFonts w:hint="eastAsia" w:cs="仿宋_GB2312"/>
                <w:sz w:val="24"/>
                <w:szCs w:val="24"/>
              </w:rPr>
              <w:t>17</w:t>
            </w:r>
          </w:p>
        </w:tc>
        <w:tc>
          <w:tcPr>
            <w:tcW w:w="1385" w:type="dxa"/>
            <w:tcBorders>
              <w:top w:val="nil"/>
              <w:left w:val="nil"/>
              <w:bottom w:val="single" w:color="auto" w:sz="8" w:space="0"/>
              <w:right w:val="single" w:color="auto" w:sz="8" w:space="0"/>
            </w:tcBorders>
            <w:noWrap w:val="0"/>
            <w:vAlign w:val="center"/>
          </w:tcPr>
          <w:p w14:paraId="2525C2D6">
            <w:pPr>
              <w:widowControl/>
              <w:snapToGrid w:val="0"/>
              <w:spacing w:before="120" w:beforeLines="50" w:line="300" w:lineRule="auto"/>
              <w:jc w:val="center"/>
              <w:rPr>
                <w:rFonts w:hint="eastAsia" w:cs="仿宋_GB2312"/>
                <w:sz w:val="24"/>
                <w:szCs w:val="24"/>
              </w:rPr>
            </w:pPr>
            <w:r>
              <w:rPr>
                <w:rFonts w:hint="eastAsia" w:cs="仿宋_GB2312"/>
                <w:sz w:val="24"/>
                <w:szCs w:val="24"/>
              </w:rPr>
              <w:t>文档服务</w:t>
            </w:r>
          </w:p>
        </w:tc>
        <w:tc>
          <w:tcPr>
            <w:tcW w:w="7044" w:type="dxa"/>
            <w:tcBorders>
              <w:top w:val="nil"/>
              <w:left w:val="nil"/>
              <w:bottom w:val="single" w:color="auto" w:sz="8" w:space="0"/>
              <w:right w:val="single" w:color="auto" w:sz="8" w:space="0"/>
            </w:tcBorders>
            <w:noWrap w:val="0"/>
            <w:vAlign w:val="center"/>
          </w:tcPr>
          <w:p w14:paraId="2FF69824">
            <w:pPr>
              <w:widowControl/>
              <w:snapToGrid w:val="0"/>
              <w:spacing w:before="120" w:beforeLines="50" w:line="300" w:lineRule="auto"/>
              <w:rPr>
                <w:rFonts w:hint="eastAsia" w:cs="仿宋_GB2312"/>
                <w:sz w:val="24"/>
                <w:szCs w:val="24"/>
              </w:rPr>
            </w:pPr>
            <w:r>
              <w:rPr>
                <w:rFonts w:hint="eastAsia" w:cs="仿宋_GB2312"/>
                <w:sz w:val="24"/>
                <w:szCs w:val="24"/>
              </w:rPr>
              <w:t>协助用户完成与信息安全方面的文档整理工作，包括：安全规划设计文档、安全检查方面的文档、安全整改方面的文档等。</w:t>
            </w:r>
          </w:p>
        </w:tc>
      </w:tr>
    </w:tbl>
    <w:p w14:paraId="4607C8C9">
      <w:pPr>
        <w:pStyle w:val="12"/>
        <w:numPr>
          <w:ilvl w:val="1"/>
          <w:numId w:val="0"/>
        </w:numPr>
        <w:spacing w:before="120" w:beforeLines="50" w:line="300" w:lineRule="auto"/>
        <w:rPr>
          <w:rFonts w:hint="eastAsia"/>
          <w:sz w:val="24"/>
        </w:rPr>
      </w:pPr>
      <w:r>
        <w:rPr>
          <w:rFonts w:hint="default" w:ascii="宋体" w:hAnsi="宋体" w:eastAsia="宋体" w:cs="宋体"/>
          <w:sz w:val="24"/>
          <w:szCs w:val="22"/>
          <w:lang w:val="en-US" w:eastAsia="en-US" w:bidi="ar-SA"/>
        </w:rPr>
        <w:t>2.</w:t>
      </w:r>
      <w:r>
        <w:rPr>
          <w:sz w:val="24"/>
        </w:rPr>
        <w:t>人员要求</w:t>
      </w:r>
    </w:p>
    <w:p w14:paraId="220C1269">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rFonts w:hint="eastAsia"/>
          <w:sz w:val="24"/>
        </w:rPr>
        <w:t>驻场工程师人员具体要求如下：</w:t>
      </w:r>
    </w:p>
    <w:p w14:paraId="2C64B3A3">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sz w:val="24"/>
        </w:rPr>
        <w:t>1)了解和熟悉国内外信息安全标准，熟悉信息安全风险评估、信息系统安全等级保护测评、安全咨询等服务流程；</w:t>
      </w:r>
    </w:p>
    <w:p w14:paraId="5FD336CF">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sz w:val="24"/>
        </w:rPr>
        <w:t>2)驻场工程师</w:t>
      </w:r>
      <w:r>
        <w:rPr>
          <w:rFonts w:hint="eastAsia"/>
          <w:sz w:val="24"/>
        </w:rPr>
        <w:t>应具有</w:t>
      </w:r>
      <w:r>
        <w:rPr>
          <w:sz w:val="24"/>
        </w:rPr>
        <w:t>至少有1年以上信息安全服务工作经验</w:t>
      </w:r>
      <w:r>
        <w:rPr>
          <w:rFonts w:hint="eastAsia"/>
          <w:sz w:val="24"/>
        </w:rPr>
        <w:t>（提供经验证明文件，格式自拟）</w:t>
      </w:r>
      <w:r>
        <w:rPr>
          <w:sz w:val="24"/>
        </w:rPr>
        <w:t>；</w:t>
      </w:r>
    </w:p>
    <w:p w14:paraId="37A4FEC2">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sz w:val="24"/>
        </w:rPr>
        <w:t>3)提供工作日每周5天</w:t>
      </w:r>
      <w:r>
        <w:rPr>
          <w:rFonts w:hint="eastAsia"/>
          <w:sz w:val="24"/>
        </w:rPr>
        <w:t>×</w:t>
      </w:r>
      <w:r>
        <w:rPr>
          <w:sz w:val="24"/>
        </w:rPr>
        <w:t>8小时现场驻场服务和全年7</w:t>
      </w:r>
      <w:r>
        <w:rPr>
          <w:rFonts w:hint="eastAsia"/>
          <w:sz w:val="24"/>
        </w:rPr>
        <w:t>×</w:t>
      </w:r>
      <w:r>
        <w:rPr>
          <w:sz w:val="24"/>
        </w:rPr>
        <w:t>24小时后台技术支持服务。</w:t>
      </w:r>
    </w:p>
    <w:p w14:paraId="4A540DDC">
      <w:pPr>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textAlignment w:val="auto"/>
        <w:rPr>
          <w:rFonts w:hint="eastAsia"/>
          <w:sz w:val="24"/>
        </w:rPr>
      </w:pPr>
      <w:r>
        <w:rPr>
          <w:sz w:val="24"/>
        </w:rPr>
        <w:t>4)驻场工程师需配合完成</w:t>
      </w:r>
      <w:r>
        <w:rPr>
          <w:rFonts w:hint="eastAsia"/>
          <w:sz w:val="24"/>
        </w:rPr>
        <w:t>采购人</w:t>
      </w:r>
      <w:r>
        <w:rPr>
          <w:sz w:val="24"/>
        </w:rPr>
        <w:t>安排的其他临时性工作。</w:t>
      </w:r>
    </w:p>
    <w:p w14:paraId="797D7C33">
      <w:pPr>
        <w:pStyle w:val="5"/>
        <w:spacing w:before="120" w:beforeLines="50" w:line="300" w:lineRule="auto"/>
        <w:jc w:val="left"/>
        <w:rPr>
          <w:rFonts w:hint="eastAsia"/>
          <w:sz w:val="24"/>
        </w:rPr>
      </w:pPr>
      <w:r>
        <w:rPr>
          <w:rFonts w:hint="eastAsia"/>
          <w:sz w:val="24"/>
          <w:lang w:val="en-US" w:eastAsia="zh-CN"/>
        </w:rPr>
        <w:t>2.1.2.3</w:t>
      </w:r>
      <w:r>
        <w:rPr>
          <w:sz w:val="24"/>
        </w:rPr>
        <w:t>安全运营服务</w:t>
      </w:r>
    </w:p>
    <w:p w14:paraId="7BD72F9D">
      <w:pPr>
        <w:spacing w:before="120" w:beforeLines="50" w:line="360" w:lineRule="auto"/>
        <w:ind w:firstLine="480" w:firstLineChars="200"/>
        <w:rPr>
          <w:rFonts w:hint="eastAsia"/>
          <w:sz w:val="24"/>
        </w:rPr>
      </w:pPr>
      <w:r>
        <w:rPr>
          <w:rFonts w:hint="eastAsia" w:ascii="宋体" w:eastAsia="宋体"/>
          <w:sz w:val="24"/>
          <w:lang w:val="en-US" w:eastAsia="zh-CN"/>
        </w:rPr>
        <w:t>1）</w:t>
      </w:r>
      <w:r>
        <w:rPr>
          <w:rFonts w:hint="eastAsia"/>
          <w:sz w:val="24"/>
        </w:rPr>
        <w:t>提供全年</w:t>
      </w:r>
      <w:r>
        <w:rPr>
          <w:sz w:val="24"/>
        </w:rPr>
        <w:t>7</w:t>
      </w:r>
      <w:r>
        <w:rPr>
          <w:rFonts w:hint="eastAsia"/>
          <w:sz w:val="24"/>
        </w:rPr>
        <w:t>×</w:t>
      </w:r>
      <w:r>
        <w:rPr>
          <w:sz w:val="24"/>
        </w:rPr>
        <w:t>24小时信息安全监控、监测、分析服务，当出现安全威胁时，能够和现场运维人员进行及时沟通</w:t>
      </w:r>
      <w:r>
        <w:rPr>
          <w:rFonts w:hint="eastAsia" w:ascii="宋体" w:eastAsia="宋体"/>
          <w:sz w:val="24"/>
          <w:lang w:val="en-US" w:eastAsia="zh-CN"/>
        </w:rPr>
        <w:t>协商解决方案</w:t>
      </w:r>
      <w:r>
        <w:rPr>
          <w:sz w:val="24"/>
        </w:rPr>
        <w:t>。</w:t>
      </w:r>
    </w:p>
    <w:p w14:paraId="07166B07">
      <w:pPr>
        <w:spacing w:before="120" w:beforeLines="50" w:line="360" w:lineRule="auto"/>
        <w:ind w:firstLine="480" w:firstLineChars="200"/>
        <w:rPr>
          <w:rFonts w:hint="eastAsia"/>
          <w:sz w:val="24"/>
        </w:rPr>
      </w:pPr>
      <w:r>
        <w:rPr>
          <w:rFonts w:hint="eastAsia" w:ascii="宋体" w:eastAsia="宋体"/>
          <w:sz w:val="24"/>
          <w:lang w:val="en-US" w:eastAsia="zh-CN"/>
        </w:rPr>
        <w:t>2）</w:t>
      </w:r>
      <w:r>
        <w:rPr>
          <w:rFonts w:hint="eastAsia"/>
          <w:sz w:val="24"/>
        </w:rPr>
        <w:t>要求投标人须根据采购人的现状，提供一套完整的安全应急预案，确保采购人在遭到安全攻击或出现安全隐患时，能够有效快速应对，从而确保信息系统的安全稳定，提升医院的安全防护能力。</w:t>
      </w:r>
    </w:p>
    <w:p w14:paraId="770A1628">
      <w:pPr>
        <w:spacing w:before="120" w:beforeLines="50" w:line="300" w:lineRule="auto"/>
        <w:ind w:firstLine="480" w:firstLineChars="200"/>
        <w:rPr>
          <w:rFonts w:hint="eastAsia"/>
          <w:sz w:val="24"/>
        </w:rPr>
      </w:pPr>
      <w:r>
        <w:rPr>
          <w:rFonts w:hint="eastAsia" w:ascii="宋体" w:eastAsia="宋体"/>
          <w:sz w:val="24"/>
          <w:lang w:val="en-US" w:eastAsia="zh-CN"/>
        </w:rPr>
        <w:t>3）</w:t>
      </w:r>
      <w:r>
        <w:rPr>
          <w:rFonts w:hint="eastAsia"/>
          <w:sz w:val="24"/>
        </w:rPr>
        <w:t>服务内容：</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5"/>
        <w:gridCol w:w="1276"/>
        <w:gridCol w:w="6843"/>
      </w:tblGrid>
      <w:tr w14:paraId="504A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noWrap w:val="0"/>
            <w:vAlign w:val="center"/>
          </w:tcPr>
          <w:p w14:paraId="01476626">
            <w:pPr>
              <w:snapToGrid w:val="0"/>
              <w:spacing w:before="120" w:beforeLines="50" w:line="300" w:lineRule="auto"/>
              <w:jc w:val="center"/>
              <w:rPr>
                <w:rFonts w:hint="eastAsia" w:cs="仿宋_GB2312"/>
                <w:sz w:val="24"/>
                <w:szCs w:val="24"/>
              </w:rPr>
            </w:pPr>
            <w:r>
              <w:rPr>
                <w:rFonts w:hint="eastAsia" w:cs="仿宋_GB2312"/>
                <w:sz w:val="24"/>
                <w:szCs w:val="24"/>
              </w:rPr>
              <w:t>服务类别</w:t>
            </w:r>
          </w:p>
        </w:tc>
        <w:tc>
          <w:tcPr>
            <w:tcW w:w="1276" w:type="dxa"/>
            <w:noWrap w:val="0"/>
            <w:vAlign w:val="center"/>
          </w:tcPr>
          <w:p w14:paraId="4B48CDF7">
            <w:pPr>
              <w:snapToGrid w:val="0"/>
              <w:spacing w:before="120" w:beforeLines="50" w:line="300" w:lineRule="auto"/>
              <w:jc w:val="center"/>
              <w:rPr>
                <w:rFonts w:hint="eastAsia" w:cs="仿宋_GB2312"/>
                <w:sz w:val="24"/>
                <w:szCs w:val="24"/>
              </w:rPr>
            </w:pPr>
            <w:r>
              <w:rPr>
                <w:rFonts w:hint="eastAsia" w:cs="仿宋_GB2312"/>
                <w:sz w:val="24"/>
                <w:szCs w:val="24"/>
              </w:rPr>
              <w:t>服务名称</w:t>
            </w:r>
          </w:p>
        </w:tc>
        <w:tc>
          <w:tcPr>
            <w:tcW w:w="6843" w:type="dxa"/>
            <w:noWrap w:val="0"/>
            <w:vAlign w:val="center"/>
          </w:tcPr>
          <w:p w14:paraId="37E059CC">
            <w:pPr>
              <w:snapToGrid w:val="0"/>
              <w:spacing w:before="120" w:beforeLines="50" w:line="300" w:lineRule="auto"/>
              <w:jc w:val="center"/>
              <w:rPr>
                <w:rFonts w:hint="eastAsia" w:cs="仿宋_GB2312"/>
                <w:sz w:val="24"/>
                <w:szCs w:val="24"/>
              </w:rPr>
            </w:pPr>
            <w:r>
              <w:rPr>
                <w:rFonts w:hint="eastAsia" w:cs="仿宋_GB2312"/>
                <w:sz w:val="24"/>
                <w:szCs w:val="24"/>
              </w:rPr>
              <w:t>服务要求</w:t>
            </w:r>
          </w:p>
        </w:tc>
      </w:tr>
      <w:tr w14:paraId="12C9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restart"/>
            <w:noWrap w:val="0"/>
            <w:vAlign w:val="center"/>
          </w:tcPr>
          <w:p w14:paraId="7F459F71">
            <w:pPr>
              <w:snapToGrid w:val="0"/>
              <w:spacing w:before="120" w:beforeLines="50" w:line="300" w:lineRule="auto"/>
              <w:jc w:val="center"/>
              <w:rPr>
                <w:rFonts w:hint="eastAsia" w:cs="仿宋_GB2312"/>
                <w:sz w:val="24"/>
                <w:szCs w:val="24"/>
              </w:rPr>
            </w:pPr>
            <w:r>
              <w:rPr>
                <w:rFonts w:hint="eastAsia" w:cs="仿宋_GB2312"/>
                <w:sz w:val="24"/>
                <w:szCs w:val="24"/>
              </w:rPr>
              <w:t>安全运营服务</w:t>
            </w:r>
          </w:p>
        </w:tc>
        <w:tc>
          <w:tcPr>
            <w:tcW w:w="1276" w:type="dxa"/>
            <w:noWrap w:val="0"/>
            <w:vAlign w:val="center"/>
          </w:tcPr>
          <w:p w14:paraId="2DC866C5">
            <w:pPr>
              <w:snapToGrid w:val="0"/>
              <w:spacing w:before="120" w:beforeLines="50" w:line="300" w:lineRule="auto"/>
              <w:jc w:val="center"/>
              <w:rPr>
                <w:rFonts w:hint="eastAsia" w:cs="仿宋_GB2312"/>
                <w:sz w:val="24"/>
                <w:szCs w:val="24"/>
              </w:rPr>
            </w:pPr>
            <w:r>
              <w:rPr>
                <w:rFonts w:hint="eastAsia" w:cs="仿宋_GB2312"/>
                <w:sz w:val="24"/>
                <w:szCs w:val="24"/>
              </w:rPr>
              <w:t>安全联动</w:t>
            </w:r>
          </w:p>
        </w:tc>
        <w:tc>
          <w:tcPr>
            <w:tcW w:w="6843" w:type="dxa"/>
            <w:noWrap w:val="0"/>
            <w:vAlign w:val="center"/>
          </w:tcPr>
          <w:p w14:paraId="42DB72D7">
            <w:pPr>
              <w:snapToGrid w:val="0"/>
              <w:spacing w:before="120" w:beforeLines="50" w:line="300" w:lineRule="auto"/>
              <w:ind w:right="-44" w:rightChars="-20"/>
              <w:rPr>
                <w:rFonts w:hint="eastAsia" w:cs="仿宋_GB2312"/>
                <w:sz w:val="24"/>
                <w:szCs w:val="24"/>
              </w:rPr>
            </w:pPr>
            <w:r>
              <w:rPr>
                <w:rFonts w:hint="eastAsia" w:cs="仿宋_GB2312"/>
                <w:sz w:val="24"/>
                <w:szCs w:val="24"/>
              </w:rPr>
              <w:t>为达到最佳防护效果，安全服务应与采购人现有态势感知产品形成协同联动防御能力，为保证服务质量，服务人员应具备相应的工作经验，可以对态势感知进行底层日志分析和失陷事件处理。</w:t>
            </w:r>
          </w:p>
        </w:tc>
      </w:tr>
      <w:tr w14:paraId="0DCBD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center"/>
          </w:tcPr>
          <w:p w14:paraId="092308D8">
            <w:pPr>
              <w:snapToGrid w:val="0"/>
              <w:spacing w:before="120" w:beforeLines="50" w:line="300" w:lineRule="auto"/>
              <w:ind w:firstLine="480" w:firstLineChars="200"/>
              <w:jc w:val="center"/>
              <w:rPr>
                <w:rFonts w:hint="eastAsia" w:cs="仿宋_GB2312"/>
                <w:sz w:val="24"/>
                <w:szCs w:val="24"/>
              </w:rPr>
            </w:pPr>
          </w:p>
        </w:tc>
        <w:tc>
          <w:tcPr>
            <w:tcW w:w="1276" w:type="dxa"/>
            <w:noWrap w:val="0"/>
            <w:vAlign w:val="center"/>
          </w:tcPr>
          <w:p w14:paraId="2A838619">
            <w:pPr>
              <w:snapToGrid w:val="0"/>
              <w:spacing w:before="120" w:beforeLines="50" w:line="300" w:lineRule="auto"/>
              <w:jc w:val="center"/>
              <w:rPr>
                <w:rFonts w:hint="eastAsia" w:cs="仿宋_GB2312"/>
                <w:sz w:val="24"/>
                <w:szCs w:val="24"/>
              </w:rPr>
            </w:pPr>
            <w:r>
              <w:rPr>
                <w:rFonts w:hint="eastAsia" w:cs="仿宋_GB2312"/>
                <w:sz w:val="24"/>
                <w:szCs w:val="24"/>
              </w:rPr>
              <w:t>资产识别与梳理</w:t>
            </w:r>
          </w:p>
        </w:tc>
        <w:tc>
          <w:tcPr>
            <w:tcW w:w="6843" w:type="dxa"/>
            <w:noWrap w:val="0"/>
            <w:vAlign w:val="center"/>
          </w:tcPr>
          <w:p w14:paraId="4913ACAA">
            <w:pPr>
              <w:snapToGrid w:val="0"/>
              <w:spacing w:before="120" w:beforeLines="50" w:line="300" w:lineRule="auto"/>
              <w:rPr>
                <w:rFonts w:hint="eastAsia" w:cs="仿宋_GB2312"/>
                <w:sz w:val="24"/>
                <w:szCs w:val="24"/>
              </w:rPr>
            </w:pPr>
            <w:r>
              <w:rPr>
                <w:rFonts w:hint="eastAsia" w:cs="仿宋_GB2312"/>
                <w:sz w:val="24"/>
                <w:szCs w:val="24"/>
                <w:lang w:val="en-US" w:eastAsia="zh-CN"/>
              </w:rPr>
              <w:t>投标人</w:t>
            </w:r>
            <w:r>
              <w:rPr>
                <w:rFonts w:hint="eastAsia" w:cs="仿宋_GB2312"/>
                <w:sz w:val="24"/>
                <w:szCs w:val="24"/>
              </w:rPr>
              <w:t>需借助安全工具对采购人资产进行全面发现和深度识别，并在后续服务过程中触发资产变更等相关服务流程，确保资产信息的准确性和全面性。需支持在资产画像展示资产存在的漏洞名称，以及关联的事件情况，并且可以提示存在相关漏洞风险的资产。</w:t>
            </w:r>
          </w:p>
        </w:tc>
      </w:tr>
      <w:tr w14:paraId="297DF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center"/>
          </w:tcPr>
          <w:p w14:paraId="6C9E97C2">
            <w:pPr>
              <w:snapToGrid w:val="0"/>
              <w:spacing w:before="120" w:beforeLines="50" w:line="300" w:lineRule="auto"/>
              <w:ind w:firstLine="480" w:firstLineChars="200"/>
              <w:jc w:val="center"/>
              <w:rPr>
                <w:rFonts w:hint="eastAsia" w:cs="仿宋_GB2312"/>
                <w:sz w:val="24"/>
                <w:szCs w:val="24"/>
              </w:rPr>
            </w:pPr>
          </w:p>
        </w:tc>
        <w:tc>
          <w:tcPr>
            <w:tcW w:w="1276" w:type="dxa"/>
            <w:vMerge w:val="restart"/>
            <w:noWrap w:val="0"/>
            <w:vAlign w:val="center"/>
          </w:tcPr>
          <w:p w14:paraId="0B1B09C8">
            <w:pPr>
              <w:snapToGrid w:val="0"/>
              <w:spacing w:before="120" w:beforeLines="50" w:line="300" w:lineRule="auto"/>
              <w:jc w:val="center"/>
              <w:rPr>
                <w:rFonts w:hint="eastAsia" w:cs="仿宋_GB2312"/>
                <w:sz w:val="24"/>
                <w:szCs w:val="24"/>
              </w:rPr>
            </w:pPr>
            <w:r>
              <w:rPr>
                <w:rFonts w:hint="eastAsia" w:cs="仿宋_GB2312"/>
                <w:sz w:val="24"/>
                <w:szCs w:val="24"/>
              </w:rPr>
              <w:t>安全现状评估</w:t>
            </w:r>
          </w:p>
        </w:tc>
        <w:tc>
          <w:tcPr>
            <w:tcW w:w="6843" w:type="dxa"/>
            <w:noWrap w:val="0"/>
            <w:vAlign w:val="center"/>
          </w:tcPr>
          <w:p w14:paraId="7A25154D">
            <w:pPr>
              <w:snapToGrid w:val="0"/>
              <w:spacing w:before="120" w:beforeLines="50" w:line="300" w:lineRule="auto"/>
              <w:rPr>
                <w:rFonts w:hint="eastAsia" w:cs="仿宋_GB2312"/>
                <w:sz w:val="24"/>
                <w:szCs w:val="24"/>
              </w:rPr>
            </w:pPr>
            <w:r>
              <w:rPr>
                <w:rFonts w:hint="eastAsia" w:cs="仿宋_GB2312"/>
                <w:sz w:val="24"/>
                <w:szCs w:val="24"/>
                <w:lang w:val="en-US" w:eastAsia="zh-CN"/>
              </w:rPr>
              <w:t>1</w:t>
            </w:r>
            <w:r>
              <w:rPr>
                <w:rFonts w:hint="eastAsia" w:cs="等线"/>
                <w:sz w:val="24"/>
                <w:szCs w:val="24"/>
                <w:lang w:val="en-US" w:eastAsia="zh-CN"/>
              </w:rPr>
              <w:t>）</w:t>
            </w:r>
            <w:r>
              <w:rPr>
                <w:rFonts w:hint="eastAsia" w:cs="仿宋_GB2312"/>
                <w:sz w:val="24"/>
                <w:szCs w:val="24"/>
              </w:rPr>
              <w:t>系统与Web漏洞扫描：对操作系统、数据库、常见应用/协议、Web通用漏洞与常规漏洞进行漏洞扫描</w:t>
            </w:r>
          </w:p>
        </w:tc>
      </w:tr>
      <w:tr w14:paraId="5078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center"/>
          </w:tcPr>
          <w:p w14:paraId="1955B016">
            <w:pPr>
              <w:snapToGrid w:val="0"/>
              <w:spacing w:before="120" w:beforeLines="50" w:line="300" w:lineRule="auto"/>
              <w:ind w:firstLine="480" w:firstLineChars="200"/>
              <w:jc w:val="center"/>
              <w:rPr>
                <w:rFonts w:hint="eastAsia" w:cs="仿宋_GB2312"/>
                <w:sz w:val="24"/>
                <w:szCs w:val="24"/>
              </w:rPr>
            </w:pPr>
          </w:p>
        </w:tc>
        <w:tc>
          <w:tcPr>
            <w:tcW w:w="1276" w:type="dxa"/>
            <w:vMerge w:val="continue"/>
            <w:noWrap w:val="0"/>
            <w:vAlign w:val="center"/>
          </w:tcPr>
          <w:p w14:paraId="7EAA3356">
            <w:pPr>
              <w:snapToGrid w:val="0"/>
              <w:spacing w:before="120" w:beforeLines="50" w:line="300" w:lineRule="auto"/>
              <w:jc w:val="center"/>
              <w:rPr>
                <w:rFonts w:hint="eastAsia" w:cs="仿宋_GB2312"/>
                <w:sz w:val="24"/>
                <w:szCs w:val="24"/>
              </w:rPr>
            </w:pPr>
          </w:p>
        </w:tc>
        <w:tc>
          <w:tcPr>
            <w:tcW w:w="6843" w:type="dxa"/>
            <w:noWrap w:val="0"/>
            <w:vAlign w:val="center"/>
          </w:tcPr>
          <w:p w14:paraId="4F50B784">
            <w:pPr>
              <w:snapToGrid w:val="0"/>
              <w:spacing w:before="120" w:beforeLines="50" w:line="300" w:lineRule="auto"/>
              <w:rPr>
                <w:rFonts w:hint="eastAsia" w:cs="仿宋_GB2312"/>
                <w:sz w:val="24"/>
                <w:szCs w:val="24"/>
              </w:rPr>
            </w:pPr>
            <w:r>
              <w:rPr>
                <w:rFonts w:hint="eastAsia" w:cs="仿宋_GB2312"/>
                <w:sz w:val="24"/>
                <w:szCs w:val="24"/>
                <w:lang w:val="en-US" w:eastAsia="zh-CN"/>
              </w:rPr>
              <w:t>2</w:t>
            </w:r>
            <w:r>
              <w:rPr>
                <w:rFonts w:hint="eastAsia" w:cs="等线"/>
                <w:sz w:val="24"/>
                <w:szCs w:val="24"/>
                <w:lang w:val="en-US" w:eastAsia="zh-CN"/>
              </w:rPr>
              <w:t>）</w:t>
            </w:r>
            <w:r>
              <w:rPr>
                <w:rFonts w:hint="eastAsia" w:cs="仿宋_GB2312"/>
                <w:sz w:val="24"/>
                <w:szCs w:val="24"/>
              </w:rPr>
              <w:t>针对漏洞攻击行为、Webshell上传行为、Web系统目录遍历攻击行为、SQL注入攻击行为、信息泄露攻击行为、口令暴力破解攻击行为、僵尸网络攻击行为、系统命令注入攻击行为及僵尸网络攻击行为进行分析评估，判断攻击行为是否成功以及业务风险点。</w:t>
            </w:r>
          </w:p>
        </w:tc>
      </w:tr>
      <w:tr w14:paraId="10358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center"/>
          </w:tcPr>
          <w:p w14:paraId="30FADD1B">
            <w:pPr>
              <w:snapToGrid w:val="0"/>
              <w:spacing w:before="120" w:beforeLines="50" w:line="300" w:lineRule="auto"/>
              <w:ind w:firstLine="480" w:firstLineChars="200"/>
              <w:jc w:val="center"/>
              <w:rPr>
                <w:rFonts w:hint="eastAsia" w:cs="仿宋_GB2312"/>
                <w:sz w:val="24"/>
                <w:szCs w:val="24"/>
              </w:rPr>
            </w:pPr>
          </w:p>
        </w:tc>
        <w:tc>
          <w:tcPr>
            <w:tcW w:w="1276" w:type="dxa"/>
            <w:vMerge w:val="continue"/>
            <w:noWrap w:val="0"/>
            <w:vAlign w:val="center"/>
          </w:tcPr>
          <w:p w14:paraId="36C51434">
            <w:pPr>
              <w:snapToGrid w:val="0"/>
              <w:spacing w:before="120" w:beforeLines="50" w:line="300" w:lineRule="auto"/>
              <w:jc w:val="center"/>
              <w:rPr>
                <w:rFonts w:hint="eastAsia" w:cs="仿宋_GB2312"/>
                <w:sz w:val="24"/>
                <w:szCs w:val="24"/>
              </w:rPr>
            </w:pPr>
          </w:p>
        </w:tc>
        <w:tc>
          <w:tcPr>
            <w:tcW w:w="6843" w:type="dxa"/>
            <w:noWrap w:val="0"/>
            <w:vAlign w:val="center"/>
          </w:tcPr>
          <w:p w14:paraId="15FC9EDB">
            <w:pPr>
              <w:snapToGrid w:val="0"/>
              <w:spacing w:before="120" w:beforeLines="50" w:line="300" w:lineRule="auto"/>
              <w:rPr>
                <w:rFonts w:hint="eastAsia" w:cs="仿宋_GB2312"/>
                <w:sz w:val="24"/>
                <w:szCs w:val="24"/>
              </w:rPr>
            </w:pPr>
            <w:r>
              <w:rPr>
                <w:rFonts w:hint="eastAsia" w:cs="仿宋_GB2312"/>
                <w:sz w:val="24"/>
                <w:szCs w:val="24"/>
                <w:lang w:val="en-US" w:eastAsia="zh-CN"/>
              </w:rPr>
              <w:t>3</w:t>
            </w:r>
            <w:r>
              <w:rPr>
                <w:rFonts w:hint="eastAsia" w:cs="等线"/>
                <w:sz w:val="24"/>
                <w:szCs w:val="24"/>
                <w:lang w:val="en-US" w:eastAsia="zh-CN"/>
              </w:rPr>
              <w:t>）</w:t>
            </w:r>
            <w:r>
              <w:rPr>
                <w:rFonts w:hint="eastAsia" w:cs="仿宋_GB2312"/>
                <w:sz w:val="24"/>
                <w:szCs w:val="24"/>
              </w:rPr>
              <w:t>失陷主机分析：</w:t>
            </w:r>
            <w:r>
              <w:rPr>
                <w:rFonts w:hint="eastAsia" w:cs="仿宋_GB2312"/>
                <w:sz w:val="24"/>
                <w:szCs w:val="24"/>
                <w:lang w:val="en-US" w:eastAsia="zh-CN"/>
              </w:rPr>
              <w:t>投标人</w:t>
            </w:r>
            <w:r>
              <w:rPr>
                <w:rFonts w:hint="eastAsia" w:cs="仿宋_GB2312"/>
                <w:sz w:val="24"/>
                <w:szCs w:val="24"/>
              </w:rPr>
              <w:t>需对失陷主机进行分析研判（如后门脚本类事件），并给出修复建议。</w:t>
            </w:r>
          </w:p>
        </w:tc>
      </w:tr>
      <w:tr w14:paraId="6F10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center"/>
          </w:tcPr>
          <w:p w14:paraId="45719CEE">
            <w:pPr>
              <w:snapToGrid w:val="0"/>
              <w:spacing w:before="120" w:beforeLines="50" w:line="300" w:lineRule="auto"/>
              <w:ind w:firstLine="480" w:firstLineChars="200"/>
              <w:jc w:val="center"/>
              <w:rPr>
                <w:rFonts w:hint="eastAsia" w:cs="仿宋_GB2312"/>
                <w:sz w:val="24"/>
                <w:szCs w:val="24"/>
              </w:rPr>
            </w:pPr>
          </w:p>
        </w:tc>
        <w:tc>
          <w:tcPr>
            <w:tcW w:w="1276" w:type="dxa"/>
            <w:vMerge w:val="continue"/>
            <w:noWrap w:val="0"/>
            <w:vAlign w:val="center"/>
          </w:tcPr>
          <w:p w14:paraId="1A93B971">
            <w:pPr>
              <w:snapToGrid w:val="0"/>
              <w:spacing w:before="120" w:beforeLines="50" w:line="300" w:lineRule="auto"/>
              <w:jc w:val="center"/>
              <w:rPr>
                <w:rFonts w:hint="eastAsia" w:cs="仿宋_GB2312"/>
                <w:sz w:val="24"/>
                <w:szCs w:val="24"/>
              </w:rPr>
            </w:pPr>
          </w:p>
        </w:tc>
        <w:tc>
          <w:tcPr>
            <w:tcW w:w="6843" w:type="dxa"/>
            <w:noWrap w:val="0"/>
            <w:vAlign w:val="center"/>
          </w:tcPr>
          <w:p w14:paraId="47AFD015">
            <w:pPr>
              <w:snapToGrid w:val="0"/>
              <w:spacing w:before="120" w:beforeLines="50" w:line="300" w:lineRule="auto"/>
              <w:rPr>
                <w:rFonts w:hint="eastAsia" w:cs="仿宋_GB2312"/>
                <w:sz w:val="24"/>
                <w:szCs w:val="24"/>
              </w:rPr>
            </w:pPr>
            <w:r>
              <w:rPr>
                <w:rFonts w:hint="eastAsia" w:cs="仿宋_GB2312"/>
                <w:sz w:val="24"/>
                <w:szCs w:val="24"/>
                <w:lang w:val="en-US" w:eastAsia="zh-CN"/>
              </w:rPr>
              <w:t>4</w:t>
            </w:r>
            <w:r>
              <w:rPr>
                <w:rFonts w:hint="eastAsia" w:cs="等线"/>
                <w:sz w:val="24"/>
                <w:szCs w:val="24"/>
                <w:lang w:val="en-US" w:eastAsia="zh-CN"/>
              </w:rPr>
              <w:t>）</w:t>
            </w:r>
            <w:r>
              <w:rPr>
                <w:rFonts w:hint="eastAsia" w:cs="仿宋_GB2312"/>
                <w:sz w:val="24"/>
                <w:szCs w:val="24"/>
              </w:rPr>
              <w:t>潜伏威胁分析：</w:t>
            </w:r>
            <w:r>
              <w:rPr>
                <w:rFonts w:hint="eastAsia" w:cs="仿宋_GB2312"/>
                <w:sz w:val="24"/>
                <w:szCs w:val="24"/>
                <w:lang w:val="en-US" w:eastAsia="zh-CN"/>
              </w:rPr>
              <w:t>投标人</w:t>
            </w:r>
            <w:r>
              <w:rPr>
                <w:rFonts w:hint="eastAsia" w:cs="仿宋_GB2312"/>
                <w:sz w:val="24"/>
                <w:szCs w:val="24"/>
              </w:rPr>
              <w:t>需分析内网主机的非法外联威胁行为，判断是否存在潜伏威胁，并给出解决建议。</w:t>
            </w:r>
          </w:p>
          <w:p w14:paraId="40073C0B">
            <w:pPr>
              <w:snapToGrid w:val="0"/>
              <w:spacing w:before="120" w:beforeLines="50" w:line="300" w:lineRule="auto"/>
              <w:rPr>
                <w:rFonts w:hint="eastAsia" w:cs="仿宋_GB2312"/>
                <w:sz w:val="24"/>
                <w:szCs w:val="24"/>
              </w:rPr>
            </w:pPr>
            <w:r>
              <w:rPr>
                <w:rFonts w:hint="eastAsia" w:cs="仿宋_GB2312"/>
                <w:sz w:val="24"/>
                <w:szCs w:val="24"/>
              </w:rPr>
              <w:t>含：对外攻击、APT C&amp;C通道、隐藏外联通道等外联威胁行为。</w:t>
            </w:r>
          </w:p>
        </w:tc>
      </w:tr>
      <w:tr w14:paraId="4C57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center"/>
          </w:tcPr>
          <w:p w14:paraId="759E592A">
            <w:pPr>
              <w:snapToGrid w:val="0"/>
              <w:spacing w:before="120" w:beforeLines="50" w:line="300" w:lineRule="auto"/>
              <w:ind w:firstLine="480" w:firstLineChars="200"/>
              <w:jc w:val="center"/>
              <w:rPr>
                <w:rFonts w:hint="eastAsia" w:cs="仿宋_GB2312"/>
                <w:sz w:val="24"/>
                <w:szCs w:val="24"/>
              </w:rPr>
            </w:pPr>
          </w:p>
        </w:tc>
        <w:tc>
          <w:tcPr>
            <w:tcW w:w="1276" w:type="dxa"/>
            <w:vMerge w:val="restart"/>
            <w:noWrap w:val="0"/>
            <w:vAlign w:val="center"/>
          </w:tcPr>
          <w:p w14:paraId="1E93A2E8">
            <w:pPr>
              <w:snapToGrid w:val="0"/>
              <w:spacing w:before="120" w:beforeLines="50" w:line="300" w:lineRule="auto"/>
              <w:jc w:val="center"/>
              <w:rPr>
                <w:rFonts w:hint="eastAsia" w:cs="仿宋_GB2312"/>
                <w:sz w:val="24"/>
                <w:szCs w:val="24"/>
              </w:rPr>
            </w:pPr>
            <w:r>
              <w:rPr>
                <w:rFonts w:hint="eastAsia" w:cs="仿宋_GB2312"/>
                <w:sz w:val="24"/>
                <w:szCs w:val="24"/>
              </w:rPr>
              <w:t>服务质量管理</w:t>
            </w:r>
          </w:p>
        </w:tc>
        <w:tc>
          <w:tcPr>
            <w:tcW w:w="6843" w:type="dxa"/>
            <w:noWrap w:val="0"/>
            <w:vAlign w:val="center"/>
          </w:tcPr>
          <w:p w14:paraId="4EF76C38">
            <w:pPr>
              <w:snapToGrid w:val="0"/>
              <w:spacing w:before="120" w:beforeLines="50" w:line="300" w:lineRule="auto"/>
              <w:rPr>
                <w:rFonts w:hint="eastAsia" w:cs="仿宋_GB2312"/>
                <w:sz w:val="24"/>
                <w:szCs w:val="24"/>
              </w:rPr>
            </w:pPr>
            <w:r>
              <w:rPr>
                <w:rFonts w:hint="eastAsia" w:cs="仿宋_GB2312"/>
                <w:sz w:val="24"/>
                <w:szCs w:val="24"/>
                <w:lang w:val="en-US" w:eastAsia="zh-CN"/>
              </w:rPr>
              <w:t>1</w:t>
            </w:r>
            <w:r>
              <w:rPr>
                <w:rFonts w:hint="eastAsia" w:cs="等线"/>
                <w:sz w:val="24"/>
                <w:szCs w:val="24"/>
                <w:lang w:val="en-US" w:eastAsia="zh-CN"/>
              </w:rPr>
              <w:t>）</w:t>
            </w:r>
            <w:r>
              <w:rPr>
                <w:rFonts w:hint="eastAsia" w:cs="仿宋_GB2312"/>
                <w:sz w:val="24"/>
                <w:szCs w:val="24"/>
                <w:lang w:val="en-US" w:eastAsia="zh-CN"/>
              </w:rPr>
              <w:t>投标人</w:t>
            </w:r>
            <w:r>
              <w:rPr>
                <w:rFonts w:hint="eastAsia" w:cs="仿宋_GB2312"/>
                <w:sz w:val="24"/>
                <w:szCs w:val="24"/>
              </w:rPr>
              <w:t>安全运营专家需对安全工作总体负责人与安全技术人员进行现场访谈调研的形式对安全运营过程中的技术手段与管理流程的现状进行全面摸底，深入了解资产管理、威胁管理、漏洞管理、事件管理等安全运营工作的开展情况，针对具体细节进行适当探讨，必要时需要调阅相关技术报告与制度流程文档验证访谈结果，提升评估的准确性。</w:t>
            </w:r>
          </w:p>
        </w:tc>
      </w:tr>
      <w:tr w14:paraId="3A707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center"/>
          </w:tcPr>
          <w:p w14:paraId="53680E09">
            <w:pPr>
              <w:snapToGrid w:val="0"/>
              <w:spacing w:before="120" w:beforeLines="50" w:line="300" w:lineRule="auto"/>
              <w:ind w:firstLine="480" w:firstLineChars="200"/>
              <w:jc w:val="center"/>
              <w:rPr>
                <w:rFonts w:hint="eastAsia" w:cs="仿宋_GB2312"/>
                <w:sz w:val="24"/>
                <w:szCs w:val="24"/>
              </w:rPr>
            </w:pPr>
          </w:p>
        </w:tc>
        <w:tc>
          <w:tcPr>
            <w:tcW w:w="1276" w:type="dxa"/>
            <w:vMerge w:val="continue"/>
            <w:noWrap w:val="0"/>
            <w:vAlign w:val="center"/>
          </w:tcPr>
          <w:p w14:paraId="2A89D529">
            <w:pPr>
              <w:snapToGrid w:val="0"/>
              <w:spacing w:before="120" w:beforeLines="50" w:line="300" w:lineRule="auto"/>
              <w:ind w:firstLine="480" w:firstLineChars="200"/>
              <w:jc w:val="center"/>
              <w:rPr>
                <w:rFonts w:hint="eastAsia" w:cs="仿宋_GB2312"/>
                <w:sz w:val="24"/>
                <w:szCs w:val="24"/>
              </w:rPr>
            </w:pPr>
          </w:p>
        </w:tc>
        <w:tc>
          <w:tcPr>
            <w:tcW w:w="6843" w:type="dxa"/>
            <w:noWrap w:val="0"/>
            <w:vAlign w:val="center"/>
          </w:tcPr>
          <w:p w14:paraId="71BE0D3A">
            <w:pPr>
              <w:snapToGrid w:val="0"/>
              <w:spacing w:before="120" w:beforeLines="50" w:line="300" w:lineRule="auto"/>
              <w:rPr>
                <w:rFonts w:hint="eastAsia" w:cs="仿宋_GB2312"/>
                <w:sz w:val="24"/>
                <w:szCs w:val="24"/>
              </w:rPr>
            </w:pPr>
            <w:r>
              <w:rPr>
                <w:rFonts w:hint="eastAsia" w:cs="仿宋_GB2312"/>
                <w:sz w:val="24"/>
                <w:szCs w:val="24"/>
                <w:lang w:val="en-US" w:eastAsia="zh-CN"/>
              </w:rPr>
              <w:t>2</w:t>
            </w:r>
            <w:r>
              <w:rPr>
                <w:rFonts w:hint="eastAsia" w:cs="等线"/>
                <w:sz w:val="24"/>
                <w:szCs w:val="24"/>
                <w:lang w:val="en-US" w:eastAsia="zh-CN"/>
              </w:rPr>
              <w:t>）</w:t>
            </w:r>
            <w:r>
              <w:rPr>
                <w:rFonts w:hint="eastAsia" w:cs="仿宋_GB2312"/>
                <w:sz w:val="24"/>
                <w:szCs w:val="24"/>
              </w:rPr>
              <w:t>基于成熟度评估的定性和定量结果，输出成熟度评估报告，直观地指出医院的安全运营建设取得的成果与所处的水平，完整地总结出医院在安全运营中的安全风险及其分析、成熟度等级评估结果与举证信息、用于提升安全效果的针对性的改进建议等，并向医院进行详细汇报。</w:t>
            </w:r>
          </w:p>
        </w:tc>
      </w:tr>
      <w:tr w14:paraId="31282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center"/>
          </w:tcPr>
          <w:p w14:paraId="1635CD89">
            <w:pPr>
              <w:snapToGrid w:val="0"/>
              <w:spacing w:before="120" w:beforeLines="50" w:line="300" w:lineRule="auto"/>
              <w:ind w:firstLine="480" w:firstLineChars="200"/>
              <w:jc w:val="center"/>
              <w:rPr>
                <w:rFonts w:hint="eastAsia" w:cs="仿宋_GB2312"/>
                <w:sz w:val="24"/>
                <w:szCs w:val="24"/>
              </w:rPr>
            </w:pPr>
          </w:p>
        </w:tc>
        <w:tc>
          <w:tcPr>
            <w:tcW w:w="1276" w:type="dxa"/>
            <w:noWrap w:val="0"/>
            <w:vAlign w:val="center"/>
          </w:tcPr>
          <w:p w14:paraId="62EC8C82">
            <w:pPr>
              <w:snapToGrid w:val="0"/>
              <w:spacing w:before="120" w:beforeLines="50" w:line="300" w:lineRule="auto"/>
              <w:jc w:val="center"/>
              <w:rPr>
                <w:rFonts w:hint="eastAsia" w:cs="仿宋_GB2312"/>
                <w:sz w:val="24"/>
                <w:szCs w:val="24"/>
              </w:rPr>
            </w:pPr>
            <w:r>
              <w:rPr>
                <w:rFonts w:hint="eastAsia" w:cs="仿宋_GB2312"/>
                <w:sz w:val="24"/>
                <w:szCs w:val="24"/>
              </w:rPr>
              <w:t>漏洞管理</w:t>
            </w:r>
          </w:p>
        </w:tc>
        <w:tc>
          <w:tcPr>
            <w:tcW w:w="6843" w:type="dxa"/>
            <w:noWrap w:val="0"/>
            <w:vAlign w:val="center"/>
          </w:tcPr>
          <w:p w14:paraId="3754F14C">
            <w:pPr>
              <w:snapToGrid w:val="0"/>
              <w:spacing w:before="120" w:beforeLines="50" w:line="300" w:lineRule="auto"/>
              <w:rPr>
                <w:rFonts w:hint="eastAsia" w:cs="仿宋_GB2312"/>
                <w:sz w:val="24"/>
                <w:szCs w:val="24"/>
              </w:rPr>
            </w:pPr>
            <w:r>
              <w:rPr>
                <w:rFonts w:hint="eastAsia" w:cs="仿宋_GB2312"/>
                <w:sz w:val="24"/>
                <w:szCs w:val="24"/>
              </w:rPr>
              <w:t>提供漏洞验证服务，针对发现的漏洞进行验证，验证漏洞在已有的安全体系发生的风险及分析发生后可造成的危害。针对已经验证的漏洞，应支持漏洞扫描结果自动生成漏洞处置单的能力，安全专家跟进漏洞状态，各个处理进度透明，方便医院清晰了解当前漏洞的处置状态，将漏洞处理工作可视化。</w:t>
            </w:r>
          </w:p>
        </w:tc>
      </w:tr>
      <w:tr w14:paraId="378B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center"/>
          </w:tcPr>
          <w:p w14:paraId="4021320C">
            <w:pPr>
              <w:snapToGrid w:val="0"/>
              <w:spacing w:before="120" w:beforeLines="50" w:line="300" w:lineRule="auto"/>
              <w:ind w:firstLine="480" w:firstLineChars="200"/>
              <w:jc w:val="center"/>
              <w:rPr>
                <w:rFonts w:hint="eastAsia" w:cs="仿宋_GB2312"/>
                <w:sz w:val="24"/>
                <w:szCs w:val="24"/>
              </w:rPr>
            </w:pPr>
          </w:p>
        </w:tc>
        <w:tc>
          <w:tcPr>
            <w:tcW w:w="1276" w:type="dxa"/>
            <w:noWrap w:val="0"/>
            <w:vAlign w:val="center"/>
          </w:tcPr>
          <w:p w14:paraId="5FCEDC77">
            <w:pPr>
              <w:snapToGrid w:val="0"/>
              <w:spacing w:before="120" w:beforeLines="50" w:line="300" w:lineRule="auto"/>
              <w:jc w:val="center"/>
              <w:rPr>
                <w:rFonts w:hint="eastAsia" w:cs="仿宋_GB2312"/>
                <w:sz w:val="24"/>
                <w:szCs w:val="24"/>
              </w:rPr>
            </w:pPr>
            <w:r>
              <w:rPr>
                <w:rFonts w:hint="eastAsia" w:cs="仿宋_GB2312"/>
                <w:sz w:val="24"/>
                <w:szCs w:val="24"/>
              </w:rPr>
              <w:t>威胁管理</w:t>
            </w:r>
          </w:p>
        </w:tc>
        <w:tc>
          <w:tcPr>
            <w:tcW w:w="6843" w:type="dxa"/>
            <w:noWrap w:val="0"/>
            <w:vAlign w:val="center"/>
          </w:tcPr>
          <w:p w14:paraId="24FF916D">
            <w:pPr>
              <w:snapToGrid w:val="0"/>
              <w:spacing w:before="120" w:beforeLines="50" w:line="300" w:lineRule="auto"/>
              <w:rPr>
                <w:rFonts w:hint="eastAsia" w:cs="仿宋_GB2312"/>
                <w:sz w:val="24"/>
                <w:szCs w:val="24"/>
              </w:rPr>
            </w:pPr>
            <w:r>
              <w:rPr>
                <w:rFonts w:hint="eastAsia" w:cs="仿宋_GB2312"/>
                <w:sz w:val="24"/>
                <w:szCs w:val="24"/>
              </w:rPr>
              <w:t>实时监测网络安全状态，对攻击事件生成工单，及时进行分析与预警。攻击事件包含境外黑客攻击事件、暴力破解攻击事件、持续攻击事件。针对以上攻击事件需支持全局封堵、主机隔离、进程隔离、文件隔离、工单 、自定义通用剧本等多种响应处置方式。</w:t>
            </w:r>
          </w:p>
        </w:tc>
      </w:tr>
      <w:tr w14:paraId="53FE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center"/>
          </w:tcPr>
          <w:p w14:paraId="23B68717">
            <w:pPr>
              <w:snapToGrid w:val="0"/>
              <w:spacing w:before="120" w:beforeLines="50" w:line="300" w:lineRule="auto"/>
              <w:ind w:firstLine="480" w:firstLineChars="200"/>
              <w:jc w:val="center"/>
              <w:rPr>
                <w:rFonts w:hint="eastAsia" w:cs="仿宋_GB2312"/>
                <w:sz w:val="24"/>
                <w:szCs w:val="24"/>
              </w:rPr>
            </w:pPr>
          </w:p>
        </w:tc>
        <w:tc>
          <w:tcPr>
            <w:tcW w:w="1276" w:type="dxa"/>
            <w:noWrap w:val="0"/>
            <w:vAlign w:val="center"/>
          </w:tcPr>
          <w:p w14:paraId="37C35F02">
            <w:pPr>
              <w:snapToGrid w:val="0"/>
              <w:spacing w:before="120" w:beforeLines="50" w:line="300" w:lineRule="auto"/>
              <w:jc w:val="center"/>
              <w:rPr>
                <w:rFonts w:hint="eastAsia" w:cs="仿宋_GB2312"/>
                <w:sz w:val="24"/>
                <w:szCs w:val="24"/>
                <w:lang w:val="zh-TW"/>
              </w:rPr>
            </w:pPr>
            <w:r>
              <w:rPr>
                <w:rFonts w:hint="eastAsia" w:cs="仿宋_GB2312"/>
                <w:sz w:val="24"/>
                <w:szCs w:val="24"/>
                <w:lang w:val="zh-TW" w:eastAsia="zh-TW"/>
              </w:rPr>
              <w:t>漏洞扫描服务</w:t>
            </w:r>
          </w:p>
        </w:tc>
        <w:tc>
          <w:tcPr>
            <w:tcW w:w="6843" w:type="dxa"/>
            <w:noWrap w:val="0"/>
            <w:vAlign w:val="center"/>
          </w:tcPr>
          <w:p w14:paraId="0F4CC972">
            <w:pPr>
              <w:adjustRightInd w:val="0"/>
              <w:snapToGrid w:val="0"/>
              <w:spacing w:before="120" w:beforeLines="50" w:line="300" w:lineRule="auto"/>
              <w:rPr>
                <w:rFonts w:hint="eastAsia" w:cs="仿宋_GB2312"/>
                <w:sz w:val="24"/>
                <w:szCs w:val="24"/>
              </w:rPr>
            </w:pPr>
            <w:r>
              <w:rPr>
                <w:rFonts w:hint="eastAsia" w:cs="仿宋_GB2312"/>
                <w:sz w:val="24"/>
                <w:szCs w:val="24"/>
              </w:rPr>
              <w:t>提供不限次数的漏洞扫描服务，及时</w:t>
            </w:r>
            <w:r>
              <w:rPr>
                <w:rFonts w:cs="仿宋_GB2312"/>
                <w:sz w:val="24"/>
                <w:szCs w:val="24"/>
              </w:rPr>
              <w:t>对漏洞扫描系统进行升级，</w:t>
            </w:r>
            <w:r>
              <w:rPr>
                <w:rFonts w:hint="eastAsia" w:cs="仿宋_GB2312"/>
                <w:sz w:val="24"/>
                <w:szCs w:val="24"/>
              </w:rPr>
              <w:t>对医院的信息系统进行安全扫描并提供扫描报告，并根据扫描报告给出漏洞整改意见或修复建议，并协助采购人及时完成漏洞补丁的修复整改工作。漏洞扫描工具由采购人指定，服务期内，漏洞扫描工具须放置采购人处，并对相关人员进行培训。</w:t>
            </w:r>
          </w:p>
        </w:tc>
      </w:tr>
      <w:tr w14:paraId="28380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center"/>
          </w:tcPr>
          <w:p w14:paraId="6A7483B7">
            <w:pPr>
              <w:snapToGrid w:val="0"/>
              <w:spacing w:before="120" w:beforeLines="50" w:line="300" w:lineRule="auto"/>
              <w:ind w:firstLine="480" w:firstLineChars="200"/>
              <w:jc w:val="center"/>
              <w:rPr>
                <w:rFonts w:hint="eastAsia" w:cs="仿宋_GB2312"/>
                <w:sz w:val="24"/>
                <w:szCs w:val="24"/>
              </w:rPr>
            </w:pPr>
          </w:p>
        </w:tc>
        <w:tc>
          <w:tcPr>
            <w:tcW w:w="1276" w:type="dxa"/>
            <w:noWrap w:val="0"/>
            <w:vAlign w:val="center"/>
          </w:tcPr>
          <w:p w14:paraId="12AE3359">
            <w:pPr>
              <w:snapToGrid w:val="0"/>
              <w:spacing w:before="120" w:beforeLines="50" w:line="300" w:lineRule="auto"/>
              <w:jc w:val="center"/>
              <w:rPr>
                <w:rFonts w:hint="eastAsia" w:cs="仿宋_GB2312"/>
                <w:sz w:val="24"/>
                <w:szCs w:val="24"/>
                <w:lang w:val="zh-TW"/>
              </w:rPr>
            </w:pPr>
            <w:r>
              <w:rPr>
                <w:rFonts w:hint="eastAsia" w:cs="仿宋_GB2312"/>
                <w:sz w:val="24"/>
                <w:szCs w:val="24"/>
                <w:lang w:val="zh-TW" w:eastAsia="zh-TW"/>
              </w:rPr>
              <w:t>渗透测试服务</w:t>
            </w:r>
          </w:p>
        </w:tc>
        <w:tc>
          <w:tcPr>
            <w:tcW w:w="6843" w:type="dxa"/>
            <w:noWrap w:val="0"/>
            <w:vAlign w:val="center"/>
          </w:tcPr>
          <w:p w14:paraId="5B07E1BA">
            <w:pPr>
              <w:adjustRightInd w:val="0"/>
              <w:snapToGrid w:val="0"/>
              <w:spacing w:before="120" w:beforeLines="50" w:line="300" w:lineRule="auto"/>
              <w:rPr>
                <w:rFonts w:hint="eastAsia" w:cs="仿宋_GB2312"/>
                <w:sz w:val="24"/>
                <w:szCs w:val="24"/>
                <w:lang w:val="zh-TW" w:eastAsia="zh-TW"/>
              </w:rPr>
            </w:pPr>
            <w:r>
              <w:rPr>
                <w:rFonts w:hint="eastAsia" w:cs="仿宋_GB2312"/>
                <w:sz w:val="24"/>
                <w:szCs w:val="24"/>
              </w:rPr>
              <w:t>为采购人的HIS系统</w:t>
            </w:r>
            <w:r>
              <w:rPr>
                <w:rFonts w:hint="eastAsia" w:ascii="宋体" w:eastAsia="宋体"/>
                <w:lang w:val="en-US" w:eastAsia="zh-CN"/>
              </w:rPr>
              <w:t>至少</w:t>
            </w:r>
            <w:r>
              <w:rPr>
                <w:rFonts w:hint="eastAsia" w:cs="仿宋_GB2312"/>
                <w:sz w:val="24"/>
                <w:szCs w:val="24"/>
              </w:rPr>
              <w:t>提供一次渗透测试服务，服务要求渗透测试复测内容包括但不限于：身份验证类、会话管理类、访问控制类、输入处理类、信息泄露类。投标人组织安全工程师模拟黑客的行为模式，采用黑客的漏洞发现和利用技术，以及尽可能多的攻击方法，对采购人的HIS系统的安全性进行深入分析。渗透测试需要提交渗透测试报告，渗透测试报告应包括对系统安全问题的验证分析、影响分析和解决措施等内容。对Web系统的渗透测试，需要在互联网网络的任一位置进行渗透测试；对内部系统的渗透测试，应在内部办公网络进行渗透测试。</w:t>
            </w:r>
          </w:p>
        </w:tc>
      </w:tr>
      <w:tr w14:paraId="187F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center"/>
          </w:tcPr>
          <w:p w14:paraId="5CCED2A6">
            <w:pPr>
              <w:snapToGrid w:val="0"/>
              <w:spacing w:before="120" w:beforeLines="50" w:line="300" w:lineRule="auto"/>
              <w:ind w:firstLine="480" w:firstLineChars="200"/>
              <w:jc w:val="center"/>
              <w:rPr>
                <w:rFonts w:hint="eastAsia" w:cs="仿宋_GB2312"/>
                <w:sz w:val="24"/>
                <w:szCs w:val="24"/>
              </w:rPr>
            </w:pPr>
          </w:p>
        </w:tc>
        <w:tc>
          <w:tcPr>
            <w:tcW w:w="1276" w:type="dxa"/>
            <w:vMerge w:val="restart"/>
            <w:noWrap w:val="0"/>
            <w:vAlign w:val="center"/>
          </w:tcPr>
          <w:p w14:paraId="6F20197F">
            <w:pPr>
              <w:snapToGrid w:val="0"/>
              <w:spacing w:before="120" w:beforeLines="50" w:line="300" w:lineRule="auto"/>
              <w:jc w:val="center"/>
              <w:rPr>
                <w:rFonts w:hint="eastAsia" w:cs="仿宋_GB2312"/>
                <w:sz w:val="24"/>
                <w:szCs w:val="24"/>
              </w:rPr>
            </w:pPr>
            <w:r>
              <w:rPr>
                <w:rFonts w:hint="eastAsia" w:cs="仿宋_GB2312"/>
                <w:sz w:val="24"/>
                <w:szCs w:val="24"/>
              </w:rPr>
              <w:t>运营可视</w:t>
            </w:r>
          </w:p>
        </w:tc>
        <w:tc>
          <w:tcPr>
            <w:tcW w:w="6843" w:type="dxa"/>
            <w:noWrap w:val="0"/>
            <w:vAlign w:val="center"/>
          </w:tcPr>
          <w:p w14:paraId="3E694CA5">
            <w:pPr>
              <w:snapToGrid w:val="0"/>
              <w:spacing w:before="120" w:beforeLines="50" w:line="300" w:lineRule="auto"/>
              <w:rPr>
                <w:rFonts w:hint="eastAsia" w:cs="仿宋_GB2312"/>
                <w:sz w:val="24"/>
                <w:szCs w:val="24"/>
              </w:rPr>
            </w:pPr>
            <w:r>
              <w:rPr>
                <w:rFonts w:hint="eastAsia" w:cs="仿宋_GB2312"/>
                <w:sz w:val="24"/>
                <w:szCs w:val="24"/>
                <w:lang w:val="en-US" w:eastAsia="zh-CN"/>
              </w:rPr>
              <w:t>1</w:t>
            </w:r>
            <w:r>
              <w:rPr>
                <w:rFonts w:hint="eastAsia" w:cs="等线"/>
                <w:sz w:val="24"/>
                <w:szCs w:val="24"/>
                <w:lang w:val="en-US" w:eastAsia="zh-CN"/>
              </w:rPr>
              <w:t>）</w:t>
            </w:r>
            <w:r>
              <w:rPr>
                <w:rFonts w:hint="eastAsia" w:cs="仿宋_GB2312"/>
                <w:sz w:val="24"/>
                <w:szCs w:val="24"/>
              </w:rPr>
              <w:t>支持面向采购人的安全状态展示，展示出医院的业务和用户安全状态信息，使得医院能直观感受到当前的业务和资产安全状态。</w:t>
            </w:r>
          </w:p>
        </w:tc>
      </w:tr>
      <w:tr w14:paraId="67B34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center"/>
          </w:tcPr>
          <w:p w14:paraId="00D6A6D4">
            <w:pPr>
              <w:snapToGrid w:val="0"/>
              <w:spacing w:before="120" w:beforeLines="50" w:line="300" w:lineRule="auto"/>
              <w:ind w:firstLine="480" w:firstLineChars="200"/>
              <w:jc w:val="center"/>
              <w:rPr>
                <w:rFonts w:hint="eastAsia" w:cs="仿宋_GB2312"/>
                <w:sz w:val="24"/>
                <w:szCs w:val="24"/>
              </w:rPr>
            </w:pPr>
          </w:p>
        </w:tc>
        <w:tc>
          <w:tcPr>
            <w:tcW w:w="1276" w:type="dxa"/>
            <w:vMerge w:val="continue"/>
            <w:noWrap w:val="0"/>
            <w:vAlign w:val="center"/>
          </w:tcPr>
          <w:p w14:paraId="16135A99">
            <w:pPr>
              <w:snapToGrid w:val="0"/>
              <w:spacing w:before="120" w:beforeLines="50" w:line="300" w:lineRule="auto"/>
              <w:ind w:firstLine="480" w:firstLineChars="200"/>
              <w:jc w:val="center"/>
              <w:rPr>
                <w:rFonts w:hint="eastAsia" w:cs="仿宋_GB2312"/>
                <w:sz w:val="24"/>
                <w:szCs w:val="24"/>
              </w:rPr>
            </w:pPr>
          </w:p>
        </w:tc>
        <w:tc>
          <w:tcPr>
            <w:tcW w:w="6843" w:type="dxa"/>
            <w:noWrap w:val="0"/>
            <w:vAlign w:val="center"/>
          </w:tcPr>
          <w:p w14:paraId="0049FBD0">
            <w:pPr>
              <w:snapToGrid w:val="0"/>
              <w:spacing w:before="120" w:beforeLines="50" w:line="300" w:lineRule="auto"/>
              <w:rPr>
                <w:rFonts w:hint="eastAsia" w:cs="仿宋_GB2312"/>
                <w:sz w:val="24"/>
                <w:szCs w:val="24"/>
              </w:rPr>
            </w:pPr>
            <w:r>
              <w:rPr>
                <w:rFonts w:hint="eastAsia" w:cs="仿宋_GB2312"/>
                <w:sz w:val="24"/>
                <w:szCs w:val="24"/>
                <w:lang w:val="en-US" w:eastAsia="zh-CN"/>
              </w:rPr>
              <w:t>2</w:t>
            </w:r>
            <w:r>
              <w:rPr>
                <w:rFonts w:hint="eastAsia" w:cs="等线"/>
                <w:sz w:val="24"/>
                <w:szCs w:val="24"/>
                <w:lang w:val="en-US" w:eastAsia="zh-CN"/>
              </w:rPr>
              <w:t>）</w:t>
            </w:r>
            <w:r>
              <w:rPr>
                <w:rFonts w:hint="eastAsia" w:cs="仿宋_GB2312"/>
                <w:sz w:val="24"/>
                <w:szCs w:val="24"/>
              </w:rPr>
              <w:t>支持面向采购人的安全态势展示，展示出当前医院遭受的威胁事件信息以及脆弱性信息统计，使得医院能直观感受到当前的风险态势情况。</w:t>
            </w:r>
          </w:p>
        </w:tc>
      </w:tr>
      <w:tr w14:paraId="1F0B4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center"/>
          </w:tcPr>
          <w:p w14:paraId="72FE729A">
            <w:pPr>
              <w:snapToGrid w:val="0"/>
              <w:spacing w:before="120" w:beforeLines="50" w:line="300" w:lineRule="auto"/>
              <w:ind w:firstLine="480" w:firstLineChars="200"/>
              <w:jc w:val="center"/>
              <w:rPr>
                <w:rFonts w:hint="eastAsia" w:cs="仿宋_GB2312"/>
                <w:sz w:val="24"/>
                <w:szCs w:val="24"/>
              </w:rPr>
            </w:pPr>
          </w:p>
        </w:tc>
        <w:tc>
          <w:tcPr>
            <w:tcW w:w="1276" w:type="dxa"/>
            <w:vMerge w:val="restart"/>
            <w:noWrap w:val="0"/>
            <w:vAlign w:val="center"/>
          </w:tcPr>
          <w:p w14:paraId="4F9210A1">
            <w:pPr>
              <w:snapToGrid w:val="0"/>
              <w:spacing w:before="120" w:beforeLines="50" w:line="300" w:lineRule="auto"/>
              <w:jc w:val="center"/>
              <w:rPr>
                <w:rFonts w:hint="eastAsia" w:cs="仿宋_GB2312"/>
                <w:sz w:val="24"/>
                <w:szCs w:val="24"/>
              </w:rPr>
            </w:pPr>
            <w:r>
              <w:rPr>
                <w:rFonts w:hint="eastAsia" w:cs="仿宋_GB2312"/>
                <w:sz w:val="24"/>
                <w:szCs w:val="24"/>
              </w:rPr>
              <w:t>服务水平监督</w:t>
            </w:r>
          </w:p>
        </w:tc>
        <w:tc>
          <w:tcPr>
            <w:tcW w:w="6843" w:type="dxa"/>
            <w:noWrap w:val="0"/>
            <w:vAlign w:val="center"/>
          </w:tcPr>
          <w:p w14:paraId="1B1D5758">
            <w:pPr>
              <w:snapToGrid w:val="0"/>
              <w:spacing w:before="120" w:beforeLines="50" w:line="300" w:lineRule="auto"/>
              <w:rPr>
                <w:rFonts w:hint="eastAsia" w:cs="仿宋_GB2312"/>
                <w:sz w:val="24"/>
                <w:szCs w:val="24"/>
              </w:rPr>
            </w:pPr>
            <w:r>
              <w:rPr>
                <w:rFonts w:hint="eastAsia" w:cs="仿宋_GB2312"/>
                <w:sz w:val="24"/>
                <w:szCs w:val="24"/>
                <w:lang w:val="en-US" w:eastAsia="zh-CN"/>
              </w:rPr>
              <w:t>1</w:t>
            </w:r>
            <w:r>
              <w:rPr>
                <w:rFonts w:hint="eastAsia" w:cs="等线"/>
                <w:sz w:val="24"/>
                <w:szCs w:val="24"/>
                <w:lang w:val="en-US" w:eastAsia="zh-CN"/>
              </w:rPr>
              <w:t>）</w:t>
            </w:r>
            <w:r>
              <w:rPr>
                <w:rFonts w:hint="eastAsia" w:cs="仿宋_GB2312"/>
                <w:sz w:val="24"/>
                <w:szCs w:val="24"/>
                <w:lang w:val="en-US" w:eastAsia="zh-CN"/>
              </w:rPr>
              <w:t>投标人</w:t>
            </w:r>
            <w:r>
              <w:rPr>
                <w:rFonts w:hint="eastAsia" w:cs="仿宋_GB2312"/>
                <w:sz w:val="24"/>
                <w:szCs w:val="24"/>
              </w:rPr>
              <w:t>需为采购人提供服务监控门户，在门户中可查看业务安全状态，处置中的失陷事件以及针对这些事件的处置进度，处置责任人、联系方式等信息，方便医院实时了解</w:t>
            </w:r>
            <w:r>
              <w:rPr>
                <w:rFonts w:hint="eastAsia" w:cs="仿宋_GB2312"/>
                <w:sz w:val="24"/>
                <w:szCs w:val="24"/>
                <w:lang w:val="en-US" w:eastAsia="zh-CN"/>
              </w:rPr>
              <w:t>投标人</w:t>
            </w:r>
            <w:r>
              <w:rPr>
                <w:rFonts w:hint="eastAsia" w:cs="仿宋_GB2312"/>
                <w:sz w:val="24"/>
                <w:szCs w:val="24"/>
              </w:rPr>
              <w:t>的服务效果。</w:t>
            </w:r>
          </w:p>
        </w:tc>
      </w:tr>
      <w:tr w14:paraId="05BB3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center"/>
          </w:tcPr>
          <w:p w14:paraId="75984B94">
            <w:pPr>
              <w:snapToGrid w:val="0"/>
              <w:spacing w:before="120" w:beforeLines="50" w:line="300" w:lineRule="auto"/>
              <w:ind w:firstLine="480" w:firstLineChars="200"/>
              <w:jc w:val="center"/>
              <w:rPr>
                <w:rFonts w:hint="eastAsia" w:cs="仿宋_GB2312"/>
                <w:sz w:val="24"/>
                <w:szCs w:val="24"/>
              </w:rPr>
            </w:pPr>
          </w:p>
        </w:tc>
        <w:tc>
          <w:tcPr>
            <w:tcW w:w="1276" w:type="dxa"/>
            <w:vMerge w:val="continue"/>
            <w:noWrap w:val="0"/>
            <w:vAlign w:val="center"/>
          </w:tcPr>
          <w:p w14:paraId="4C75D15C">
            <w:pPr>
              <w:snapToGrid w:val="0"/>
              <w:spacing w:before="120" w:beforeLines="50" w:line="300" w:lineRule="auto"/>
              <w:ind w:firstLine="480" w:firstLineChars="200"/>
              <w:jc w:val="center"/>
              <w:rPr>
                <w:rFonts w:hint="eastAsia" w:cs="仿宋_GB2312"/>
                <w:sz w:val="24"/>
                <w:szCs w:val="24"/>
              </w:rPr>
            </w:pPr>
          </w:p>
        </w:tc>
        <w:tc>
          <w:tcPr>
            <w:tcW w:w="6843" w:type="dxa"/>
            <w:noWrap w:val="0"/>
            <w:vAlign w:val="center"/>
          </w:tcPr>
          <w:p w14:paraId="2ADBABA4">
            <w:pPr>
              <w:snapToGrid w:val="0"/>
              <w:spacing w:before="120" w:beforeLines="50" w:line="300" w:lineRule="auto"/>
              <w:rPr>
                <w:rFonts w:hint="eastAsia" w:cs="仿宋_GB2312"/>
                <w:sz w:val="24"/>
                <w:szCs w:val="24"/>
              </w:rPr>
            </w:pPr>
            <w:r>
              <w:rPr>
                <w:rFonts w:hint="eastAsia" w:cs="仿宋_GB2312"/>
                <w:sz w:val="24"/>
                <w:szCs w:val="24"/>
                <w:lang w:val="en-US" w:eastAsia="zh-CN"/>
              </w:rPr>
              <w:t>2</w:t>
            </w:r>
            <w:r>
              <w:rPr>
                <w:rFonts w:hint="eastAsia" w:cs="等线"/>
                <w:sz w:val="24"/>
                <w:szCs w:val="24"/>
                <w:lang w:val="en-US" w:eastAsia="zh-CN"/>
              </w:rPr>
              <w:t>）</w:t>
            </w:r>
            <w:r>
              <w:rPr>
                <w:rFonts w:hint="eastAsia" w:cs="仿宋_GB2312"/>
                <w:sz w:val="24"/>
                <w:szCs w:val="24"/>
              </w:rPr>
              <w:t>服务进度督促：针对服务平台生成的工单，医院可按需催单，服务平台采用短信方式通知安全专家，</w:t>
            </w:r>
            <w:r>
              <w:rPr>
                <w:rFonts w:hint="eastAsia" w:cs="仿宋_GB2312"/>
                <w:sz w:val="24"/>
                <w:szCs w:val="24"/>
                <w:lang w:val="en-US" w:eastAsia="zh-CN"/>
              </w:rPr>
              <w:t>投标人</w:t>
            </w:r>
            <w:r>
              <w:rPr>
                <w:rFonts w:hint="eastAsia" w:cs="仿宋_GB2312"/>
                <w:sz w:val="24"/>
                <w:szCs w:val="24"/>
              </w:rPr>
              <w:t>第一时间处理</w:t>
            </w:r>
          </w:p>
        </w:tc>
      </w:tr>
      <w:tr w14:paraId="2BAF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jc w:val="center"/>
        </w:trPr>
        <w:tc>
          <w:tcPr>
            <w:tcW w:w="1195" w:type="dxa"/>
            <w:vMerge w:val="continue"/>
            <w:noWrap w:val="0"/>
            <w:vAlign w:val="center"/>
          </w:tcPr>
          <w:p w14:paraId="6F7C10C1">
            <w:pPr>
              <w:snapToGrid w:val="0"/>
              <w:spacing w:before="120" w:beforeLines="50" w:line="300" w:lineRule="auto"/>
              <w:ind w:firstLine="480" w:firstLineChars="200"/>
              <w:jc w:val="center"/>
              <w:rPr>
                <w:rFonts w:hint="eastAsia" w:cs="仿宋_GB2312"/>
                <w:sz w:val="24"/>
                <w:szCs w:val="24"/>
              </w:rPr>
            </w:pPr>
          </w:p>
        </w:tc>
        <w:tc>
          <w:tcPr>
            <w:tcW w:w="1276" w:type="dxa"/>
            <w:vMerge w:val="continue"/>
            <w:noWrap w:val="0"/>
            <w:vAlign w:val="center"/>
          </w:tcPr>
          <w:p w14:paraId="544B9B81">
            <w:pPr>
              <w:snapToGrid w:val="0"/>
              <w:spacing w:before="120" w:beforeLines="50" w:line="300" w:lineRule="auto"/>
              <w:ind w:firstLine="480" w:firstLineChars="200"/>
              <w:jc w:val="center"/>
              <w:rPr>
                <w:rFonts w:hint="eastAsia" w:cs="仿宋_GB2312"/>
                <w:sz w:val="24"/>
                <w:szCs w:val="24"/>
              </w:rPr>
            </w:pPr>
          </w:p>
        </w:tc>
        <w:tc>
          <w:tcPr>
            <w:tcW w:w="6843" w:type="dxa"/>
            <w:noWrap w:val="0"/>
            <w:vAlign w:val="center"/>
          </w:tcPr>
          <w:p w14:paraId="4D7C2432">
            <w:pPr>
              <w:snapToGrid w:val="0"/>
              <w:spacing w:before="120" w:beforeLines="50" w:line="300" w:lineRule="auto"/>
              <w:rPr>
                <w:rFonts w:hint="eastAsia" w:cs="仿宋_GB2312"/>
                <w:sz w:val="24"/>
                <w:szCs w:val="24"/>
              </w:rPr>
            </w:pPr>
            <w:r>
              <w:rPr>
                <w:rFonts w:hint="eastAsia" w:cs="仿宋_GB2312"/>
                <w:sz w:val="24"/>
                <w:szCs w:val="24"/>
                <w:lang w:val="en-US" w:eastAsia="zh-CN"/>
              </w:rPr>
              <w:t>3</w:t>
            </w:r>
            <w:r>
              <w:rPr>
                <w:rFonts w:hint="eastAsia" w:cs="等线"/>
                <w:sz w:val="24"/>
                <w:szCs w:val="24"/>
                <w:lang w:val="en-US" w:eastAsia="zh-CN"/>
              </w:rPr>
              <w:t>）</w:t>
            </w:r>
            <w:r>
              <w:rPr>
                <w:rFonts w:hint="eastAsia" w:cs="仿宋_GB2312"/>
                <w:sz w:val="24"/>
                <w:szCs w:val="24"/>
              </w:rPr>
              <w:t>在配备</w:t>
            </w:r>
            <w:r>
              <w:rPr>
                <w:rFonts w:hint="eastAsia" w:cs="仿宋_GB2312"/>
                <w:sz w:val="24"/>
                <w:szCs w:val="24"/>
                <w:lang w:val="en-US" w:eastAsia="zh-CN"/>
              </w:rPr>
              <w:t>投标人</w:t>
            </w:r>
            <w:r>
              <w:rPr>
                <w:rFonts w:hint="eastAsia" w:cs="仿宋_GB2312"/>
                <w:sz w:val="24"/>
                <w:szCs w:val="24"/>
              </w:rPr>
              <w:t>的边界防护服务组件的情况下，运营服务对于重大安全事件和较大安全事件的遏制影响和处置完成时间小于1小时，对于一般事件的遏制影响和处置完成时间小于2小时。</w:t>
            </w:r>
          </w:p>
        </w:tc>
      </w:tr>
    </w:tbl>
    <w:p w14:paraId="420B1DD8">
      <w:pPr>
        <w:pStyle w:val="5"/>
        <w:spacing w:before="120" w:beforeLines="50" w:line="300" w:lineRule="auto"/>
        <w:jc w:val="left"/>
        <w:rPr>
          <w:rFonts w:hint="eastAsia"/>
          <w:sz w:val="24"/>
        </w:rPr>
      </w:pPr>
      <w:r>
        <w:rPr>
          <w:rFonts w:hint="eastAsia"/>
          <w:sz w:val="24"/>
          <w:lang w:val="en-US" w:eastAsia="zh-CN"/>
        </w:rPr>
        <w:t>2.1.2.4</w:t>
      </w:r>
      <w:r>
        <w:rPr>
          <w:sz w:val="24"/>
        </w:rPr>
        <w:t>WAF应用防火墙服务</w:t>
      </w:r>
    </w:p>
    <w:p w14:paraId="780E242B">
      <w:pPr>
        <w:spacing w:before="120" w:beforeLines="50" w:line="300" w:lineRule="auto"/>
        <w:ind w:firstLine="480" w:firstLineChars="200"/>
        <w:rPr>
          <w:rFonts w:hint="eastAsia"/>
          <w:sz w:val="24"/>
        </w:rPr>
      </w:pPr>
      <w:r>
        <w:rPr>
          <w:rFonts w:hint="eastAsia" w:ascii="宋体" w:eastAsia="宋体"/>
          <w:sz w:val="24"/>
          <w:lang w:val="en-US" w:eastAsia="zh-CN"/>
        </w:rPr>
        <w:t>1.</w:t>
      </w:r>
      <w:r>
        <w:rPr>
          <w:rFonts w:hint="eastAsia"/>
          <w:sz w:val="24"/>
        </w:rPr>
        <w:t>为了保证采购人项目的</w:t>
      </w:r>
      <w:r>
        <w:rPr>
          <w:sz w:val="24"/>
        </w:rPr>
        <w:t>Web安全，为</w:t>
      </w:r>
      <w:r>
        <w:rPr>
          <w:rFonts w:hint="eastAsia"/>
          <w:sz w:val="24"/>
        </w:rPr>
        <w:t>采购人</w:t>
      </w:r>
      <w:r>
        <w:rPr>
          <w:sz w:val="24"/>
        </w:rPr>
        <w:t>提供Web安全防护服务，Web全保护64个站点，服务方式为：提供两台WAF应用防火墙的使用权，含所有原厂售后服务。</w:t>
      </w:r>
      <w:r>
        <w:rPr>
          <w:rFonts w:hint="eastAsia" w:eastAsia="宋体"/>
          <w:sz w:val="24"/>
          <w:lang w:eastAsia="zh-CN"/>
        </w:rPr>
        <w:t>（</w:t>
      </w:r>
      <w:r>
        <w:rPr>
          <w:rFonts w:hint="eastAsia" w:ascii="宋体" w:eastAsia="宋体"/>
          <w:sz w:val="24"/>
          <w:lang w:val="en-US" w:eastAsia="zh-CN"/>
        </w:rPr>
        <w:t>提供承诺函并加盖投标人公章</w:t>
      </w:r>
      <w:r>
        <w:rPr>
          <w:rFonts w:hint="eastAsia" w:eastAsia="宋体"/>
          <w:sz w:val="24"/>
          <w:lang w:eastAsia="zh-CN"/>
        </w:rPr>
        <w:t>）</w:t>
      </w:r>
    </w:p>
    <w:p w14:paraId="7213018E">
      <w:pPr>
        <w:spacing w:before="120" w:beforeLines="50" w:line="300" w:lineRule="auto"/>
        <w:ind w:firstLine="480" w:firstLineChars="200"/>
        <w:rPr>
          <w:rFonts w:hint="eastAsia"/>
          <w:sz w:val="24"/>
        </w:rPr>
      </w:pPr>
      <w:r>
        <w:rPr>
          <w:rFonts w:hint="eastAsia" w:ascii="宋体" w:eastAsia="宋体"/>
          <w:sz w:val="24"/>
          <w:lang w:val="en-US" w:eastAsia="zh-CN"/>
        </w:rPr>
        <w:t>2.</w:t>
      </w:r>
      <w:r>
        <w:rPr>
          <w:rFonts w:hint="eastAsia"/>
          <w:sz w:val="24"/>
        </w:rPr>
        <w:t>W</w:t>
      </w:r>
      <w:r>
        <w:rPr>
          <w:sz w:val="24"/>
        </w:rPr>
        <w:t>AF</w:t>
      </w:r>
      <w:r>
        <w:rPr>
          <w:rFonts w:hint="eastAsia"/>
          <w:sz w:val="24"/>
        </w:rPr>
        <w:t>应用防火墙的技术要求：</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1058"/>
        <w:gridCol w:w="7085"/>
      </w:tblGrid>
      <w:tr w14:paraId="5DE1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Merge w:val="restart"/>
            <w:noWrap w:val="0"/>
            <w:vAlign w:val="center"/>
          </w:tcPr>
          <w:p w14:paraId="40ACBCC9">
            <w:pPr>
              <w:snapToGrid w:val="0"/>
              <w:spacing w:before="120" w:beforeLines="50" w:line="300" w:lineRule="auto"/>
              <w:jc w:val="center"/>
              <w:rPr>
                <w:rFonts w:hint="eastAsia" w:cs="仿宋_GB2312"/>
                <w:sz w:val="24"/>
                <w:szCs w:val="24"/>
              </w:rPr>
            </w:pPr>
            <w:r>
              <w:rPr>
                <w:rFonts w:hint="eastAsia" w:cs="仿宋_GB2312"/>
                <w:sz w:val="24"/>
                <w:szCs w:val="24"/>
              </w:rPr>
              <w:t>Web应用防火墙</w:t>
            </w:r>
          </w:p>
        </w:tc>
        <w:tc>
          <w:tcPr>
            <w:tcW w:w="1058" w:type="dxa"/>
            <w:vMerge w:val="restart"/>
            <w:noWrap w:val="0"/>
            <w:vAlign w:val="center"/>
          </w:tcPr>
          <w:p w14:paraId="6887D21F">
            <w:pPr>
              <w:snapToGrid w:val="0"/>
              <w:spacing w:before="120" w:beforeLines="50" w:line="300" w:lineRule="auto"/>
              <w:jc w:val="center"/>
              <w:rPr>
                <w:rFonts w:hint="eastAsia" w:cs="仿宋_GB2312"/>
                <w:sz w:val="24"/>
                <w:szCs w:val="24"/>
              </w:rPr>
            </w:pPr>
            <w:r>
              <w:rPr>
                <w:rFonts w:hint="eastAsia" w:cs="仿宋_GB2312"/>
                <w:sz w:val="24"/>
                <w:szCs w:val="24"/>
              </w:rPr>
              <w:t>服务要求</w:t>
            </w:r>
          </w:p>
        </w:tc>
        <w:tc>
          <w:tcPr>
            <w:tcW w:w="7085" w:type="dxa"/>
            <w:noWrap w:val="0"/>
            <w:vAlign w:val="top"/>
          </w:tcPr>
          <w:p w14:paraId="66444921">
            <w:pPr>
              <w:snapToGrid w:val="0"/>
              <w:spacing w:before="120" w:beforeLines="50" w:line="300" w:lineRule="auto"/>
              <w:rPr>
                <w:rFonts w:hint="eastAsia" w:cs="仿宋_GB2312"/>
                <w:sz w:val="24"/>
                <w:szCs w:val="24"/>
              </w:rPr>
            </w:pPr>
            <w:r>
              <w:rPr>
                <w:rFonts w:hint="eastAsia" w:cs="仿宋_GB2312"/>
                <w:sz w:val="24"/>
                <w:szCs w:val="24"/>
              </w:rPr>
              <w:t>1</w:t>
            </w:r>
            <w:r>
              <w:rPr>
                <w:rFonts w:hint="eastAsia" w:cs="等线"/>
                <w:sz w:val="24"/>
                <w:szCs w:val="24"/>
                <w:lang w:val="en-US" w:eastAsia="zh-CN"/>
              </w:rPr>
              <w:t>）</w:t>
            </w:r>
            <w:r>
              <w:rPr>
                <w:rFonts w:hint="eastAsia" w:cs="仿宋_GB2312"/>
                <w:sz w:val="24"/>
                <w:szCs w:val="24"/>
              </w:rPr>
              <w:t>以服务的形式提供2台Web应用防火墙硬件部署于本地机房</w:t>
            </w:r>
          </w:p>
        </w:tc>
      </w:tr>
      <w:tr w14:paraId="6529C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Merge w:val="continue"/>
            <w:noWrap w:val="0"/>
            <w:vAlign w:val="center"/>
          </w:tcPr>
          <w:p w14:paraId="5BBB0946">
            <w:pPr>
              <w:snapToGrid w:val="0"/>
              <w:spacing w:before="120" w:beforeLines="50" w:line="300" w:lineRule="auto"/>
              <w:ind w:firstLine="480" w:firstLineChars="200"/>
              <w:jc w:val="center"/>
              <w:rPr>
                <w:rFonts w:hint="eastAsia" w:cs="仿宋_GB2312"/>
                <w:sz w:val="24"/>
                <w:szCs w:val="24"/>
              </w:rPr>
            </w:pPr>
          </w:p>
        </w:tc>
        <w:tc>
          <w:tcPr>
            <w:tcW w:w="1058" w:type="dxa"/>
            <w:vMerge w:val="continue"/>
            <w:noWrap w:val="0"/>
            <w:vAlign w:val="center"/>
          </w:tcPr>
          <w:p w14:paraId="3D6E21D3">
            <w:pPr>
              <w:snapToGrid w:val="0"/>
              <w:spacing w:before="120" w:beforeLines="50" w:line="300" w:lineRule="auto"/>
              <w:ind w:firstLine="480" w:firstLineChars="200"/>
              <w:jc w:val="center"/>
              <w:rPr>
                <w:rFonts w:hint="eastAsia" w:cs="仿宋_GB2312"/>
                <w:sz w:val="24"/>
                <w:szCs w:val="24"/>
              </w:rPr>
            </w:pPr>
          </w:p>
        </w:tc>
        <w:tc>
          <w:tcPr>
            <w:tcW w:w="7085" w:type="dxa"/>
            <w:noWrap w:val="0"/>
            <w:vAlign w:val="top"/>
          </w:tcPr>
          <w:p w14:paraId="0A7307D5">
            <w:pPr>
              <w:snapToGrid w:val="0"/>
              <w:spacing w:before="120" w:beforeLines="50" w:line="300" w:lineRule="auto"/>
              <w:rPr>
                <w:rFonts w:hint="eastAsia" w:cs="仿宋_GB2312"/>
                <w:sz w:val="24"/>
                <w:szCs w:val="24"/>
              </w:rPr>
            </w:pPr>
            <w:r>
              <w:rPr>
                <w:rFonts w:hint="eastAsia" w:cs="仿宋_GB2312"/>
                <w:sz w:val="24"/>
                <w:szCs w:val="24"/>
              </w:rPr>
              <w:t>2</w:t>
            </w:r>
            <w:r>
              <w:rPr>
                <w:rFonts w:hint="eastAsia" w:cs="等线"/>
                <w:sz w:val="24"/>
                <w:szCs w:val="24"/>
                <w:lang w:val="en-US" w:eastAsia="zh-CN"/>
              </w:rPr>
              <w:t>）</w:t>
            </w:r>
            <w:r>
              <w:rPr>
                <w:rFonts w:hint="eastAsia" w:cs="仿宋_GB2312"/>
                <w:sz w:val="24"/>
                <w:szCs w:val="24"/>
              </w:rPr>
              <w:t>为达到网端联动的服务效果，Web应用防火墙应能够与采购人现有态势感知进行日志关联分析和协同处置。</w:t>
            </w:r>
          </w:p>
        </w:tc>
      </w:tr>
      <w:tr w14:paraId="7448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Merge w:val="continue"/>
            <w:noWrap w:val="0"/>
            <w:vAlign w:val="center"/>
          </w:tcPr>
          <w:p w14:paraId="06E718E1">
            <w:pPr>
              <w:snapToGrid w:val="0"/>
              <w:spacing w:before="120" w:beforeLines="50" w:line="300" w:lineRule="auto"/>
              <w:ind w:firstLine="480" w:firstLineChars="200"/>
              <w:jc w:val="center"/>
              <w:rPr>
                <w:rFonts w:hint="eastAsia" w:cs="仿宋_GB2312"/>
                <w:sz w:val="24"/>
                <w:szCs w:val="24"/>
              </w:rPr>
            </w:pPr>
          </w:p>
        </w:tc>
        <w:tc>
          <w:tcPr>
            <w:tcW w:w="1058" w:type="dxa"/>
            <w:noWrap w:val="0"/>
            <w:vAlign w:val="center"/>
          </w:tcPr>
          <w:p w14:paraId="777FA208">
            <w:pPr>
              <w:snapToGrid w:val="0"/>
              <w:spacing w:before="120" w:beforeLines="50" w:line="300" w:lineRule="auto"/>
              <w:jc w:val="center"/>
              <w:rPr>
                <w:rFonts w:hint="eastAsia" w:cs="仿宋_GB2312"/>
                <w:sz w:val="24"/>
                <w:szCs w:val="24"/>
              </w:rPr>
            </w:pPr>
            <w:r>
              <w:rPr>
                <w:rFonts w:hint="eastAsia" w:cs="仿宋_GB2312"/>
                <w:sz w:val="24"/>
                <w:szCs w:val="24"/>
              </w:rPr>
              <w:t>硬件要求</w:t>
            </w:r>
          </w:p>
        </w:tc>
        <w:tc>
          <w:tcPr>
            <w:tcW w:w="7085" w:type="dxa"/>
            <w:noWrap w:val="0"/>
            <w:vAlign w:val="top"/>
          </w:tcPr>
          <w:p w14:paraId="09230E86">
            <w:pPr>
              <w:snapToGrid w:val="0"/>
              <w:spacing w:before="120" w:beforeLines="50" w:line="300" w:lineRule="auto"/>
              <w:rPr>
                <w:rFonts w:hint="eastAsia" w:cs="仿宋_GB2312"/>
                <w:sz w:val="24"/>
                <w:szCs w:val="24"/>
              </w:rPr>
            </w:pPr>
            <w:r>
              <w:rPr>
                <w:rFonts w:hint="eastAsia" w:cs="仿宋_GB2312"/>
                <w:sz w:val="24"/>
                <w:szCs w:val="24"/>
              </w:rPr>
              <w:t>不少于8个以太网电口，4个SFP口，冗余电源，2U机箱。网络层吞吐量≥4000Mbps，应用层吞吐量≥1Gbps，并发连接数≥500000，每秒新建连接数≥10000。</w:t>
            </w:r>
          </w:p>
        </w:tc>
      </w:tr>
      <w:tr w14:paraId="128A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Merge w:val="continue"/>
            <w:noWrap w:val="0"/>
            <w:vAlign w:val="center"/>
          </w:tcPr>
          <w:p w14:paraId="15FC8463">
            <w:pPr>
              <w:snapToGrid w:val="0"/>
              <w:spacing w:before="120" w:beforeLines="50" w:line="300" w:lineRule="auto"/>
              <w:ind w:firstLine="480" w:firstLineChars="200"/>
              <w:jc w:val="center"/>
              <w:rPr>
                <w:rFonts w:hint="eastAsia" w:cs="仿宋_GB2312"/>
                <w:sz w:val="24"/>
                <w:szCs w:val="24"/>
              </w:rPr>
            </w:pPr>
          </w:p>
        </w:tc>
        <w:tc>
          <w:tcPr>
            <w:tcW w:w="1058" w:type="dxa"/>
            <w:noWrap w:val="0"/>
            <w:vAlign w:val="center"/>
          </w:tcPr>
          <w:p w14:paraId="61E51FFE">
            <w:pPr>
              <w:snapToGrid w:val="0"/>
              <w:spacing w:before="120" w:beforeLines="50" w:line="300" w:lineRule="auto"/>
              <w:jc w:val="center"/>
              <w:rPr>
                <w:rFonts w:hint="eastAsia" w:cs="仿宋_GB2312"/>
                <w:sz w:val="24"/>
                <w:szCs w:val="24"/>
              </w:rPr>
            </w:pPr>
            <w:r>
              <w:rPr>
                <w:rFonts w:hint="eastAsia" w:cs="仿宋_GB2312"/>
                <w:sz w:val="24"/>
                <w:szCs w:val="24"/>
              </w:rPr>
              <w:t>部署方式</w:t>
            </w:r>
          </w:p>
        </w:tc>
        <w:tc>
          <w:tcPr>
            <w:tcW w:w="7085" w:type="dxa"/>
            <w:noWrap w:val="0"/>
            <w:vAlign w:val="top"/>
          </w:tcPr>
          <w:p w14:paraId="1551D3F7">
            <w:pPr>
              <w:snapToGrid w:val="0"/>
              <w:spacing w:before="120" w:beforeLines="50" w:line="300" w:lineRule="auto"/>
              <w:rPr>
                <w:rFonts w:hint="eastAsia" w:cs="仿宋_GB2312"/>
                <w:sz w:val="24"/>
                <w:szCs w:val="24"/>
              </w:rPr>
            </w:pPr>
            <w:r>
              <w:rPr>
                <w:rFonts w:hint="eastAsia" w:cs="仿宋_GB2312"/>
                <w:sz w:val="24"/>
                <w:szCs w:val="24"/>
              </w:rPr>
              <w:t>支持透明部署、路由部署、旁路镜像等多种部署方式，适应复杂使用环境的接入要求</w:t>
            </w:r>
          </w:p>
        </w:tc>
      </w:tr>
      <w:tr w14:paraId="3FDC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Merge w:val="continue"/>
            <w:noWrap w:val="0"/>
            <w:vAlign w:val="center"/>
          </w:tcPr>
          <w:p w14:paraId="5AFC12C3">
            <w:pPr>
              <w:snapToGrid w:val="0"/>
              <w:spacing w:before="120" w:beforeLines="50" w:line="300" w:lineRule="auto"/>
              <w:ind w:firstLine="480" w:firstLineChars="200"/>
              <w:jc w:val="center"/>
              <w:rPr>
                <w:rFonts w:hint="eastAsia" w:eastAsia="宋体" w:cs="仿宋_GB2312"/>
                <w:sz w:val="24"/>
                <w:szCs w:val="24"/>
                <w:lang w:eastAsia="zh-CN"/>
              </w:rPr>
            </w:pPr>
            <w:r>
              <w:rPr>
                <w:rFonts w:hint="eastAsia" w:cs="仿宋_GB2312"/>
                <w:sz w:val="24"/>
                <w:szCs w:val="24"/>
                <w:lang w:val="en-US" w:eastAsia="zh-CN"/>
              </w:rPr>
              <w:t>bu</w:t>
            </w:r>
          </w:p>
        </w:tc>
        <w:tc>
          <w:tcPr>
            <w:tcW w:w="1058" w:type="dxa"/>
            <w:vMerge w:val="restart"/>
            <w:noWrap w:val="0"/>
            <w:vAlign w:val="center"/>
          </w:tcPr>
          <w:p w14:paraId="23873694">
            <w:pPr>
              <w:snapToGrid w:val="0"/>
              <w:spacing w:before="120" w:beforeLines="50" w:line="300" w:lineRule="auto"/>
              <w:jc w:val="center"/>
              <w:rPr>
                <w:rFonts w:hint="eastAsia" w:cs="仿宋_GB2312"/>
                <w:sz w:val="24"/>
                <w:szCs w:val="24"/>
              </w:rPr>
            </w:pPr>
            <w:r>
              <w:rPr>
                <w:rFonts w:hint="eastAsia" w:cs="仿宋_GB2312"/>
                <w:sz w:val="24"/>
                <w:szCs w:val="24"/>
              </w:rPr>
              <w:t>防护策略</w:t>
            </w:r>
          </w:p>
        </w:tc>
        <w:tc>
          <w:tcPr>
            <w:tcW w:w="7085" w:type="dxa"/>
            <w:noWrap w:val="0"/>
            <w:vAlign w:val="top"/>
          </w:tcPr>
          <w:p w14:paraId="5AC3E2C4">
            <w:pPr>
              <w:snapToGrid w:val="0"/>
              <w:spacing w:before="120" w:beforeLines="50" w:line="300" w:lineRule="auto"/>
              <w:rPr>
                <w:rFonts w:hint="eastAsia" w:cs="仿宋_GB2312"/>
                <w:sz w:val="24"/>
                <w:szCs w:val="24"/>
              </w:rPr>
            </w:pPr>
            <w:r>
              <w:rPr>
                <w:rFonts w:hint="eastAsia" w:cs="仿宋_GB2312"/>
                <w:sz w:val="24"/>
                <w:szCs w:val="24"/>
                <w:lang w:val="en-US" w:eastAsia="zh-CN"/>
              </w:rPr>
              <w:t>1</w:t>
            </w:r>
            <w:r>
              <w:rPr>
                <w:rFonts w:hint="eastAsia" w:cs="等线"/>
                <w:sz w:val="24"/>
                <w:szCs w:val="24"/>
                <w:lang w:val="en-US" w:eastAsia="zh-CN"/>
              </w:rPr>
              <w:t>）</w:t>
            </w:r>
            <w:r>
              <w:rPr>
                <w:rFonts w:hint="eastAsia" w:cs="仿宋_GB2312"/>
                <w:sz w:val="24"/>
                <w:szCs w:val="24"/>
              </w:rPr>
              <w:t>支持精准的HTTP自定义访问控制规则，对多种HTTP方法执行访问控制，包括：GET、POST、HEAD、PUT、DELETE等；支持批量导入IP黑名单。</w:t>
            </w:r>
          </w:p>
        </w:tc>
      </w:tr>
      <w:tr w14:paraId="1D215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Merge w:val="continue"/>
            <w:noWrap w:val="0"/>
            <w:vAlign w:val="center"/>
          </w:tcPr>
          <w:p w14:paraId="40A087DE">
            <w:pPr>
              <w:snapToGrid w:val="0"/>
              <w:spacing w:before="120" w:beforeLines="50" w:line="300" w:lineRule="auto"/>
              <w:ind w:firstLine="480" w:firstLineChars="200"/>
              <w:jc w:val="center"/>
              <w:rPr>
                <w:rFonts w:hint="eastAsia" w:cs="仿宋_GB2312"/>
                <w:sz w:val="24"/>
                <w:szCs w:val="24"/>
              </w:rPr>
            </w:pPr>
          </w:p>
        </w:tc>
        <w:tc>
          <w:tcPr>
            <w:tcW w:w="1058" w:type="dxa"/>
            <w:vMerge w:val="continue"/>
            <w:noWrap w:val="0"/>
            <w:vAlign w:val="center"/>
          </w:tcPr>
          <w:p w14:paraId="1B1164D2">
            <w:pPr>
              <w:snapToGrid w:val="0"/>
              <w:spacing w:before="120" w:beforeLines="50" w:line="300" w:lineRule="auto"/>
              <w:ind w:firstLine="480" w:firstLineChars="200"/>
              <w:jc w:val="center"/>
              <w:rPr>
                <w:rFonts w:hint="eastAsia" w:cs="仿宋_GB2312"/>
                <w:sz w:val="24"/>
                <w:szCs w:val="24"/>
              </w:rPr>
            </w:pPr>
          </w:p>
        </w:tc>
        <w:tc>
          <w:tcPr>
            <w:tcW w:w="7085" w:type="dxa"/>
            <w:noWrap w:val="0"/>
            <w:vAlign w:val="top"/>
          </w:tcPr>
          <w:p w14:paraId="739AA4E0">
            <w:pPr>
              <w:snapToGrid w:val="0"/>
              <w:spacing w:before="120" w:beforeLines="50" w:line="300" w:lineRule="auto"/>
              <w:rPr>
                <w:rFonts w:hint="eastAsia" w:cs="仿宋_GB2312"/>
                <w:sz w:val="24"/>
                <w:szCs w:val="24"/>
              </w:rPr>
            </w:pPr>
            <w:r>
              <w:rPr>
                <w:rFonts w:hint="eastAsia" w:cs="等线"/>
                <w:sz w:val="24"/>
                <w:szCs w:val="24"/>
                <w:lang w:val="en-US" w:eastAsia="zh-CN"/>
              </w:rPr>
              <w:t>2）</w:t>
            </w:r>
            <w:r>
              <w:rPr>
                <w:rFonts w:hint="eastAsia" w:cs="仿宋_GB2312"/>
                <w:sz w:val="24"/>
                <w:szCs w:val="24"/>
              </w:rPr>
              <w:t>支持对HTTP协议的异常元素、异常参数、非法编码和解码的灵活控制与处理，可进行单独的处置管控，如是否产生告警，提供多种处置动作，如放过、阻断、接受。</w:t>
            </w:r>
          </w:p>
        </w:tc>
      </w:tr>
      <w:tr w14:paraId="466A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Merge w:val="continue"/>
            <w:noWrap w:val="0"/>
            <w:vAlign w:val="center"/>
          </w:tcPr>
          <w:p w14:paraId="2B81420A">
            <w:pPr>
              <w:snapToGrid w:val="0"/>
              <w:spacing w:before="120" w:beforeLines="50" w:line="300" w:lineRule="auto"/>
              <w:ind w:firstLine="480" w:firstLineChars="200"/>
              <w:jc w:val="center"/>
              <w:rPr>
                <w:rFonts w:hint="eastAsia" w:cs="仿宋_GB2312"/>
                <w:sz w:val="24"/>
                <w:szCs w:val="24"/>
              </w:rPr>
            </w:pPr>
          </w:p>
        </w:tc>
        <w:tc>
          <w:tcPr>
            <w:tcW w:w="1058" w:type="dxa"/>
            <w:noWrap w:val="0"/>
            <w:vAlign w:val="center"/>
          </w:tcPr>
          <w:p w14:paraId="77B73ABC">
            <w:pPr>
              <w:snapToGrid w:val="0"/>
              <w:spacing w:before="120" w:beforeLines="50" w:line="300" w:lineRule="auto"/>
              <w:jc w:val="center"/>
              <w:rPr>
                <w:rFonts w:hint="eastAsia" w:cs="仿宋_GB2312"/>
                <w:sz w:val="24"/>
                <w:szCs w:val="24"/>
              </w:rPr>
            </w:pPr>
            <w:r>
              <w:rPr>
                <w:rFonts w:hint="eastAsia" w:cs="仿宋_GB2312"/>
                <w:sz w:val="24"/>
                <w:szCs w:val="24"/>
              </w:rPr>
              <w:t>业务学习</w:t>
            </w:r>
          </w:p>
        </w:tc>
        <w:tc>
          <w:tcPr>
            <w:tcW w:w="7085" w:type="dxa"/>
            <w:noWrap w:val="0"/>
            <w:vAlign w:val="top"/>
          </w:tcPr>
          <w:p w14:paraId="760A5A6C">
            <w:pPr>
              <w:snapToGrid w:val="0"/>
              <w:spacing w:before="120" w:beforeLines="50" w:line="300" w:lineRule="auto"/>
              <w:rPr>
                <w:rFonts w:hint="eastAsia" w:cs="仿宋_GB2312"/>
                <w:sz w:val="24"/>
                <w:szCs w:val="24"/>
              </w:rPr>
            </w:pPr>
            <w:r>
              <w:rPr>
                <w:rFonts w:hint="eastAsia" w:cs="仿宋_GB2312"/>
                <w:sz w:val="24"/>
                <w:szCs w:val="24"/>
              </w:rPr>
              <w:t>支持业务模型学习监督功能，支持基于智能用户行为识别的动态防护机制；产品自学习应该能够支持host,url,http method,请求响应码，请求参数名称及其对应的值，cookie 参数名称及其对应值，refer 等信息。</w:t>
            </w:r>
          </w:p>
        </w:tc>
      </w:tr>
      <w:tr w14:paraId="03827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Merge w:val="continue"/>
            <w:noWrap w:val="0"/>
            <w:vAlign w:val="center"/>
          </w:tcPr>
          <w:p w14:paraId="43E88994">
            <w:pPr>
              <w:snapToGrid w:val="0"/>
              <w:spacing w:before="120" w:beforeLines="50" w:line="300" w:lineRule="auto"/>
              <w:ind w:firstLine="480" w:firstLineChars="200"/>
              <w:jc w:val="center"/>
              <w:rPr>
                <w:rFonts w:hint="eastAsia" w:cs="仿宋_GB2312"/>
                <w:sz w:val="24"/>
                <w:szCs w:val="24"/>
              </w:rPr>
            </w:pPr>
          </w:p>
        </w:tc>
        <w:tc>
          <w:tcPr>
            <w:tcW w:w="1058" w:type="dxa"/>
            <w:noWrap w:val="0"/>
            <w:vAlign w:val="center"/>
          </w:tcPr>
          <w:p w14:paraId="28776536">
            <w:pPr>
              <w:snapToGrid w:val="0"/>
              <w:spacing w:before="120" w:beforeLines="50" w:line="300" w:lineRule="auto"/>
              <w:jc w:val="center"/>
              <w:rPr>
                <w:rFonts w:hint="eastAsia" w:cs="仿宋_GB2312"/>
                <w:sz w:val="24"/>
                <w:szCs w:val="24"/>
              </w:rPr>
            </w:pPr>
            <w:r>
              <w:rPr>
                <w:rFonts w:hint="eastAsia" w:cs="仿宋_GB2312"/>
                <w:sz w:val="24"/>
                <w:szCs w:val="24"/>
              </w:rPr>
              <w:t>防篡改</w:t>
            </w:r>
          </w:p>
        </w:tc>
        <w:tc>
          <w:tcPr>
            <w:tcW w:w="7085" w:type="dxa"/>
            <w:noWrap w:val="0"/>
            <w:vAlign w:val="top"/>
          </w:tcPr>
          <w:p w14:paraId="2B4BE8B0">
            <w:pPr>
              <w:snapToGrid w:val="0"/>
              <w:spacing w:before="120" w:beforeLines="50" w:line="300" w:lineRule="auto"/>
              <w:rPr>
                <w:rFonts w:hint="eastAsia" w:cs="仿宋_GB2312"/>
                <w:sz w:val="24"/>
                <w:szCs w:val="24"/>
              </w:rPr>
            </w:pPr>
            <w:r>
              <w:rPr>
                <w:rFonts w:hint="eastAsia" w:cs="仿宋_GB2312"/>
                <w:sz w:val="24"/>
                <w:szCs w:val="24"/>
              </w:rPr>
              <w:t>支提供网页篡改防护以及服务器侧恶意代码过滤功能。</w:t>
            </w:r>
          </w:p>
        </w:tc>
      </w:tr>
      <w:tr w14:paraId="0E9A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Merge w:val="continue"/>
            <w:noWrap w:val="0"/>
            <w:vAlign w:val="center"/>
          </w:tcPr>
          <w:p w14:paraId="7CC621CA">
            <w:pPr>
              <w:snapToGrid w:val="0"/>
              <w:spacing w:before="120" w:beforeLines="50" w:line="300" w:lineRule="auto"/>
              <w:ind w:firstLine="480" w:firstLineChars="200"/>
              <w:jc w:val="center"/>
              <w:rPr>
                <w:rFonts w:hint="eastAsia" w:cs="仿宋_GB2312"/>
                <w:sz w:val="24"/>
                <w:szCs w:val="24"/>
              </w:rPr>
            </w:pPr>
          </w:p>
        </w:tc>
        <w:tc>
          <w:tcPr>
            <w:tcW w:w="1058" w:type="dxa"/>
            <w:vMerge w:val="restart"/>
            <w:noWrap w:val="0"/>
            <w:vAlign w:val="center"/>
          </w:tcPr>
          <w:p w14:paraId="091D208E">
            <w:pPr>
              <w:snapToGrid w:val="0"/>
              <w:spacing w:before="120" w:beforeLines="50" w:line="300" w:lineRule="auto"/>
              <w:jc w:val="center"/>
              <w:rPr>
                <w:rFonts w:hint="eastAsia" w:cs="仿宋_GB2312"/>
                <w:sz w:val="24"/>
                <w:szCs w:val="24"/>
              </w:rPr>
            </w:pPr>
            <w:r>
              <w:rPr>
                <w:rFonts w:hint="eastAsia" w:cs="仿宋_GB2312"/>
                <w:sz w:val="24"/>
                <w:szCs w:val="24"/>
              </w:rPr>
              <w:t>脆弱性识别</w:t>
            </w:r>
          </w:p>
        </w:tc>
        <w:tc>
          <w:tcPr>
            <w:tcW w:w="7085" w:type="dxa"/>
            <w:noWrap w:val="0"/>
            <w:vAlign w:val="top"/>
          </w:tcPr>
          <w:p w14:paraId="4DA3136E">
            <w:pPr>
              <w:snapToGrid w:val="0"/>
              <w:spacing w:before="120" w:beforeLines="50" w:line="300" w:lineRule="auto"/>
              <w:rPr>
                <w:rFonts w:hint="eastAsia" w:cs="仿宋_GB2312"/>
                <w:sz w:val="24"/>
                <w:szCs w:val="24"/>
              </w:rPr>
            </w:pPr>
            <w:r>
              <w:rPr>
                <w:rFonts w:hint="eastAsia" w:cs="仿宋_GB2312"/>
                <w:sz w:val="24"/>
                <w:szCs w:val="24"/>
                <w:lang w:val="en-US" w:eastAsia="zh-CN"/>
              </w:rPr>
              <w:t>1</w:t>
            </w:r>
            <w:r>
              <w:rPr>
                <w:rFonts w:hint="eastAsia" w:cs="等线"/>
                <w:sz w:val="24"/>
                <w:szCs w:val="24"/>
                <w:lang w:val="en-US" w:eastAsia="zh-CN"/>
              </w:rPr>
              <w:t>）</w:t>
            </w:r>
            <w:r>
              <w:rPr>
                <w:rFonts w:hint="eastAsia" w:cs="仿宋_GB2312"/>
                <w:sz w:val="24"/>
                <w:szCs w:val="24"/>
              </w:rPr>
              <w:t>支持针对主流Web服务器及插件的已知漏洞防护。Web服务器应覆盖主流服务器：apache、tomcat、lighttpd、NGINX、IIS等插件应覆盖:dedecms、phpmyadmin、PHPWind、shopex、discuz、ecshop、vbulletin、wordpress等，提供Java反序列化漏洞（Jboss）防护插件。</w:t>
            </w:r>
          </w:p>
        </w:tc>
      </w:tr>
      <w:tr w14:paraId="5458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Merge w:val="continue"/>
            <w:noWrap w:val="0"/>
            <w:vAlign w:val="center"/>
          </w:tcPr>
          <w:p w14:paraId="6FA547A0">
            <w:pPr>
              <w:snapToGrid w:val="0"/>
              <w:spacing w:before="120" w:beforeLines="50" w:line="300" w:lineRule="auto"/>
              <w:ind w:firstLine="480" w:firstLineChars="200"/>
              <w:jc w:val="center"/>
              <w:rPr>
                <w:rFonts w:hint="eastAsia" w:cs="仿宋_GB2312"/>
                <w:sz w:val="24"/>
                <w:szCs w:val="24"/>
              </w:rPr>
            </w:pPr>
          </w:p>
        </w:tc>
        <w:tc>
          <w:tcPr>
            <w:tcW w:w="1058" w:type="dxa"/>
            <w:vMerge w:val="continue"/>
            <w:noWrap w:val="0"/>
            <w:vAlign w:val="center"/>
          </w:tcPr>
          <w:p w14:paraId="58347D2F">
            <w:pPr>
              <w:snapToGrid w:val="0"/>
              <w:spacing w:before="120" w:beforeLines="50" w:line="300" w:lineRule="auto"/>
              <w:ind w:firstLine="480" w:firstLineChars="200"/>
              <w:jc w:val="center"/>
              <w:rPr>
                <w:rFonts w:hint="eastAsia" w:cs="仿宋_GB2312"/>
                <w:sz w:val="24"/>
                <w:szCs w:val="24"/>
              </w:rPr>
            </w:pPr>
          </w:p>
        </w:tc>
        <w:tc>
          <w:tcPr>
            <w:tcW w:w="7085" w:type="dxa"/>
            <w:noWrap w:val="0"/>
            <w:vAlign w:val="top"/>
          </w:tcPr>
          <w:p w14:paraId="16B1DAFA">
            <w:pPr>
              <w:snapToGrid w:val="0"/>
              <w:spacing w:before="120" w:beforeLines="50" w:line="300" w:lineRule="auto"/>
              <w:rPr>
                <w:rFonts w:hint="eastAsia" w:cs="仿宋_GB2312"/>
                <w:sz w:val="24"/>
                <w:szCs w:val="24"/>
              </w:rPr>
            </w:pPr>
            <w:r>
              <w:rPr>
                <w:rFonts w:hint="eastAsia" w:cs="仿宋_GB2312"/>
                <w:sz w:val="24"/>
                <w:szCs w:val="24"/>
                <w:lang w:val="en-US" w:eastAsia="zh-CN"/>
              </w:rPr>
              <w:t>2</w:t>
            </w:r>
            <w:r>
              <w:rPr>
                <w:rFonts w:hint="eastAsia" w:cs="等线"/>
                <w:sz w:val="24"/>
                <w:szCs w:val="24"/>
                <w:lang w:val="en-US" w:eastAsia="zh-CN"/>
              </w:rPr>
              <w:t>）</w:t>
            </w:r>
            <w:r>
              <w:rPr>
                <w:rFonts w:hint="eastAsia" w:cs="仿宋_GB2312"/>
                <w:sz w:val="24"/>
                <w:szCs w:val="24"/>
              </w:rPr>
              <w:t>支持以统计算法分析扫描行为的扫描防护，实现对100种以上的爬虫特征进行识别和阻断，防止页面因爬虫而引起信息泄露等问题。</w:t>
            </w:r>
          </w:p>
        </w:tc>
      </w:tr>
      <w:tr w14:paraId="711F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Merge w:val="continue"/>
            <w:noWrap w:val="0"/>
            <w:vAlign w:val="center"/>
          </w:tcPr>
          <w:p w14:paraId="3BD66FED">
            <w:pPr>
              <w:snapToGrid w:val="0"/>
              <w:spacing w:before="120" w:beforeLines="50" w:line="300" w:lineRule="auto"/>
              <w:ind w:firstLine="480" w:firstLineChars="200"/>
              <w:jc w:val="center"/>
              <w:rPr>
                <w:rFonts w:hint="eastAsia" w:cs="仿宋_GB2312"/>
                <w:sz w:val="24"/>
                <w:szCs w:val="24"/>
              </w:rPr>
            </w:pPr>
          </w:p>
        </w:tc>
        <w:tc>
          <w:tcPr>
            <w:tcW w:w="1058" w:type="dxa"/>
            <w:noWrap w:val="0"/>
            <w:vAlign w:val="center"/>
          </w:tcPr>
          <w:p w14:paraId="46DAB0F9">
            <w:pPr>
              <w:snapToGrid w:val="0"/>
              <w:spacing w:before="120" w:beforeLines="50" w:line="300" w:lineRule="auto"/>
              <w:jc w:val="center"/>
              <w:rPr>
                <w:rFonts w:hint="eastAsia" w:cs="仿宋_GB2312"/>
                <w:sz w:val="24"/>
                <w:szCs w:val="24"/>
              </w:rPr>
            </w:pPr>
            <w:r>
              <w:rPr>
                <w:rFonts w:hint="eastAsia" w:cs="仿宋_GB2312"/>
                <w:sz w:val="24"/>
                <w:szCs w:val="24"/>
              </w:rPr>
              <w:t>产品联动</w:t>
            </w:r>
          </w:p>
        </w:tc>
        <w:tc>
          <w:tcPr>
            <w:tcW w:w="7085" w:type="dxa"/>
            <w:noWrap w:val="0"/>
            <w:vAlign w:val="top"/>
          </w:tcPr>
          <w:p w14:paraId="6392DE9D">
            <w:pPr>
              <w:snapToGrid w:val="0"/>
              <w:spacing w:before="120" w:beforeLines="50" w:line="300" w:lineRule="auto"/>
              <w:rPr>
                <w:rFonts w:hint="eastAsia" w:cs="仿宋_GB2312"/>
                <w:sz w:val="24"/>
                <w:szCs w:val="24"/>
              </w:rPr>
            </w:pPr>
            <w:r>
              <w:rPr>
                <w:rFonts w:hint="eastAsia" w:cs="仿宋_GB2312"/>
                <w:sz w:val="24"/>
                <w:szCs w:val="24"/>
              </w:rPr>
              <w:t xml:space="preserve">支持与同品牌安全态势感知产品实现联动，Web应用防火墙支持以标准Syslog协议上传安全日志到态势感知平台，供态势感知系统进行深度关联分析并对恶意威胁实现联动封锁； </w:t>
            </w:r>
          </w:p>
        </w:tc>
      </w:tr>
    </w:tbl>
    <w:p w14:paraId="37BC791F">
      <w:pPr>
        <w:spacing w:before="120" w:beforeLines="50" w:line="300" w:lineRule="auto"/>
        <w:ind w:firstLine="480" w:firstLineChars="200"/>
        <w:rPr>
          <w:rFonts w:hint="eastAsia"/>
          <w:sz w:val="24"/>
        </w:rPr>
      </w:pPr>
    </w:p>
    <w:p w14:paraId="67F8C275">
      <w:pPr>
        <w:pStyle w:val="5"/>
        <w:spacing w:before="120" w:beforeLines="50" w:line="300" w:lineRule="auto"/>
        <w:jc w:val="left"/>
        <w:rPr>
          <w:rFonts w:hint="eastAsia"/>
          <w:sz w:val="24"/>
        </w:rPr>
      </w:pPr>
      <w:r>
        <w:rPr>
          <w:rFonts w:hint="eastAsia"/>
          <w:sz w:val="24"/>
          <w:lang w:val="en-US" w:eastAsia="zh-CN"/>
        </w:rPr>
        <w:t>2.1.2.5</w:t>
      </w:r>
      <w:r>
        <w:rPr>
          <w:sz w:val="24"/>
        </w:rPr>
        <w:t>安全云防护服务</w:t>
      </w:r>
    </w:p>
    <w:p w14:paraId="299B6E66">
      <w:pPr>
        <w:spacing w:before="120" w:beforeLines="50" w:line="300" w:lineRule="auto"/>
        <w:ind w:firstLine="480" w:firstLineChars="200"/>
        <w:rPr>
          <w:rFonts w:hint="eastAsia"/>
          <w:sz w:val="24"/>
        </w:rPr>
      </w:pPr>
      <w:r>
        <w:rPr>
          <w:rFonts w:hint="eastAsia" w:ascii="宋体" w:eastAsia="宋体"/>
          <w:sz w:val="24"/>
          <w:lang w:val="en-US" w:eastAsia="zh-CN"/>
        </w:rPr>
        <w:t>1、</w:t>
      </w:r>
      <w:r>
        <w:rPr>
          <w:sz w:val="24"/>
        </w:rPr>
        <w:t>采购需求</w:t>
      </w:r>
    </w:p>
    <w:p w14:paraId="72DEF2A1">
      <w:pPr>
        <w:spacing w:before="120" w:beforeLines="50" w:line="360" w:lineRule="auto"/>
        <w:ind w:firstLine="480" w:firstLineChars="200"/>
        <w:rPr>
          <w:rFonts w:hint="eastAsia"/>
          <w:sz w:val="24"/>
        </w:rPr>
      </w:pPr>
      <w:r>
        <w:rPr>
          <w:rFonts w:hint="eastAsia" w:eastAsia="宋体"/>
          <w:sz w:val="24"/>
          <w:lang w:eastAsia="zh-CN"/>
        </w:rPr>
        <w:t>（</w:t>
      </w:r>
      <w:r>
        <w:rPr>
          <w:rFonts w:hint="eastAsia" w:ascii="宋体" w:eastAsia="宋体"/>
          <w:sz w:val="24"/>
          <w:lang w:val="en-US" w:eastAsia="zh-CN"/>
        </w:rPr>
        <w:t>1</w:t>
      </w:r>
      <w:r>
        <w:rPr>
          <w:rFonts w:hint="eastAsia" w:eastAsia="宋体"/>
          <w:sz w:val="24"/>
          <w:lang w:eastAsia="zh-CN"/>
        </w:rPr>
        <w:t>）</w:t>
      </w:r>
      <w:r>
        <w:rPr>
          <w:rFonts w:hint="eastAsia"/>
          <w:sz w:val="24"/>
        </w:rPr>
        <w:t>为了保证系统安全和网络安全，采购人将对院内正在使用的网站防护</w:t>
      </w:r>
      <w:r>
        <w:rPr>
          <w:sz w:val="24"/>
        </w:rPr>
        <w:t>SAAS服务、1630点终端安全防护软件，80点物理服务器安全防护软件及18点（CPU授权）虚拟化安全软件</w:t>
      </w:r>
      <w:r>
        <w:rPr>
          <w:rFonts w:hint="eastAsia"/>
          <w:sz w:val="24"/>
        </w:rPr>
        <w:t>进行</w:t>
      </w:r>
      <w:r>
        <w:rPr>
          <w:sz w:val="24"/>
        </w:rPr>
        <w:t>维护。</w:t>
      </w:r>
    </w:p>
    <w:p w14:paraId="62C9880B">
      <w:pPr>
        <w:spacing w:before="120" w:beforeLines="50" w:line="300" w:lineRule="auto"/>
        <w:ind w:firstLine="480" w:firstLineChars="200"/>
        <w:rPr>
          <w:rFonts w:hint="eastAsia"/>
          <w:sz w:val="24"/>
        </w:rPr>
      </w:pPr>
      <w:r>
        <w:rPr>
          <w:rFonts w:hint="eastAsia" w:eastAsia="宋体"/>
          <w:sz w:val="24"/>
          <w:lang w:eastAsia="zh-CN"/>
        </w:rPr>
        <w:t>（</w:t>
      </w:r>
      <w:r>
        <w:rPr>
          <w:rFonts w:hint="eastAsia" w:ascii="宋体" w:eastAsia="宋体"/>
          <w:sz w:val="24"/>
          <w:lang w:val="en-US" w:eastAsia="zh-CN"/>
        </w:rPr>
        <w:t>2</w:t>
      </w:r>
      <w:r>
        <w:rPr>
          <w:rFonts w:hint="eastAsia" w:eastAsia="宋体"/>
          <w:sz w:val="24"/>
          <w:lang w:eastAsia="zh-CN"/>
        </w:rPr>
        <w:t>）</w:t>
      </w:r>
      <w:r>
        <w:rPr>
          <w:rFonts w:hint="eastAsia"/>
          <w:sz w:val="24"/>
        </w:rPr>
        <w:t>为了保证本次采购的售后服务质量，要求投标人须提供上述产品的原厂售后服务承诺函。</w:t>
      </w:r>
    </w:p>
    <w:p w14:paraId="6C6D014F">
      <w:pPr>
        <w:spacing w:before="120" w:beforeLines="50" w:line="300" w:lineRule="auto"/>
        <w:ind w:firstLine="480" w:firstLineChars="200"/>
        <w:rPr>
          <w:rFonts w:hint="eastAsia"/>
          <w:sz w:val="24"/>
        </w:rPr>
      </w:pPr>
      <w:r>
        <w:rPr>
          <w:rFonts w:hint="eastAsia"/>
          <w:sz w:val="24"/>
        </w:rPr>
        <w:t>具体如下：</w:t>
      </w:r>
    </w:p>
    <w:p w14:paraId="778E540C">
      <w:pPr>
        <w:spacing w:before="120" w:beforeLines="50" w:line="300" w:lineRule="auto"/>
        <w:ind w:firstLine="480" w:firstLineChars="200"/>
        <w:rPr>
          <w:rFonts w:hint="eastAsia"/>
          <w:sz w:val="24"/>
        </w:rPr>
      </w:pPr>
      <w:r>
        <w:rPr>
          <w:sz w:val="24"/>
        </w:rPr>
        <w:t>1)网站云防护</w:t>
      </w:r>
    </w:p>
    <w:p w14:paraId="79BB245E">
      <w:pPr>
        <w:spacing w:before="120" w:beforeLines="50" w:line="360" w:lineRule="auto"/>
        <w:ind w:firstLine="480" w:firstLineChars="200"/>
        <w:rPr>
          <w:rFonts w:hint="eastAsia"/>
          <w:sz w:val="24"/>
        </w:rPr>
      </w:pPr>
      <w:r>
        <w:rPr>
          <w:rFonts w:hint="eastAsia"/>
          <w:sz w:val="24"/>
        </w:rPr>
        <w:t>网站云防护服务，要求提供云端防护账号交付，以</w:t>
      </w:r>
      <w:r>
        <w:rPr>
          <w:sz w:val="24"/>
        </w:rPr>
        <w:t xml:space="preserve"> SaaS 服务的方式为</w:t>
      </w:r>
      <w:r>
        <w:rPr>
          <w:rFonts w:hint="eastAsia"/>
          <w:sz w:val="24"/>
        </w:rPr>
        <w:t>采购人</w:t>
      </w:r>
      <w:r>
        <w:rPr>
          <w:sz w:val="24"/>
        </w:rPr>
        <w:t>提供网站安全防护服务；</w:t>
      </w:r>
    </w:p>
    <w:p w14:paraId="339FFDA5">
      <w:pPr>
        <w:spacing w:before="120" w:beforeLines="50" w:line="360" w:lineRule="auto"/>
        <w:ind w:firstLine="480" w:firstLineChars="200"/>
        <w:rPr>
          <w:rFonts w:hint="eastAsia"/>
          <w:sz w:val="24"/>
        </w:rPr>
      </w:pPr>
      <w:r>
        <w:rPr>
          <w:sz w:val="24"/>
        </w:rPr>
        <w:t>2)终端安全防护</w:t>
      </w:r>
    </w:p>
    <w:p w14:paraId="686177D2">
      <w:pPr>
        <w:spacing w:before="120" w:beforeLines="50" w:line="360" w:lineRule="auto"/>
        <w:ind w:firstLine="480" w:firstLineChars="200"/>
        <w:rPr>
          <w:rFonts w:hint="eastAsia"/>
          <w:sz w:val="24"/>
        </w:rPr>
      </w:pPr>
      <w:r>
        <w:rPr>
          <w:rFonts w:hint="eastAsia"/>
          <w:sz w:val="24"/>
        </w:rPr>
        <w:t>采购人当前使用的奇安信天擎终端安全管理系统</w:t>
      </w:r>
      <w:r>
        <w:rPr>
          <w:sz w:val="24"/>
        </w:rPr>
        <w:t>V10.0：控制中心采用B/S架构管理，具备设备分组管理、策略制定下发、统一杀毒、统一漏洞修复、统一管控以及各种报表和查询等功能，支持在虚拟机上安装控制中心。本次采购病毒库升级服务</w:t>
      </w:r>
      <w:r>
        <w:rPr>
          <w:rFonts w:hint="eastAsia" w:eastAsia="宋体"/>
          <w:lang w:eastAsia="zh-CN"/>
        </w:rPr>
        <w:t>（</w:t>
      </w:r>
      <w:r>
        <w:rPr>
          <w:rFonts w:hint="eastAsia" w:ascii="宋体" w:eastAsia="宋体"/>
          <w:lang w:val="en-US" w:eastAsia="zh-CN"/>
        </w:rPr>
        <w:t>合同期内</w:t>
      </w:r>
      <w:r>
        <w:rPr>
          <w:rFonts w:hint="eastAsia" w:eastAsia="宋体"/>
          <w:lang w:eastAsia="zh-CN"/>
        </w:rPr>
        <w:t>）</w:t>
      </w:r>
      <w:r>
        <w:rPr>
          <w:sz w:val="24"/>
        </w:rPr>
        <w:t>，至少包含1630点windows pc客户端授权</w:t>
      </w:r>
      <w:r>
        <w:rPr>
          <w:rFonts w:hint="eastAsia"/>
          <w:sz w:val="24"/>
        </w:rPr>
        <w:t>，</w:t>
      </w:r>
      <w:r>
        <w:rPr>
          <w:sz w:val="24"/>
        </w:rPr>
        <w:t>包括防病毒、补丁管理、运维管控、移动存储、停服加固、终端安全审计、终端准入七项功能授权。</w:t>
      </w:r>
    </w:p>
    <w:p w14:paraId="04A50942">
      <w:pPr>
        <w:spacing w:before="120" w:beforeLines="50" w:line="360" w:lineRule="auto"/>
        <w:ind w:firstLine="480" w:firstLineChars="200"/>
        <w:rPr>
          <w:rFonts w:hint="eastAsia"/>
          <w:sz w:val="24"/>
        </w:rPr>
      </w:pPr>
      <w:r>
        <w:rPr>
          <w:rFonts w:hint="eastAsia"/>
          <w:sz w:val="24"/>
        </w:rPr>
        <w:t>支持</w:t>
      </w:r>
      <w:r>
        <w:rPr>
          <w:sz w:val="24"/>
        </w:rPr>
        <w:t>Windows Server 2008/Windows Server 2012/Windows Server 2016/Windows Server 2019版本的杀毒防护与漏洞管理，含病毒库升级服务。至少包含80点windows server防病毒及补丁管理授权。</w:t>
      </w:r>
    </w:p>
    <w:p w14:paraId="6BEE599D">
      <w:pPr>
        <w:spacing w:before="120" w:beforeLines="50" w:line="360" w:lineRule="auto"/>
        <w:ind w:firstLine="480" w:firstLineChars="200"/>
        <w:rPr>
          <w:rFonts w:hint="eastAsia"/>
          <w:sz w:val="24"/>
        </w:rPr>
      </w:pPr>
      <w:r>
        <w:rPr>
          <w:sz w:val="24"/>
        </w:rPr>
        <w:t>3)虚拟化安全防护</w:t>
      </w:r>
    </w:p>
    <w:p w14:paraId="094373D5">
      <w:pPr>
        <w:spacing w:before="120" w:beforeLines="50" w:line="360" w:lineRule="auto"/>
        <w:ind w:firstLine="480" w:firstLineChars="200"/>
        <w:rPr>
          <w:rFonts w:hint="eastAsia"/>
          <w:sz w:val="24"/>
        </w:rPr>
      </w:pPr>
      <w:r>
        <w:rPr>
          <w:rFonts w:hint="eastAsia"/>
          <w:sz w:val="24"/>
        </w:rPr>
        <w:t>采购人当前使用的奇安信网神统一服务器安全管理系统</w:t>
      </w:r>
      <w:r>
        <w:rPr>
          <w:sz w:val="24"/>
        </w:rPr>
        <w:t>V8.0，支持国内外主流虚拟化平台，包括VMware、Citrix XenServer、华为FusionSphere、H3C、OpenStack、CloudManager云管理平台、浪潮 InCloud Sphere、QingCloud青云、曙光云等主流虚拟化厂商平台，需要提供18颗CPU虚拟化防病毒、入侵防御、防火墙、webshell检测四项功能</w:t>
      </w:r>
      <w:r>
        <w:rPr>
          <w:rFonts w:hint="eastAsia" w:ascii="宋体" w:eastAsia="宋体"/>
          <w:sz w:val="24"/>
          <w:lang w:val="en-US" w:eastAsia="zh-CN"/>
        </w:rPr>
        <w:t>的合同期内</w:t>
      </w:r>
      <w:r>
        <w:rPr>
          <w:sz w:val="24"/>
        </w:rPr>
        <w:t>授权。支持高可用部署，保障管理节点无单点故障。</w:t>
      </w:r>
    </w:p>
    <w:p w14:paraId="3A785DEE">
      <w:pPr>
        <w:spacing w:before="120" w:beforeLines="50" w:line="360" w:lineRule="auto"/>
        <w:ind w:firstLine="480" w:firstLineChars="200"/>
        <w:rPr>
          <w:rFonts w:hint="eastAsia"/>
          <w:sz w:val="24"/>
        </w:rPr>
      </w:pPr>
      <w:r>
        <w:rPr>
          <w:rFonts w:hint="eastAsia"/>
          <w:sz w:val="24"/>
        </w:rPr>
        <w:t>平台自带升级、查询、代理功能，无需额外部署升级服务器、代理服务器等节点。</w:t>
      </w:r>
    </w:p>
    <w:p w14:paraId="0D16DD01">
      <w:pPr>
        <w:spacing w:before="120" w:beforeLines="50" w:line="300" w:lineRule="auto"/>
        <w:ind w:firstLine="480" w:firstLineChars="200"/>
        <w:rPr>
          <w:rFonts w:hint="eastAsia"/>
          <w:sz w:val="24"/>
        </w:rPr>
      </w:pPr>
      <w:r>
        <w:rPr>
          <w:rFonts w:hint="eastAsia" w:ascii="宋体" w:eastAsia="宋体"/>
          <w:sz w:val="24"/>
          <w:lang w:val="en-US" w:eastAsia="zh-CN"/>
        </w:rPr>
        <w:t>2、</w:t>
      </w:r>
      <w:r>
        <w:rPr>
          <w:sz w:val="24"/>
        </w:rPr>
        <w:t>技术参数</w:t>
      </w:r>
    </w:p>
    <w:p w14:paraId="722F82AC">
      <w:pPr>
        <w:spacing w:before="120" w:beforeLines="50" w:line="300" w:lineRule="auto"/>
        <w:ind w:firstLine="480" w:firstLineChars="200"/>
        <w:rPr>
          <w:rFonts w:hint="eastAsia"/>
          <w:sz w:val="24"/>
        </w:rPr>
      </w:pPr>
      <w:r>
        <w:rPr>
          <w:rFonts w:hint="eastAsia"/>
          <w:sz w:val="24"/>
        </w:rPr>
        <w:t>（1）网站云防护</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1776"/>
        <w:gridCol w:w="7449"/>
      </w:tblGrid>
      <w:tr w14:paraId="0F3E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shd w:val="clear" w:color="FFFFFF" w:fill="FFFFFF"/>
            <w:noWrap w:val="0"/>
            <w:vAlign w:val="center"/>
          </w:tcPr>
          <w:p w14:paraId="5D0978B0">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序号</w:t>
            </w:r>
          </w:p>
        </w:tc>
        <w:tc>
          <w:tcPr>
            <w:tcW w:w="1776" w:type="dxa"/>
            <w:shd w:val="clear" w:color="FFFFFF" w:fill="FFFFFF"/>
            <w:noWrap w:val="0"/>
            <w:vAlign w:val="center"/>
          </w:tcPr>
          <w:p w14:paraId="42527C9F">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技能指标分类</w:t>
            </w:r>
          </w:p>
        </w:tc>
        <w:tc>
          <w:tcPr>
            <w:tcW w:w="7449" w:type="dxa"/>
            <w:shd w:val="clear" w:color="FFFFFF" w:fill="FFFFFF"/>
            <w:noWrap w:val="0"/>
            <w:vAlign w:val="top"/>
          </w:tcPr>
          <w:p w14:paraId="7FF4AB04">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主要技术指标及功能要求</w:t>
            </w:r>
          </w:p>
        </w:tc>
      </w:tr>
      <w:tr w14:paraId="3100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noWrap w:val="0"/>
            <w:vAlign w:val="center"/>
          </w:tcPr>
          <w:p w14:paraId="5C25003B">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w:t>
            </w:r>
          </w:p>
        </w:tc>
        <w:tc>
          <w:tcPr>
            <w:tcW w:w="1776" w:type="dxa"/>
            <w:noWrap w:val="0"/>
            <w:vAlign w:val="center"/>
          </w:tcPr>
          <w:p w14:paraId="5F65F968">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产品形态</w:t>
            </w:r>
          </w:p>
        </w:tc>
        <w:tc>
          <w:tcPr>
            <w:tcW w:w="7449" w:type="dxa"/>
            <w:noWrap w:val="0"/>
            <w:vAlign w:val="top"/>
          </w:tcPr>
          <w:p w14:paraId="4D22F921">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rPr>
              <w:t>提供云端防护账号交付，以 SaaS 服务的方式为用户提供网站安全防护服务；（非硬件盒式WAF、非盒式抗DDoS攻击产品、非集成WAF及抗D功能的防火墙类产品，非虚拟机化WAF。）</w:t>
            </w:r>
          </w:p>
        </w:tc>
      </w:tr>
      <w:tr w14:paraId="1F095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noWrap w:val="0"/>
            <w:vAlign w:val="center"/>
          </w:tcPr>
          <w:p w14:paraId="7BD8EEE4">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w:t>
            </w:r>
          </w:p>
        </w:tc>
        <w:tc>
          <w:tcPr>
            <w:tcW w:w="1776" w:type="dxa"/>
            <w:noWrap w:val="0"/>
            <w:vAlign w:val="center"/>
          </w:tcPr>
          <w:p w14:paraId="2A846CD5">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防护性能</w:t>
            </w:r>
          </w:p>
        </w:tc>
        <w:tc>
          <w:tcPr>
            <w:tcW w:w="7449" w:type="dxa"/>
            <w:noWrap w:val="0"/>
            <w:vAlign w:val="top"/>
          </w:tcPr>
          <w:p w14:paraId="0EA5AE53">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rPr>
              <w:t>提供≥10个域名网站安全云防护服务，正常业务请求并发≥6000QPS，CC攻击频率≥8万QPS，正常业务流清洗能力≥10TB,高防DNS流量≥40Gbps。</w:t>
            </w:r>
          </w:p>
        </w:tc>
      </w:tr>
      <w:tr w14:paraId="12C91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noWrap w:val="0"/>
            <w:vAlign w:val="center"/>
          </w:tcPr>
          <w:p w14:paraId="07072537">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b/>
                <w:bCs/>
                <w:color w:val="000000"/>
                <w:sz w:val="24"/>
                <w:szCs w:val="24"/>
              </w:rPr>
              <w:t>#</w:t>
            </w:r>
            <w:r>
              <w:rPr>
                <w:rFonts w:hint="eastAsia" w:ascii="宋体" w:hAnsi="宋体" w:eastAsia="宋体" w:cs="宋体"/>
                <w:color w:val="000000"/>
                <w:sz w:val="24"/>
                <w:szCs w:val="24"/>
                <w:lang w:val="en-US" w:eastAsia="zh-CN"/>
              </w:rPr>
              <w:t>3</w:t>
            </w:r>
          </w:p>
        </w:tc>
        <w:tc>
          <w:tcPr>
            <w:tcW w:w="1776" w:type="dxa"/>
            <w:noWrap w:val="0"/>
            <w:vAlign w:val="center"/>
          </w:tcPr>
          <w:p w14:paraId="206AEC27">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移动运维</w:t>
            </w:r>
          </w:p>
        </w:tc>
        <w:tc>
          <w:tcPr>
            <w:tcW w:w="7449" w:type="dxa"/>
            <w:noWrap w:val="0"/>
            <w:vAlign w:val="top"/>
          </w:tcPr>
          <w:p w14:paraId="74B215FC">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rPr>
              <w:t>支持安卓/IOS版手机APP运维客户端，可支持手机接入防护、一键关站（一键处置）、一键回源、WEB防火墙开启/关闭、缓存开关设置、账号管理等功能。（提供截图证明</w:t>
            </w:r>
            <w:r>
              <w:rPr>
                <w:rFonts w:hint="eastAsia" w:ascii="宋体" w:hAnsi="宋体" w:eastAsia="宋体" w:cs="宋体"/>
                <w:color w:val="000000"/>
                <w:sz w:val="24"/>
                <w:szCs w:val="24"/>
                <w:lang w:val="en-US" w:eastAsia="zh-CN"/>
              </w:rPr>
              <w:t>并加盖投标人公章</w:t>
            </w:r>
            <w:r>
              <w:rPr>
                <w:rFonts w:hint="eastAsia" w:ascii="宋体" w:hAnsi="宋体" w:eastAsia="宋体" w:cs="宋体"/>
                <w:color w:val="000000"/>
                <w:sz w:val="24"/>
                <w:szCs w:val="24"/>
              </w:rPr>
              <w:t>）</w:t>
            </w:r>
          </w:p>
        </w:tc>
      </w:tr>
      <w:tr w14:paraId="64E5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noWrap w:val="0"/>
            <w:vAlign w:val="center"/>
          </w:tcPr>
          <w:p w14:paraId="26D16BAE">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1776" w:type="dxa"/>
            <w:noWrap w:val="0"/>
            <w:vAlign w:val="center"/>
          </w:tcPr>
          <w:p w14:paraId="047C68B8">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登录安全</w:t>
            </w:r>
          </w:p>
        </w:tc>
        <w:tc>
          <w:tcPr>
            <w:tcW w:w="7449" w:type="dxa"/>
            <w:noWrap w:val="0"/>
            <w:vAlign w:val="top"/>
          </w:tcPr>
          <w:p w14:paraId="1F51FE87">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rPr>
              <w:t>支持登录账号的多因素认证，包含：密码、验证码、短信验证方式，确保登录安全。</w:t>
            </w:r>
          </w:p>
        </w:tc>
      </w:tr>
      <w:tr w14:paraId="6F4C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vMerge w:val="restart"/>
            <w:noWrap w:val="0"/>
            <w:vAlign w:val="center"/>
          </w:tcPr>
          <w:p w14:paraId="0809F97C">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1776" w:type="dxa"/>
            <w:vMerge w:val="restart"/>
            <w:noWrap w:val="0"/>
            <w:vAlign w:val="center"/>
          </w:tcPr>
          <w:p w14:paraId="7E4B1371">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WEB攻击防护</w:t>
            </w:r>
          </w:p>
        </w:tc>
        <w:tc>
          <w:tcPr>
            <w:tcW w:w="7449" w:type="dxa"/>
            <w:noWrap w:val="0"/>
            <w:vAlign w:val="top"/>
          </w:tcPr>
          <w:p w14:paraId="5654E23C">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sz w:val="24"/>
                <w:szCs w:val="24"/>
                <w:lang w:val="en-US" w:eastAsia="zh-CN"/>
              </w:rPr>
              <w:t>）</w:t>
            </w:r>
            <w:r>
              <w:rPr>
                <w:rFonts w:hint="eastAsia" w:ascii="宋体" w:hAnsi="宋体" w:eastAsia="宋体" w:cs="宋体"/>
                <w:color w:val="000000"/>
                <w:sz w:val="24"/>
                <w:szCs w:val="24"/>
              </w:rPr>
              <w:t>应能识别和阻断SQL注入攻击、Cookie 注入攻击、命令注入、跨站脚本攻击、文件包含攻击、LDAP注入、XPATH注入、爬虫攻击、Struts2命令执行攻击等常见的WEB攻击，防止网站敏感信息泄露或网站内容被恶意篡改。</w:t>
            </w:r>
          </w:p>
        </w:tc>
      </w:tr>
      <w:tr w14:paraId="27712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vMerge w:val="continue"/>
            <w:noWrap w:val="0"/>
            <w:vAlign w:val="center"/>
          </w:tcPr>
          <w:p w14:paraId="68F81164">
            <w:pPr>
              <w:widowControl/>
              <w:spacing w:before="120" w:beforeLines="50" w:line="300" w:lineRule="auto"/>
              <w:jc w:val="center"/>
              <w:rPr>
                <w:rFonts w:hint="eastAsia" w:ascii="宋体" w:hAnsi="宋体" w:eastAsia="宋体" w:cs="宋体"/>
                <w:color w:val="000000"/>
                <w:sz w:val="24"/>
                <w:szCs w:val="24"/>
              </w:rPr>
            </w:pPr>
          </w:p>
        </w:tc>
        <w:tc>
          <w:tcPr>
            <w:tcW w:w="1776" w:type="dxa"/>
            <w:vMerge w:val="continue"/>
            <w:noWrap w:val="0"/>
            <w:vAlign w:val="center"/>
          </w:tcPr>
          <w:p w14:paraId="28974265">
            <w:pPr>
              <w:widowControl/>
              <w:spacing w:before="120" w:beforeLines="50" w:line="300" w:lineRule="auto"/>
              <w:jc w:val="center"/>
              <w:rPr>
                <w:rFonts w:hint="eastAsia" w:ascii="宋体" w:hAnsi="宋体" w:eastAsia="宋体" w:cs="宋体"/>
                <w:color w:val="000000"/>
                <w:sz w:val="24"/>
                <w:szCs w:val="24"/>
              </w:rPr>
            </w:pPr>
          </w:p>
        </w:tc>
        <w:tc>
          <w:tcPr>
            <w:tcW w:w="7449" w:type="dxa"/>
            <w:noWrap w:val="0"/>
            <w:vAlign w:val="top"/>
          </w:tcPr>
          <w:p w14:paraId="36119410">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sz w:val="24"/>
                <w:szCs w:val="24"/>
                <w:lang w:val="en-US" w:eastAsia="zh-CN"/>
              </w:rPr>
              <w:t>）</w:t>
            </w:r>
            <w:r>
              <w:rPr>
                <w:rFonts w:hint="eastAsia" w:ascii="宋体" w:hAnsi="宋体" w:eastAsia="宋体" w:cs="宋体"/>
                <w:color w:val="000000"/>
                <w:sz w:val="24"/>
                <w:szCs w:val="24"/>
              </w:rPr>
              <w:t>支持对Appscan、Awvs、Pangolin、Burpsuite、啊D、明小子、Nikto等扫描器的扫描防护；支持HTTP参数污染、00截断、URL编码绕过、Unicode编码绕过、 ASCII码绕过、字符串拼接绕过、hex编码绕过、大小写混杂字符绕过、多空格绕过、注释串绕过等多种绕过攻击防护。</w:t>
            </w:r>
          </w:p>
        </w:tc>
      </w:tr>
      <w:tr w14:paraId="71800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noWrap w:val="0"/>
            <w:vAlign w:val="center"/>
          </w:tcPr>
          <w:p w14:paraId="31BF0C39">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w:t>
            </w:r>
          </w:p>
        </w:tc>
        <w:tc>
          <w:tcPr>
            <w:tcW w:w="1776" w:type="dxa"/>
            <w:noWrap w:val="0"/>
            <w:vAlign w:val="center"/>
          </w:tcPr>
          <w:p w14:paraId="78FD2E09">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DDOS攻击防护</w:t>
            </w:r>
          </w:p>
        </w:tc>
        <w:tc>
          <w:tcPr>
            <w:tcW w:w="7449" w:type="dxa"/>
            <w:noWrap w:val="0"/>
            <w:vAlign w:val="top"/>
          </w:tcPr>
          <w:p w14:paraId="743673B4">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rPr>
              <w:t>支持对SYN Flood攻击、Frag Flood攻击、ACK Flood攻击、UDP Flood攻击、ICMP Flood攻击等常见的流量型DDOS攻击进行清洗。</w:t>
            </w:r>
          </w:p>
        </w:tc>
      </w:tr>
      <w:tr w14:paraId="67054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noWrap w:val="0"/>
            <w:vAlign w:val="center"/>
          </w:tcPr>
          <w:p w14:paraId="75DA931C">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w:t>
            </w:r>
          </w:p>
        </w:tc>
        <w:tc>
          <w:tcPr>
            <w:tcW w:w="1776" w:type="dxa"/>
            <w:noWrap w:val="0"/>
            <w:vAlign w:val="center"/>
          </w:tcPr>
          <w:p w14:paraId="1CC564E9">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高防DNS</w:t>
            </w:r>
          </w:p>
        </w:tc>
        <w:tc>
          <w:tcPr>
            <w:tcW w:w="7449" w:type="dxa"/>
            <w:noWrap w:val="0"/>
            <w:vAlign w:val="top"/>
          </w:tcPr>
          <w:p w14:paraId="62DC176C">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rPr>
              <w:t>支持智能 DNS 解析，支持网站NS方式接入，即由防护平台提供DNS域名解析，至少提供A记录解析、AAAA记录解析、CNAME记录解析等DNS解析方式。</w:t>
            </w:r>
          </w:p>
        </w:tc>
      </w:tr>
      <w:tr w14:paraId="227D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noWrap w:val="0"/>
            <w:vAlign w:val="center"/>
          </w:tcPr>
          <w:p w14:paraId="7D1B34D5">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8</w:t>
            </w:r>
          </w:p>
        </w:tc>
        <w:tc>
          <w:tcPr>
            <w:tcW w:w="1776" w:type="dxa"/>
            <w:noWrap w:val="0"/>
            <w:vAlign w:val="center"/>
          </w:tcPr>
          <w:p w14:paraId="367A02CF">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CC攻击防护</w:t>
            </w:r>
          </w:p>
        </w:tc>
        <w:tc>
          <w:tcPr>
            <w:tcW w:w="7449" w:type="dxa"/>
            <w:noWrap w:val="0"/>
            <w:vAlign w:val="top"/>
          </w:tcPr>
          <w:p w14:paraId="2C9552DD">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rPr>
              <w:t>支持根据进入云平台流量大小来对攻击进行CC攻击判断，即攻击流量超出管理员配置流量阈值后，对攻击源进行HTTP协议验证、JS防御或图片验证防御。</w:t>
            </w:r>
          </w:p>
        </w:tc>
      </w:tr>
      <w:tr w14:paraId="2257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noWrap w:val="0"/>
            <w:vAlign w:val="center"/>
          </w:tcPr>
          <w:p w14:paraId="31362BB1">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9</w:t>
            </w:r>
          </w:p>
        </w:tc>
        <w:tc>
          <w:tcPr>
            <w:tcW w:w="1776" w:type="dxa"/>
            <w:noWrap w:val="0"/>
            <w:vAlign w:val="center"/>
          </w:tcPr>
          <w:p w14:paraId="66197389">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爬虫攻击防护</w:t>
            </w:r>
          </w:p>
        </w:tc>
        <w:tc>
          <w:tcPr>
            <w:tcW w:w="7449" w:type="dxa"/>
            <w:noWrap w:val="0"/>
            <w:vAlign w:val="top"/>
          </w:tcPr>
          <w:p w14:paraId="03D7E301">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rPr>
              <w:t>搜索引擎（百度、谷歌、必应、360、搜狗、神马搜索）及恶意爬虫识别及防护，开启后即有默认防护配置（宽松/中等/严格）。支持针对URL做单独的爬虫防护配置。可使用来自于奇安信威胁情报中心的威胁情报信息。</w:t>
            </w:r>
          </w:p>
        </w:tc>
      </w:tr>
      <w:tr w14:paraId="2D67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noWrap w:val="0"/>
            <w:vAlign w:val="center"/>
          </w:tcPr>
          <w:p w14:paraId="6AB9D124">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w:t>
            </w:r>
          </w:p>
        </w:tc>
        <w:tc>
          <w:tcPr>
            <w:tcW w:w="1776" w:type="dxa"/>
            <w:noWrap w:val="0"/>
            <w:vAlign w:val="center"/>
          </w:tcPr>
          <w:p w14:paraId="31BAE0F1">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一键关站</w:t>
            </w:r>
          </w:p>
        </w:tc>
        <w:tc>
          <w:tcPr>
            <w:tcW w:w="7449" w:type="dxa"/>
            <w:noWrap w:val="0"/>
            <w:vAlign w:val="top"/>
          </w:tcPr>
          <w:p w14:paraId="0D8F2817">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rPr>
              <w:t>支持特殊情况下一键关闭外部对源站的访问，达到一键关站的效果，并可以指定关站响应码（301,302时可以指定跳转URL）或者制定响应页面，默认响应403。</w:t>
            </w:r>
          </w:p>
        </w:tc>
      </w:tr>
      <w:tr w14:paraId="2891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vMerge w:val="restart"/>
            <w:noWrap w:val="0"/>
            <w:vAlign w:val="center"/>
          </w:tcPr>
          <w:p w14:paraId="28B3357F">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11</w:t>
            </w:r>
          </w:p>
        </w:tc>
        <w:tc>
          <w:tcPr>
            <w:tcW w:w="1776" w:type="dxa"/>
            <w:vMerge w:val="restart"/>
            <w:noWrap w:val="0"/>
            <w:vAlign w:val="center"/>
          </w:tcPr>
          <w:p w14:paraId="4D503A8F">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重保只读</w:t>
            </w:r>
          </w:p>
        </w:tc>
        <w:tc>
          <w:tcPr>
            <w:tcW w:w="7449" w:type="dxa"/>
            <w:noWrap w:val="0"/>
            <w:vAlign w:val="top"/>
          </w:tcPr>
          <w:p w14:paraId="1CB13BBC">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sz w:val="24"/>
                <w:szCs w:val="24"/>
                <w:lang w:val="en-US" w:eastAsia="zh-CN"/>
              </w:rPr>
              <w:t>）</w:t>
            </w:r>
            <w:r>
              <w:rPr>
                <w:rFonts w:hint="eastAsia" w:ascii="宋体" w:hAnsi="宋体" w:eastAsia="宋体" w:cs="宋体"/>
                <w:color w:val="000000"/>
                <w:sz w:val="24"/>
                <w:szCs w:val="24"/>
              </w:rPr>
              <w:t>可以提前通过爬虫缓存用户网站页面文件，在重保期间即使源站服务器出现WEB攻击、网页被篡改、服务器宕机、网络线路故障、网站服务异常等问题，依然可以通过缓存页面强制对外提供完整的静态缓存页面访问服务。</w:t>
            </w:r>
          </w:p>
        </w:tc>
      </w:tr>
      <w:tr w14:paraId="752A2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vMerge w:val="continue"/>
            <w:noWrap w:val="0"/>
            <w:vAlign w:val="center"/>
          </w:tcPr>
          <w:p w14:paraId="3D205D1A">
            <w:pPr>
              <w:widowControl/>
              <w:spacing w:before="120" w:beforeLines="50" w:line="300" w:lineRule="auto"/>
              <w:jc w:val="center"/>
              <w:rPr>
                <w:rFonts w:hint="eastAsia" w:ascii="宋体" w:hAnsi="宋体" w:eastAsia="宋体" w:cs="宋体"/>
                <w:color w:val="000000"/>
                <w:sz w:val="24"/>
                <w:szCs w:val="24"/>
              </w:rPr>
            </w:pPr>
          </w:p>
        </w:tc>
        <w:tc>
          <w:tcPr>
            <w:tcW w:w="1776" w:type="dxa"/>
            <w:vMerge w:val="continue"/>
            <w:noWrap w:val="0"/>
            <w:vAlign w:val="center"/>
          </w:tcPr>
          <w:p w14:paraId="0F6BAA33">
            <w:pPr>
              <w:widowControl/>
              <w:spacing w:before="120" w:beforeLines="50" w:line="300" w:lineRule="auto"/>
              <w:jc w:val="center"/>
              <w:rPr>
                <w:rFonts w:hint="eastAsia" w:ascii="宋体" w:hAnsi="宋体" w:eastAsia="宋体" w:cs="宋体"/>
                <w:color w:val="000000"/>
                <w:sz w:val="24"/>
                <w:szCs w:val="24"/>
              </w:rPr>
            </w:pPr>
          </w:p>
        </w:tc>
        <w:tc>
          <w:tcPr>
            <w:tcW w:w="7449" w:type="dxa"/>
            <w:noWrap w:val="0"/>
            <w:vAlign w:val="top"/>
          </w:tcPr>
          <w:p w14:paraId="64E2D33A">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sz w:val="24"/>
                <w:szCs w:val="24"/>
                <w:lang w:val="en-US" w:eastAsia="zh-CN"/>
              </w:rPr>
              <w:t>）</w:t>
            </w:r>
            <w:r>
              <w:rPr>
                <w:rFonts w:hint="eastAsia" w:ascii="宋体" w:hAnsi="宋体" w:eastAsia="宋体" w:cs="宋体"/>
                <w:color w:val="000000"/>
                <w:sz w:val="24"/>
                <w:szCs w:val="24"/>
              </w:rPr>
              <w:t>用户可以自定义镜像URL、非镜像URL、开始镜像时间、重保时间段等参数，同时可以格式化镜像数据。</w:t>
            </w:r>
          </w:p>
        </w:tc>
      </w:tr>
      <w:tr w14:paraId="58A8E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noWrap w:val="0"/>
            <w:vAlign w:val="center"/>
          </w:tcPr>
          <w:p w14:paraId="18C21B1B">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12</w:t>
            </w:r>
          </w:p>
        </w:tc>
        <w:tc>
          <w:tcPr>
            <w:tcW w:w="1776" w:type="dxa"/>
            <w:noWrap w:val="0"/>
            <w:vAlign w:val="center"/>
          </w:tcPr>
          <w:p w14:paraId="36386A94">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日志报表</w:t>
            </w:r>
          </w:p>
        </w:tc>
        <w:tc>
          <w:tcPr>
            <w:tcW w:w="7449" w:type="dxa"/>
            <w:noWrap w:val="0"/>
            <w:vAlign w:val="top"/>
          </w:tcPr>
          <w:p w14:paraId="6BC88DF9">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rPr>
              <w:t>支持网站访问次数统计，访问IP数统计，PV数统计，漏洞攻击数统计、CC攻击数统计等攻击访问统计；支持WEB攻击统计报表，CC攻击统计报表，CC攻击URL TopN报表等。</w:t>
            </w:r>
          </w:p>
        </w:tc>
      </w:tr>
      <w:tr w14:paraId="6E24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noWrap w:val="0"/>
            <w:vAlign w:val="center"/>
          </w:tcPr>
          <w:p w14:paraId="1A95C368">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13</w:t>
            </w:r>
          </w:p>
        </w:tc>
        <w:tc>
          <w:tcPr>
            <w:tcW w:w="1776" w:type="dxa"/>
            <w:noWrap w:val="0"/>
            <w:vAlign w:val="center"/>
          </w:tcPr>
          <w:p w14:paraId="71712C0D">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安全报表</w:t>
            </w:r>
          </w:p>
        </w:tc>
        <w:tc>
          <w:tcPr>
            <w:tcW w:w="7449" w:type="dxa"/>
            <w:noWrap w:val="0"/>
            <w:vAlign w:val="top"/>
          </w:tcPr>
          <w:p w14:paraId="44B3A533">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rPr>
              <w:t>支持月度简报功能，能每月定时向指定邮箱发送月度简报，展示网站安全防护情况。内容包括拦截漏洞数、本周遭受的CC攻击数、攻击次数最多的IP、受攻击最多的域名，WEB攻击的趋势报表、遭受的CC攻击的趋势报表，WEB攻击方式TopN、遭受CC攻击的URL TopN，WEB攻击源IP全国分布位置，CC攻击源全国分布位置等内容，安全支持PDF、CSV格式导出下载。</w:t>
            </w:r>
          </w:p>
        </w:tc>
      </w:tr>
      <w:tr w14:paraId="742A7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noWrap w:val="0"/>
            <w:vAlign w:val="center"/>
          </w:tcPr>
          <w:p w14:paraId="3007A55D">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14</w:t>
            </w:r>
          </w:p>
        </w:tc>
        <w:tc>
          <w:tcPr>
            <w:tcW w:w="1776" w:type="dxa"/>
            <w:noWrap w:val="0"/>
            <w:vAlign w:val="center"/>
          </w:tcPr>
          <w:p w14:paraId="1D4EDA4A">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攻击告警</w:t>
            </w:r>
          </w:p>
        </w:tc>
        <w:tc>
          <w:tcPr>
            <w:tcW w:w="7449" w:type="dxa"/>
            <w:noWrap w:val="0"/>
            <w:vAlign w:val="top"/>
          </w:tcPr>
          <w:p w14:paraId="389D31A4">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rPr>
              <w:t>支持对Web攻击、CC攻击、爬虫攻击进行自定义攻击阈值告警。同时支持自定义统计周期、告警方式（邮件、短信）、告警接收人、告警接收组信息。支持将多个告警人添加为一个告警组，支持对同一告警组下所有告警人做相同告警配置。</w:t>
            </w:r>
          </w:p>
        </w:tc>
      </w:tr>
      <w:tr w14:paraId="3F7A5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805" w:type="dxa"/>
            <w:noWrap w:val="0"/>
            <w:vAlign w:val="center"/>
          </w:tcPr>
          <w:p w14:paraId="0D3AD251">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15</w:t>
            </w:r>
          </w:p>
        </w:tc>
        <w:tc>
          <w:tcPr>
            <w:tcW w:w="1776" w:type="dxa"/>
            <w:noWrap w:val="0"/>
            <w:vAlign w:val="center"/>
          </w:tcPr>
          <w:p w14:paraId="56934419">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三元用户管理</w:t>
            </w:r>
          </w:p>
        </w:tc>
        <w:tc>
          <w:tcPr>
            <w:tcW w:w="7449" w:type="dxa"/>
            <w:noWrap w:val="0"/>
            <w:vAlign w:val="top"/>
          </w:tcPr>
          <w:p w14:paraId="3AEC8E50">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rPr>
              <w:t>支持超级管理员、普通管理员、审计管理员等管理员角色。超级管理员可以创建其他所有管理员并拥有系统最高权限；普通注册管理员只可以查看并配置自己域名的权限；审计管理员智能审计配置及日志报表。</w:t>
            </w:r>
          </w:p>
        </w:tc>
      </w:tr>
      <w:tr w14:paraId="1A4F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5" w:type="dxa"/>
            <w:noWrap w:val="0"/>
            <w:vAlign w:val="center"/>
          </w:tcPr>
          <w:p w14:paraId="2E9C02BA">
            <w:pPr>
              <w:widowControl/>
              <w:spacing w:before="120" w:beforeLines="50" w:line="300" w:lineRule="auto"/>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16</w:t>
            </w:r>
          </w:p>
        </w:tc>
        <w:tc>
          <w:tcPr>
            <w:tcW w:w="1776" w:type="dxa"/>
            <w:noWrap w:val="0"/>
            <w:vAlign w:val="center"/>
          </w:tcPr>
          <w:p w14:paraId="5F8839AB">
            <w:pPr>
              <w:widowControl/>
              <w:spacing w:before="120" w:beforeLines="50" w:line="30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攻击展示</w:t>
            </w:r>
          </w:p>
        </w:tc>
        <w:tc>
          <w:tcPr>
            <w:tcW w:w="7449" w:type="dxa"/>
            <w:noWrap w:val="0"/>
            <w:vAlign w:val="top"/>
          </w:tcPr>
          <w:p w14:paraId="44988071">
            <w:pPr>
              <w:widowControl/>
              <w:spacing w:before="120" w:beforeLines="50" w:line="300" w:lineRule="auto"/>
              <w:rPr>
                <w:rFonts w:hint="eastAsia" w:ascii="宋体" w:hAnsi="宋体" w:eastAsia="宋体" w:cs="宋体"/>
                <w:color w:val="000000"/>
                <w:sz w:val="24"/>
                <w:szCs w:val="24"/>
              </w:rPr>
            </w:pPr>
            <w:r>
              <w:rPr>
                <w:rFonts w:hint="eastAsia" w:ascii="宋体" w:hAnsi="宋体" w:eastAsia="宋体" w:cs="宋体"/>
                <w:color w:val="000000"/>
                <w:sz w:val="24"/>
                <w:szCs w:val="24"/>
              </w:rPr>
              <w:t>提供网站攻击数据可视化展示，为用户提供网站攻击态势感知能力，包含：攻击类型占比、网站服务状态码占比、网站流量情况、防护TOP10排名、攻击记录、WEB攻击/CC攻击分析、攻击源国家等维度的展示。</w:t>
            </w:r>
          </w:p>
        </w:tc>
      </w:tr>
    </w:tbl>
    <w:p w14:paraId="7E0CC92B">
      <w:pPr>
        <w:spacing w:before="120" w:beforeLines="50" w:line="300" w:lineRule="auto"/>
        <w:rPr>
          <w:rFonts w:hint="eastAsia"/>
          <w:sz w:val="24"/>
        </w:rPr>
      </w:pPr>
      <w:r>
        <w:rPr>
          <w:rFonts w:hint="eastAsia"/>
          <w:sz w:val="24"/>
        </w:rPr>
        <w:t>（2）终端安全防护（windows终端+服务器）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663"/>
        <w:gridCol w:w="1371"/>
        <w:gridCol w:w="7764"/>
      </w:tblGrid>
      <w:tr w14:paraId="40FA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0" w:hRule="atLeast"/>
          <w:jc w:val="center"/>
        </w:trPr>
        <w:tc>
          <w:tcPr>
            <w:tcW w:w="663" w:type="dxa"/>
            <w:shd w:val="clear" w:color="auto" w:fill="FFFFFF"/>
            <w:noWrap w:val="0"/>
            <w:vAlign w:val="center"/>
          </w:tcPr>
          <w:p w14:paraId="40FF2390">
            <w:pPr>
              <w:spacing w:before="120" w:beforeLines="50" w:line="300" w:lineRule="auto"/>
              <w:jc w:val="center"/>
              <w:rPr>
                <w:rFonts w:hint="eastAsia" w:eastAsia="宋体" w:cs="等线"/>
                <w:sz w:val="24"/>
                <w:szCs w:val="24"/>
                <w:lang w:val="en-US" w:eastAsia="zh-CN"/>
              </w:rPr>
            </w:pPr>
            <w:r>
              <w:rPr>
                <w:rFonts w:hint="eastAsia" w:eastAsia="宋体" w:cs="等线"/>
                <w:sz w:val="24"/>
                <w:szCs w:val="24"/>
                <w:lang w:val="en-US" w:eastAsia="zh-CN"/>
              </w:rPr>
              <w:t>序号</w:t>
            </w:r>
          </w:p>
        </w:tc>
        <w:tc>
          <w:tcPr>
            <w:tcW w:w="1371" w:type="dxa"/>
            <w:shd w:val="clear" w:color="auto" w:fill="FFFFFF"/>
            <w:noWrap w:val="0"/>
            <w:vAlign w:val="center"/>
          </w:tcPr>
          <w:p w14:paraId="40C98A2F">
            <w:pPr>
              <w:spacing w:before="120" w:beforeLines="50" w:line="300" w:lineRule="auto"/>
              <w:jc w:val="center"/>
              <w:rPr>
                <w:rFonts w:eastAsia="Times New Roman" w:cs="等线"/>
                <w:sz w:val="24"/>
                <w:szCs w:val="24"/>
              </w:rPr>
            </w:pPr>
            <w:r>
              <w:rPr>
                <w:rFonts w:hint="eastAsia" w:eastAsia="Times New Roman" w:cs="等线"/>
                <w:sz w:val="24"/>
                <w:szCs w:val="24"/>
              </w:rPr>
              <w:t>技能指标分类</w:t>
            </w:r>
          </w:p>
        </w:tc>
        <w:tc>
          <w:tcPr>
            <w:tcW w:w="7764" w:type="dxa"/>
            <w:shd w:val="clear" w:color="auto" w:fill="FFFFFF"/>
            <w:noWrap w:val="0"/>
            <w:vAlign w:val="center"/>
          </w:tcPr>
          <w:p w14:paraId="2A9DEE4F">
            <w:pPr>
              <w:spacing w:before="120" w:beforeLines="50" w:line="300" w:lineRule="auto"/>
              <w:jc w:val="center"/>
              <w:rPr>
                <w:rFonts w:eastAsia="Times New Roman" w:cs="等线"/>
                <w:sz w:val="24"/>
                <w:szCs w:val="24"/>
              </w:rPr>
            </w:pPr>
            <w:r>
              <w:rPr>
                <w:rFonts w:hint="eastAsia" w:eastAsia="Times New Roman" w:cs="等线"/>
                <w:sz w:val="24"/>
                <w:szCs w:val="24"/>
              </w:rPr>
              <w:t>主要技术指标及功能要求</w:t>
            </w:r>
          </w:p>
        </w:tc>
      </w:tr>
      <w:tr w14:paraId="04569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restart"/>
            <w:shd w:val="clear" w:color="auto" w:fill="FFFFFF"/>
            <w:noWrap w:val="0"/>
            <w:vAlign w:val="center"/>
          </w:tcPr>
          <w:p w14:paraId="0E856DB9">
            <w:pPr>
              <w:spacing w:before="120" w:beforeLines="50" w:line="300" w:lineRule="auto"/>
              <w:jc w:val="center"/>
              <w:rPr>
                <w:rFonts w:hint="eastAsia" w:eastAsia="宋体" w:cs="等线"/>
                <w:sz w:val="24"/>
                <w:szCs w:val="24"/>
                <w:lang w:val="en-US" w:eastAsia="zh-CN"/>
              </w:rPr>
            </w:pPr>
            <w:r>
              <w:rPr>
                <w:rFonts w:hint="eastAsia" w:cs="等线"/>
                <w:sz w:val="24"/>
                <w:szCs w:val="24"/>
                <w:lang w:val="en-US" w:eastAsia="zh-CN"/>
              </w:rPr>
              <w:t>1</w:t>
            </w:r>
          </w:p>
        </w:tc>
        <w:tc>
          <w:tcPr>
            <w:tcW w:w="1371" w:type="dxa"/>
            <w:vMerge w:val="restart"/>
            <w:shd w:val="clear" w:color="auto" w:fill="FFFFFF"/>
            <w:noWrap w:val="0"/>
            <w:vAlign w:val="center"/>
          </w:tcPr>
          <w:p w14:paraId="02D04B2A">
            <w:pPr>
              <w:spacing w:before="120" w:beforeLines="50" w:line="300" w:lineRule="auto"/>
              <w:jc w:val="center"/>
              <w:rPr>
                <w:rFonts w:hint="eastAsia" w:cs="等线"/>
                <w:sz w:val="24"/>
                <w:szCs w:val="24"/>
              </w:rPr>
            </w:pPr>
            <w:r>
              <w:rPr>
                <w:rFonts w:hint="eastAsia" w:cs="等线"/>
                <w:sz w:val="24"/>
                <w:szCs w:val="24"/>
              </w:rPr>
              <w:t>部署要求</w:t>
            </w:r>
          </w:p>
        </w:tc>
        <w:tc>
          <w:tcPr>
            <w:tcW w:w="7764" w:type="dxa"/>
            <w:shd w:val="clear" w:color="auto" w:fill="FFFFFF"/>
            <w:noWrap w:val="0"/>
            <w:vAlign w:val="center"/>
          </w:tcPr>
          <w:p w14:paraId="5A5B3B57">
            <w:pPr>
              <w:spacing w:before="120" w:beforeLines="50" w:line="300" w:lineRule="auto"/>
              <w:rPr>
                <w:rFonts w:hint="eastAsia" w:cs="等线"/>
                <w:sz w:val="24"/>
                <w:szCs w:val="24"/>
              </w:rPr>
            </w:pPr>
            <w:r>
              <w:rPr>
                <w:rFonts w:hint="eastAsia" w:cs="等线"/>
                <w:sz w:val="24"/>
                <w:szCs w:val="24"/>
                <w:lang w:val="en-US" w:eastAsia="zh-CN"/>
              </w:rPr>
              <w:t>1）</w:t>
            </w:r>
            <w:r>
              <w:rPr>
                <w:rFonts w:hint="eastAsia" w:cs="等线"/>
                <w:sz w:val="24"/>
                <w:szCs w:val="24"/>
              </w:rPr>
              <w:t>控制中心安装支持操作系统类型：</w:t>
            </w:r>
            <w:r>
              <w:rPr>
                <w:rFonts w:cs="等线"/>
                <w:sz w:val="24"/>
                <w:szCs w:val="24"/>
              </w:rPr>
              <w:t>Windows Server 2012 R2/2016/2019/2022的64位版本（简体中文版）</w:t>
            </w:r>
            <w:r>
              <w:rPr>
                <w:rFonts w:hint="eastAsia" w:cs="等线"/>
                <w:sz w:val="24"/>
                <w:szCs w:val="24"/>
              </w:rPr>
              <w:t>，支持在虚拟机上安装控制中心。</w:t>
            </w:r>
          </w:p>
        </w:tc>
      </w:tr>
      <w:tr w14:paraId="3196D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24C87AFC">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442889EA">
            <w:pPr>
              <w:spacing w:before="120" w:beforeLines="50" w:line="300" w:lineRule="auto"/>
              <w:jc w:val="center"/>
              <w:rPr>
                <w:rFonts w:hint="eastAsia" w:cs="等线"/>
                <w:sz w:val="24"/>
                <w:szCs w:val="24"/>
              </w:rPr>
            </w:pPr>
          </w:p>
        </w:tc>
        <w:tc>
          <w:tcPr>
            <w:tcW w:w="7764" w:type="dxa"/>
            <w:shd w:val="clear" w:color="auto" w:fill="FFFFFF"/>
            <w:noWrap w:val="0"/>
            <w:vAlign w:val="center"/>
          </w:tcPr>
          <w:p w14:paraId="40B0FCEF">
            <w:pPr>
              <w:spacing w:before="120" w:beforeLines="50" w:line="300" w:lineRule="auto"/>
              <w:rPr>
                <w:rFonts w:hint="eastAsia" w:cs="等线"/>
                <w:sz w:val="24"/>
                <w:szCs w:val="24"/>
              </w:rPr>
            </w:pPr>
            <w:r>
              <w:rPr>
                <w:rFonts w:hint="eastAsia" w:cs="等线"/>
                <w:sz w:val="24"/>
                <w:szCs w:val="24"/>
                <w:lang w:val="en-US" w:eastAsia="zh-CN"/>
              </w:rPr>
              <w:t>2）</w:t>
            </w:r>
            <w:r>
              <w:rPr>
                <w:rFonts w:cs="等线"/>
                <w:sz w:val="24"/>
                <w:szCs w:val="24"/>
              </w:rPr>
              <w:t>W</w:t>
            </w:r>
            <w:r>
              <w:rPr>
                <w:rFonts w:hint="eastAsia" w:cs="等线"/>
                <w:sz w:val="24"/>
                <w:szCs w:val="24"/>
              </w:rPr>
              <w:t>indows</w:t>
            </w:r>
            <w:r>
              <w:rPr>
                <w:rFonts w:cs="等线"/>
                <w:sz w:val="24"/>
                <w:szCs w:val="24"/>
              </w:rPr>
              <w:t xml:space="preserve"> pc客户端</w:t>
            </w:r>
            <w:r>
              <w:rPr>
                <w:rFonts w:hint="eastAsia" w:cs="等线"/>
                <w:sz w:val="24"/>
                <w:szCs w:val="24"/>
              </w:rPr>
              <w:t>操作系统：应支持Windows XP_SP3及以上/Windows Vista/Windows 7/Windows 8/Windows 10/Windows 11，</w:t>
            </w:r>
            <w:r>
              <w:rPr>
                <w:rFonts w:cs="等线"/>
                <w:sz w:val="24"/>
                <w:szCs w:val="24"/>
              </w:rPr>
              <w:t>提供至少一年</w:t>
            </w:r>
            <w:r>
              <w:rPr>
                <w:rFonts w:hint="eastAsia" w:cs="等线"/>
                <w:sz w:val="24"/>
                <w:szCs w:val="24"/>
              </w:rPr>
              <w:t>病毒库升级服务。提供至少</w:t>
            </w:r>
            <w:r>
              <w:rPr>
                <w:rFonts w:cs="等线"/>
                <w:sz w:val="24"/>
                <w:szCs w:val="24"/>
              </w:rPr>
              <w:t>1630点PC端防病毒、补丁管理、运维管控、移动存储、停服</w:t>
            </w:r>
            <w:r>
              <w:rPr>
                <w:rFonts w:hint="eastAsia" w:cs="等线"/>
                <w:sz w:val="24"/>
                <w:szCs w:val="24"/>
              </w:rPr>
              <w:t>系统</w:t>
            </w:r>
            <w:r>
              <w:rPr>
                <w:rFonts w:cs="等线"/>
                <w:sz w:val="24"/>
                <w:szCs w:val="24"/>
              </w:rPr>
              <w:t>加固、终端安全审计、终端准入的</w:t>
            </w:r>
            <w:r>
              <w:rPr>
                <w:rFonts w:hint="eastAsia" w:cs="等线"/>
                <w:sz w:val="24"/>
                <w:szCs w:val="24"/>
              </w:rPr>
              <w:t>授权</w:t>
            </w:r>
          </w:p>
        </w:tc>
      </w:tr>
      <w:tr w14:paraId="3F729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3F41DEFC">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65ADFE62">
            <w:pPr>
              <w:spacing w:before="120" w:beforeLines="50" w:line="300" w:lineRule="auto"/>
              <w:jc w:val="center"/>
              <w:rPr>
                <w:rFonts w:hint="eastAsia" w:cs="等线"/>
                <w:sz w:val="24"/>
                <w:szCs w:val="24"/>
              </w:rPr>
            </w:pPr>
          </w:p>
        </w:tc>
        <w:tc>
          <w:tcPr>
            <w:tcW w:w="7764" w:type="dxa"/>
            <w:shd w:val="clear" w:color="auto" w:fill="FFFFFF"/>
            <w:noWrap w:val="0"/>
            <w:vAlign w:val="center"/>
          </w:tcPr>
          <w:p w14:paraId="7BA61A8D">
            <w:pPr>
              <w:spacing w:before="120" w:beforeLines="50" w:line="300" w:lineRule="auto"/>
              <w:rPr>
                <w:rFonts w:hint="eastAsia" w:cs="等线"/>
                <w:sz w:val="24"/>
                <w:szCs w:val="24"/>
              </w:rPr>
            </w:pPr>
            <w:r>
              <w:rPr>
                <w:rFonts w:hint="eastAsia" w:cs="等线"/>
                <w:sz w:val="24"/>
                <w:szCs w:val="24"/>
                <w:lang w:val="en-US" w:eastAsia="zh-CN"/>
              </w:rPr>
              <w:t>3）</w:t>
            </w:r>
            <w:r>
              <w:rPr>
                <w:rFonts w:cs="等线"/>
                <w:sz w:val="24"/>
                <w:szCs w:val="24"/>
              </w:rPr>
              <w:t>W</w:t>
            </w:r>
            <w:r>
              <w:rPr>
                <w:rFonts w:hint="eastAsia" w:cs="等线"/>
                <w:sz w:val="24"/>
                <w:szCs w:val="24"/>
              </w:rPr>
              <w:t>indows server客户端操作系统：应支持</w:t>
            </w:r>
            <w:r>
              <w:rPr>
                <w:rFonts w:cs="等线"/>
                <w:sz w:val="24"/>
                <w:szCs w:val="24"/>
              </w:rPr>
              <w:t>Windows Server 2008/Windows Server 2012/Windows Server 2016/Windows Server 2019</w:t>
            </w:r>
            <w:r>
              <w:rPr>
                <w:rFonts w:hint="eastAsia" w:cs="等线"/>
                <w:sz w:val="24"/>
                <w:szCs w:val="24"/>
              </w:rPr>
              <w:t>版本的杀毒防护与漏洞管理，</w:t>
            </w:r>
            <w:r>
              <w:rPr>
                <w:rFonts w:cs="等线"/>
                <w:sz w:val="24"/>
                <w:szCs w:val="24"/>
              </w:rPr>
              <w:t>提供至少一年</w:t>
            </w:r>
            <w:r>
              <w:rPr>
                <w:rFonts w:hint="eastAsia" w:cs="等线"/>
                <w:sz w:val="24"/>
                <w:szCs w:val="24"/>
              </w:rPr>
              <w:t>病毒库升级服务。至少包含</w:t>
            </w:r>
            <w:r>
              <w:rPr>
                <w:rFonts w:cs="等线"/>
                <w:sz w:val="24"/>
                <w:szCs w:val="24"/>
              </w:rPr>
              <w:t>80</w:t>
            </w:r>
            <w:r>
              <w:rPr>
                <w:rFonts w:hint="eastAsia" w:cs="等线"/>
                <w:sz w:val="24"/>
                <w:szCs w:val="24"/>
              </w:rPr>
              <w:t>点windows server防病毒及补丁管理授权。</w:t>
            </w:r>
          </w:p>
        </w:tc>
      </w:tr>
      <w:tr w14:paraId="1480A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014150DF">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6903201A">
            <w:pPr>
              <w:spacing w:before="120" w:beforeLines="50" w:line="300" w:lineRule="auto"/>
              <w:jc w:val="center"/>
              <w:rPr>
                <w:rFonts w:hint="eastAsia" w:cs="等线"/>
                <w:sz w:val="24"/>
                <w:szCs w:val="24"/>
              </w:rPr>
            </w:pPr>
          </w:p>
        </w:tc>
        <w:tc>
          <w:tcPr>
            <w:tcW w:w="7764" w:type="dxa"/>
            <w:shd w:val="clear" w:color="auto" w:fill="FFFFFF"/>
            <w:noWrap w:val="0"/>
            <w:vAlign w:val="center"/>
          </w:tcPr>
          <w:p w14:paraId="3F800A2D">
            <w:pPr>
              <w:spacing w:before="120" w:beforeLines="50" w:line="300" w:lineRule="auto"/>
              <w:rPr>
                <w:rFonts w:hint="eastAsia" w:cs="等线"/>
                <w:sz w:val="24"/>
                <w:szCs w:val="24"/>
              </w:rPr>
            </w:pPr>
            <w:r>
              <w:rPr>
                <w:rFonts w:cs="等线"/>
                <w:b/>
                <w:bCs/>
                <w:sz w:val="24"/>
                <w:szCs w:val="24"/>
              </w:rPr>
              <w:t>#</w:t>
            </w:r>
            <w:r>
              <w:rPr>
                <w:rFonts w:hint="eastAsia" w:cs="等线"/>
                <w:sz w:val="24"/>
                <w:szCs w:val="24"/>
                <w:lang w:val="en-US" w:eastAsia="zh-CN"/>
              </w:rPr>
              <w:t>4）</w:t>
            </w:r>
            <w:r>
              <w:rPr>
                <w:rFonts w:hint="eastAsia" w:cs="等线"/>
                <w:sz w:val="24"/>
                <w:szCs w:val="24"/>
              </w:rPr>
              <w:t>必须与现有终端安全软件无缝对接，不影响使用</w:t>
            </w:r>
            <w:r>
              <w:rPr>
                <w:rFonts w:hint="eastAsia"/>
                <w:color w:val="000000"/>
                <w:sz w:val="24"/>
                <w:szCs w:val="24"/>
              </w:rPr>
              <w:t>（提供证明</w:t>
            </w:r>
            <w:r>
              <w:rPr>
                <w:rFonts w:hint="eastAsia" w:ascii="宋体" w:eastAsia="宋体"/>
                <w:color w:val="000000"/>
                <w:sz w:val="24"/>
                <w:szCs w:val="24"/>
                <w:lang w:val="en-US" w:eastAsia="zh-CN"/>
              </w:rPr>
              <w:t>材料</w:t>
            </w:r>
            <w:r>
              <w:rPr>
                <w:rFonts w:hint="eastAsia"/>
                <w:color w:val="000000"/>
                <w:sz w:val="24"/>
                <w:szCs w:val="24"/>
              </w:rPr>
              <w:t>，格式自拟）</w:t>
            </w:r>
          </w:p>
        </w:tc>
      </w:tr>
      <w:tr w14:paraId="3641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0AA7AFCD">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4FA0BD60">
            <w:pPr>
              <w:spacing w:before="120" w:beforeLines="50" w:line="300" w:lineRule="auto"/>
              <w:jc w:val="center"/>
              <w:rPr>
                <w:rFonts w:hint="eastAsia" w:cs="等线"/>
                <w:sz w:val="24"/>
                <w:szCs w:val="24"/>
              </w:rPr>
            </w:pPr>
          </w:p>
        </w:tc>
        <w:tc>
          <w:tcPr>
            <w:tcW w:w="7764" w:type="dxa"/>
            <w:shd w:val="clear" w:color="auto" w:fill="FFFFFF"/>
            <w:noWrap w:val="0"/>
            <w:vAlign w:val="center"/>
          </w:tcPr>
          <w:p w14:paraId="49353609">
            <w:pPr>
              <w:spacing w:before="120" w:beforeLines="50" w:line="300" w:lineRule="auto"/>
              <w:rPr>
                <w:rFonts w:hint="eastAsia" w:cs="等线"/>
                <w:sz w:val="24"/>
                <w:szCs w:val="24"/>
              </w:rPr>
            </w:pPr>
            <w:r>
              <w:rPr>
                <w:rFonts w:hint="eastAsia" w:cs="等线"/>
                <w:sz w:val="24"/>
                <w:szCs w:val="24"/>
                <w:lang w:val="en-US" w:eastAsia="zh-CN"/>
              </w:rPr>
              <w:t>5）</w:t>
            </w:r>
            <w:r>
              <w:rPr>
                <w:rFonts w:hint="eastAsia" w:cs="等线"/>
                <w:sz w:val="24"/>
                <w:szCs w:val="24"/>
              </w:rPr>
              <w:t>支持终端密码保护功能，支持终端“防退出”密码保护、“防卸载”密码保护、防安装密码保护。支持设置自我保护功能，可有效防止客户端进程被恶意终止、注入、提高客户端进程、数据、配置的安全性。</w:t>
            </w:r>
          </w:p>
        </w:tc>
      </w:tr>
      <w:tr w14:paraId="163A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69A20836">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5C188B96">
            <w:pPr>
              <w:spacing w:before="120" w:beforeLines="50" w:line="300" w:lineRule="auto"/>
              <w:jc w:val="center"/>
              <w:rPr>
                <w:rFonts w:hint="eastAsia" w:cs="等线"/>
                <w:sz w:val="24"/>
                <w:szCs w:val="24"/>
              </w:rPr>
            </w:pPr>
          </w:p>
        </w:tc>
        <w:tc>
          <w:tcPr>
            <w:tcW w:w="7764" w:type="dxa"/>
            <w:shd w:val="clear" w:color="auto" w:fill="FFFFFF"/>
            <w:noWrap w:val="0"/>
            <w:vAlign w:val="center"/>
          </w:tcPr>
          <w:p w14:paraId="0C3DC48E">
            <w:pPr>
              <w:spacing w:before="120" w:beforeLines="50" w:line="300" w:lineRule="auto"/>
              <w:rPr>
                <w:rFonts w:hint="eastAsia" w:cs="等线"/>
                <w:sz w:val="24"/>
                <w:szCs w:val="24"/>
              </w:rPr>
            </w:pPr>
            <w:r>
              <w:rPr>
                <w:rFonts w:hint="eastAsia" w:cs="等线"/>
                <w:sz w:val="24"/>
                <w:szCs w:val="24"/>
                <w:lang w:val="en-US" w:eastAsia="zh-CN"/>
              </w:rPr>
              <w:t>6）</w:t>
            </w:r>
            <w:r>
              <w:rPr>
                <w:rFonts w:hint="eastAsia" w:cs="等线"/>
                <w:sz w:val="24"/>
                <w:szCs w:val="24"/>
              </w:rPr>
              <w:t>支持根据分组、计算机名称、</w:t>
            </w:r>
            <w:r>
              <w:rPr>
                <w:rFonts w:cs="等线"/>
                <w:sz w:val="24"/>
                <w:szCs w:val="24"/>
              </w:rPr>
              <w:t>IP地址、MAC地址、通信IP地址、接入点、客户端类型、操作系统类型、操作系统版本等条件的组合筛选出符合条件的终端进行管理，自由对终端进行转移分组、删除终端、重启系统和终端跃迁。</w:t>
            </w:r>
          </w:p>
        </w:tc>
      </w:tr>
      <w:tr w14:paraId="32750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restart"/>
            <w:shd w:val="clear" w:color="auto" w:fill="FFFFFF"/>
            <w:noWrap w:val="0"/>
            <w:vAlign w:val="center"/>
          </w:tcPr>
          <w:p w14:paraId="41D39F2B">
            <w:pPr>
              <w:spacing w:before="120" w:beforeLines="50" w:line="300" w:lineRule="auto"/>
              <w:jc w:val="center"/>
              <w:rPr>
                <w:rFonts w:hint="eastAsia" w:eastAsia="宋体" w:cs="等线"/>
                <w:sz w:val="24"/>
                <w:szCs w:val="24"/>
                <w:lang w:val="en-US" w:eastAsia="zh-CN"/>
              </w:rPr>
            </w:pPr>
            <w:r>
              <w:rPr>
                <w:rFonts w:hint="eastAsia" w:cs="等线"/>
                <w:sz w:val="24"/>
                <w:szCs w:val="24"/>
                <w:lang w:val="en-US" w:eastAsia="zh-CN"/>
              </w:rPr>
              <w:t>2</w:t>
            </w:r>
          </w:p>
        </w:tc>
        <w:tc>
          <w:tcPr>
            <w:tcW w:w="1371" w:type="dxa"/>
            <w:vMerge w:val="restart"/>
            <w:shd w:val="clear" w:color="auto" w:fill="FFFFFF"/>
            <w:noWrap w:val="0"/>
            <w:vAlign w:val="center"/>
          </w:tcPr>
          <w:p w14:paraId="7A787313">
            <w:pPr>
              <w:spacing w:before="120" w:beforeLines="50" w:line="300" w:lineRule="auto"/>
              <w:jc w:val="center"/>
              <w:rPr>
                <w:rFonts w:hint="eastAsia" w:cs="等线"/>
                <w:sz w:val="24"/>
                <w:szCs w:val="24"/>
              </w:rPr>
            </w:pPr>
            <w:r>
              <w:rPr>
                <w:rFonts w:hint="eastAsia" w:cs="等线"/>
                <w:sz w:val="24"/>
                <w:szCs w:val="24"/>
              </w:rPr>
              <w:t>管理要求</w:t>
            </w:r>
          </w:p>
        </w:tc>
        <w:tc>
          <w:tcPr>
            <w:tcW w:w="7764" w:type="dxa"/>
            <w:shd w:val="clear" w:color="auto" w:fill="FFFFFF"/>
            <w:noWrap w:val="0"/>
            <w:vAlign w:val="center"/>
          </w:tcPr>
          <w:p w14:paraId="0A956B36">
            <w:pPr>
              <w:spacing w:before="120" w:beforeLines="50" w:line="300" w:lineRule="auto"/>
              <w:rPr>
                <w:rFonts w:hint="eastAsia" w:cs="等线"/>
                <w:sz w:val="24"/>
                <w:szCs w:val="24"/>
              </w:rPr>
            </w:pPr>
            <w:r>
              <w:rPr>
                <w:rFonts w:hint="eastAsia" w:cs="等线"/>
                <w:sz w:val="24"/>
                <w:szCs w:val="24"/>
                <w:lang w:val="en-US" w:eastAsia="zh-CN"/>
              </w:rPr>
              <w:t>1）</w:t>
            </w:r>
            <w:r>
              <w:rPr>
                <w:rFonts w:hint="eastAsia" w:cs="等线"/>
                <w:sz w:val="24"/>
                <w:szCs w:val="24"/>
              </w:rPr>
              <w:t>支持对单个客户端进行维护，终端视角查看终端基本信息，包括计算机名、型号、</w:t>
            </w:r>
            <w:r>
              <w:rPr>
                <w:rFonts w:cs="等线"/>
                <w:sz w:val="24"/>
                <w:szCs w:val="24"/>
              </w:rPr>
              <w:t>IP、MAC地址、工作组、域信息、本次开机时间、上次关机时间、应用功能、在线状态、资产品牌、设备出厂日期</w:t>
            </w:r>
          </w:p>
        </w:tc>
      </w:tr>
      <w:tr w14:paraId="6B36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1C63BB33">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7203E718">
            <w:pPr>
              <w:spacing w:before="120" w:beforeLines="50" w:line="300" w:lineRule="auto"/>
              <w:jc w:val="center"/>
              <w:rPr>
                <w:rFonts w:hint="eastAsia" w:cs="等线"/>
                <w:sz w:val="24"/>
                <w:szCs w:val="24"/>
              </w:rPr>
            </w:pPr>
          </w:p>
        </w:tc>
        <w:tc>
          <w:tcPr>
            <w:tcW w:w="7764" w:type="dxa"/>
            <w:shd w:val="clear" w:color="auto" w:fill="FFFFFF"/>
            <w:noWrap w:val="0"/>
            <w:vAlign w:val="center"/>
          </w:tcPr>
          <w:p w14:paraId="554FAC53">
            <w:pPr>
              <w:spacing w:before="120" w:beforeLines="50" w:line="300" w:lineRule="auto"/>
              <w:rPr>
                <w:rFonts w:hint="eastAsia" w:cs="等线"/>
                <w:sz w:val="24"/>
                <w:szCs w:val="24"/>
              </w:rPr>
            </w:pPr>
            <w:r>
              <w:rPr>
                <w:rFonts w:hint="eastAsia" w:cs="等线"/>
                <w:sz w:val="24"/>
                <w:szCs w:val="24"/>
                <w:lang w:val="en-US" w:eastAsia="zh-CN"/>
              </w:rPr>
              <w:t>2）</w:t>
            </w:r>
            <w:r>
              <w:rPr>
                <w:rFonts w:hint="eastAsia" w:cs="等线"/>
                <w:sz w:val="24"/>
                <w:szCs w:val="24"/>
              </w:rPr>
              <w:t>硬件信息展示，包括</w:t>
            </w:r>
            <w:r>
              <w:rPr>
                <w:rFonts w:cs="等线"/>
                <w:sz w:val="24"/>
                <w:szCs w:val="24"/>
              </w:rPr>
              <w:t>CPU、主板、内存、磁盘存储、显卡、显示器、声卡、网卡等信息</w:t>
            </w:r>
          </w:p>
        </w:tc>
      </w:tr>
      <w:tr w14:paraId="0DEC3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0E7F7F56">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276A973A">
            <w:pPr>
              <w:spacing w:before="120" w:beforeLines="50" w:line="300" w:lineRule="auto"/>
              <w:jc w:val="center"/>
              <w:rPr>
                <w:rFonts w:hint="eastAsia" w:cs="等线"/>
                <w:sz w:val="24"/>
                <w:szCs w:val="24"/>
              </w:rPr>
            </w:pPr>
          </w:p>
        </w:tc>
        <w:tc>
          <w:tcPr>
            <w:tcW w:w="7764" w:type="dxa"/>
            <w:shd w:val="clear" w:color="auto" w:fill="FFFFFF"/>
            <w:noWrap w:val="0"/>
            <w:vAlign w:val="center"/>
          </w:tcPr>
          <w:p w14:paraId="7336A214">
            <w:pPr>
              <w:spacing w:before="120" w:beforeLines="50" w:line="300" w:lineRule="auto"/>
              <w:rPr>
                <w:rFonts w:hint="eastAsia" w:cs="等线"/>
                <w:sz w:val="24"/>
                <w:szCs w:val="24"/>
              </w:rPr>
            </w:pPr>
            <w:r>
              <w:rPr>
                <w:rFonts w:hint="eastAsia" w:cs="等线"/>
                <w:sz w:val="24"/>
                <w:szCs w:val="24"/>
                <w:lang w:val="en-US" w:eastAsia="zh-CN"/>
              </w:rPr>
              <w:t>3）</w:t>
            </w:r>
            <w:r>
              <w:rPr>
                <w:rFonts w:hint="eastAsia" w:cs="等线"/>
                <w:sz w:val="24"/>
                <w:szCs w:val="24"/>
              </w:rPr>
              <w:t>实时进程信息展示，包括进程名称、</w:t>
            </w:r>
            <w:r>
              <w:rPr>
                <w:rFonts w:cs="等线"/>
                <w:sz w:val="24"/>
                <w:szCs w:val="24"/>
              </w:rPr>
              <w:t>PID、进程用户名、命令行、占用内存、CPU占用、MD5等信息</w:t>
            </w:r>
          </w:p>
        </w:tc>
      </w:tr>
      <w:tr w14:paraId="4BF8B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450633E5">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251A7630">
            <w:pPr>
              <w:spacing w:before="120" w:beforeLines="50" w:line="300" w:lineRule="auto"/>
              <w:jc w:val="center"/>
              <w:rPr>
                <w:rFonts w:hint="eastAsia" w:cs="等线"/>
                <w:sz w:val="24"/>
                <w:szCs w:val="24"/>
              </w:rPr>
            </w:pPr>
          </w:p>
        </w:tc>
        <w:tc>
          <w:tcPr>
            <w:tcW w:w="7764" w:type="dxa"/>
            <w:shd w:val="clear" w:color="auto" w:fill="FFFFFF"/>
            <w:noWrap w:val="0"/>
            <w:vAlign w:val="center"/>
          </w:tcPr>
          <w:p w14:paraId="004F0546">
            <w:pPr>
              <w:spacing w:before="120" w:beforeLines="50" w:line="300" w:lineRule="auto"/>
              <w:rPr>
                <w:rFonts w:hint="eastAsia" w:cs="等线"/>
                <w:sz w:val="24"/>
                <w:szCs w:val="24"/>
              </w:rPr>
            </w:pPr>
            <w:r>
              <w:rPr>
                <w:rFonts w:hint="eastAsia" w:cs="等线"/>
                <w:sz w:val="24"/>
                <w:szCs w:val="24"/>
                <w:lang w:val="en-US" w:eastAsia="zh-CN"/>
              </w:rPr>
              <w:t>4）</w:t>
            </w:r>
            <w:r>
              <w:rPr>
                <w:rFonts w:hint="eastAsia" w:cs="等线"/>
                <w:sz w:val="24"/>
                <w:szCs w:val="24"/>
              </w:rPr>
              <w:t>支持不同分组，客户端轻量化模式一键切换功能</w:t>
            </w:r>
          </w:p>
        </w:tc>
      </w:tr>
      <w:tr w14:paraId="680C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0" w:hRule="atLeast"/>
          <w:jc w:val="center"/>
        </w:trPr>
        <w:tc>
          <w:tcPr>
            <w:tcW w:w="663" w:type="dxa"/>
            <w:vMerge w:val="restart"/>
            <w:shd w:val="clear" w:color="auto" w:fill="FFFFFF"/>
            <w:noWrap w:val="0"/>
            <w:vAlign w:val="center"/>
          </w:tcPr>
          <w:p w14:paraId="33139833">
            <w:pPr>
              <w:spacing w:before="120" w:beforeLines="50" w:line="300" w:lineRule="auto"/>
              <w:jc w:val="center"/>
              <w:rPr>
                <w:rFonts w:hint="eastAsia" w:eastAsia="宋体" w:cs="等线"/>
                <w:sz w:val="24"/>
                <w:szCs w:val="24"/>
                <w:lang w:val="en-US" w:eastAsia="zh-CN"/>
              </w:rPr>
            </w:pPr>
            <w:r>
              <w:rPr>
                <w:rFonts w:hint="eastAsia" w:cs="等线"/>
                <w:sz w:val="24"/>
                <w:szCs w:val="24"/>
                <w:lang w:val="en-US" w:eastAsia="zh-CN"/>
              </w:rPr>
              <w:t>3</w:t>
            </w:r>
          </w:p>
        </w:tc>
        <w:tc>
          <w:tcPr>
            <w:tcW w:w="1371" w:type="dxa"/>
            <w:vMerge w:val="restart"/>
            <w:shd w:val="clear" w:color="auto" w:fill="FFFFFF"/>
            <w:noWrap w:val="0"/>
            <w:vAlign w:val="center"/>
          </w:tcPr>
          <w:p w14:paraId="3FE4FBA3">
            <w:pPr>
              <w:spacing w:before="120" w:beforeLines="50" w:line="300" w:lineRule="auto"/>
              <w:jc w:val="center"/>
              <w:rPr>
                <w:rFonts w:hint="eastAsia" w:cs="等线"/>
                <w:sz w:val="24"/>
                <w:szCs w:val="24"/>
              </w:rPr>
            </w:pPr>
            <w:r>
              <w:rPr>
                <w:rFonts w:hint="eastAsia" w:cs="等线"/>
                <w:sz w:val="24"/>
                <w:szCs w:val="24"/>
              </w:rPr>
              <w:t>防病毒</w:t>
            </w:r>
          </w:p>
        </w:tc>
        <w:tc>
          <w:tcPr>
            <w:tcW w:w="7764" w:type="dxa"/>
            <w:shd w:val="clear" w:color="auto" w:fill="FFFFFF"/>
            <w:noWrap w:val="0"/>
            <w:vAlign w:val="center"/>
          </w:tcPr>
          <w:p w14:paraId="437392B9">
            <w:pPr>
              <w:spacing w:before="120" w:beforeLines="50" w:line="300" w:lineRule="auto"/>
              <w:rPr>
                <w:rFonts w:hint="eastAsia" w:cs="等线"/>
                <w:sz w:val="24"/>
                <w:szCs w:val="24"/>
              </w:rPr>
            </w:pPr>
            <w:r>
              <w:rPr>
                <w:rFonts w:hint="eastAsia" w:cs="等线"/>
                <w:sz w:val="24"/>
                <w:szCs w:val="24"/>
                <w:lang w:val="en-US" w:eastAsia="zh-CN"/>
              </w:rPr>
              <w:t>1）</w:t>
            </w:r>
            <w:r>
              <w:rPr>
                <w:rFonts w:hint="eastAsia" w:cs="等线"/>
                <w:sz w:val="24"/>
                <w:szCs w:val="24"/>
              </w:rPr>
              <w:t>病毒防护概况：终端基础信息、病毒库版本、发现病毒数、未处理病毒数、最后查杀时间、文件防护状态、引擎使用状态、扩展病毒库版本</w:t>
            </w:r>
          </w:p>
        </w:tc>
      </w:tr>
      <w:tr w14:paraId="62283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445A91BE">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1CC7971D">
            <w:pPr>
              <w:spacing w:before="120" w:beforeLines="50" w:line="300" w:lineRule="auto"/>
              <w:jc w:val="center"/>
              <w:rPr>
                <w:rFonts w:hint="eastAsia" w:cs="等线"/>
                <w:sz w:val="24"/>
                <w:szCs w:val="24"/>
              </w:rPr>
            </w:pPr>
          </w:p>
        </w:tc>
        <w:tc>
          <w:tcPr>
            <w:tcW w:w="7764" w:type="dxa"/>
            <w:shd w:val="clear" w:color="auto" w:fill="FFFFFF"/>
            <w:noWrap w:val="0"/>
            <w:vAlign w:val="center"/>
          </w:tcPr>
          <w:p w14:paraId="2E2FE19E">
            <w:pPr>
              <w:spacing w:before="120" w:beforeLines="50" w:line="300" w:lineRule="auto"/>
              <w:rPr>
                <w:rFonts w:hint="eastAsia" w:cs="等线"/>
                <w:sz w:val="24"/>
                <w:szCs w:val="24"/>
              </w:rPr>
            </w:pPr>
            <w:r>
              <w:rPr>
                <w:rFonts w:hint="eastAsia" w:cs="等线"/>
                <w:sz w:val="24"/>
                <w:szCs w:val="24"/>
                <w:lang w:val="en-US" w:eastAsia="zh-CN"/>
              </w:rPr>
              <w:t>2）</w:t>
            </w:r>
            <w:r>
              <w:rPr>
                <w:rFonts w:hint="eastAsia" w:cs="等线"/>
                <w:sz w:val="24"/>
                <w:szCs w:val="24"/>
              </w:rPr>
              <w:t>支持对进程防护、注册表防护、驱动防护、</w:t>
            </w:r>
            <w:r>
              <w:rPr>
                <w:rFonts w:cs="等线"/>
                <w:sz w:val="24"/>
                <w:szCs w:val="24"/>
              </w:rPr>
              <w:t>U盘安全防护、邮件防护、下载防护、IM防护、局域网文件防护、网页安全防护、勒索软件防护</w:t>
            </w:r>
          </w:p>
        </w:tc>
      </w:tr>
      <w:tr w14:paraId="4A6CE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2EE94B27">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49399C47">
            <w:pPr>
              <w:spacing w:before="120" w:beforeLines="50" w:line="300" w:lineRule="auto"/>
              <w:jc w:val="center"/>
              <w:rPr>
                <w:rFonts w:hint="eastAsia" w:cs="等线"/>
                <w:sz w:val="24"/>
                <w:szCs w:val="24"/>
              </w:rPr>
            </w:pPr>
          </w:p>
        </w:tc>
        <w:tc>
          <w:tcPr>
            <w:tcW w:w="7764" w:type="dxa"/>
            <w:shd w:val="clear" w:color="auto" w:fill="FFFFFF"/>
            <w:noWrap w:val="0"/>
            <w:vAlign w:val="center"/>
          </w:tcPr>
          <w:p w14:paraId="780CD585">
            <w:pPr>
              <w:spacing w:before="120" w:beforeLines="50" w:line="300" w:lineRule="auto"/>
              <w:rPr>
                <w:rFonts w:hint="eastAsia" w:cs="等线"/>
                <w:sz w:val="24"/>
                <w:szCs w:val="24"/>
              </w:rPr>
            </w:pPr>
            <w:r>
              <w:rPr>
                <w:rFonts w:hint="eastAsia" w:cs="等线"/>
                <w:sz w:val="24"/>
                <w:szCs w:val="24"/>
                <w:lang w:val="en-US" w:eastAsia="zh-CN"/>
              </w:rPr>
              <w:t>3）</w:t>
            </w:r>
            <w:r>
              <w:rPr>
                <w:rFonts w:hint="eastAsia" w:cs="等线"/>
                <w:sz w:val="24"/>
                <w:szCs w:val="24"/>
              </w:rPr>
              <w:t>支持通过文件数字签名添加黑白名单管理</w:t>
            </w:r>
          </w:p>
        </w:tc>
      </w:tr>
      <w:tr w14:paraId="55959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40CA8866">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7E3B94F5">
            <w:pPr>
              <w:spacing w:before="120" w:beforeLines="50" w:line="300" w:lineRule="auto"/>
              <w:jc w:val="center"/>
              <w:rPr>
                <w:rFonts w:hint="eastAsia" w:cs="等线"/>
                <w:sz w:val="24"/>
                <w:szCs w:val="24"/>
              </w:rPr>
            </w:pPr>
          </w:p>
        </w:tc>
        <w:tc>
          <w:tcPr>
            <w:tcW w:w="7764" w:type="dxa"/>
            <w:shd w:val="clear" w:color="auto" w:fill="FFFFFF"/>
            <w:noWrap w:val="0"/>
            <w:vAlign w:val="center"/>
          </w:tcPr>
          <w:p w14:paraId="6BC66066">
            <w:pPr>
              <w:spacing w:before="120" w:beforeLines="50" w:line="300" w:lineRule="auto"/>
              <w:rPr>
                <w:rFonts w:hint="eastAsia" w:cs="等线"/>
                <w:sz w:val="24"/>
                <w:szCs w:val="24"/>
              </w:rPr>
            </w:pPr>
            <w:r>
              <w:rPr>
                <w:rFonts w:hint="eastAsia" w:cs="等线"/>
                <w:sz w:val="24"/>
                <w:szCs w:val="24"/>
                <w:lang w:val="en-US" w:eastAsia="zh-CN"/>
              </w:rPr>
              <w:t>4）</w:t>
            </w:r>
            <w:r>
              <w:rPr>
                <w:rFonts w:hint="eastAsia" w:cs="等线"/>
                <w:sz w:val="24"/>
                <w:szCs w:val="24"/>
              </w:rPr>
              <w:t>支持对终端当扫描到感染型病毒、顽固木马时，自动进入深度查模式，可设置禁止终端用户管理路径或文件白名单、禁止终端用户管理扩展名白名单、扫描时不允许终端用户暂停或停止扫描任务。</w:t>
            </w:r>
          </w:p>
        </w:tc>
      </w:tr>
      <w:tr w14:paraId="7FCF7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23361B20">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6766B79A">
            <w:pPr>
              <w:spacing w:before="120" w:beforeLines="50" w:line="300" w:lineRule="auto"/>
              <w:jc w:val="center"/>
              <w:rPr>
                <w:rFonts w:hint="eastAsia" w:cs="等线"/>
                <w:sz w:val="24"/>
                <w:szCs w:val="24"/>
              </w:rPr>
            </w:pPr>
          </w:p>
        </w:tc>
        <w:tc>
          <w:tcPr>
            <w:tcW w:w="7764" w:type="dxa"/>
            <w:shd w:val="clear" w:color="auto" w:fill="FFFFFF"/>
            <w:noWrap w:val="0"/>
            <w:vAlign w:val="center"/>
          </w:tcPr>
          <w:p w14:paraId="4BD94681">
            <w:pPr>
              <w:spacing w:before="120" w:beforeLines="50" w:line="300" w:lineRule="auto"/>
              <w:rPr>
                <w:rFonts w:hint="eastAsia" w:cs="等线"/>
                <w:sz w:val="24"/>
                <w:szCs w:val="24"/>
              </w:rPr>
            </w:pPr>
            <w:r>
              <w:rPr>
                <w:rFonts w:hint="eastAsia" w:cs="等线"/>
                <w:sz w:val="24"/>
                <w:szCs w:val="24"/>
                <w:lang w:val="en-US" w:eastAsia="zh-CN"/>
              </w:rPr>
              <w:t>5）</w:t>
            </w:r>
            <w:r>
              <w:rPr>
                <w:rFonts w:hint="eastAsia" w:cs="等线"/>
                <w:sz w:val="24"/>
                <w:szCs w:val="24"/>
              </w:rPr>
              <w:t>支持对压缩包内的病毒扫描，支持多层压缩包的扫描，可自定义配置压缩包的扫描层数，至少大约</w:t>
            </w:r>
            <w:r>
              <w:rPr>
                <w:rFonts w:cs="等线"/>
                <w:sz w:val="24"/>
                <w:szCs w:val="24"/>
              </w:rPr>
              <w:t>10层模式下的扫描</w:t>
            </w:r>
          </w:p>
        </w:tc>
      </w:tr>
      <w:tr w14:paraId="61CD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784A40AD">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065B811C">
            <w:pPr>
              <w:spacing w:before="120" w:beforeLines="50" w:line="300" w:lineRule="auto"/>
              <w:jc w:val="center"/>
              <w:rPr>
                <w:rFonts w:hint="eastAsia" w:cs="等线"/>
                <w:sz w:val="24"/>
                <w:szCs w:val="24"/>
              </w:rPr>
            </w:pPr>
          </w:p>
        </w:tc>
        <w:tc>
          <w:tcPr>
            <w:tcW w:w="7764" w:type="dxa"/>
            <w:shd w:val="clear" w:color="auto" w:fill="FFFFFF"/>
            <w:noWrap w:val="0"/>
            <w:vAlign w:val="center"/>
          </w:tcPr>
          <w:p w14:paraId="1D850C8E">
            <w:pPr>
              <w:spacing w:before="120" w:beforeLines="50" w:line="300" w:lineRule="auto"/>
              <w:rPr>
                <w:rFonts w:hint="eastAsia" w:cs="等线"/>
                <w:sz w:val="24"/>
                <w:szCs w:val="24"/>
              </w:rPr>
            </w:pPr>
            <w:r>
              <w:rPr>
                <w:rFonts w:hint="eastAsia" w:cs="等线"/>
                <w:sz w:val="24"/>
                <w:szCs w:val="24"/>
                <w:lang w:val="en-US" w:eastAsia="zh-CN"/>
              </w:rPr>
              <w:t>6）</w:t>
            </w:r>
            <w:r>
              <w:rPr>
                <w:rFonts w:hint="eastAsia" w:cs="等线"/>
                <w:sz w:val="24"/>
                <w:szCs w:val="24"/>
              </w:rPr>
              <w:t>支持扫描资源占用设置，可设置不限制、均衡型、低资源三种模式</w:t>
            </w:r>
          </w:p>
        </w:tc>
      </w:tr>
      <w:tr w14:paraId="229E6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7E13B933">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63610225">
            <w:pPr>
              <w:spacing w:before="120" w:beforeLines="50" w:line="300" w:lineRule="auto"/>
              <w:jc w:val="center"/>
              <w:rPr>
                <w:rFonts w:hint="eastAsia" w:cs="等线"/>
                <w:sz w:val="24"/>
                <w:szCs w:val="24"/>
              </w:rPr>
            </w:pPr>
          </w:p>
        </w:tc>
        <w:tc>
          <w:tcPr>
            <w:tcW w:w="7764" w:type="dxa"/>
            <w:shd w:val="clear" w:color="auto" w:fill="FFFFFF"/>
            <w:noWrap w:val="0"/>
            <w:vAlign w:val="center"/>
          </w:tcPr>
          <w:p w14:paraId="0A5CF77A">
            <w:pPr>
              <w:spacing w:before="120" w:beforeLines="50" w:line="300" w:lineRule="auto"/>
              <w:rPr>
                <w:rFonts w:hint="eastAsia" w:cs="等线"/>
                <w:sz w:val="24"/>
                <w:szCs w:val="24"/>
              </w:rPr>
            </w:pPr>
            <w:r>
              <w:rPr>
                <w:rFonts w:hint="eastAsia" w:cs="等线"/>
                <w:sz w:val="24"/>
                <w:szCs w:val="24"/>
                <w:lang w:val="en-US" w:eastAsia="zh-CN"/>
              </w:rPr>
              <w:t>7）</w:t>
            </w:r>
            <w:r>
              <w:rPr>
                <w:rFonts w:hint="eastAsia" w:cs="等线"/>
                <w:sz w:val="24"/>
                <w:szCs w:val="24"/>
              </w:rPr>
              <w:t>支持不少于三个杀毒引擎混合使用，提高病毒检出率</w:t>
            </w:r>
          </w:p>
        </w:tc>
      </w:tr>
      <w:tr w14:paraId="6303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restart"/>
            <w:shd w:val="clear" w:color="auto" w:fill="FFFFFF"/>
            <w:noWrap w:val="0"/>
            <w:vAlign w:val="center"/>
          </w:tcPr>
          <w:p w14:paraId="379FE0D8">
            <w:pPr>
              <w:spacing w:before="120" w:beforeLines="50" w:line="300" w:lineRule="auto"/>
              <w:jc w:val="center"/>
              <w:rPr>
                <w:rFonts w:hint="eastAsia" w:eastAsia="宋体" w:cs="等线"/>
                <w:sz w:val="24"/>
                <w:szCs w:val="24"/>
                <w:lang w:val="en-US" w:eastAsia="zh-CN"/>
              </w:rPr>
            </w:pPr>
            <w:r>
              <w:rPr>
                <w:rFonts w:hint="eastAsia" w:cs="等线"/>
                <w:sz w:val="24"/>
                <w:szCs w:val="24"/>
                <w:lang w:val="en-US" w:eastAsia="zh-CN"/>
              </w:rPr>
              <w:t>4</w:t>
            </w:r>
          </w:p>
        </w:tc>
        <w:tc>
          <w:tcPr>
            <w:tcW w:w="1371" w:type="dxa"/>
            <w:vMerge w:val="restart"/>
            <w:shd w:val="clear" w:color="auto" w:fill="FFFFFF"/>
            <w:noWrap w:val="0"/>
            <w:vAlign w:val="center"/>
          </w:tcPr>
          <w:p w14:paraId="6ADB4265">
            <w:pPr>
              <w:spacing w:before="120" w:beforeLines="50" w:line="300" w:lineRule="auto"/>
              <w:jc w:val="center"/>
              <w:rPr>
                <w:rFonts w:hint="eastAsia" w:cs="等线"/>
                <w:sz w:val="24"/>
                <w:szCs w:val="24"/>
              </w:rPr>
            </w:pPr>
            <w:r>
              <w:rPr>
                <w:rFonts w:hint="eastAsia" w:cs="等线"/>
                <w:sz w:val="24"/>
                <w:szCs w:val="24"/>
              </w:rPr>
              <w:t>补丁管理</w:t>
            </w:r>
          </w:p>
        </w:tc>
        <w:tc>
          <w:tcPr>
            <w:tcW w:w="7764" w:type="dxa"/>
            <w:shd w:val="clear" w:color="auto" w:fill="FFFFFF"/>
            <w:noWrap w:val="0"/>
            <w:vAlign w:val="center"/>
          </w:tcPr>
          <w:p w14:paraId="38E09B56">
            <w:pPr>
              <w:spacing w:before="120" w:beforeLines="50" w:line="300" w:lineRule="auto"/>
              <w:rPr>
                <w:rFonts w:hint="eastAsia" w:cs="等线"/>
                <w:sz w:val="24"/>
                <w:szCs w:val="24"/>
              </w:rPr>
            </w:pPr>
            <w:r>
              <w:rPr>
                <w:rFonts w:hint="eastAsia" w:cs="等线"/>
                <w:sz w:val="24"/>
                <w:szCs w:val="24"/>
                <w:lang w:val="en-US" w:eastAsia="zh-CN"/>
              </w:rPr>
              <w:t>1）</w:t>
            </w:r>
            <w:r>
              <w:rPr>
                <w:rFonts w:hint="eastAsia" w:cs="等线"/>
                <w:sz w:val="24"/>
                <w:szCs w:val="24"/>
              </w:rPr>
              <w:t>支持对</w:t>
            </w:r>
            <w:r>
              <w:rPr>
                <w:rFonts w:cs="等线"/>
                <w:sz w:val="24"/>
                <w:szCs w:val="24"/>
              </w:rPr>
              <w:t>Windows操作系统、IE、.NET Framework、Office、Adobe Flash Player、Adobe Acrobat和Adobe Acrobat Reader DC、硬件驱动更新等软件进行补丁修复</w:t>
            </w:r>
          </w:p>
        </w:tc>
      </w:tr>
      <w:tr w14:paraId="29E3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1AB3AC4F">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29F11443">
            <w:pPr>
              <w:spacing w:before="120" w:beforeLines="50" w:line="300" w:lineRule="auto"/>
              <w:jc w:val="center"/>
              <w:rPr>
                <w:rFonts w:hint="eastAsia" w:cs="等线"/>
                <w:sz w:val="24"/>
                <w:szCs w:val="24"/>
              </w:rPr>
            </w:pPr>
          </w:p>
        </w:tc>
        <w:tc>
          <w:tcPr>
            <w:tcW w:w="7764" w:type="dxa"/>
            <w:shd w:val="clear" w:color="auto" w:fill="FFFFFF"/>
            <w:noWrap w:val="0"/>
            <w:vAlign w:val="center"/>
          </w:tcPr>
          <w:p w14:paraId="1CD1166A">
            <w:pPr>
              <w:spacing w:before="120" w:beforeLines="50" w:line="300" w:lineRule="auto"/>
              <w:rPr>
                <w:rFonts w:hint="eastAsia" w:cs="等线"/>
                <w:sz w:val="24"/>
                <w:szCs w:val="24"/>
              </w:rPr>
            </w:pPr>
            <w:r>
              <w:rPr>
                <w:rFonts w:hint="eastAsia" w:cs="等线"/>
                <w:sz w:val="24"/>
                <w:szCs w:val="24"/>
                <w:lang w:val="en-US" w:eastAsia="zh-CN"/>
              </w:rPr>
              <w:t>2）</w:t>
            </w:r>
            <w:r>
              <w:rPr>
                <w:rFonts w:hint="eastAsia" w:cs="等线"/>
                <w:sz w:val="24"/>
                <w:szCs w:val="24"/>
              </w:rPr>
              <w:t>支持开启自动修复漏洞，包括开机时修复，并支持随机延迟执行、间隔修复和按时间段修复，可设置延迟时间、间隔修复时间和修复时间段</w:t>
            </w:r>
          </w:p>
        </w:tc>
      </w:tr>
      <w:tr w14:paraId="1708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7B22219F">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67A8EA5C">
            <w:pPr>
              <w:spacing w:before="120" w:beforeLines="50" w:line="300" w:lineRule="auto"/>
              <w:jc w:val="center"/>
              <w:rPr>
                <w:rFonts w:hint="eastAsia" w:cs="等线"/>
                <w:sz w:val="24"/>
                <w:szCs w:val="24"/>
              </w:rPr>
            </w:pPr>
          </w:p>
        </w:tc>
        <w:tc>
          <w:tcPr>
            <w:tcW w:w="7764" w:type="dxa"/>
            <w:shd w:val="clear" w:color="auto" w:fill="FFFFFF"/>
            <w:noWrap w:val="0"/>
            <w:vAlign w:val="center"/>
          </w:tcPr>
          <w:p w14:paraId="682327AF">
            <w:pPr>
              <w:spacing w:before="120" w:beforeLines="50" w:line="300" w:lineRule="auto"/>
              <w:rPr>
                <w:rFonts w:hint="eastAsia" w:cs="等线"/>
                <w:sz w:val="24"/>
                <w:szCs w:val="24"/>
              </w:rPr>
            </w:pPr>
            <w:r>
              <w:rPr>
                <w:rFonts w:hint="eastAsia" w:cs="等线"/>
                <w:sz w:val="24"/>
                <w:szCs w:val="24"/>
                <w:lang w:val="en-US" w:eastAsia="zh-CN"/>
              </w:rPr>
              <w:t>3）</w:t>
            </w:r>
            <w:r>
              <w:rPr>
                <w:rFonts w:hint="eastAsia" w:cs="等线"/>
                <w:sz w:val="24"/>
                <w:szCs w:val="24"/>
              </w:rPr>
              <w:t>支持按补丁类型和级别修复，补丁级别需包括：安全更新、重要补丁、功能补丁、可选补丁。支持仅安装指定补丁设置</w:t>
            </w:r>
          </w:p>
        </w:tc>
      </w:tr>
      <w:tr w14:paraId="40A64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2BDFE487">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79A26623">
            <w:pPr>
              <w:spacing w:before="120" w:beforeLines="50" w:line="300" w:lineRule="auto"/>
              <w:jc w:val="center"/>
              <w:rPr>
                <w:rFonts w:hint="eastAsia" w:cs="等线"/>
                <w:sz w:val="24"/>
                <w:szCs w:val="24"/>
              </w:rPr>
            </w:pPr>
          </w:p>
        </w:tc>
        <w:tc>
          <w:tcPr>
            <w:tcW w:w="7764" w:type="dxa"/>
            <w:shd w:val="clear" w:color="auto" w:fill="FFFFFF"/>
            <w:noWrap w:val="0"/>
            <w:vAlign w:val="center"/>
          </w:tcPr>
          <w:p w14:paraId="7E75A1A6">
            <w:pPr>
              <w:spacing w:before="120" w:beforeLines="50" w:line="300" w:lineRule="auto"/>
              <w:rPr>
                <w:rFonts w:hint="eastAsia" w:cs="等线"/>
                <w:sz w:val="24"/>
                <w:szCs w:val="24"/>
              </w:rPr>
            </w:pPr>
            <w:r>
              <w:rPr>
                <w:rFonts w:hint="eastAsia" w:cs="等线"/>
                <w:sz w:val="24"/>
                <w:szCs w:val="24"/>
                <w:lang w:val="en-US" w:eastAsia="zh-CN"/>
              </w:rPr>
              <w:t>4）</w:t>
            </w:r>
            <w:r>
              <w:rPr>
                <w:rFonts w:hint="eastAsia" w:cs="等线"/>
                <w:sz w:val="24"/>
                <w:szCs w:val="24"/>
              </w:rPr>
              <w:t>支持管理员预先设置好灰度发布批次和漏洞修复策略（分时间段、按级别、排除有兼容性问题的补丁等），每当控制台更新补丁库，自动化编排完成漏洞修复。将全网终端划分为由小到大的多个批次，根据企业环境，自动先推送给第一个小批次分组，如无问题自动推送给下一个批次，直到推送给全网。如有问题，只需将有问题的补丁添加到排除列表和卸载已安装的终端即可。整个推送安装过程自动化编排，无需管理员过多参与，只需在有问题时添加排除列表和下发卸载补丁任务。</w:t>
            </w:r>
          </w:p>
        </w:tc>
      </w:tr>
      <w:tr w14:paraId="64763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0EB0FC1D">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6F4E3291">
            <w:pPr>
              <w:spacing w:before="120" w:beforeLines="50" w:line="300" w:lineRule="auto"/>
              <w:jc w:val="center"/>
              <w:rPr>
                <w:rFonts w:hint="eastAsia" w:cs="等线"/>
                <w:sz w:val="24"/>
                <w:szCs w:val="24"/>
              </w:rPr>
            </w:pPr>
          </w:p>
        </w:tc>
        <w:tc>
          <w:tcPr>
            <w:tcW w:w="7764" w:type="dxa"/>
            <w:shd w:val="clear" w:color="auto" w:fill="FFFFFF"/>
            <w:noWrap w:val="0"/>
            <w:vAlign w:val="center"/>
          </w:tcPr>
          <w:p w14:paraId="0AF8F7C5">
            <w:pPr>
              <w:spacing w:before="120" w:beforeLines="50" w:line="300" w:lineRule="auto"/>
              <w:rPr>
                <w:rFonts w:hint="eastAsia" w:cs="等线"/>
                <w:sz w:val="24"/>
                <w:szCs w:val="24"/>
              </w:rPr>
            </w:pPr>
            <w:r>
              <w:rPr>
                <w:rFonts w:hint="eastAsia" w:cs="等线"/>
                <w:sz w:val="24"/>
                <w:szCs w:val="24"/>
                <w:lang w:val="en-US" w:eastAsia="zh-CN"/>
              </w:rPr>
              <w:t>5）</w:t>
            </w:r>
            <w:r>
              <w:rPr>
                <w:rFonts w:hint="eastAsia" w:cs="等线"/>
                <w:sz w:val="24"/>
                <w:szCs w:val="24"/>
              </w:rPr>
              <w:t>支持对停服系统补丁管理，支持统计即将停服的操作系统，显示操作系统、版本类型、系统位数、停服日期、终端数和升级建议，可直接下发策略进行升级</w:t>
            </w:r>
          </w:p>
        </w:tc>
      </w:tr>
      <w:tr w14:paraId="799B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restart"/>
            <w:shd w:val="clear" w:color="auto" w:fill="FFFFFF"/>
            <w:noWrap w:val="0"/>
            <w:vAlign w:val="center"/>
          </w:tcPr>
          <w:p w14:paraId="74B41244">
            <w:pPr>
              <w:spacing w:before="120" w:beforeLines="50" w:line="300" w:lineRule="auto"/>
              <w:jc w:val="center"/>
              <w:rPr>
                <w:rFonts w:hint="eastAsia" w:eastAsia="宋体" w:cs="等线"/>
                <w:sz w:val="24"/>
                <w:szCs w:val="24"/>
                <w:lang w:val="en-US" w:eastAsia="zh-CN"/>
              </w:rPr>
            </w:pPr>
            <w:r>
              <w:rPr>
                <w:rFonts w:hint="eastAsia" w:cs="等线"/>
                <w:sz w:val="24"/>
                <w:szCs w:val="24"/>
                <w:lang w:val="en-US" w:eastAsia="zh-CN"/>
              </w:rPr>
              <w:t>5</w:t>
            </w:r>
          </w:p>
        </w:tc>
        <w:tc>
          <w:tcPr>
            <w:tcW w:w="1371" w:type="dxa"/>
            <w:vMerge w:val="restart"/>
            <w:shd w:val="clear" w:color="auto" w:fill="FFFFFF"/>
            <w:noWrap w:val="0"/>
            <w:vAlign w:val="center"/>
          </w:tcPr>
          <w:p w14:paraId="32B80EC8">
            <w:pPr>
              <w:spacing w:before="120" w:beforeLines="50" w:line="300" w:lineRule="auto"/>
              <w:jc w:val="center"/>
              <w:rPr>
                <w:rFonts w:hint="eastAsia" w:cs="等线"/>
                <w:sz w:val="24"/>
                <w:szCs w:val="24"/>
              </w:rPr>
            </w:pPr>
            <w:r>
              <w:rPr>
                <w:rFonts w:hint="eastAsia" w:cs="等线"/>
                <w:sz w:val="24"/>
                <w:szCs w:val="24"/>
              </w:rPr>
              <w:t>运维管控</w:t>
            </w:r>
          </w:p>
        </w:tc>
        <w:tc>
          <w:tcPr>
            <w:tcW w:w="7764" w:type="dxa"/>
            <w:shd w:val="clear" w:color="auto" w:fill="FFFFFF"/>
            <w:noWrap w:val="0"/>
            <w:vAlign w:val="center"/>
          </w:tcPr>
          <w:p w14:paraId="53B1AF79">
            <w:pPr>
              <w:spacing w:before="120" w:beforeLines="50" w:line="300" w:lineRule="auto"/>
              <w:rPr>
                <w:rFonts w:hint="eastAsia" w:cs="等线"/>
                <w:sz w:val="24"/>
                <w:szCs w:val="24"/>
              </w:rPr>
            </w:pPr>
            <w:r>
              <w:rPr>
                <w:rFonts w:hint="eastAsia" w:cs="等线"/>
                <w:sz w:val="24"/>
                <w:szCs w:val="24"/>
                <w:lang w:val="en-US" w:eastAsia="zh-CN"/>
              </w:rPr>
              <w:t>1）</w:t>
            </w:r>
            <w:r>
              <w:rPr>
                <w:rFonts w:hint="eastAsia" w:cs="等线"/>
                <w:sz w:val="24"/>
                <w:szCs w:val="24"/>
              </w:rPr>
              <w:t>支持对终端各种外设（</w:t>
            </w:r>
            <w:r>
              <w:rPr>
                <w:rFonts w:cs="等线"/>
                <w:sz w:val="24"/>
                <w:szCs w:val="24"/>
              </w:rPr>
              <w:t>USB存储、硬盘、存储卡、光驱、打印机、扫描仪、摄像头、手机、平板等）、接口（USB口、串口、并口、1394、PCMIA）设置使用权限，并支持生效时间设置</w:t>
            </w:r>
          </w:p>
        </w:tc>
      </w:tr>
      <w:tr w14:paraId="16F4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0D3B4F8E">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2734059D">
            <w:pPr>
              <w:spacing w:before="120" w:beforeLines="50" w:line="300" w:lineRule="auto"/>
              <w:jc w:val="center"/>
              <w:rPr>
                <w:rFonts w:hint="eastAsia" w:cs="等线"/>
                <w:sz w:val="24"/>
                <w:szCs w:val="24"/>
              </w:rPr>
            </w:pPr>
          </w:p>
        </w:tc>
        <w:tc>
          <w:tcPr>
            <w:tcW w:w="7764" w:type="dxa"/>
            <w:shd w:val="clear" w:color="auto" w:fill="FFFFFF"/>
            <w:noWrap w:val="0"/>
            <w:vAlign w:val="center"/>
          </w:tcPr>
          <w:p w14:paraId="4FF0FE86">
            <w:pPr>
              <w:spacing w:before="120" w:beforeLines="50" w:line="300" w:lineRule="auto"/>
              <w:rPr>
                <w:rFonts w:hint="eastAsia" w:cs="等线"/>
                <w:sz w:val="24"/>
                <w:szCs w:val="24"/>
              </w:rPr>
            </w:pPr>
            <w:r>
              <w:rPr>
                <w:rFonts w:hint="eastAsia" w:cs="等线"/>
                <w:sz w:val="24"/>
                <w:szCs w:val="24"/>
                <w:lang w:val="en-US" w:eastAsia="zh-CN"/>
              </w:rPr>
              <w:t>2）</w:t>
            </w:r>
            <w:r>
              <w:rPr>
                <w:rFonts w:hint="eastAsia" w:cs="等线"/>
                <w:sz w:val="24"/>
                <w:szCs w:val="24"/>
              </w:rPr>
              <w:t>支持对互联网出口地址探测，支持对违规的互联网出口进行发现、断开网络、终端锁屏、断网</w:t>
            </w:r>
            <w:r>
              <w:rPr>
                <w:rFonts w:cs="等线"/>
                <w:sz w:val="24"/>
                <w:szCs w:val="24"/>
              </w:rPr>
              <w:t>+锁屏处理。支持例外白名单添加</w:t>
            </w:r>
          </w:p>
        </w:tc>
      </w:tr>
      <w:tr w14:paraId="6C973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7FB2493C">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3C596180">
            <w:pPr>
              <w:spacing w:before="120" w:beforeLines="50" w:line="300" w:lineRule="auto"/>
              <w:jc w:val="center"/>
              <w:rPr>
                <w:rFonts w:hint="eastAsia" w:cs="等线"/>
                <w:sz w:val="24"/>
                <w:szCs w:val="24"/>
              </w:rPr>
            </w:pPr>
          </w:p>
        </w:tc>
        <w:tc>
          <w:tcPr>
            <w:tcW w:w="7764" w:type="dxa"/>
            <w:shd w:val="clear" w:color="auto" w:fill="FFFFFF"/>
            <w:noWrap w:val="0"/>
            <w:vAlign w:val="center"/>
          </w:tcPr>
          <w:p w14:paraId="27FFE132">
            <w:pPr>
              <w:spacing w:before="120" w:beforeLines="50" w:line="300" w:lineRule="auto"/>
              <w:rPr>
                <w:rFonts w:hint="eastAsia" w:cs="等线"/>
                <w:sz w:val="24"/>
                <w:szCs w:val="24"/>
              </w:rPr>
            </w:pPr>
            <w:r>
              <w:rPr>
                <w:rFonts w:cs="等线"/>
                <w:b/>
                <w:bCs/>
                <w:sz w:val="24"/>
                <w:szCs w:val="24"/>
              </w:rPr>
              <w:t>#</w:t>
            </w:r>
            <w:r>
              <w:rPr>
                <w:rFonts w:hint="eastAsia" w:cs="等线"/>
                <w:sz w:val="24"/>
                <w:szCs w:val="24"/>
                <w:lang w:val="en-US" w:eastAsia="zh-CN"/>
              </w:rPr>
              <w:t>3）</w:t>
            </w:r>
            <w:r>
              <w:rPr>
                <w:rFonts w:hint="eastAsia" w:cs="等线"/>
                <w:sz w:val="24"/>
                <w:szCs w:val="24"/>
              </w:rPr>
              <w:t>支持对外设进行多维度的放行，包括设备名称、</w:t>
            </w:r>
            <w:r>
              <w:rPr>
                <w:rFonts w:cs="等线"/>
                <w:sz w:val="24"/>
                <w:szCs w:val="24"/>
              </w:rPr>
              <w:t>PID/VID、实例路径，通过添加实现例外或加黑</w:t>
            </w:r>
            <w:r>
              <w:rPr>
                <w:rFonts w:hint="eastAsia" w:cs="等线"/>
                <w:sz w:val="24"/>
                <w:szCs w:val="24"/>
              </w:rPr>
              <w:t>（提供截图证明</w:t>
            </w:r>
            <w:r>
              <w:rPr>
                <w:rFonts w:hint="eastAsia" w:cs="等线"/>
                <w:sz w:val="24"/>
                <w:szCs w:val="24"/>
                <w:lang w:val="en-US" w:eastAsia="zh-CN"/>
              </w:rPr>
              <w:t>并加盖投标人公章</w:t>
            </w:r>
            <w:r>
              <w:rPr>
                <w:rFonts w:hint="eastAsia" w:cs="等线"/>
                <w:sz w:val="24"/>
                <w:szCs w:val="24"/>
              </w:rPr>
              <w:t>）</w:t>
            </w:r>
          </w:p>
        </w:tc>
      </w:tr>
      <w:tr w14:paraId="47B5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5C398F91">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4C65AC65">
            <w:pPr>
              <w:spacing w:before="120" w:beforeLines="50" w:line="300" w:lineRule="auto"/>
              <w:jc w:val="center"/>
              <w:rPr>
                <w:rFonts w:hint="eastAsia" w:cs="等线"/>
                <w:sz w:val="24"/>
                <w:szCs w:val="24"/>
              </w:rPr>
            </w:pPr>
          </w:p>
        </w:tc>
        <w:tc>
          <w:tcPr>
            <w:tcW w:w="7764" w:type="dxa"/>
            <w:shd w:val="clear" w:color="auto" w:fill="FFFFFF"/>
            <w:noWrap w:val="0"/>
            <w:vAlign w:val="center"/>
          </w:tcPr>
          <w:p w14:paraId="4AF3F91A">
            <w:pPr>
              <w:spacing w:before="120" w:beforeLines="50" w:line="300" w:lineRule="auto"/>
              <w:rPr>
                <w:rFonts w:hint="eastAsia" w:cs="等线"/>
                <w:sz w:val="24"/>
                <w:szCs w:val="24"/>
              </w:rPr>
            </w:pPr>
            <w:r>
              <w:rPr>
                <w:rFonts w:hint="eastAsia" w:cs="等线"/>
                <w:sz w:val="24"/>
                <w:szCs w:val="24"/>
                <w:lang w:val="en-US" w:eastAsia="zh-CN"/>
              </w:rPr>
              <w:t>4）</w:t>
            </w:r>
            <w:r>
              <w:rPr>
                <w:rFonts w:hint="eastAsia" w:cs="等线"/>
                <w:sz w:val="24"/>
                <w:szCs w:val="24"/>
              </w:rPr>
              <w:t>支持对单点维护功能，可远程查看终端实时运行的进程，需要包含进程名称，进程用户、命令行（执行路径</w:t>
            </w:r>
            <w:r>
              <w:rPr>
                <w:rFonts w:cs="等线"/>
                <w:sz w:val="24"/>
                <w:szCs w:val="24"/>
              </w:rPr>
              <w:t>+执行参数）、内存占用、支持远程结束进程。支持远程查看计算机各个网卡配置信息</w:t>
            </w:r>
          </w:p>
        </w:tc>
      </w:tr>
      <w:tr w14:paraId="3FAF2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1D4BECA3">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554424D7">
            <w:pPr>
              <w:spacing w:before="120" w:beforeLines="50" w:line="300" w:lineRule="auto"/>
              <w:jc w:val="center"/>
              <w:rPr>
                <w:rFonts w:hint="eastAsia" w:cs="等线"/>
                <w:sz w:val="24"/>
                <w:szCs w:val="24"/>
              </w:rPr>
            </w:pPr>
          </w:p>
        </w:tc>
        <w:tc>
          <w:tcPr>
            <w:tcW w:w="7764" w:type="dxa"/>
            <w:shd w:val="clear" w:color="auto" w:fill="FFFFFF"/>
            <w:noWrap w:val="0"/>
            <w:vAlign w:val="center"/>
          </w:tcPr>
          <w:p w14:paraId="3432CCB9">
            <w:pPr>
              <w:spacing w:before="120" w:beforeLines="50" w:line="300" w:lineRule="auto"/>
              <w:rPr>
                <w:rFonts w:hint="eastAsia" w:cs="等线"/>
                <w:sz w:val="24"/>
                <w:szCs w:val="24"/>
              </w:rPr>
            </w:pPr>
            <w:r>
              <w:rPr>
                <w:rFonts w:cs="等线"/>
                <w:b/>
                <w:bCs/>
                <w:sz w:val="24"/>
                <w:szCs w:val="24"/>
              </w:rPr>
              <w:t>#</w:t>
            </w:r>
            <w:r>
              <w:rPr>
                <w:rFonts w:hint="eastAsia" w:cs="等线"/>
                <w:sz w:val="24"/>
                <w:szCs w:val="24"/>
                <w:lang w:val="en-US" w:eastAsia="zh-CN"/>
              </w:rPr>
              <w:t>5）</w:t>
            </w:r>
            <w:r>
              <w:rPr>
                <w:rFonts w:hint="eastAsia" w:cs="等线"/>
                <w:sz w:val="24"/>
                <w:szCs w:val="24"/>
              </w:rPr>
              <w:t>支持对终端节能管理，支持对长时间运行、定时关机、空闲节能、工作时间外开机等节能类型设定策略，支持仅提示、关机、注销、锁定、关闭显示器、锁定</w:t>
            </w:r>
            <w:r>
              <w:rPr>
                <w:rFonts w:cs="等线"/>
                <w:sz w:val="24"/>
                <w:szCs w:val="24"/>
              </w:rPr>
              <w:t>+关闭显示器、休眠和睡眠处理。并支持提示倒计时弹窗，可设置在终端取消后下一次提醒时间</w:t>
            </w:r>
            <w:r>
              <w:rPr>
                <w:rFonts w:hint="eastAsia" w:cs="等线"/>
                <w:sz w:val="24"/>
                <w:szCs w:val="24"/>
              </w:rPr>
              <w:t>（提供截图证明</w:t>
            </w:r>
            <w:r>
              <w:rPr>
                <w:rFonts w:hint="eastAsia" w:cs="等线"/>
                <w:sz w:val="24"/>
                <w:szCs w:val="24"/>
                <w:lang w:val="en-US" w:eastAsia="zh-CN"/>
              </w:rPr>
              <w:t>并加盖投标人公章</w:t>
            </w:r>
            <w:r>
              <w:rPr>
                <w:rFonts w:hint="eastAsia" w:cs="等线"/>
                <w:sz w:val="24"/>
                <w:szCs w:val="24"/>
              </w:rPr>
              <w:t>）</w:t>
            </w:r>
          </w:p>
        </w:tc>
      </w:tr>
      <w:tr w14:paraId="4AC9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restart"/>
            <w:shd w:val="clear" w:color="auto" w:fill="FFFFFF"/>
            <w:noWrap w:val="0"/>
            <w:vAlign w:val="center"/>
          </w:tcPr>
          <w:p w14:paraId="13C02981">
            <w:pPr>
              <w:spacing w:before="120" w:beforeLines="50" w:line="300" w:lineRule="auto"/>
              <w:jc w:val="center"/>
              <w:rPr>
                <w:rFonts w:hint="eastAsia" w:eastAsia="宋体" w:cs="等线"/>
                <w:sz w:val="24"/>
                <w:szCs w:val="24"/>
                <w:lang w:val="en-US" w:eastAsia="zh-CN"/>
              </w:rPr>
            </w:pPr>
            <w:r>
              <w:rPr>
                <w:rFonts w:hint="eastAsia" w:cs="等线"/>
                <w:sz w:val="24"/>
                <w:szCs w:val="24"/>
                <w:lang w:val="en-US" w:eastAsia="zh-CN"/>
              </w:rPr>
              <w:t>6</w:t>
            </w:r>
          </w:p>
        </w:tc>
        <w:tc>
          <w:tcPr>
            <w:tcW w:w="1371" w:type="dxa"/>
            <w:vMerge w:val="restart"/>
            <w:shd w:val="clear" w:color="auto" w:fill="FFFFFF"/>
            <w:noWrap w:val="0"/>
            <w:vAlign w:val="center"/>
          </w:tcPr>
          <w:p w14:paraId="18CE46AD">
            <w:pPr>
              <w:spacing w:before="120" w:beforeLines="50" w:line="300" w:lineRule="auto"/>
              <w:jc w:val="center"/>
              <w:rPr>
                <w:rFonts w:hint="eastAsia" w:cs="等线"/>
                <w:sz w:val="24"/>
                <w:szCs w:val="24"/>
              </w:rPr>
            </w:pPr>
            <w:r>
              <w:rPr>
                <w:rFonts w:hint="eastAsia" w:cs="等线"/>
                <w:sz w:val="24"/>
                <w:szCs w:val="24"/>
              </w:rPr>
              <w:t>移动存储</w:t>
            </w:r>
          </w:p>
        </w:tc>
        <w:tc>
          <w:tcPr>
            <w:tcW w:w="7764" w:type="dxa"/>
            <w:shd w:val="clear" w:color="auto" w:fill="FFFFFF"/>
            <w:noWrap w:val="0"/>
            <w:vAlign w:val="center"/>
          </w:tcPr>
          <w:p w14:paraId="65E3EA9D">
            <w:pPr>
              <w:spacing w:before="120" w:beforeLines="50" w:line="300" w:lineRule="auto"/>
              <w:rPr>
                <w:rFonts w:hint="eastAsia" w:cs="等线"/>
                <w:sz w:val="24"/>
                <w:szCs w:val="24"/>
              </w:rPr>
            </w:pPr>
            <w:r>
              <w:rPr>
                <w:rFonts w:hint="eastAsia" w:cs="等线"/>
                <w:sz w:val="24"/>
                <w:szCs w:val="24"/>
                <w:lang w:val="en-US" w:eastAsia="zh-CN"/>
              </w:rPr>
              <w:t>1）</w:t>
            </w:r>
            <w:r>
              <w:rPr>
                <w:rFonts w:hint="eastAsia" w:cs="等线"/>
                <w:sz w:val="24"/>
                <w:szCs w:val="24"/>
              </w:rPr>
              <w:t>支持管理员对入网的移动存储介质进行注册，可以对已注册的移动介质进行管理，包括授权、启用、停用、删除、取消注册、导出注册列表等</w:t>
            </w:r>
          </w:p>
        </w:tc>
      </w:tr>
      <w:tr w14:paraId="3933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5FA9EF62">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7C1202C6">
            <w:pPr>
              <w:spacing w:before="120" w:beforeLines="50" w:line="300" w:lineRule="auto"/>
              <w:jc w:val="center"/>
              <w:rPr>
                <w:rFonts w:hint="eastAsia" w:cs="等线"/>
                <w:sz w:val="24"/>
                <w:szCs w:val="24"/>
              </w:rPr>
            </w:pPr>
          </w:p>
        </w:tc>
        <w:tc>
          <w:tcPr>
            <w:tcW w:w="7764" w:type="dxa"/>
            <w:shd w:val="clear" w:color="auto" w:fill="FFFFFF"/>
            <w:noWrap w:val="0"/>
            <w:vAlign w:val="center"/>
          </w:tcPr>
          <w:p w14:paraId="2981E26F">
            <w:pPr>
              <w:spacing w:before="120" w:beforeLines="50" w:line="300" w:lineRule="auto"/>
              <w:rPr>
                <w:rFonts w:hint="eastAsia" w:cs="等线"/>
                <w:sz w:val="24"/>
                <w:szCs w:val="24"/>
              </w:rPr>
            </w:pPr>
            <w:r>
              <w:rPr>
                <w:rFonts w:hint="eastAsia" w:cs="等线"/>
                <w:sz w:val="24"/>
                <w:szCs w:val="24"/>
                <w:lang w:val="en-US" w:eastAsia="zh-CN"/>
              </w:rPr>
              <w:t>2）</w:t>
            </w:r>
            <w:r>
              <w:rPr>
                <w:rFonts w:hint="eastAsia" w:cs="等线"/>
                <w:sz w:val="24"/>
                <w:szCs w:val="24"/>
              </w:rPr>
              <w:t>支持管理员设置自动审批客户端注册请求；不同分组可设置不同审批规则</w:t>
            </w:r>
          </w:p>
        </w:tc>
      </w:tr>
      <w:tr w14:paraId="01D02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7B9224C5">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051B7BAE">
            <w:pPr>
              <w:spacing w:before="120" w:beforeLines="50" w:line="300" w:lineRule="auto"/>
              <w:jc w:val="center"/>
              <w:rPr>
                <w:rFonts w:hint="eastAsia" w:cs="等线"/>
                <w:sz w:val="24"/>
                <w:szCs w:val="24"/>
              </w:rPr>
            </w:pPr>
          </w:p>
        </w:tc>
        <w:tc>
          <w:tcPr>
            <w:tcW w:w="7764" w:type="dxa"/>
            <w:shd w:val="clear" w:color="auto" w:fill="FFFFFF"/>
            <w:noWrap w:val="0"/>
            <w:vAlign w:val="center"/>
          </w:tcPr>
          <w:p w14:paraId="704794C2">
            <w:pPr>
              <w:spacing w:before="120" w:beforeLines="50" w:line="300" w:lineRule="auto"/>
              <w:rPr>
                <w:rFonts w:hint="eastAsia" w:cs="等线"/>
                <w:sz w:val="24"/>
                <w:szCs w:val="24"/>
              </w:rPr>
            </w:pPr>
            <w:r>
              <w:rPr>
                <w:rFonts w:hint="eastAsia" w:cs="等线"/>
                <w:sz w:val="24"/>
                <w:szCs w:val="24"/>
                <w:lang w:val="en-US" w:eastAsia="zh-CN"/>
              </w:rPr>
              <w:t>3）</w:t>
            </w:r>
            <w:r>
              <w:rPr>
                <w:rFonts w:hint="eastAsia" w:cs="等线"/>
                <w:sz w:val="24"/>
                <w:szCs w:val="24"/>
              </w:rPr>
              <w:t>支持移动存储介质外出管理，并可以设置外出使用权限与有效时间；</w:t>
            </w:r>
          </w:p>
        </w:tc>
      </w:tr>
      <w:tr w14:paraId="3A245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vMerge w:val="continue"/>
            <w:shd w:val="clear" w:color="auto" w:fill="FFFFFF"/>
            <w:noWrap w:val="0"/>
            <w:vAlign w:val="center"/>
          </w:tcPr>
          <w:p w14:paraId="482F4FB3">
            <w:pPr>
              <w:spacing w:before="120" w:beforeLines="50" w:line="300" w:lineRule="auto"/>
              <w:jc w:val="center"/>
              <w:rPr>
                <w:rFonts w:hint="eastAsia" w:cs="等线"/>
                <w:sz w:val="24"/>
                <w:szCs w:val="24"/>
              </w:rPr>
            </w:pPr>
          </w:p>
        </w:tc>
        <w:tc>
          <w:tcPr>
            <w:tcW w:w="1371" w:type="dxa"/>
            <w:vMerge w:val="continue"/>
            <w:shd w:val="clear" w:color="auto" w:fill="FFFFFF"/>
            <w:noWrap w:val="0"/>
            <w:vAlign w:val="center"/>
          </w:tcPr>
          <w:p w14:paraId="6DC04E03">
            <w:pPr>
              <w:spacing w:before="120" w:beforeLines="50" w:line="300" w:lineRule="auto"/>
              <w:jc w:val="center"/>
              <w:rPr>
                <w:rFonts w:hint="eastAsia" w:cs="等线"/>
                <w:sz w:val="24"/>
                <w:szCs w:val="24"/>
              </w:rPr>
            </w:pPr>
          </w:p>
        </w:tc>
        <w:tc>
          <w:tcPr>
            <w:tcW w:w="7764" w:type="dxa"/>
            <w:shd w:val="clear" w:color="auto" w:fill="FFFFFF"/>
            <w:noWrap w:val="0"/>
            <w:vAlign w:val="center"/>
          </w:tcPr>
          <w:p w14:paraId="57149726">
            <w:pPr>
              <w:spacing w:before="120" w:beforeLines="50" w:line="300" w:lineRule="auto"/>
              <w:rPr>
                <w:rFonts w:hint="eastAsia" w:cs="等线"/>
                <w:sz w:val="24"/>
                <w:szCs w:val="24"/>
              </w:rPr>
            </w:pPr>
            <w:r>
              <w:rPr>
                <w:rFonts w:hint="eastAsia" w:cs="等线"/>
                <w:sz w:val="24"/>
                <w:szCs w:val="24"/>
                <w:lang w:val="en-US" w:eastAsia="zh-CN"/>
              </w:rPr>
              <w:t>4）</w:t>
            </w:r>
            <w:r>
              <w:rPr>
                <w:rFonts w:hint="eastAsia" w:cs="等线"/>
                <w:sz w:val="24"/>
                <w:szCs w:val="24"/>
              </w:rPr>
              <w:t>支持</w:t>
            </w:r>
            <w:r>
              <w:rPr>
                <w:rFonts w:cs="等线"/>
                <w:sz w:val="24"/>
                <w:szCs w:val="24"/>
              </w:rPr>
              <w:t>U盘与终端进行点对点的授权，可以灵活控制单个U盘在不同终端上拥有不同的使用权限</w:t>
            </w:r>
          </w:p>
        </w:tc>
      </w:tr>
      <w:tr w14:paraId="50030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shd w:val="clear" w:color="auto" w:fill="FFFFFF"/>
            <w:noWrap w:val="0"/>
            <w:vAlign w:val="center"/>
          </w:tcPr>
          <w:p w14:paraId="6C5EF997">
            <w:pPr>
              <w:spacing w:before="120" w:beforeLines="50" w:line="300" w:lineRule="auto"/>
              <w:jc w:val="center"/>
              <w:rPr>
                <w:rFonts w:hint="eastAsia" w:eastAsia="宋体" w:cs="等线"/>
                <w:sz w:val="24"/>
                <w:szCs w:val="24"/>
                <w:lang w:val="en-US" w:eastAsia="zh-CN"/>
              </w:rPr>
            </w:pPr>
            <w:r>
              <w:rPr>
                <w:rFonts w:hint="eastAsia" w:cs="等线"/>
                <w:sz w:val="24"/>
                <w:szCs w:val="24"/>
                <w:lang w:val="en-US" w:eastAsia="zh-CN"/>
              </w:rPr>
              <w:t>7</w:t>
            </w:r>
          </w:p>
        </w:tc>
        <w:tc>
          <w:tcPr>
            <w:tcW w:w="1371" w:type="dxa"/>
            <w:shd w:val="clear" w:color="auto" w:fill="FFFFFF"/>
            <w:noWrap w:val="0"/>
            <w:vAlign w:val="center"/>
          </w:tcPr>
          <w:p w14:paraId="57766576">
            <w:pPr>
              <w:spacing w:before="120" w:beforeLines="50" w:line="300" w:lineRule="auto"/>
              <w:jc w:val="center"/>
              <w:rPr>
                <w:rFonts w:hint="eastAsia" w:cs="等线"/>
                <w:sz w:val="24"/>
                <w:szCs w:val="24"/>
              </w:rPr>
            </w:pPr>
            <w:r>
              <w:rPr>
                <w:rFonts w:cs="等线"/>
                <w:sz w:val="24"/>
                <w:szCs w:val="24"/>
              </w:rPr>
              <w:t>停服系统</w:t>
            </w:r>
            <w:r>
              <w:rPr>
                <w:rFonts w:hint="eastAsia" w:cs="等线"/>
                <w:sz w:val="24"/>
                <w:szCs w:val="24"/>
              </w:rPr>
              <w:t>加固</w:t>
            </w:r>
          </w:p>
        </w:tc>
        <w:tc>
          <w:tcPr>
            <w:tcW w:w="7764" w:type="dxa"/>
            <w:shd w:val="clear" w:color="auto" w:fill="FFFFFF"/>
            <w:noWrap w:val="0"/>
            <w:vAlign w:val="center"/>
          </w:tcPr>
          <w:p w14:paraId="3A953F85">
            <w:pPr>
              <w:spacing w:before="120" w:beforeLines="50" w:line="300" w:lineRule="auto"/>
              <w:rPr>
                <w:rFonts w:hint="eastAsia" w:cs="等线"/>
                <w:sz w:val="24"/>
                <w:szCs w:val="24"/>
              </w:rPr>
            </w:pPr>
            <w:r>
              <w:rPr>
                <w:rFonts w:hint="eastAsia" w:cs="等线"/>
                <w:sz w:val="24"/>
                <w:szCs w:val="24"/>
              </w:rPr>
              <w:t>支持针对</w:t>
            </w:r>
            <w:r>
              <w:rPr>
                <w:rFonts w:cs="等线"/>
                <w:sz w:val="24"/>
                <w:szCs w:val="24"/>
              </w:rPr>
              <w:t>Windows XP</w:t>
            </w:r>
            <w:r>
              <w:rPr>
                <w:rFonts w:hint="eastAsia" w:cs="等线"/>
                <w:sz w:val="24"/>
                <w:szCs w:val="24"/>
              </w:rPr>
              <w:t>、Windows 7</w:t>
            </w:r>
            <w:r>
              <w:rPr>
                <w:rFonts w:cs="等线"/>
                <w:sz w:val="24"/>
                <w:szCs w:val="24"/>
              </w:rPr>
              <w:t>系统可带来安全隐患的设计机制进行加固性修复，支持远程漏洞攻击防护、本地钓鱼攻击防护和浏览器漏洞攻击防护</w:t>
            </w:r>
          </w:p>
        </w:tc>
      </w:tr>
      <w:tr w14:paraId="4D7F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 w:hRule="atLeast"/>
          <w:jc w:val="center"/>
        </w:trPr>
        <w:tc>
          <w:tcPr>
            <w:tcW w:w="663" w:type="dxa"/>
            <w:shd w:val="clear" w:color="auto" w:fill="FFFFFF"/>
            <w:noWrap w:val="0"/>
            <w:vAlign w:val="center"/>
          </w:tcPr>
          <w:p w14:paraId="0A206453">
            <w:pPr>
              <w:spacing w:before="120" w:beforeLines="50" w:line="300" w:lineRule="auto"/>
              <w:jc w:val="center"/>
              <w:rPr>
                <w:rFonts w:hint="eastAsia" w:eastAsia="宋体" w:cs="等线"/>
                <w:sz w:val="24"/>
                <w:szCs w:val="24"/>
                <w:lang w:val="en-US" w:eastAsia="zh-CN"/>
              </w:rPr>
            </w:pPr>
            <w:r>
              <w:rPr>
                <w:rFonts w:hint="eastAsia" w:cs="等线"/>
                <w:sz w:val="24"/>
                <w:szCs w:val="24"/>
                <w:lang w:val="en-US" w:eastAsia="zh-CN"/>
              </w:rPr>
              <w:t>8</w:t>
            </w:r>
          </w:p>
        </w:tc>
        <w:tc>
          <w:tcPr>
            <w:tcW w:w="1371" w:type="dxa"/>
            <w:shd w:val="clear" w:color="auto" w:fill="FFFFFF"/>
            <w:noWrap w:val="0"/>
            <w:vAlign w:val="center"/>
          </w:tcPr>
          <w:p w14:paraId="4F7B7C0C">
            <w:pPr>
              <w:spacing w:before="120" w:beforeLines="50" w:line="300" w:lineRule="auto"/>
              <w:jc w:val="center"/>
              <w:rPr>
                <w:rFonts w:hint="eastAsia" w:cs="等线"/>
                <w:sz w:val="24"/>
                <w:szCs w:val="24"/>
              </w:rPr>
            </w:pPr>
            <w:r>
              <w:rPr>
                <w:rFonts w:hint="eastAsia" w:cs="等线"/>
                <w:sz w:val="24"/>
                <w:szCs w:val="24"/>
              </w:rPr>
              <w:t>终端准入</w:t>
            </w:r>
          </w:p>
        </w:tc>
        <w:tc>
          <w:tcPr>
            <w:tcW w:w="7764" w:type="dxa"/>
            <w:shd w:val="clear" w:color="auto" w:fill="FFFFFF"/>
            <w:noWrap w:val="0"/>
            <w:vAlign w:val="center"/>
          </w:tcPr>
          <w:p w14:paraId="7354636B">
            <w:pPr>
              <w:spacing w:before="120" w:beforeLines="50" w:line="300" w:lineRule="auto"/>
              <w:rPr>
                <w:rFonts w:hint="eastAsia" w:eastAsia="宋体" w:cs="等线"/>
                <w:sz w:val="24"/>
                <w:szCs w:val="24"/>
                <w:lang w:eastAsia="zh-CN"/>
              </w:rPr>
            </w:pPr>
            <w:r>
              <w:rPr>
                <w:rFonts w:hint="eastAsia" w:cs="等线"/>
                <w:sz w:val="24"/>
                <w:szCs w:val="24"/>
                <w:lang w:val="en-US" w:eastAsia="zh-CN"/>
              </w:rPr>
              <w:t>1）</w:t>
            </w:r>
            <w:r>
              <w:rPr>
                <w:rFonts w:hint="eastAsia" w:cs="等线"/>
                <w:sz w:val="24"/>
                <w:szCs w:val="24"/>
              </w:rPr>
              <w:t>支持集中管理，与现有控制中心无缝对接</w:t>
            </w:r>
            <w:r>
              <w:rPr>
                <w:rFonts w:hint="eastAsia" w:cs="等线"/>
                <w:sz w:val="24"/>
                <w:szCs w:val="24"/>
                <w:lang w:eastAsia="zh-CN"/>
              </w:rPr>
              <w:t>；</w:t>
            </w:r>
          </w:p>
          <w:p w14:paraId="732C2E54">
            <w:pPr>
              <w:spacing w:before="120" w:beforeLines="50" w:line="300" w:lineRule="auto"/>
              <w:rPr>
                <w:rFonts w:hint="eastAsia" w:cs="等线"/>
                <w:sz w:val="24"/>
                <w:szCs w:val="24"/>
              </w:rPr>
            </w:pPr>
            <w:r>
              <w:rPr>
                <w:rFonts w:hint="eastAsia" w:cs="等线"/>
                <w:sz w:val="24"/>
                <w:szCs w:val="24"/>
                <w:lang w:val="en-US" w:eastAsia="zh-CN"/>
              </w:rPr>
              <w:t>2）</w:t>
            </w:r>
            <w:r>
              <w:rPr>
                <w:rFonts w:hint="eastAsia" w:cs="等线"/>
                <w:sz w:val="24"/>
                <w:szCs w:val="24"/>
              </w:rPr>
              <w:t>支持健康合规检查策略，采用动态检测技术，需支持多种检查机制，至少支持入网检查、定时检查、周期检查机制，针对接入内部网络的计算机终端实行多种安全检查策略，支持分组策略下发控制，拦截不安全终端接入网络</w:t>
            </w:r>
          </w:p>
        </w:tc>
      </w:tr>
    </w:tbl>
    <w:p w14:paraId="0B7AC2EA">
      <w:pPr>
        <w:spacing w:before="120" w:beforeLines="50" w:line="300" w:lineRule="auto"/>
        <w:rPr>
          <w:rFonts w:hint="eastAsia"/>
          <w:sz w:val="24"/>
        </w:rPr>
      </w:pPr>
      <w:r>
        <w:rPr>
          <w:rFonts w:hint="eastAsia"/>
          <w:sz w:val="24"/>
        </w:rPr>
        <w:t>（3）虚拟化安全防护</w:t>
      </w:r>
    </w:p>
    <w:tbl>
      <w:tblPr>
        <w:tblStyle w:val="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705"/>
        <w:gridCol w:w="1342"/>
        <w:gridCol w:w="7406"/>
      </w:tblGrid>
      <w:tr w14:paraId="01305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0" w:hRule="atLeast"/>
          <w:jc w:val="center"/>
        </w:trPr>
        <w:tc>
          <w:tcPr>
            <w:tcW w:w="705" w:type="dxa"/>
            <w:noWrap w:val="0"/>
            <w:vAlign w:val="center"/>
          </w:tcPr>
          <w:p w14:paraId="4E1971DB">
            <w:pPr>
              <w:spacing w:before="120" w:beforeLines="50" w:line="300" w:lineRule="auto"/>
              <w:jc w:val="center"/>
              <w:rPr>
                <w:rFonts w:hint="default" w:eastAsia="宋体" w:cs="等线"/>
                <w:sz w:val="24"/>
                <w:szCs w:val="24"/>
                <w:lang w:val="en-US" w:eastAsia="zh-CN"/>
              </w:rPr>
            </w:pPr>
            <w:r>
              <w:rPr>
                <w:rFonts w:hint="eastAsia" w:cs="等线"/>
                <w:sz w:val="24"/>
                <w:szCs w:val="24"/>
                <w:lang w:val="en-US" w:eastAsia="zh-CN"/>
              </w:rPr>
              <w:t>序号</w:t>
            </w:r>
          </w:p>
        </w:tc>
        <w:tc>
          <w:tcPr>
            <w:tcW w:w="1342" w:type="dxa"/>
            <w:noWrap w:val="0"/>
            <w:vAlign w:val="center"/>
          </w:tcPr>
          <w:p w14:paraId="2272978B">
            <w:pPr>
              <w:spacing w:before="120" w:beforeLines="50" w:line="300" w:lineRule="auto"/>
              <w:jc w:val="center"/>
              <w:rPr>
                <w:rFonts w:hint="eastAsia" w:cs="等线"/>
                <w:sz w:val="24"/>
                <w:szCs w:val="24"/>
              </w:rPr>
            </w:pPr>
            <w:r>
              <w:rPr>
                <w:rFonts w:hint="eastAsia" w:cs="等线"/>
                <w:sz w:val="24"/>
                <w:szCs w:val="24"/>
              </w:rPr>
              <w:t>指标项</w:t>
            </w:r>
          </w:p>
        </w:tc>
        <w:tc>
          <w:tcPr>
            <w:tcW w:w="7406" w:type="dxa"/>
            <w:noWrap w:val="0"/>
            <w:vAlign w:val="center"/>
          </w:tcPr>
          <w:p w14:paraId="17B88DD2">
            <w:pPr>
              <w:spacing w:before="120" w:beforeLines="50" w:line="300" w:lineRule="auto"/>
              <w:jc w:val="center"/>
              <w:rPr>
                <w:rFonts w:hint="eastAsia" w:cs="等线"/>
                <w:sz w:val="24"/>
                <w:szCs w:val="24"/>
              </w:rPr>
            </w:pPr>
            <w:r>
              <w:rPr>
                <w:rFonts w:hint="eastAsia" w:cs="等线"/>
                <w:sz w:val="24"/>
                <w:szCs w:val="24"/>
              </w:rPr>
              <w:t>指标要求</w:t>
            </w:r>
          </w:p>
        </w:tc>
      </w:tr>
      <w:tr w14:paraId="17897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705" w:type="dxa"/>
            <w:vMerge w:val="restart"/>
            <w:noWrap w:val="0"/>
            <w:vAlign w:val="center"/>
          </w:tcPr>
          <w:p w14:paraId="517E6867">
            <w:pPr>
              <w:spacing w:before="120" w:beforeLines="50" w:line="300" w:lineRule="auto"/>
              <w:jc w:val="center"/>
              <w:rPr>
                <w:rFonts w:hint="eastAsia" w:eastAsia="宋体" w:cs="等线"/>
                <w:sz w:val="24"/>
                <w:szCs w:val="24"/>
                <w:lang w:val="en-US" w:eastAsia="zh-CN"/>
              </w:rPr>
            </w:pPr>
            <w:r>
              <w:rPr>
                <w:rFonts w:hint="eastAsia" w:cs="等线"/>
                <w:sz w:val="24"/>
                <w:szCs w:val="24"/>
                <w:lang w:val="en-US" w:eastAsia="zh-CN"/>
              </w:rPr>
              <w:t>1</w:t>
            </w:r>
          </w:p>
        </w:tc>
        <w:tc>
          <w:tcPr>
            <w:tcW w:w="1342" w:type="dxa"/>
            <w:vMerge w:val="restart"/>
            <w:noWrap w:val="0"/>
            <w:vAlign w:val="center"/>
          </w:tcPr>
          <w:p w14:paraId="7898AE08">
            <w:pPr>
              <w:spacing w:before="120" w:beforeLines="50" w:line="300" w:lineRule="auto"/>
              <w:jc w:val="center"/>
              <w:rPr>
                <w:rFonts w:hint="eastAsia" w:cs="等线"/>
                <w:sz w:val="24"/>
                <w:szCs w:val="24"/>
              </w:rPr>
            </w:pPr>
            <w:r>
              <w:rPr>
                <w:rFonts w:hint="eastAsia" w:cs="等线"/>
                <w:sz w:val="24"/>
                <w:szCs w:val="24"/>
              </w:rPr>
              <w:t>部署要求</w:t>
            </w:r>
          </w:p>
        </w:tc>
        <w:tc>
          <w:tcPr>
            <w:tcW w:w="7406" w:type="dxa"/>
            <w:noWrap w:val="0"/>
            <w:vAlign w:val="center"/>
          </w:tcPr>
          <w:p w14:paraId="693A2984">
            <w:pPr>
              <w:spacing w:before="120" w:beforeLines="50" w:line="300" w:lineRule="auto"/>
              <w:rPr>
                <w:rFonts w:hint="eastAsia" w:cs="等线"/>
                <w:sz w:val="24"/>
                <w:szCs w:val="24"/>
              </w:rPr>
            </w:pPr>
            <w:r>
              <w:rPr>
                <w:rFonts w:hint="eastAsia" w:cs="等线"/>
                <w:sz w:val="24"/>
                <w:szCs w:val="24"/>
                <w:lang w:val="en-US" w:eastAsia="zh-CN"/>
              </w:rPr>
              <w:t>1）</w:t>
            </w:r>
            <w:r>
              <w:rPr>
                <w:rFonts w:hint="eastAsia" w:cs="等线"/>
                <w:sz w:val="24"/>
                <w:szCs w:val="24"/>
              </w:rPr>
              <w:t>支持主流虚拟化平台支持和管理。至少支持</w:t>
            </w:r>
            <w:r>
              <w:rPr>
                <w:rFonts w:cs="等线"/>
                <w:sz w:val="24"/>
                <w:szCs w:val="24"/>
              </w:rPr>
              <w:t>VMware、Citrix XenServer、华为FusionSphere、H3C、OpenStack、CloudManager云管理平台、浪潮 InCloud Sphere、QingCloud青云、曙光云等云平台</w:t>
            </w:r>
            <w:r>
              <w:rPr>
                <w:rFonts w:hint="eastAsia" w:cs="等线"/>
                <w:sz w:val="24"/>
                <w:szCs w:val="24"/>
              </w:rPr>
              <w:t>等虚拟化厂商平台，提供至少1</w:t>
            </w:r>
            <w:r>
              <w:rPr>
                <w:rFonts w:cs="等线"/>
                <w:sz w:val="24"/>
                <w:szCs w:val="24"/>
              </w:rPr>
              <w:t>8</w:t>
            </w:r>
            <w:r>
              <w:rPr>
                <w:rFonts w:hint="eastAsia" w:cs="等线"/>
                <w:sz w:val="24"/>
                <w:szCs w:val="24"/>
              </w:rPr>
              <w:t>颗CPU使用授权。</w:t>
            </w:r>
          </w:p>
        </w:tc>
      </w:tr>
      <w:tr w14:paraId="04701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705" w:type="dxa"/>
            <w:vMerge w:val="continue"/>
            <w:noWrap w:val="0"/>
            <w:vAlign w:val="center"/>
          </w:tcPr>
          <w:p w14:paraId="23B7EB9F">
            <w:pPr>
              <w:spacing w:before="120" w:beforeLines="50" w:line="300" w:lineRule="auto"/>
              <w:jc w:val="center"/>
              <w:rPr>
                <w:rFonts w:hint="eastAsia" w:eastAsia="宋体" w:cs="等线"/>
                <w:sz w:val="24"/>
                <w:szCs w:val="24"/>
                <w:lang w:val="en-US" w:eastAsia="zh-CN"/>
              </w:rPr>
            </w:pPr>
          </w:p>
        </w:tc>
        <w:tc>
          <w:tcPr>
            <w:tcW w:w="1342" w:type="dxa"/>
            <w:vMerge w:val="continue"/>
            <w:noWrap w:val="0"/>
            <w:vAlign w:val="center"/>
          </w:tcPr>
          <w:p w14:paraId="1934C19D">
            <w:pPr>
              <w:spacing w:before="120" w:beforeLines="50" w:line="300" w:lineRule="auto"/>
              <w:jc w:val="center"/>
              <w:rPr>
                <w:rFonts w:hint="eastAsia" w:cs="等线"/>
                <w:sz w:val="24"/>
                <w:szCs w:val="24"/>
              </w:rPr>
            </w:pPr>
          </w:p>
        </w:tc>
        <w:tc>
          <w:tcPr>
            <w:tcW w:w="7406" w:type="dxa"/>
            <w:noWrap w:val="0"/>
            <w:vAlign w:val="center"/>
          </w:tcPr>
          <w:p w14:paraId="6780DB10">
            <w:pPr>
              <w:spacing w:before="120" w:beforeLines="50" w:line="300" w:lineRule="auto"/>
              <w:rPr>
                <w:rFonts w:hint="eastAsia" w:cs="等线"/>
                <w:sz w:val="24"/>
                <w:szCs w:val="24"/>
              </w:rPr>
            </w:pPr>
            <w:r>
              <w:rPr>
                <w:rFonts w:cs="等线"/>
                <w:b/>
                <w:bCs/>
                <w:sz w:val="24"/>
                <w:szCs w:val="24"/>
              </w:rPr>
              <w:t>#</w:t>
            </w:r>
            <w:r>
              <w:rPr>
                <w:rFonts w:hint="eastAsia" w:cs="等线"/>
                <w:sz w:val="24"/>
                <w:szCs w:val="24"/>
                <w:lang w:val="en-US" w:eastAsia="zh-CN"/>
              </w:rPr>
              <w:t>2）</w:t>
            </w:r>
            <w:r>
              <w:rPr>
                <w:rFonts w:hint="eastAsia" w:cs="等线"/>
                <w:sz w:val="24"/>
                <w:szCs w:val="24"/>
              </w:rPr>
              <w:t>支持与医院现有虚拟化安全软件无缝对接。支持一套管控中心统一管理，包括有代理、无代理部署模式统一管理；物理服务器、虚拟服务器统一管理；</w:t>
            </w:r>
            <w:r>
              <w:rPr>
                <w:rFonts w:cs="等线"/>
                <w:sz w:val="24"/>
                <w:szCs w:val="24"/>
              </w:rPr>
              <w:t>Windows、Linux、信创操作系统统一管理；私有云、公有云、容器环境统一管理</w:t>
            </w:r>
            <w:r>
              <w:rPr>
                <w:rFonts w:hint="eastAsia" w:cs="等线"/>
                <w:sz w:val="24"/>
                <w:szCs w:val="24"/>
              </w:rPr>
              <w:t>。（提供截图证明</w:t>
            </w:r>
            <w:r>
              <w:rPr>
                <w:rFonts w:hint="eastAsia" w:cs="等线"/>
                <w:sz w:val="24"/>
                <w:szCs w:val="24"/>
                <w:lang w:val="en-US" w:eastAsia="zh-CN"/>
              </w:rPr>
              <w:t>并加盖投标人公章</w:t>
            </w:r>
            <w:r>
              <w:rPr>
                <w:rFonts w:hint="eastAsia" w:cs="等线"/>
                <w:sz w:val="24"/>
                <w:szCs w:val="24"/>
              </w:rPr>
              <w:t>）</w:t>
            </w:r>
          </w:p>
        </w:tc>
      </w:tr>
      <w:tr w14:paraId="34B08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705" w:type="dxa"/>
            <w:vMerge w:val="restart"/>
            <w:noWrap w:val="0"/>
            <w:vAlign w:val="center"/>
          </w:tcPr>
          <w:p w14:paraId="0A02CE9E">
            <w:pPr>
              <w:spacing w:before="120" w:beforeLines="50" w:line="300" w:lineRule="auto"/>
              <w:jc w:val="center"/>
              <w:rPr>
                <w:rFonts w:hint="default" w:eastAsia="宋体" w:cs="等线"/>
                <w:sz w:val="24"/>
                <w:szCs w:val="24"/>
                <w:lang w:val="en-US" w:eastAsia="zh-CN"/>
              </w:rPr>
            </w:pPr>
            <w:r>
              <w:rPr>
                <w:rFonts w:hint="eastAsia" w:cs="等线"/>
                <w:sz w:val="24"/>
                <w:szCs w:val="24"/>
                <w:lang w:val="en-US" w:eastAsia="zh-CN"/>
              </w:rPr>
              <w:t>2</w:t>
            </w:r>
          </w:p>
        </w:tc>
        <w:tc>
          <w:tcPr>
            <w:tcW w:w="1342" w:type="dxa"/>
            <w:vMerge w:val="restart"/>
            <w:noWrap w:val="0"/>
            <w:vAlign w:val="center"/>
          </w:tcPr>
          <w:p w14:paraId="46785977">
            <w:pPr>
              <w:spacing w:before="120" w:beforeLines="50" w:line="300" w:lineRule="auto"/>
              <w:jc w:val="center"/>
              <w:rPr>
                <w:rFonts w:hint="eastAsia" w:cs="等线"/>
                <w:sz w:val="24"/>
                <w:szCs w:val="24"/>
              </w:rPr>
            </w:pPr>
            <w:r>
              <w:rPr>
                <w:rFonts w:hint="eastAsia" w:cs="等线"/>
                <w:sz w:val="24"/>
                <w:szCs w:val="24"/>
              </w:rPr>
              <w:t>病毒查杀</w:t>
            </w:r>
          </w:p>
        </w:tc>
        <w:tc>
          <w:tcPr>
            <w:tcW w:w="7406" w:type="dxa"/>
            <w:noWrap w:val="0"/>
            <w:vAlign w:val="center"/>
          </w:tcPr>
          <w:p w14:paraId="4D50E811">
            <w:pPr>
              <w:spacing w:before="120" w:beforeLines="50" w:line="300" w:lineRule="auto"/>
              <w:rPr>
                <w:rFonts w:hint="eastAsia" w:cs="等线"/>
                <w:sz w:val="24"/>
                <w:szCs w:val="24"/>
              </w:rPr>
            </w:pPr>
            <w:r>
              <w:rPr>
                <w:rFonts w:hint="eastAsia" w:cs="等线"/>
                <w:sz w:val="24"/>
                <w:szCs w:val="24"/>
                <w:lang w:val="en-US" w:eastAsia="zh-CN"/>
              </w:rPr>
              <w:t>1）</w:t>
            </w:r>
            <w:r>
              <w:rPr>
                <w:rFonts w:hint="eastAsia" w:cs="等线"/>
                <w:sz w:val="24"/>
                <w:szCs w:val="24"/>
              </w:rPr>
              <w:t>采用主动的方式进行自动化病毒查杀，支持多引擎联动防护</w:t>
            </w:r>
            <w:r>
              <w:rPr>
                <w:rFonts w:cs="等线"/>
                <w:sz w:val="24"/>
                <w:szCs w:val="24"/>
              </w:rPr>
              <w:t>Bitdefender、QOWL、云查杀、支持灵活开启或停用引擎；支持病毒文件自动隔离、自动删除、修复、监控多种处理方式。支持病毒查杀的结果生成报告。提供防护策略控制可避免启动风暴和查杀风暴</w:t>
            </w:r>
          </w:p>
        </w:tc>
      </w:tr>
      <w:tr w14:paraId="0A384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705" w:type="dxa"/>
            <w:vMerge w:val="continue"/>
            <w:noWrap w:val="0"/>
            <w:vAlign w:val="center"/>
          </w:tcPr>
          <w:p w14:paraId="4FB0A00E">
            <w:pPr>
              <w:spacing w:before="120" w:beforeLines="50" w:line="300" w:lineRule="auto"/>
              <w:jc w:val="center"/>
              <w:rPr>
                <w:rFonts w:hint="eastAsia" w:eastAsia="宋体" w:cs="等线"/>
                <w:sz w:val="24"/>
                <w:szCs w:val="24"/>
                <w:lang w:val="en-US" w:eastAsia="zh-CN"/>
              </w:rPr>
            </w:pPr>
          </w:p>
        </w:tc>
        <w:tc>
          <w:tcPr>
            <w:tcW w:w="1342" w:type="dxa"/>
            <w:vMerge w:val="continue"/>
            <w:noWrap w:val="0"/>
            <w:vAlign w:val="center"/>
          </w:tcPr>
          <w:p w14:paraId="6E0D4770">
            <w:pPr>
              <w:spacing w:before="120" w:beforeLines="50" w:line="300" w:lineRule="auto"/>
              <w:jc w:val="center"/>
              <w:rPr>
                <w:rFonts w:hint="eastAsia" w:cs="等线"/>
                <w:sz w:val="24"/>
                <w:szCs w:val="24"/>
              </w:rPr>
            </w:pPr>
          </w:p>
        </w:tc>
        <w:tc>
          <w:tcPr>
            <w:tcW w:w="7406" w:type="dxa"/>
            <w:noWrap w:val="0"/>
            <w:vAlign w:val="center"/>
          </w:tcPr>
          <w:p w14:paraId="1B784069">
            <w:pPr>
              <w:spacing w:before="120" w:beforeLines="50" w:line="300" w:lineRule="auto"/>
              <w:rPr>
                <w:rFonts w:hint="eastAsia" w:cs="等线"/>
                <w:sz w:val="24"/>
                <w:szCs w:val="24"/>
              </w:rPr>
            </w:pPr>
            <w:r>
              <w:rPr>
                <w:rFonts w:hint="eastAsia" w:cs="等线"/>
                <w:sz w:val="24"/>
                <w:szCs w:val="24"/>
                <w:lang w:val="en-US" w:eastAsia="zh-CN"/>
              </w:rPr>
              <w:t>2）</w:t>
            </w:r>
            <w:r>
              <w:rPr>
                <w:rFonts w:hint="eastAsia" w:cs="等线"/>
                <w:sz w:val="24"/>
                <w:szCs w:val="24"/>
              </w:rPr>
              <w:t>支持快速扫描、全盘扫描；支持个性化扫描，可以提供不同路径、不同文件类型、时间等进行自定义病毒扫描查杀。针对压缩文件处理，支持压缩文件数量、压缩层级、压缩包大小进行精确扫描，系统除文件、文件夹例外，还需支持单独的病毒黑白名单的管理运维</w:t>
            </w:r>
          </w:p>
        </w:tc>
      </w:tr>
      <w:tr w14:paraId="23777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705" w:type="dxa"/>
            <w:vMerge w:val="continue"/>
            <w:noWrap w:val="0"/>
            <w:vAlign w:val="center"/>
          </w:tcPr>
          <w:p w14:paraId="49C43A3E">
            <w:pPr>
              <w:spacing w:before="120" w:beforeLines="50" w:line="300" w:lineRule="auto"/>
              <w:jc w:val="center"/>
              <w:rPr>
                <w:rFonts w:hint="eastAsia" w:cs="等线"/>
                <w:sz w:val="24"/>
                <w:szCs w:val="24"/>
              </w:rPr>
            </w:pPr>
          </w:p>
        </w:tc>
        <w:tc>
          <w:tcPr>
            <w:tcW w:w="1342" w:type="dxa"/>
            <w:vMerge w:val="continue"/>
            <w:noWrap w:val="0"/>
            <w:vAlign w:val="center"/>
          </w:tcPr>
          <w:p w14:paraId="37110064">
            <w:pPr>
              <w:spacing w:before="120" w:beforeLines="50" w:line="300" w:lineRule="auto"/>
              <w:jc w:val="center"/>
              <w:rPr>
                <w:rFonts w:hint="eastAsia" w:cs="等线"/>
                <w:sz w:val="24"/>
                <w:szCs w:val="24"/>
              </w:rPr>
            </w:pPr>
          </w:p>
        </w:tc>
        <w:tc>
          <w:tcPr>
            <w:tcW w:w="7406" w:type="dxa"/>
            <w:noWrap w:val="0"/>
            <w:vAlign w:val="center"/>
          </w:tcPr>
          <w:p w14:paraId="626D6514">
            <w:pPr>
              <w:spacing w:before="120" w:beforeLines="50" w:line="300" w:lineRule="auto"/>
              <w:rPr>
                <w:rFonts w:hint="eastAsia" w:cs="等线"/>
                <w:sz w:val="24"/>
                <w:szCs w:val="24"/>
              </w:rPr>
            </w:pPr>
            <w:r>
              <w:rPr>
                <w:rFonts w:hint="eastAsia" w:cs="等线"/>
                <w:sz w:val="24"/>
                <w:szCs w:val="24"/>
                <w:lang w:val="en-US" w:eastAsia="zh-CN"/>
              </w:rPr>
              <w:t>3）</w:t>
            </w:r>
            <w:r>
              <w:rPr>
                <w:rFonts w:hint="eastAsia" w:cs="等线"/>
                <w:sz w:val="24"/>
                <w:szCs w:val="24"/>
              </w:rPr>
              <w:t>支持人工智能引擎</w:t>
            </w:r>
          </w:p>
        </w:tc>
      </w:tr>
      <w:tr w14:paraId="10028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705" w:type="dxa"/>
            <w:noWrap w:val="0"/>
            <w:vAlign w:val="center"/>
          </w:tcPr>
          <w:p w14:paraId="40E8E0D7">
            <w:pPr>
              <w:spacing w:before="120" w:beforeLines="50" w:line="300" w:lineRule="auto"/>
              <w:jc w:val="center"/>
              <w:rPr>
                <w:rFonts w:hint="eastAsia" w:eastAsia="宋体" w:cs="等线"/>
                <w:sz w:val="24"/>
                <w:szCs w:val="24"/>
                <w:lang w:val="en-US" w:eastAsia="zh-CN"/>
              </w:rPr>
            </w:pPr>
            <w:r>
              <w:rPr>
                <w:rFonts w:hint="eastAsia" w:cs="等线"/>
                <w:sz w:val="24"/>
                <w:szCs w:val="24"/>
                <w:lang w:val="en-US" w:eastAsia="zh-CN"/>
              </w:rPr>
              <w:t>3</w:t>
            </w:r>
          </w:p>
        </w:tc>
        <w:tc>
          <w:tcPr>
            <w:tcW w:w="1342" w:type="dxa"/>
            <w:noWrap w:val="0"/>
            <w:vAlign w:val="center"/>
          </w:tcPr>
          <w:p w14:paraId="1CDE3FF6">
            <w:pPr>
              <w:spacing w:before="120" w:beforeLines="50" w:line="300" w:lineRule="auto"/>
              <w:jc w:val="center"/>
              <w:rPr>
                <w:rFonts w:hint="eastAsia" w:cs="等线"/>
                <w:sz w:val="24"/>
                <w:szCs w:val="24"/>
              </w:rPr>
            </w:pPr>
            <w:r>
              <w:rPr>
                <w:rFonts w:hint="eastAsia" w:cs="等线"/>
                <w:sz w:val="24"/>
                <w:szCs w:val="24"/>
              </w:rPr>
              <w:t>主机防火墙</w:t>
            </w:r>
          </w:p>
        </w:tc>
        <w:tc>
          <w:tcPr>
            <w:tcW w:w="7406" w:type="dxa"/>
            <w:noWrap w:val="0"/>
            <w:vAlign w:val="center"/>
          </w:tcPr>
          <w:p w14:paraId="402FF5D0">
            <w:pPr>
              <w:spacing w:before="120" w:beforeLines="50" w:line="300" w:lineRule="auto"/>
              <w:rPr>
                <w:rFonts w:hint="eastAsia" w:cs="等线"/>
                <w:sz w:val="24"/>
                <w:szCs w:val="24"/>
              </w:rPr>
            </w:pPr>
            <w:r>
              <w:rPr>
                <w:rFonts w:hint="eastAsia" w:cs="等线"/>
                <w:sz w:val="24"/>
                <w:szCs w:val="24"/>
              </w:rPr>
              <w:t>产品支持虚拟机/终端系统的双向状态防火墙,可以针对源目的IP、源目的端口、协议、进出站方向配置访问控制策略</w:t>
            </w:r>
          </w:p>
        </w:tc>
      </w:tr>
      <w:tr w14:paraId="67A4F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705" w:type="dxa"/>
            <w:noWrap w:val="0"/>
            <w:vAlign w:val="center"/>
          </w:tcPr>
          <w:p w14:paraId="5EEBCD04">
            <w:pPr>
              <w:spacing w:before="120" w:beforeLines="50" w:line="300" w:lineRule="auto"/>
              <w:jc w:val="center"/>
              <w:rPr>
                <w:rFonts w:hint="eastAsia" w:eastAsia="宋体"/>
                <w:sz w:val="24"/>
                <w:lang w:val="en-US" w:eastAsia="zh-CN"/>
              </w:rPr>
            </w:pPr>
            <w:r>
              <w:rPr>
                <w:rFonts w:hint="eastAsia" w:ascii="宋体" w:eastAsia="宋体"/>
                <w:sz w:val="24"/>
                <w:lang w:val="en-US" w:eastAsia="zh-CN"/>
              </w:rPr>
              <w:t>4</w:t>
            </w:r>
          </w:p>
        </w:tc>
        <w:tc>
          <w:tcPr>
            <w:tcW w:w="1342" w:type="dxa"/>
            <w:noWrap w:val="0"/>
            <w:vAlign w:val="center"/>
          </w:tcPr>
          <w:p w14:paraId="55253875">
            <w:pPr>
              <w:spacing w:before="120" w:beforeLines="50" w:line="300" w:lineRule="auto"/>
              <w:jc w:val="center"/>
              <w:rPr>
                <w:rFonts w:hint="eastAsia" w:cs="等线"/>
                <w:sz w:val="24"/>
                <w:szCs w:val="24"/>
              </w:rPr>
            </w:pPr>
            <w:r>
              <w:rPr>
                <w:sz w:val="24"/>
              </w:rPr>
              <w:t>webshell检测</w:t>
            </w:r>
          </w:p>
        </w:tc>
        <w:tc>
          <w:tcPr>
            <w:tcW w:w="7406" w:type="dxa"/>
            <w:noWrap w:val="0"/>
            <w:vAlign w:val="center"/>
          </w:tcPr>
          <w:p w14:paraId="56A18C83">
            <w:pPr>
              <w:spacing w:before="120" w:beforeLines="50" w:line="300" w:lineRule="auto"/>
              <w:rPr>
                <w:rFonts w:hint="eastAsia" w:cs="等线"/>
                <w:sz w:val="24"/>
                <w:szCs w:val="24"/>
              </w:rPr>
            </w:pPr>
            <w:r>
              <w:rPr>
                <w:rFonts w:hint="eastAsia" w:cs="等线"/>
                <w:sz w:val="24"/>
                <w:szCs w:val="24"/>
              </w:rPr>
              <w:t>支持</w:t>
            </w:r>
            <w:r>
              <w:rPr>
                <w:rFonts w:cs="等线"/>
                <w:sz w:val="24"/>
                <w:szCs w:val="24"/>
              </w:rPr>
              <w:t>webshell实时防护</w:t>
            </w:r>
            <w:r>
              <w:rPr>
                <w:rFonts w:hint="eastAsia" w:cs="等线"/>
                <w:sz w:val="24"/>
                <w:szCs w:val="24"/>
              </w:rPr>
              <w:t>。</w:t>
            </w:r>
            <w:r>
              <w:rPr>
                <w:rFonts w:cs="等线"/>
                <w:sz w:val="24"/>
                <w:szCs w:val="24"/>
              </w:rPr>
              <w:t>产品应具备webshell扫描引擎功能，支持PHP、JSP、ASP、ASPX等文件的恶意webshell检测，支持对webshell文件设定白名单，支持对文件进行下载、隔离、恢复加白操作，避免对网站核心系统文件造成影响。</w:t>
            </w:r>
          </w:p>
        </w:tc>
      </w:tr>
      <w:tr w14:paraId="345E5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705" w:type="dxa"/>
            <w:vMerge w:val="restart"/>
            <w:noWrap w:val="0"/>
            <w:vAlign w:val="center"/>
          </w:tcPr>
          <w:p w14:paraId="303E0BF2">
            <w:pPr>
              <w:spacing w:before="120" w:beforeLines="50" w:line="300" w:lineRule="auto"/>
              <w:jc w:val="center"/>
              <w:rPr>
                <w:rFonts w:hint="eastAsia" w:eastAsia="宋体" w:cs="等线"/>
                <w:sz w:val="24"/>
                <w:szCs w:val="24"/>
                <w:lang w:val="en-US" w:eastAsia="zh-CN"/>
              </w:rPr>
            </w:pPr>
            <w:r>
              <w:rPr>
                <w:rFonts w:hint="eastAsia" w:cs="等线"/>
                <w:sz w:val="24"/>
                <w:szCs w:val="24"/>
                <w:lang w:val="en-US" w:eastAsia="zh-CN"/>
              </w:rPr>
              <w:t>5</w:t>
            </w:r>
          </w:p>
        </w:tc>
        <w:tc>
          <w:tcPr>
            <w:tcW w:w="1342" w:type="dxa"/>
            <w:vMerge w:val="restart"/>
            <w:noWrap w:val="0"/>
            <w:vAlign w:val="center"/>
          </w:tcPr>
          <w:p w14:paraId="2A27FB22">
            <w:pPr>
              <w:spacing w:before="120" w:beforeLines="50" w:line="300" w:lineRule="auto"/>
              <w:jc w:val="center"/>
              <w:rPr>
                <w:rFonts w:hint="eastAsia" w:cs="等线"/>
                <w:sz w:val="24"/>
                <w:szCs w:val="24"/>
              </w:rPr>
            </w:pPr>
            <w:r>
              <w:rPr>
                <w:rFonts w:hint="eastAsia" w:cs="等线"/>
                <w:sz w:val="24"/>
                <w:szCs w:val="24"/>
              </w:rPr>
              <w:t>入侵防御</w:t>
            </w:r>
          </w:p>
        </w:tc>
        <w:tc>
          <w:tcPr>
            <w:tcW w:w="7406" w:type="dxa"/>
            <w:noWrap w:val="0"/>
            <w:vAlign w:val="center"/>
          </w:tcPr>
          <w:p w14:paraId="502D8B01">
            <w:pPr>
              <w:spacing w:before="120" w:beforeLines="50" w:line="300" w:lineRule="auto"/>
              <w:rPr>
                <w:rFonts w:hint="eastAsia" w:cs="等线"/>
                <w:sz w:val="24"/>
                <w:szCs w:val="24"/>
              </w:rPr>
            </w:pPr>
            <w:r>
              <w:rPr>
                <w:rFonts w:hint="eastAsia" w:cs="等线"/>
                <w:sz w:val="24"/>
                <w:szCs w:val="24"/>
                <w:lang w:val="en-US" w:eastAsia="zh-CN"/>
              </w:rPr>
              <w:t>1）</w:t>
            </w:r>
            <w:r>
              <w:rPr>
                <w:rFonts w:hint="eastAsia" w:cs="等线"/>
                <w:sz w:val="24"/>
                <w:szCs w:val="24"/>
              </w:rPr>
              <w:t>支持入侵防御功能，可针对出入虚拟机的流量进行检测识别，防御网络攻击及入侵行为，通过真实漏洞利用流量的特征来检测或阻止漏洞利用</w:t>
            </w:r>
            <w:r>
              <w:rPr>
                <w:rFonts w:cs="等线"/>
                <w:sz w:val="24"/>
                <w:szCs w:val="24"/>
              </w:rPr>
              <w:t>(虚拟补丁防护能力)</w:t>
            </w:r>
          </w:p>
        </w:tc>
      </w:tr>
      <w:tr w14:paraId="6D351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705" w:type="dxa"/>
            <w:vMerge w:val="continue"/>
            <w:noWrap w:val="0"/>
            <w:vAlign w:val="center"/>
          </w:tcPr>
          <w:p w14:paraId="29DDADF8">
            <w:pPr>
              <w:spacing w:before="120" w:beforeLines="50" w:line="300" w:lineRule="auto"/>
              <w:jc w:val="center"/>
              <w:rPr>
                <w:rFonts w:hint="eastAsia" w:cs="等线"/>
                <w:sz w:val="24"/>
                <w:szCs w:val="24"/>
              </w:rPr>
            </w:pPr>
          </w:p>
        </w:tc>
        <w:tc>
          <w:tcPr>
            <w:tcW w:w="1342" w:type="dxa"/>
            <w:vMerge w:val="continue"/>
            <w:noWrap w:val="0"/>
            <w:vAlign w:val="center"/>
          </w:tcPr>
          <w:p w14:paraId="599743AA">
            <w:pPr>
              <w:spacing w:before="120" w:beforeLines="50" w:line="300" w:lineRule="auto"/>
              <w:jc w:val="center"/>
              <w:rPr>
                <w:rFonts w:hint="eastAsia" w:cs="等线"/>
                <w:sz w:val="24"/>
                <w:szCs w:val="24"/>
              </w:rPr>
            </w:pPr>
          </w:p>
        </w:tc>
        <w:tc>
          <w:tcPr>
            <w:tcW w:w="7406" w:type="dxa"/>
            <w:noWrap w:val="0"/>
            <w:vAlign w:val="center"/>
          </w:tcPr>
          <w:p w14:paraId="663F5B63">
            <w:pPr>
              <w:spacing w:before="120" w:beforeLines="50" w:line="300" w:lineRule="auto"/>
              <w:rPr>
                <w:rFonts w:hint="eastAsia" w:cs="等线"/>
                <w:sz w:val="24"/>
                <w:szCs w:val="24"/>
              </w:rPr>
            </w:pPr>
            <w:r>
              <w:rPr>
                <w:rFonts w:hint="eastAsia" w:cs="等线"/>
                <w:sz w:val="24"/>
                <w:szCs w:val="24"/>
                <w:lang w:val="en-US" w:eastAsia="zh-CN"/>
              </w:rPr>
              <w:t>2）</w:t>
            </w:r>
            <w:r>
              <w:rPr>
                <w:rFonts w:hint="eastAsia" w:cs="等线"/>
                <w:sz w:val="24"/>
                <w:szCs w:val="24"/>
              </w:rPr>
              <w:t>产品预置入侵防御规则应不少于</w:t>
            </w:r>
            <w:r>
              <w:rPr>
                <w:rFonts w:cs="等线"/>
                <w:sz w:val="24"/>
                <w:szCs w:val="24"/>
              </w:rPr>
              <w:t>8000条次（不包含自定义规则），需覆盖系统、数据库、应用漏洞、防勒索、防挖矿等多种类型防御规则，防御规则支持严格、高、中三种预定义级别，针入侵威胁，提供检测和阻止模式，可以自动捕获违反规则的网络包，供验证和分析使用</w:t>
            </w:r>
          </w:p>
        </w:tc>
      </w:tr>
      <w:tr w14:paraId="5567D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705" w:type="dxa"/>
            <w:vMerge w:val="continue"/>
            <w:noWrap w:val="0"/>
            <w:vAlign w:val="center"/>
          </w:tcPr>
          <w:p w14:paraId="54938879">
            <w:pPr>
              <w:spacing w:before="120" w:beforeLines="50" w:line="300" w:lineRule="auto"/>
              <w:jc w:val="center"/>
              <w:rPr>
                <w:rFonts w:hint="eastAsia" w:cs="等线"/>
                <w:sz w:val="24"/>
                <w:szCs w:val="24"/>
              </w:rPr>
            </w:pPr>
          </w:p>
        </w:tc>
        <w:tc>
          <w:tcPr>
            <w:tcW w:w="1342" w:type="dxa"/>
            <w:vMerge w:val="continue"/>
            <w:noWrap w:val="0"/>
            <w:vAlign w:val="center"/>
          </w:tcPr>
          <w:p w14:paraId="56406F05">
            <w:pPr>
              <w:spacing w:before="120" w:beforeLines="50" w:line="300" w:lineRule="auto"/>
              <w:jc w:val="center"/>
              <w:rPr>
                <w:rFonts w:hint="eastAsia" w:cs="等线"/>
                <w:sz w:val="24"/>
                <w:szCs w:val="24"/>
              </w:rPr>
            </w:pPr>
          </w:p>
        </w:tc>
        <w:tc>
          <w:tcPr>
            <w:tcW w:w="7406" w:type="dxa"/>
            <w:noWrap w:val="0"/>
            <w:vAlign w:val="center"/>
          </w:tcPr>
          <w:p w14:paraId="6E5247FF">
            <w:pPr>
              <w:spacing w:before="120" w:beforeLines="50" w:line="300" w:lineRule="auto"/>
              <w:rPr>
                <w:rFonts w:hint="eastAsia" w:cs="等线"/>
                <w:sz w:val="24"/>
                <w:szCs w:val="24"/>
              </w:rPr>
            </w:pPr>
            <w:r>
              <w:rPr>
                <w:rFonts w:hint="eastAsia" w:cs="等线"/>
                <w:sz w:val="24"/>
                <w:szCs w:val="24"/>
                <w:lang w:val="en-US" w:eastAsia="zh-CN"/>
              </w:rPr>
              <w:t>3）</w:t>
            </w:r>
            <w:r>
              <w:rPr>
                <w:rFonts w:hint="eastAsia" w:cs="等线"/>
                <w:sz w:val="24"/>
                <w:szCs w:val="24"/>
              </w:rPr>
              <w:t>支持虚拟补丁功能，可以在针对windows、linux、数据库、应用等已知漏洞修复之前，提供针对此补丁攻击的防护能力，以免遭受威胁入侵</w:t>
            </w:r>
          </w:p>
        </w:tc>
      </w:tr>
      <w:tr w14:paraId="7849C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705" w:type="dxa"/>
            <w:vMerge w:val="restart"/>
            <w:noWrap w:val="0"/>
            <w:vAlign w:val="center"/>
          </w:tcPr>
          <w:p w14:paraId="3AED55EC">
            <w:pPr>
              <w:spacing w:before="120" w:beforeLines="50" w:line="300" w:lineRule="auto"/>
              <w:jc w:val="center"/>
              <w:rPr>
                <w:rFonts w:hint="eastAsia" w:eastAsia="宋体" w:cs="等线"/>
                <w:sz w:val="24"/>
                <w:szCs w:val="24"/>
                <w:lang w:val="en-US" w:eastAsia="zh-CN"/>
              </w:rPr>
            </w:pPr>
            <w:r>
              <w:rPr>
                <w:rFonts w:hint="eastAsia" w:cs="等线"/>
                <w:sz w:val="24"/>
                <w:szCs w:val="24"/>
                <w:lang w:val="en-US" w:eastAsia="zh-CN"/>
              </w:rPr>
              <w:t>6</w:t>
            </w:r>
          </w:p>
        </w:tc>
        <w:tc>
          <w:tcPr>
            <w:tcW w:w="1342" w:type="dxa"/>
            <w:vMerge w:val="restart"/>
            <w:noWrap w:val="0"/>
            <w:vAlign w:val="center"/>
          </w:tcPr>
          <w:p w14:paraId="0FB0361E">
            <w:pPr>
              <w:spacing w:before="120" w:beforeLines="50" w:line="300" w:lineRule="auto"/>
              <w:jc w:val="center"/>
              <w:rPr>
                <w:rFonts w:hint="eastAsia" w:cs="等线"/>
                <w:sz w:val="24"/>
                <w:szCs w:val="24"/>
              </w:rPr>
            </w:pPr>
            <w:r>
              <w:rPr>
                <w:rFonts w:cs="等线"/>
                <w:sz w:val="24"/>
                <w:szCs w:val="24"/>
              </w:rPr>
              <w:t>分析</w:t>
            </w:r>
            <w:r>
              <w:rPr>
                <w:rFonts w:hint="eastAsia" w:cs="等线"/>
                <w:sz w:val="24"/>
                <w:szCs w:val="24"/>
              </w:rPr>
              <w:t>展示</w:t>
            </w:r>
          </w:p>
        </w:tc>
        <w:tc>
          <w:tcPr>
            <w:tcW w:w="7406" w:type="dxa"/>
            <w:noWrap w:val="0"/>
            <w:vAlign w:val="center"/>
          </w:tcPr>
          <w:p w14:paraId="57E6D0E4">
            <w:pPr>
              <w:spacing w:before="120" w:beforeLines="50" w:line="300" w:lineRule="auto"/>
              <w:rPr>
                <w:rFonts w:hint="eastAsia" w:cs="等线"/>
                <w:sz w:val="24"/>
                <w:szCs w:val="24"/>
              </w:rPr>
            </w:pPr>
            <w:r>
              <w:rPr>
                <w:rFonts w:hint="eastAsia" w:cs="等线"/>
                <w:sz w:val="24"/>
                <w:szCs w:val="24"/>
                <w:lang w:val="en-US" w:eastAsia="zh-CN"/>
              </w:rPr>
              <w:t>1）</w:t>
            </w:r>
            <w:r>
              <w:rPr>
                <w:rFonts w:cs="等线"/>
                <w:sz w:val="24"/>
                <w:szCs w:val="24"/>
              </w:rPr>
              <w:t>提供数据中心威胁态势感知，大屏动态展示安全运维状况，结合地理位置信息全面呈现威胁攻击详情</w:t>
            </w:r>
          </w:p>
        </w:tc>
      </w:tr>
      <w:tr w14:paraId="175C7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705" w:type="dxa"/>
            <w:vMerge w:val="continue"/>
            <w:noWrap w:val="0"/>
            <w:vAlign w:val="center"/>
          </w:tcPr>
          <w:p w14:paraId="735AEE28">
            <w:pPr>
              <w:spacing w:before="120" w:beforeLines="50" w:line="300" w:lineRule="auto"/>
              <w:jc w:val="center"/>
              <w:rPr>
                <w:rFonts w:hint="eastAsia" w:cs="等线"/>
                <w:sz w:val="24"/>
                <w:szCs w:val="24"/>
              </w:rPr>
            </w:pPr>
          </w:p>
        </w:tc>
        <w:tc>
          <w:tcPr>
            <w:tcW w:w="1342" w:type="dxa"/>
            <w:vMerge w:val="continue"/>
            <w:noWrap w:val="0"/>
            <w:vAlign w:val="center"/>
          </w:tcPr>
          <w:p w14:paraId="07E1286C">
            <w:pPr>
              <w:spacing w:before="120" w:beforeLines="50" w:line="300" w:lineRule="auto"/>
              <w:jc w:val="center"/>
              <w:rPr>
                <w:rFonts w:hint="eastAsia" w:cs="等线"/>
                <w:sz w:val="24"/>
                <w:szCs w:val="24"/>
              </w:rPr>
            </w:pPr>
          </w:p>
        </w:tc>
        <w:tc>
          <w:tcPr>
            <w:tcW w:w="7406" w:type="dxa"/>
            <w:noWrap w:val="0"/>
            <w:vAlign w:val="center"/>
          </w:tcPr>
          <w:p w14:paraId="36785177">
            <w:pPr>
              <w:spacing w:before="120" w:beforeLines="50" w:line="300" w:lineRule="auto"/>
              <w:rPr>
                <w:rFonts w:hint="eastAsia" w:cs="等线"/>
                <w:sz w:val="24"/>
                <w:szCs w:val="24"/>
              </w:rPr>
            </w:pPr>
            <w:r>
              <w:rPr>
                <w:rFonts w:hint="eastAsia" w:cs="等线"/>
                <w:sz w:val="24"/>
                <w:szCs w:val="24"/>
                <w:lang w:val="en-US" w:eastAsia="zh-CN"/>
              </w:rPr>
              <w:t>2）</w:t>
            </w:r>
            <w:r>
              <w:rPr>
                <w:rFonts w:cs="等线"/>
                <w:sz w:val="24"/>
                <w:szCs w:val="24"/>
              </w:rPr>
              <w:t>支持按总流量、恶意流量、新建连接对流量进行统计和展示</w:t>
            </w:r>
          </w:p>
        </w:tc>
      </w:tr>
      <w:tr w14:paraId="3D045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705" w:type="dxa"/>
            <w:vMerge w:val="continue"/>
            <w:noWrap w:val="0"/>
            <w:vAlign w:val="center"/>
          </w:tcPr>
          <w:p w14:paraId="682251CC">
            <w:pPr>
              <w:spacing w:before="120" w:beforeLines="50" w:line="300" w:lineRule="auto"/>
              <w:jc w:val="center"/>
              <w:rPr>
                <w:rFonts w:hint="eastAsia" w:cs="等线"/>
                <w:sz w:val="24"/>
                <w:szCs w:val="24"/>
              </w:rPr>
            </w:pPr>
          </w:p>
        </w:tc>
        <w:tc>
          <w:tcPr>
            <w:tcW w:w="1342" w:type="dxa"/>
            <w:vMerge w:val="continue"/>
            <w:noWrap w:val="0"/>
            <w:vAlign w:val="center"/>
          </w:tcPr>
          <w:p w14:paraId="77CBDE1A">
            <w:pPr>
              <w:spacing w:before="120" w:beforeLines="50" w:line="300" w:lineRule="auto"/>
              <w:jc w:val="center"/>
              <w:rPr>
                <w:rFonts w:hint="eastAsia" w:cs="等线"/>
                <w:sz w:val="24"/>
                <w:szCs w:val="24"/>
              </w:rPr>
            </w:pPr>
          </w:p>
        </w:tc>
        <w:tc>
          <w:tcPr>
            <w:tcW w:w="7406" w:type="dxa"/>
            <w:noWrap w:val="0"/>
            <w:vAlign w:val="center"/>
          </w:tcPr>
          <w:p w14:paraId="13D5C011">
            <w:pPr>
              <w:spacing w:before="120" w:beforeLines="50" w:line="300" w:lineRule="auto"/>
              <w:rPr>
                <w:rFonts w:hint="eastAsia" w:cs="等线"/>
                <w:sz w:val="24"/>
                <w:szCs w:val="24"/>
              </w:rPr>
            </w:pPr>
            <w:r>
              <w:rPr>
                <w:rFonts w:hint="eastAsia" w:cs="等线"/>
                <w:sz w:val="24"/>
                <w:szCs w:val="24"/>
                <w:lang w:val="en-US" w:eastAsia="zh-CN"/>
              </w:rPr>
              <w:t>3）</w:t>
            </w:r>
            <w:r>
              <w:rPr>
                <w:rFonts w:cs="等线"/>
                <w:sz w:val="24"/>
                <w:szCs w:val="24"/>
              </w:rPr>
              <w:t>支持按照不同分组、虚拟机/终端、网络协议、网络协议组、国家/地区、城市，分不同威胁类别以柱状图、折线图（曲线图）、饼图、原始日志等形式进行展示，支持手动或者定时定期生成报表</w:t>
            </w:r>
          </w:p>
        </w:tc>
      </w:tr>
      <w:tr w14:paraId="0FA92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705" w:type="dxa"/>
            <w:vMerge w:val="continue"/>
            <w:noWrap w:val="0"/>
            <w:vAlign w:val="center"/>
          </w:tcPr>
          <w:p w14:paraId="34994833">
            <w:pPr>
              <w:spacing w:before="120" w:beforeLines="50" w:line="300" w:lineRule="auto"/>
              <w:jc w:val="center"/>
              <w:rPr>
                <w:rFonts w:hint="eastAsia" w:cs="等线"/>
                <w:sz w:val="24"/>
                <w:szCs w:val="24"/>
              </w:rPr>
            </w:pPr>
          </w:p>
        </w:tc>
        <w:tc>
          <w:tcPr>
            <w:tcW w:w="1342" w:type="dxa"/>
            <w:vMerge w:val="continue"/>
            <w:noWrap w:val="0"/>
            <w:vAlign w:val="center"/>
          </w:tcPr>
          <w:p w14:paraId="003ACAC3">
            <w:pPr>
              <w:spacing w:before="120" w:beforeLines="50" w:line="300" w:lineRule="auto"/>
              <w:jc w:val="center"/>
              <w:rPr>
                <w:rFonts w:hint="eastAsia" w:cs="等线"/>
                <w:sz w:val="24"/>
                <w:szCs w:val="24"/>
              </w:rPr>
            </w:pPr>
          </w:p>
        </w:tc>
        <w:tc>
          <w:tcPr>
            <w:tcW w:w="7406" w:type="dxa"/>
            <w:noWrap w:val="0"/>
            <w:vAlign w:val="center"/>
          </w:tcPr>
          <w:p w14:paraId="120A9F7A">
            <w:pPr>
              <w:spacing w:before="120" w:beforeLines="50" w:line="300" w:lineRule="auto"/>
              <w:rPr>
                <w:rFonts w:hint="eastAsia" w:cs="等线"/>
                <w:sz w:val="24"/>
                <w:szCs w:val="24"/>
              </w:rPr>
            </w:pPr>
            <w:r>
              <w:rPr>
                <w:rFonts w:hint="eastAsia" w:cs="等线"/>
                <w:sz w:val="24"/>
                <w:szCs w:val="24"/>
                <w:lang w:val="en-US" w:eastAsia="zh-CN"/>
              </w:rPr>
              <w:t>4）</w:t>
            </w:r>
            <w:r>
              <w:rPr>
                <w:rFonts w:cs="等线"/>
                <w:sz w:val="24"/>
                <w:szCs w:val="24"/>
              </w:rPr>
              <w:t>支持日志查询与操作员日志审计功能</w:t>
            </w:r>
          </w:p>
        </w:tc>
      </w:tr>
      <w:tr w14:paraId="32724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0" w:hRule="atLeast"/>
          <w:jc w:val="center"/>
        </w:trPr>
        <w:tc>
          <w:tcPr>
            <w:tcW w:w="705" w:type="dxa"/>
            <w:vMerge w:val="continue"/>
            <w:noWrap w:val="0"/>
            <w:vAlign w:val="center"/>
          </w:tcPr>
          <w:p w14:paraId="4C76B2B3">
            <w:pPr>
              <w:spacing w:before="120" w:beforeLines="50" w:line="300" w:lineRule="auto"/>
              <w:jc w:val="center"/>
              <w:rPr>
                <w:rFonts w:hint="eastAsia" w:cs="等线"/>
                <w:sz w:val="24"/>
                <w:szCs w:val="24"/>
              </w:rPr>
            </w:pPr>
          </w:p>
        </w:tc>
        <w:tc>
          <w:tcPr>
            <w:tcW w:w="1342" w:type="dxa"/>
            <w:vMerge w:val="continue"/>
            <w:noWrap w:val="0"/>
            <w:vAlign w:val="center"/>
          </w:tcPr>
          <w:p w14:paraId="7E830033">
            <w:pPr>
              <w:spacing w:before="120" w:beforeLines="50" w:line="300" w:lineRule="auto"/>
              <w:jc w:val="center"/>
              <w:rPr>
                <w:rFonts w:hint="eastAsia" w:cs="等线"/>
                <w:sz w:val="24"/>
                <w:szCs w:val="24"/>
              </w:rPr>
            </w:pPr>
          </w:p>
        </w:tc>
        <w:tc>
          <w:tcPr>
            <w:tcW w:w="7406" w:type="dxa"/>
            <w:noWrap w:val="0"/>
            <w:vAlign w:val="center"/>
          </w:tcPr>
          <w:p w14:paraId="376746B8">
            <w:pPr>
              <w:spacing w:before="120" w:beforeLines="50" w:line="300" w:lineRule="auto"/>
              <w:rPr>
                <w:rFonts w:hint="eastAsia" w:cs="等线"/>
                <w:sz w:val="24"/>
                <w:szCs w:val="24"/>
              </w:rPr>
            </w:pPr>
            <w:r>
              <w:rPr>
                <w:rFonts w:hint="eastAsia" w:cs="等线"/>
                <w:sz w:val="24"/>
                <w:szCs w:val="24"/>
                <w:lang w:val="en-US" w:eastAsia="zh-CN"/>
              </w:rPr>
              <w:t>5）</w:t>
            </w:r>
            <w:r>
              <w:rPr>
                <w:rFonts w:cs="等线"/>
                <w:sz w:val="24"/>
                <w:szCs w:val="24"/>
              </w:rPr>
              <w:t>网络流量日志，支持端口识别与显示，支持关联进程</w:t>
            </w:r>
          </w:p>
        </w:tc>
      </w:tr>
    </w:tbl>
    <w:p w14:paraId="68BA6AC1">
      <w:pPr>
        <w:pStyle w:val="2"/>
        <w:rPr>
          <w:rFonts w:hint="eastAsia"/>
        </w:rPr>
      </w:pPr>
    </w:p>
    <w:p w14:paraId="1B99645C">
      <w:pPr>
        <w:pStyle w:val="4"/>
        <w:spacing w:before="120" w:beforeLines="50" w:line="300" w:lineRule="auto"/>
        <w:jc w:val="left"/>
        <w:rPr>
          <w:rFonts w:hint="eastAsia"/>
          <w:b/>
          <w:sz w:val="24"/>
        </w:rPr>
      </w:pPr>
      <w:r>
        <w:rPr>
          <w:rFonts w:hint="eastAsia"/>
          <w:b/>
          <w:sz w:val="24"/>
          <w:lang w:val="en-US" w:eastAsia="zh-CN"/>
        </w:rPr>
        <w:t>2.1.3</w:t>
      </w:r>
      <w:r>
        <w:rPr>
          <w:b/>
          <w:sz w:val="24"/>
        </w:rPr>
        <w:t>驻场运维服务</w:t>
      </w:r>
    </w:p>
    <w:p w14:paraId="2DBD9E36">
      <w:pPr>
        <w:pStyle w:val="5"/>
        <w:spacing w:before="120" w:beforeLines="50" w:line="300" w:lineRule="auto"/>
        <w:jc w:val="left"/>
        <w:rPr>
          <w:rFonts w:hint="eastAsia"/>
          <w:sz w:val="24"/>
        </w:rPr>
      </w:pPr>
      <w:r>
        <w:rPr>
          <w:rFonts w:hint="eastAsia"/>
          <w:sz w:val="24"/>
          <w:lang w:val="en-US" w:eastAsia="zh-CN"/>
        </w:rPr>
        <w:t>2.1.3.1</w:t>
      </w:r>
      <w:r>
        <w:rPr>
          <w:sz w:val="24"/>
        </w:rPr>
        <w:t>采购需求</w:t>
      </w:r>
    </w:p>
    <w:p w14:paraId="07573722">
      <w:pPr>
        <w:spacing w:before="120" w:beforeLines="50" w:line="360" w:lineRule="auto"/>
        <w:ind w:firstLine="480" w:firstLineChars="200"/>
        <w:rPr>
          <w:rFonts w:hint="eastAsia"/>
          <w:sz w:val="24"/>
        </w:rPr>
      </w:pPr>
      <w:r>
        <w:rPr>
          <w:rFonts w:hint="eastAsia"/>
          <w:sz w:val="24"/>
        </w:rPr>
        <w:t>本次采购的驻场运维服务包括：服务器技术工程师</w:t>
      </w:r>
      <w:r>
        <w:rPr>
          <w:sz w:val="24"/>
        </w:rPr>
        <w:t>1名（负责服务器驻场运维服务），网络技术工程师1名（负责网络驻场运维服务），桌面运维技术工程师</w:t>
      </w:r>
      <w:r>
        <w:rPr>
          <w:rFonts w:hint="eastAsia"/>
          <w:sz w:val="24"/>
        </w:rPr>
        <w:t>2</w:t>
      </w:r>
      <w:r>
        <w:rPr>
          <w:sz w:val="24"/>
        </w:rPr>
        <w:t>名（负责桌面运维驻场运维服务）。服务方式：提供每周5天×8小时驻场服务。服务内容包括日常维护、日常巡检、系统维护、技术支持、应急响应及其它技术支持服务</w:t>
      </w:r>
      <w:r>
        <w:rPr>
          <w:rFonts w:hint="eastAsia"/>
          <w:sz w:val="24"/>
        </w:rPr>
        <w:t>，具体如下：</w:t>
      </w:r>
    </w:p>
    <w:tbl>
      <w:tblPr>
        <w:tblStyle w:val="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128"/>
        <w:gridCol w:w="3533"/>
        <w:gridCol w:w="1557"/>
        <w:gridCol w:w="3194"/>
      </w:tblGrid>
      <w:tr w14:paraId="25982E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70" w:hRule="atLeast"/>
          <w:jc w:val="center"/>
        </w:trPr>
        <w:tc>
          <w:tcPr>
            <w:tcW w:w="1128" w:type="dxa"/>
            <w:noWrap w:val="0"/>
            <w:vAlign w:val="center"/>
          </w:tcPr>
          <w:p w14:paraId="5922DD5A">
            <w:pPr>
              <w:widowControl/>
              <w:autoSpaceDE/>
              <w:autoSpaceDN/>
              <w:spacing w:before="120" w:beforeLines="50" w:line="300" w:lineRule="auto"/>
              <w:jc w:val="center"/>
              <w:rPr>
                <w:rFonts w:hint="eastAsia"/>
                <w:color w:val="000000"/>
                <w:sz w:val="24"/>
                <w:szCs w:val="24"/>
              </w:rPr>
            </w:pPr>
            <w:r>
              <w:rPr>
                <w:rFonts w:hint="eastAsia"/>
                <w:color w:val="000000"/>
                <w:sz w:val="24"/>
                <w:szCs w:val="24"/>
              </w:rPr>
              <w:t>序号</w:t>
            </w:r>
          </w:p>
        </w:tc>
        <w:tc>
          <w:tcPr>
            <w:tcW w:w="3533" w:type="dxa"/>
            <w:noWrap w:val="0"/>
            <w:vAlign w:val="center"/>
          </w:tcPr>
          <w:p w14:paraId="515FBE13">
            <w:pPr>
              <w:widowControl/>
              <w:autoSpaceDE/>
              <w:autoSpaceDN/>
              <w:spacing w:before="120" w:beforeLines="50" w:line="300" w:lineRule="auto"/>
              <w:jc w:val="center"/>
              <w:rPr>
                <w:rFonts w:hint="eastAsia"/>
                <w:color w:val="000000"/>
                <w:sz w:val="24"/>
                <w:szCs w:val="24"/>
              </w:rPr>
            </w:pPr>
            <w:r>
              <w:rPr>
                <w:rFonts w:hint="eastAsia"/>
                <w:color w:val="000000"/>
                <w:sz w:val="24"/>
                <w:szCs w:val="24"/>
              </w:rPr>
              <w:t>项目名称</w:t>
            </w:r>
          </w:p>
        </w:tc>
        <w:tc>
          <w:tcPr>
            <w:tcW w:w="1557" w:type="dxa"/>
            <w:noWrap w:val="0"/>
            <w:vAlign w:val="center"/>
          </w:tcPr>
          <w:p w14:paraId="28B56CDB">
            <w:pPr>
              <w:widowControl/>
              <w:autoSpaceDE/>
              <w:autoSpaceDN/>
              <w:spacing w:before="120" w:beforeLines="50" w:line="300" w:lineRule="auto"/>
              <w:jc w:val="center"/>
              <w:rPr>
                <w:rFonts w:hint="eastAsia"/>
                <w:color w:val="000000"/>
                <w:sz w:val="24"/>
                <w:szCs w:val="24"/>
              </w:rPr>
            </w:pPr>
            <w:r>
              <w:rPr>
                <w:rFonts w:hint="eastAsia"/>
                <w:color w:val="000000"/>
                <w:sz w:val="24"/>
                <w:szCs w:val="24"/>
              </w:rPr>
              <w:t>数量</w:t>
            </w:r>
          </w:p>
        </w:tc>
        <w:tc>
          <w:tcPr>
            <w:tcW w:w="3194" w:type="dxa"/>
            <w:noWrap w:val="0"/>
            <w:vAlign w:val="center"/>
          </w:tcPr>
          <w:p w14:paraId="60B89D2D">
            <w:pPr>
              <w:widowControl/>
              <w:autoSpaceDE/>
              <w:autoSpaceDN/>
              <w:spacing w:before="120" w:beforeLines="50" w:line="300" w:lineRule="auto"/>
              <w:jc w:val="center"/>
              <w:rPr>
                <w:rFonts w:hint="eastAsia"/>
                <w:color w:val="000000"/>
                <w:sz w:val="24"/>
                <w:szCs w:val="24"/>
              </w:rPr>
            </w:pPr>
            <w:r>
              <w:rPr>
                <w:rFonts w:hint="eastAsia"/>
                <w:color w:val="000000"/>
                <w:sz w:val="24"/>
                <w:szCs w:val="24"/>
              </w:rPr>
              <w:t>采购服务期限</w:t>
            </w:r>
          </w:p>
        </w:tc>
      </w:tr>
      <w:tr w14:paraId="326AF9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1128" w:type="dxa"/>
            <w:noWrap w:val="0"/>
            <w:vAlign w:val="center"/>
          </w:tcPr>
          <w:p w14:paraId="4C92DC10">
            <w:pPr>
              <w:widowControl/>
              <w:autoSpaceDE/>
              <w:autoSpaceDN/>
              <w:spacing w:before="120" w:beforeLines="50" w:line="300" w:lineRule="auto"/>
              <w:jc w:val="center"/>
              <w:rPr>
                <w:rFonts w:hint="eastAsia"/>
                <w:color w:val="000000"/>
                <w:sz w:val="24"/>
                <w:szCs w:val="24"/>
              </w:rPr>
            </w:pPr>
            <w:r>
              <w:rPr>
                <w:rFonts w:hint="eastAsia"/>
                <w:color w:val="000000"/>
                <w:sz w:val="24"/>
                <w:szCs w:val="24"/>
              </w:rPr>
              <w:t>1</w:t>
            </w:r>
          </w:p>
        </w:tc>
        <w:tc>
          <w:tcPr>
            <w:tcW w:w="3533" w:type="dxa"/>
            <w:noWrap w:val="0"/>
            <w:vAlign w:val="center"/>
          </w:tcPr>
          <w:p w14:paraId="6A7CB34B">
            <w:pPr>
              <w:widowControl/>
              <w:autoSpaceDE/>
              <w:autoSpaceDN/>
              <w:spacing w:before="120" w:beforeLines="50" w:line="300" w:lineRule="auto"/>
              <w:jc w:val="center"/>
              <w:rPr>
                <w:rFonts w:hint="eastAsia"/>
                <w:color w:val="000000"/>
                <w:sz w:val="24"/>
                <w:szCs w:val="24"/>
              </w:rPr>
            </w:pPr>
            <w:r>
              <w:rPr>
                <w:rFonts w:hint="eastAsia"/>
                <w:color w:val="000000"/>
                <w:sz w:val="24"/>
                <w:szCs w:val="24"/>
              </w:rPr>
              <w:t>服务器驻场运维</w:t>
            </w:r>
          </w:p>
        </w:tc>
        <w:tc>
          <w:tcPr>
            <w:tcW w:w="1557" w:type="dxa"/>
            <w:noWrap w:val="0"/>
            <w:vAlign w:val="center"/>
          </w:tcPr>
          <w:p w14:paraId="4F287597">
            <w:pPr>
              <w:widowControl/>
              <w:autoSpaceDE/>
              <w:autoSpaceDN/>
              <w:spacing w:before="120" w:beforeLines="50" w:line="300" w:lineRule="auto"/>
              <w:jc w:val="center"/>
              <w:rPr>
                <w:rFonts w:hint="eastAsia"/>
                <w:color w:val="000000"/>
                <w:sz w:val="24"/>
                <w:szCs w:val="24"/>
              </w:rPr>
            </w:pPr>
            <w:r>
              <w:rPr>
                <w:rFonts w:hint="eastAsia"/>
                <w:color w:val="000000"/>
                <w:sz w:val="24"/>
                <w:szCs w:val="24"/>
              </w:rPr>
              <w:t>1人</w:t>
            </w:r>
          </w:p>
        </w:tc>
        <w:tc>
          <w:tcPr>
            <w:tcW w:w="3194" w:type="dxa"/>
            <w:noWrap w:val="0"/>
            <w:vAlign w:val="center"/>
          </w:tcPr>
          <w:p w14:paraId="1A650763">
            <w:pPr>
              <w:widowControl/>
              <w:autoSpaceDE/>
              <w:autoSpaceDN/>
              <w:spacing w:before="120" w:beforeLines="50" w:line="300" w:lineRule="auto"/>
              <w:jc w:val="center"/>
              <w:rPr>
                <w:rFonts w:hint="eastAsia"/>
                <w:color w:val="000000"/>
                <w:sz w:val="24"/>
                <w:szCs w:val="24"/>
              </w:rPr>
            </w:pPr>
            <w:r>
              <w:rPr>
                <w:rFonts w:hint="eastAsia"/>
                <w:color w:val="000000"/>
                <w:sz w:val="24"/>
                <w:szCs w:val="24"/>
              </w:rPr>
              <w:t>12月</w:t>
            </w:r>
          </w:p>
        </w:tc>
      </w:tr>
      <w:tr w14:paraId="4624C7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1128" w:type="dxa"/>
            <w:noWrap w:val="0"/>
            <w:vAlign w:val="center"/>
          </w:tcPr>
          <w:p w14:paraId="705D93B2">
            <w:pPr>
              <w:widowControl/>
              <w:autoSpaceDE/>
              <w:autoSpaceDN/>
              <w:spacing w:before="120" w:beforeLines="50" w:line="300" w:lineRule="auto"/>
              <w:jc w:val="center"/>
              <w:rPr>
                <w:rFonts w:hint="eastAsia"/>
                <w:color w:val="000000"/>
                <w:sz w:val="24"/>
                <w:szCs w:val="24"/>
              </w:rPr>
            </w:pPr>
            <w:r>
              <w:rPr>
                <w:rFonts w:hint="eastAsia"/>
                <w:color w:val="000000"/>
                <w:sz w:val="24"/>
                <w:szCs w:val="24"/>
              </w:rPr>
              <w:t>2</w:t>
            </w:r>
          </w:p>
        </w:tc>
        <w:tc>
          <w:tcPr>
            <w:tcW w:w="3533" w:type="dxa"/>
            <w:noWrap w:val="0"/>
            <w:vAlign w:val="center"/>
          </w:tcPr>
          <w:p w14:paraId="42374BFB">
            <w:pPr>
              <w:widowControl/>
              <w:autoSpaceDE/>
              <w:autoSpaceDN/>
              <w:spacing w:before="120" w:beforeLines="50" w:line="300" w:lineRule="auto"/>
              <w:jc w:val="center"/>
              <w:rPr>
                <w:rFonts w:hint="eastAsia"/>
                <w:color w:val="000000"/>
                <w:sz w:val="24"/>
                <w:szCs w:val="24"/>
              </w:rPr>
            </w:pPr>
            <w:r>
              <w:rPr>
                <w:rFonts w:hint="eastAsia"/>
                <w:color w:val="000000"/>
                <w:sz w:val="24"/>
                <w:szCs w:val="24"/>
              </w:rPr>
              <w:t>网络驻场运维</w:t>
            </w:r>
          </w:p>
        </w:tc>
        <w:tc>
          <w:tcPr>
            <w:tcW w:w="1557" w:type="dxa"/>
            <w:noWrap w:val="0"/>
            <w:vAlign w:val="center"/>
          </w:tcPr>
          <w:p w14:paraId="0987FFD5">
            <w:pPr>
              <w:widowControl/>
              <w:autoSpaceDE/>
              <w:autoSpaceDN/>
              <w:spacing w:before="120" w:beforeLines="50" w:line="300" w:lineRule="auto"/>
              <w:jc w:val="center"/>
              <w:rPr>
                <w:rFonts w:hint="eastAsia"/>
                <w:color w:val="000000"/>
                <w:sz w:val="24"/>
                <w:szCs w:val="24"/>
              </w:rPr>
            </w:pPr>
            <w:r>
              <w:rPr>
                <w:rFonts w:hint="eastAsia"/>
                <w:color w:val="000000"/>
                <w:sz w:val="24"/>
                <w:szCs w:val="24"/>
              </w:rPr>
              <w:t>1人</w:t>
            </w:r>
          </w:p>
        </w:tc>
        <w:tc>
          <w:tcPr>
            <w:tcW w:w="3194" w:type="dxa"/>
            <w:noWrap w:val="0"/>
            <w:vAlign w:val="center"/>
          </w:tcPr>
          <w:p w14:paraId="5543482A">
            <w:pPr>
              <w:widowControl/>
              <w:autoSpaceDE/>
              <w:autoSpaceDN/>
              <w:spacing w:before="120" w:beforeLines="50" w:line="300" w:lineRule="auto"/>
              <w:jc w:val="center"/>
              <w:rPr>
                <w:rFonts w:hint="eastAsia"/>
                <w:color w:val="000000"/>
                <w:sz w:val="24"/>
                <w:szCs w:val="24"/>
              </w:rPr>
            </w:pPr>
            <w:r>
              <w:rPr>
                <w:rFonts w:hint="eastAsia"/>
                <w:color w:val="000000"/>
                <w:sz w:val="24"/>
                <w:szCs w:val="24"/>
              </w:rPr>
              <w:t>12月</w:t>
            </w:r>
          </w:p>
        </w:tc>
      </w:tr>
      <w:tr w14:paraId="086D0F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1128" w:type="dxa"/>
            <w:noWrap w:val="0"/>
            <w:vAlign w:val="center"/>
          </w:tcPr>
          <w:p w14:paraId="5D82E9C5">
            <w:pPr>
              <w:widowControl/>
              <w:autoSpaceDE/>
              <w:autoSpaceDN/>
              <w:spacing w:before="120" w:beforeLines="50" w:line="300" w:lineRule="auto"/>
              <w:jc w:val="center"/>
              <w:rPr>
                <w:rFonts w:hint="eastAsia"/>
                <w:color w:val="000000"/>
                <w:sz w:val="24"/>
                <w:szCs w:val="24"/>
              </w:rPr>
            </w:pPr>
            <w:r>
              <w:rPr>
                <w:rFonts w:hint="eastAsia"/>
                <w:color w:val="000000"/>
                <w:sz w:val="24"/>
                <w:szCs w:val="24"/>
              </w:rPr>
              <w:t>3</w:t>
            </w:r>
          </w:p>
        </w:tc>
        <w:tc>
          <w:tcPr>
            <w:tcW w:w="3533" w:type="dxa"/>
            <w:noWrap w:val="0"/>
            <w:vAlign w:val="center"/>
          </w:tcPr>
          <w:p w14:paraId="3689B253">
            <w:pPr>
              <w:widowControl/>
              <w:autoSpaceDE/>
              <w:autoSpaceDN/>
              <w:spacing w:before="120" w:beforeLines="50" w:line="300" w:lineRule="auto"/>
              <w:jc w:val="center"/>
              <w:rPr>
                <w:rFonts w:hint="eastAsia"/>
                <w:color w:val="000000"/>
                <w:sz w:val="24"/>
                <w:szCs w:val="24"/>
              </w:rPr>
            </w:pPr>
            <w:r>
              <w:rPr>
                <w:rFonts w:hint="eastAsia"/>
                <w:color w:val="000000"/>
                <w:sz w:val="24"/>
                <w:szCs w:val="24"/>
              </w:rPr>
              <w:t>桌面运维驻场</w:t>
            </w:r>
          </w:p>
        </w:tc>
        <w:tc>
          <w:tcPr>
            <w:tcW w:w="1557" w:type="dxa"/>
            <w:noWrap w:val="0"/>
            <w:vAlign w:val="center"/>
          </w:tcPr>
          <w:p w14:paraId="4BA15874">
            <w:pPr>
              <w:widowControl/>
              <w:autoSpaceDE/>
              <w:autoSpaceDN/>
              <w:spacing w:before="120" w:beforeLines="50" w:line="300" w:lineRule="auto"/>
              <w:jc w:val="center"/>
              <w:rPr>
                <w:rFonts w:hint="eastAsia"/>
                <w:color w:val="000000"/>
                <w:sz w:val="24"/>
                <w:szCs w:val="24"/>
              </w:rPr>
            </w:pPr>
            <w:r>
              <w:rPr>
                <w:rFonts w:hint="eastAsia"/>
                <w:color w:val="000000"/>
                <w:sz w:val="24"/>
                <w:szCs w:val="24"/>
              </w:rPr>
              <w:t>2人</w:t>
            </w:r>
          </w:p>
        </w:tc>
        <w:tc>
          <w:tcPr>
            <w:tcW w:w="3194" w:type="dxa"/>
            <w:noWrap w:val="0"/>
            <w:vAlign w:val="center"/>
          </w:tcPr>
          <w:p w14:paraId="651F517D">
            <w:pPr>
              <w:widowControl/>
              <w:autoSpaceDE/>
              <w:autoSpaceDN/>
              <w:spacing w:before="120" w:beforeLines="50" w:line="300" w:lineRule="auto"/>
              <w:jc w:val="center"/>
              <w:rPr>
                <w:rFonts w:hint="eastAsia"/>
                <w:color w:val="000000"/>
                <w:sz w:val="24"/>
                <w:szCs w:val="24"/>
              </w:rPr>
            </w:pPr>
            <w:r>
              <w:rPr>
                <w:rFonts w:hint="eastAsia"/>
                <w:color w:val="000000"/>
                <w:sz w:val="24"/>
                <w:szCs w:val="24"/>
              </w:rPr>
              <w:t>12月</w:t>
            </w:r>
          </w:p>
        </w:tc>
      </w:tr>
    </w:tbl>
    <w:p w14:paraId="614F881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sz w:val="24"/>
        </w:rPr>
        <w:t>供应商须为本项目配套一套本地化部署的运维管理系统，部署于院内服务器、数据不出院，并同时提供电脑端和移动端访问；系统须覆盖服务器、网络、桌面运维全流程，实现工单在线申报、智能派单、接单处理、结果反馈、科室验收与满意度评价的闭环管理，支持按紧急程度分级设定处理时限（SLA）及超时自动提醒；具备日常巡检在线填报、IT 资产台账关联、故障知识库沉淀和运维数据统计分析等功能，驻场工程师须通过系统接单并如实记录处理过程，</w:t>
      </w:r>
      <w:r>
        <w:rPr>
          <w:rFonts w:ascii="宋体" w:hAnsi="宋体" w:eastAsia="宋体" w:cs="宋体"/>
          <w:sz w:val="24"/>
          <w:szCs w:val="24"/>
        </w:rPr>
        <w:t>系统功能允许采用等效替代方案，等效方案须满足本条款全部业务管理要求，并经采购人确认。</w:t>
      </w:r>
    </w:p>
    <w:p w14:paraId="0FEE898F">
      <w:pPr>
        <w:pStyle w:val="5"/>
        <w:keepNext w:val="0"/>
        <w:keepLines w:val="0"/>
        <w:pageBreakBefore w:val="0"/>
        <w:widowControl w:val="0"/>
        <w:kinsoku/>
        <w:wordWrap/>
        <w:overflowPunct/>
        <w:topLinePunct w:val="0"/>
        <w:autoSpaceDE w:val="0"/>
        <w:autoSpaceDN w:val="0"/>
        <w:bidi w:val="0"/>
        <w:adjustRightInd/>
        <w:snapToGrid/>
        <w:spacing w:before="0" w:line="360" w:lineRule="auto"/>
        <w:jc w:val="left"/>
        <w:textAlignment w:val="auto"/>
        <w:rPr>
          <w:rFonts w:hint="eastAsia"/>
          <w:sz w:val="24"/>
        </w:rPr>
      </w:pPr>
      <w:r>
        <w:rPr>
          <w:rFonts w:hint="eastAsia"/>
          <w:sz w:val="24"/>
          <w:lang w:val="en-US" w:eastAsia="zh-CN"/>
        </w:rPr>
        <w:t>2.1.3.2</w:t>
      </w:r>
      <w:r>
        <w:rPr>
          <w:sz w:val="24"/>
        </w:rPr>
        <w:t>管理要求</w:t>
      </w:r>
    </w:p>
    <w:p w14:paraId="2F13E21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1、</w:t>
      </w:r>
      <w:r>
        <w:rPr>
          <w:rFonts w:hint="eastAsia"/>
          <w:sz w:val="24"/>
        </w:rPr>
        <w:t>人员资质要求驻场人员需满足采购人技术要求，在项目执行过程驻场人员技术水平、工作态度等不满足工作要求，采购人需及时进行人员更换。</w:t>
      </w:r>
    </w:p>
    <w:p w14:paraId="7BED803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2、</w:t>
      </w:r>
      <w:r>
        <w:rPr>
          <w:rFonts w:hint="eastAsia"/>
          <w:sz w:val="24"/>
        </w:rPr>
        <w:t>人员流动性要求</w:t>
      </w:r>
    </w:p>
    <w:p w14:paraId="6D62A41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eastAsia="宋体"/>
          <w:sz w:val="24"/>
          <w:lang w:eastAsia="zh-CN"/>
        </w:rPr>
      </w:pPr>
      <w:r>
        <w:rPr>
          <w:rFonts w:hint="eastAsia"/>
          <w:sz w:val="24"/>
        </w:rPr>
        <w:t>投标人有责任保证团队服务人员的稳定性，未经采购人同意，不得更换驻场人员。</w:t>
      </w:r>
      <w:r>
        <w:rPr>
          <w:rFonts w:hint="eastAsia" w:eastAsia="宋体"/>
          <w:sz w:val="24"/>
          <w:lang w:eastAsia="zh-CN"/>
        </w:rPr>
        <w:t>（</w:t>
      </w:r>
      <w:r>
        <w:rPr>
          <w:rFonts w:hint="eastAsia" w:ascii="宋体" w:eastAsia="宋体"/>
          <w:sz w:val="24"/>
          <w:lang w:val="en-US" w:eastAsia="zh-CN"/>
        </w:rPr>
        <w:t>提供人员稳定性承诺函，并加盖投标人公章</w:t>
      </w:r>
      <w:r>
        <w:rPr>
          <w:rFonts w:hint="eastAsia" w:eastAsia="宋体"/>
          <w:sz w:val="24"/>
          <w:lang w:eastAsia="zh-CN"/>
        </w:rPr>
        <w:t>）</w:t>
      </w:r>
    </w:p>
    <w:p w14:paraId="17E5FCB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3、</w:t>
      </w:r>
      <w:r>
        <w:rPr>
          <w:rFonts w:hint="eastAsia"/>
          <w:sz w:val="24"/>
        </w:rPr>
        <w:t>工作职责要求</w:t>
      </w:r>
    </w:p>
    <w:p w14:paraId="71976EE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1</w:t>
      </w:r>
      <w:r>
        <w:rPr>
          <w:rFonts w:hint="eastAsia" w:eastAsia="宋体"/>
          <w:sz w:val="24"/>
          <w:lang w:eastAsia="zh-CN"/>
        </w:rPr>
        <w:t>）</w:t>
      </w:r>
      <w:r>
        <w:rPr>
          <w:rFonts w:hint="eastAsia"/>
          <w:sz w:val="24"/>
        </w:rPr>
        <w:t>驻场人员严格遵守医院的各项规章制度，包括办公场所管理、考勤管理、着装规范、语言规范等。</w:t>
      </w:r>
    </w:p>
    <w:p w14:paraId="4FBFCA2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2</w:t>
      </w:r>
      <w:r>
        <w:rPr>
          <w:rFonts w:hint="eastAsia" w:eastAsia="宋体"/>
          <w:sz w:val="24"/>
          <w:lang w:eastAsia="zh-CN"/>
        </w:rPr>
        <w:t>）</w:t>
      </w:r>
      <w:r>
        <w:rPr>
          <w:rFonts w:hint="eastAsia"/>
          <w:sz w:val="24"/>
        </w:rPr>
        <w:t>现场运维人员须接受采购人管理（包括任务分配、工作安排、日常考勤等，上下班施行打卡考勤），基本工作时间为每天</w:t>
      </w:r>
      <w:r>
        <w:rPr>
          <w:sz w:val="24"/>
        </w:rPr>
        <w:t>8小时，每周5天，在医院有重大活动时服从</w:t>
      </w:r>
      <w:r>
        <w:rPr>
          <w:rFonts w:hint="eastAsia"/>
          <w:sz w:val="24"/>
        </w:rPr>
        <w:t>采购人</w:t>
      </w:r>
      <w:r>
        <w:rPr>
          <w:sz w:val="24"/>
        </w:rPr>
        <w:t>安排。</w:t>
      </w:r>
    </w:p>
    <w:p w14:paraId="3436998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3</w:t>
      </w:r>
      <w:r>
        <w:rPr>
          <w:rFonts w:hint="eastAsia" w:eastAsia="宋体"/>
          <w:sz w:val="24"/>
          <w:lang w:eastAsia="zh-CN"/>
        </w:rPr>
        <w:t>）</w:t>
      </w:r>
      <w:r>
        <w:rPr>
          <w:rFonts w:hint="eastAsia"/>
          <w:sz w:val="24"/>
        </w:rPr>
        <w:t>国家法定节假日（元旦、春节、清明节、劳动节、端午节、中秋节和国庆节）</w:t>
      </w:r>
      <w:r>
        <w:rPr>
          <w:rFonts w:hint="eastAsia" w:ascii="宋体" w:eastAsia="宋体"/>
          <w:sz w:val="24"/>
          <w:lang w:val="en-US" w:eastAsia="zh-CN"/>
        </w:rPr>
        <w:t>投标人</w:t>
      </w:r>
      <w:r>
        <w:rPr>
          <w:rFonts w:hint="eastAsia"/>
          <w:sz w:val="24"/>
        </w:rPr>
        <w:t>需制定应急响应计划。现场运维人员所有费用（包括国家或有关部门规定应享有的福利、工伤费用、意外费用，因网络优化、调试、排除故障等产生的加班费用等）均由</w:t>
      </w:r>
      <w:r>
        <w:rPr>
          <w:rFonts w:hint="eastAsia" w:ascii="宋体" w:eastAsia="宋体"/>
          <w:sz w:val="24"/>
          <w:lang w:val="en-US" w:eastAsia="zh-CN"/>
        </w:rPr>
        <w:t>投标人</w:t>
      </w:r>
      <w:r>
        <w:rPr>
          <w:rFonts w:hint="eastAsia"/>
          <w:sz w:val="24"/>
        </w:rPr>
        <w:t>提供。</w:t>
      </w:r>
    </w:p>
    <w:p w14:paraId="428080F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4、</w:t>
      </w:r>
      <w:r>
        <w:rPr>
          <w:rFonts w:hint="eastAsia"/>
          <w:sz w:val="24"/>
        </w:rPr>
        <w:t>工作交接要求</w:t>
      </w:r>
    </w:p>
    <w:p w14:paraId="76EBBE4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（1）</w:t>
      </w:r>
      <w:r>
        <w:rPr>
          <w:rFonts w:hint="eastAsia"/>
          <w:sz w:val="24"/>
        </w:rPr>
        <w:t>投标人应为派驻现场服务的工程师配置</w:t>
      </w:r>
      <w:r>
        <w:rPr>
          <w:sz w:val="24"/>
        </w:rPr>
        <w:t>B角工程师，以便能够在A角因个人身体等原因无法到场服务时，由B角暂时提供现场服务。选派B角工程师应与A角的标准一致，经采购人认可后方能上岗。</w:t>
      </w:r>
    </w:p>
    <w:p w14:paraId="55E98C9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（2）</w:t>
      </w:r>
      <w:r>
        <w:rPr>
          <w:rFonts w:hint="eastAsia"/>
          <w:sz w:val="24"/>
        </w:rPr>
        <w:t>派驻工程师离职，投标人应及时进行人员交接，交接工作应在采购人现场进行，原驻场人员必须到场交接，经过采购人确认交接工程师能够胜任驻场工作后，方可更换人员。由于未按要求进行交接工作所带来的责任和损失由投标人承担。</w:t>
      </w:r>
    </w:p>
    <w:p w14:paraId="0EB68AF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5、</w:t>
      </w:r>
      <w:r>
        <w:rPr>
          <w:rFonts w:hint="eastAsia"/>
          <w:sz w:val="24"/>
        </w:rPr>
        <w:t>工作考核要求</w:t>
      </w:r>
    </w:p>
    <w:p w14:paraId="0A583C1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sz w:val="24"/>
        </w:rPr>
        <w:t>采购人根据质保维护考核对现场维护人员进行考核，月度考核低于</w:t>
      </w:r>
      <w:r>
        <w:rPr>
          <w:sz w:val="24"/>
        </w:rPr>
        <w:t>60分，</w:t>
      </w:r>
      <w:r>
        <w:rPr>
          <w:rFonts w:hint="eastAsia"/>
          <w:sz w:val="24"/>
        </w:rPr>
        <w:t>采购人</w:t>
      </w:r>
      <w:r>
        <w:rPr>
          <w:sz w:val="24"/>
        </w:rPr>
        <w:t>有权要求</w:t>
      </w:r>
      <w:r>
        <w:rPr>
          <w:rFonts w:hint="eastAsia"/>
          <w:sz w:val="24"/>
        </w:rPr>
        <w:t>投标人</w:t>
      </w:r>
      <w:r>
        <w:rPr>
          <w:sz w:val="24"/>
        </w:rPr>
        <w:t>新选派人员，新的派驻人员上岗要求见上一条。从</w:t>
      </w:r>
      <w:r>
        <w:rPr>
          <w:rFonts w:hint="eastAsia"/>
          <w:sz w:val="24"/>
        </w:rPr>
        <w:t>采购人</w:t>
      </w:r>
      <w:r>
        <w:rPr>
          <w:sz w:val="24"/>
        </w:rPr>
        <w:t>发出要求重新选派人员的通知之日起到新派驻人员上岗前，不得超过5个工作日。月度考核两次（含）低于60分，或因</w:t>
      </w:r>
      <w:r>
        <w:rPr>
          <w:rFonts w:hint="eastAsia"/>
          <w:sz w:val="24"/>
        </w:rPr>
        <w:t>投标人</w:t>
      </w:r>
      <w:r>
        <w:rPr>
          <w:sz w:val="24"/>
        </w:rPr>
        <w:t>原因造成</w:t>
      </w:r>
      <w:r>
        <w:rPr>
          <w:rFonts w:hint="eastAsia"/>
          <w:sz w:val="24"/>
        </w:rPr>
        <w:t>采购人</w:t>
      </w:r>
      <w:r>
        <w:rPr>
          <w:sz w:val="24"/>
        </w:rPr>
        <w:t>声誉、网络安全、经济等方面无法挽回的重大损失的，</w:t>
      </w:r>
      <w:r>
        <w:rPr>
          <w:rFonts w:hint="eastAsia"/>
          <w:sz w:val="24"/>
        </w:rPr>
        <w:t>采购人</w:t>
      </w:r>
      <w:r>
        <w:rPr>
          <w:sz w:val="24"/>
        </w:rPr>
        <w:t>保留向</w:t>
      </w:r>
      <w:r>
        <w:rPr>
          <w:rFonts w:hint="eastAsia"/>
          <w:sz w:val="24"/>
        </w:rPr>
        <w:t>投标人</w:t>
      </w:r>
      <w:r>
        <w:rPr>
          <w:sz w:val="24"/>
        </w:rPr>
        <w:t>追究经济损失的权利。</w:t>
      </w:r>
    </w:p>
    <w:p w14:paraId="42475F79">
      <w:pPr>
        <w:pStyle w:val="5"/>
        <w:keepNext w:val="0"/>
        <w:keepLines w:val="0"/>
        <w:pageBreakBefore w:val="0"/>
        <w:widowControl w:val="0"/>
        <w:kinsoku/>
        <w:wordWrap/>
        <w:overflowPunct/>
        <w:topLinePunct w:val="0"/>
        <w:autoSpaceDE w:val="0"/>
        <w:autoSpaceDN w:val="0"/>
        <w:bidi w:val="0"/>
        <w:adjustRightInd/>
        <w:snapToGrid/>
        <w:spacing w:before="0" w:line="360" w:lineRule="auto"/>
        <w:jc w:val="left"/>
        <w:textAlignment w:val="auto"/>
        <w:rPr>
          <w:rFonts w:hint="eastAsia"/>
          <w:sz w:val="24"/>
        </w:rPr>
      </w:pPr>
      <w:r>
        <w:rPr>
          <w:rFonts w:hint="eastAsia"/>
          <w:sz w:val="24"/>
          <w:lang w:val="en-US" w:eastAsia="zh-CN"/>
        </w:rPr>
        <w:t>2.1.3.3</w:t>
      </w:r>
      <w:r>
        <w:rPr>
          <w:sz w:val="24"/>
        </w:rPr>
        <w:t>服务器驻场运维服务</w:t>
      </w:r>
    </w:p>
    <w:p w14:paraId="52B98B9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1、</w:t>
      </w:r>
      <w:r>
        <w:rPr>
          <w:sz w:val="24"/>
        </w:rPr>
        <w:t>服务要求</w:t>
      </w:r>
    </w:p>
    <w:p w14:paraId="0CF1EBE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sz w:val="24"/>
        </w:rPr>
        <w:t>要求投标人派驻服务器技术工程师</w:t>
      </w:r>
      <w:r>
        <w:rPr>
          <w:sz w:val="24"/>
        </w:rPr>
        <w:t>1名，负责采购人全院服务器、存储设备的系统维护服务，并为</w:t>
      </w:r>
      <w:r>
        <w:rPr>
          <w:rFonts w:hint="eastAsia"/>
          <w:sz w:val="24"/>
        </w:rPr>
        <w:t>采购人</w:t>
      </w:r>
      <w:r>
        <w:rPr>
          <w:sz w:val="24"/>
        </w:rPr>
        <w:t>战备病区信息系统的服务器、存储设备提供运维保障服务。</w:t>
      </w:r>
    </w:p>
    <w:p w14:paraId="05E6FCC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2、</w:t>
      </w:r>
      <w:r>
        <w:rPr>
          <w:sz w:val="24"/>
        </w:rPr>
        <w:t>服务内容</w:t>
      </w:r>
    </w:p>
    <w:p w14:paraId="0DE0AED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1</w:t>
      </w:r>
      <w:r>
        <w:rPr>
          <w:rFonts w:hint="eastAsia" w:eastAsia="宋体"/>
          <w:sz w:val="24"/>
          <w:lang w:eastAsia="zh-CN"/>
        </w:rPr>
        <w:t>）</w:t>
      </w:r>
      <w:r>
        <w:rPr>
          <w:rFonts w:hint="eastAsia"/>
          <w:sz w:val="24"/>
        </w:rPr>
        <w:t>例行维护服务：配合采购人按维护计划对基础软硬件进行运行监控、配置备份、日志清理等例行维护。并协助进行性能和容量分析，提供优化建议。</w:t>
      </w:r>
    </w:p>
    <w:p w14:paraId="48F6369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2</w:t>
      </w:r>
      <w:r>
        <w:rPr>
          <w:rFonts w:hint="eastAsia" w:eastAsia="宋体"/>
          <w:sz w:val="24"/>
          <w:lang w:eastAsia="zh-CN"/>
        </w:rPr>
        <w:t>）</w:t>
      </w:r>
      <w:r>
        <w:rPr>
          <w:rFonts w:hint="eastAsia"/>
          <w:sz w:val="24"/>
        </w:rPr>
        <w:t>系统建设工作：配合采购人进行基础架构设计和评审，参与系统建设过程中的安装、部署、初始配置及上线工作。</w:t>
      </w:r>
    </w:p>
    <w:p w14:paraId="22A636C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3</w:t>
      </w:r>
      <w:r>
        <w:rPr>
          <w:rFonts w:hint="eastAsia" w:eastAsia="宋体"/>
          <w:sz w:val="24"/>
          <w:lang w:eastAsia="zh-CN"/>
        </w:rPr>
        <w:t>）</w:t>
      </w:r>
      <w:r>
        <w:rPr>
          <w:rFonts w:hint="eastAsia"/>
          <w:sz w:val="24"/>
        </w:rPr>
        <w:t>变更协助：协助采购人进行变更方案设计和评审，对变更操作步骤进行评估，对操作命令进行核实，对变更实施过程中的操作现场复核，对变更后的运行状态进行确认。</w:t>
      </w:r>
    </w:p>
    <w:p w14:paraId="1F61AE2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4</w:t>
      </w:r>
      <w:r>
        <w:rPr>
          <w:rFonts w:hint="eastAsia" w:eastAsia="宋体"/>
          <w:sz w:val="24"/>
          <w:lang w:eastAsia="zh-CN"/>
        </w:rPr>
        <w:t>）</w:t>
      </w:r>
      <w:r>
        <w:rPr>
          <w:rFonts w:hint="eastAsia"/>
          <w:sz w:val="24"/>
        </w:rPr>
        <w:t>应急故障处置：协助采购人突发事件的现场应急处置，配合制定解决方案，并进行持续跟进。发生突发事件时要求驻场工程师</w:t>
      </w:r>
      <w:r>
        <w:rPr>
          <w:sz w:val="24"/>
        </w:rPr>
        <w:t>10分钟内响应，30分钟内赶到现场，1小时内制定初步解决方案。</w:t>
      </w:r>
    </w:p>
    <w:p w14:paraId="42136B0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5</w:t>
      </w:r>
      <w:r>
        <w:rPr>
          <w:rFonts w:hint="eastAsia" w:eastAsia="宋体"/>
          <w:sz w:val="24"/>
          <w:lang w:eastAsia="zh-CN"/>
        </w:rPr>
        <w:t>）</w:t>
      </w:r>
      <w:r>
        <w:rPr>
          <w:rFonts w:hint="eastAsia"/>
          <w:sz w:val="24"/>
        </w:rPr>
        <w:t>缺陷管理：</w:t>
      </w:r>
      <w:r>
        <w:rPr>
          <w:rFonts w:hint="eastAsia" w:ascii="宋体" w:eastAsia="宋体"/>
          <w:sz w:val="24"/>
          <w:lang w:val="en-US" w:eastAsia="zh-CN"/>
        </w:rPr>
        <w:t>完成</w:t>
      </w:r>
      <w:r>
        <w:rPr>
          <w:rFonts w:hint="eastAsia"/>
          <w:sz w:val="24"/>
        </w:rPr>
        <w:t>基础软硬缺陷评估和缺陷处置方案制定，并进行实施。</w:t>
      </w:r>
    </w:p>
    <w:p w14:paraId="594EC46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6</w:t>
      </w:r>
      <w:r>
        <w:rPr>
          <w:rFonts w:hint="eastAsia" w:eastAsia="宋体"/>
          <w:sz w:val="24"/>
          <w:lang w:eastAsia="zh-CN"/>
        </w:rPr>
        <w:t>）</w:t>
      </w:r>
      <w:r>
        <w:rPr>
          <w:rFonts w:hint="eastAsia"/>
          <w:sz w:val="24"/>
        </w:rPr>
        <w:t>应急演练：</w:t>
      </w:r>
      <w:r>
        <w:rPr>
          <w:rFonts w:hint="eastAsia" w:ascii="宋体" w:eastAsia="宋体"/>
          <w:sz w:val="24"/>
          <w:lang w:val="en-US" w:eastAsia="zh-CN"/>
        </w:rPr>
        <w:t>至少每季度进修一次应急演练，投标人负责制定应急演练方案，完成后向投标人提供应急演练报告</w:t>
      </w:r>
      <w:r>
        <w:rPr>
          <w:rFonts w:hint="eastAsia"/>
          <w:sz w:val="24"/>
        </w:rPr>
        <w:t>。</w:t>
      </w:r>
    </w:p>
    <w:p w14:paraId="15C4A2D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7</w:t>
      </w:r>
      <w:r>
        <w:rPr>
          <w:rFonts w:hint="eastAsia" w:eastAsia="宋体"/>
          <w:sz w:val="24"/>
          <w:lang w:eastAsia="zh-CN"/>
        </w:rPr>
        <w:t>）</w:t>
      </w:r>
      <w:r>
        <w:rPr>
          <w:rFonts w:hint="eastAsia"/>
          <w:sz w:val="24"/>
        </w:rPr>
        <w:t>技术文档：协助对各类基础设备操作手册进行核对和修订，梳理并完善基础设施应急预案和应急操作手册。</w:t>
      </w:r>
    </w:p>
    <w:p w14:paraId="26B02DF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3、能力</w:t>
      </w:r>
      <w:r>
        <w:rPr>
          <w:sz w:val="24"/>
        </w:rPr>
        <w:t>要求</w:t>
      </w:r>
    </w:p>
    <w:p w14:paraId="18C5DCA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1</w:t>
      </w:r>
      <w:r>
        <w:rPr>
          <w:rFonts w:hint="eastAsia" w:eastAsia="宋体"/>
          <w:sz w:val="24"/>
          <w:lang w:eastAsia="zh-CN"/>
        </w:rPr>
        <w:t>）</w:t>
      </w:r>
      <w:r>
        <w:rPr>
          <w:rFonts w:hint="eastAsia"/>
          <w:sz w:val="24"/>
        </w:rPr>
        <w:t>熟悉</w:t>
      </w:r>
      <w:r>
        <w:rPr>
          <w:sz w:val="24"/>
        </w:rPr>
        <w:t>服务器设备的安装和调试；</w:t>
      </w:r>
    </w:p>
    <w:p w14:paraId="46E9B24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2</w:t>
      </w:r>
      <w:r>
        <w:rPr>
          <w:rFonts w:hint="eastAsia" w:eastAsia="宋体"/>
          <w:sz w:val="24"/>
          <w:lang w:eastAsia="zh-CN"/>
        </w:rPr>
        <w:t>）</w:t>
      </w:r>
      <w:r>
        <w:rPr>
          <w:rFonts w:hint="eastAsia"/>
          <w:sz w:val="24"/>
        </w:rPr>
        <w:t>熟悉</w:t>
      </w:r>
      <w:r>
        <w:rPr>
          <w:sz w:val="24"/>
        </w:rPr>
        <w:t>Linux、windows</w:t>
      </w:r>
      <w:r>
        <w:rPr>
          <w:rFonts w:hint="eastAsia"/>
          <w:sz w:val="24"/>
        </w:rPr>
        <w:t>等</w:t>
      </w:r>
      <w:r>
        <w:rPr>
          <w:sz w:val="24"/>
        </w:rPr>
        <w:t>操作系统的安装、安全加固、补丁修复、系统备份和恢复及参数调优技术；</w:t>
      </w:r>
    </w:p>
    <w:p w14:paraId="7158B4B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3</w:t>
      </w:r>
      <w:r>
        <w:rPr>
          <w:rFonts w:hint="eastAsia" w:eastAsia="宋体"/>
          <w:sz w:val="24"/>
          <w:lang w:eastAsia="zh-CN"/>
        </w:rPr>
        <w:t>）</w:t>
      </w:r>
      <w:r>
        <w:rPr>
          <w:rFonts w:hint="eastAsia"/>
          <w:sz w:val="24"/>
        </w:rPr>
        <w:t>了解</w:t>
      </w:r>
      <w:r>
        <w:rPr>
          <w:sz w:val="24"/>
        </w:rPr>
        <w:t>VMWare虚拟化和PowerVM的配置管理，故障处理和调优；</w:t>
      </w:r>
    </w:p>
    <w:p w14:paraId="3D9BB1F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4</w:t>
      </w:r>
      <w:r>
        <w:rPr>
          <w:rFonts w:hint="eastAsia" w:eastAsia="宋体"/>
          <w:sz w:val="24"/>
          <w:lang w:eastAsia="zh-CN"/>
        </w:rPr>
        <w:t>）</w:t>
      </w:r>
      <w:r>
        <w:rPr>
          <w:rFonts w:hint="eastAsia"/>
          <w:sz w:val="24"/>
        </w:rPr>
        <w:t>了解</w:t>
      </w:r>
      <w:r>
        <w:rPr>
          <w:sz w:val="24"/>
        </w:rPr>
        <w:t>Oracle、DB2、MYSQL数据库基本操作，能够进行日常巡检，监控及基本维护；</w:t>
      </w:r>
    </w:p>
    <w:p w14:paraId="31DF700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5</w:t>
      </w:r>
      <w:r>
        <w:rPr>
          <w:rFonts w:hint="eastAsia" w:eastAsia="宋体"/>
          <w:sz w:val="24"/>
          <w:lang w:eastAsia="zh-CN"/>
        </w:rPr>
        <w:t>）</w:t>
      </w:r>
      <w:r>
        <w:rPr>
          <w:rFonts w:hint="eastAsia"/>
          <w:sz w:val="24"/>
        </w:rPr>
        <w:t>了解</w:t>
      </w:r>
      <w:r>
        <w:rPr>
          <w:sz w:val="24"/>
        </w:rPr>
        <w:t>Linux下weblogic、MQ和tuxedo基本操作，能够进行安装、日常巡检和补丁升级；</w:t>
      </w:r>
    </w:p>
    <w:p w14:paraId="38F7F46E">
      <w:pPr>
        <w:pStyle w:val="5"/>
        <w:keepNext w:val="0"/>
        <w:keepLines w:val="0"/>
        <w:pageBreakBefore w:val="0"/>
        <w:widowControl w:val="0"/>
        <w:kinsoku/>
        <w:wordWrap/>
        <w:overflowPunct/>
        <w:topLinePunct w:val="0"/>
        <w:autoSpaceDE w:val="0"/>
        <w:autoSpaceDN w:val="0"/>
        <w:bidi w:val="0"/>
        <w:adjustRightInd/>
        <w:snapToGrid/>
        <w:spacing w:before="0" w:line="360" w:lineRule="auto"/>
        <w:jc w:val="left"/>
        <w:textAlignment w:val="auto"/>
        <w:rPr>
          <w:rFonts w:hint="eastAsia"/>
          <w:sz w:val="24"/>
        </w:rPr>
      </w:pPr>
      <w:r>
        <w:rPr>
          <w:rFonts w:hint="eastAsia"/>
          <w:sz w:val="24"/>
          <w:lang w:val="en-US" w:eastAsia="zh-CN"/>
        </w:rPr>
        <w:t>2.1.3.4</w:t>
      </w:r>
      <w:r>
        <w:rPr>
          <w:sz w:val="24"/>
        </w:rPr>
        <w:t>网络驻场运维服务</w:t>
      </w:r>
    </w:p>
    <w:p w14:paraId="3EA3B33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1、</w:t>
      </w:r>
      <w:r>
        <w:rPr>
          <w:sz w:val="24"/>
        </w:rPr>
        <w:t>服务要求</w:t>
      </w:r>
    </w:p>
    <w:p w14:paraId="5C0FFAF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sz w:val="24"/>
        </w:rPr>
        <w:t>要求投标人派驻网络技术工程师</w:t>
      </w:r>
      <w:r>
        <w:rPr>
          <w:sz w:val="24"/>
        </w:rPr>
        <w:t>1名，负责采购人全院的网络设备运行维护服务，并为</w:t>
      </w:r>
      <w:r>
        <w:rPr>
          <w:rFonts w:hint="eastAsia"/>
          <w:sz w:val="24"/>
        </w:rPr>
        <w:t>采购人</w:t>
      </w:r>
      <w:r>
        <w:rPr>
          <w:sz w:val="24"/>
        </w:rPr>
        <w:t>战备病区信息系统的网络设备提供运维保障服务。网络设备包括全院的网络核心设备、汇聚设备、接入设备、无线设备等，服务内容包含相关设备及系统的巡检服务、系统升级、故障诊断、故障处理、设备维保等专业服务。</w:t>
      </w:r>
    </w:p>
    <w:p w14:paraId="5006BD0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2、</w:t>
      </w:r>
      <w:r>
        <w:rPr>
          <w:sz w:val="24"/>
        </w:rPr>
        <w:t>服务内容</w:t>
      </w:r>
    </w:p>
    <w:p w14:paraId="0531DCD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1</w:t>
      </w:r>
      <w:r>
        <w:rPr>
          <w:rFonts w:hint="eastAsia" w:eastAsia="宋体"/>
          <w:sz w:val="24"/>
          <w:lang w:eastAsia="zh-CN"/>
        </w:rPr>
        <w:t>）</w:t>
      </w:r>
      <w:r>
        <w:rPr>
          <w:rFonts w:hint="eastAsia"/>
          <w:sz w:val="24"/>
        </w:rPr>
        <w:t>完成全院所有网络设备和机房组件设备的日常检查、维保、保养、维修工作。</w:t>
      </w:r>
    </w:p>
    <w:p w14:paraId="62D9071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2</w:t>
      </w:r>
      <w:r>
        <w:rPr>
          <w:rFonts w:hint="eastAsia" w:eastAsia="宋体"/>
          <w:sz w:val="24"/>
          <w:lang w:eastAsia="zh-CN"/>
        </w:rPr>
        <w:t>）</w:t>
      </w:r>
      <w:r>
        <w:rPr>
          <w:rFonts w:hint="eastAsia"/>
          <w:sz w:val="24"/>
        </w:rPr>
        <w:t>协助完成网络设备及机房组件设备使用维护、调试、操作、维修等工作，服从管理人员的安排。</w:t>
      </w:r>
    </w:p>
    <w:p w14:paraId="713C3E4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3</w:t>
      </w:r>
      <w:r>
        <w:rPr>
          <w:rFonts w:hint="eastAsia" w:eastAsia="宋体"/>
          <w:sz w:val="24"/>
          <w:lang w:eastAsia="zh-CN"/>
        </w:rPr>
        <w:t>）</w:t>
      </w:r>
      <w:r>
        <w:rPr>
          <w:rFonts w:hint="eastAsia"/>
          <w:sz w:val="24"/>
        </w:rPr>
        <w:t>提供即时的技术咨询服务，为用户提供正确使用系统设备的操作要求和注意事项。</w:t>
      </w:r>
    </w:p>
    <w:p w14:paraId="20CFFCE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4</w:t>
      </w:r>
      <w:r>
        <w:rPr>
          <w:rFonts w:hint="eastAsia" w:eastAsia="宋体"/>
          <w:sz w:val="24"/>
          <w:lang w:eastAsia="zh-CN"/>
        </w:rPr>
        <w:t>）</w:t>
      </w:r>
      <w:r>
        <w:rPr>
          <w:rFonts w:hint="eastAsia"/>
          <w:sz w:val="24"/>
        </w:rPr>
        <w:t>定期巡检（每月不低于一次），对系统软硬件设备的整体运行状态进行评估分析，填写设备运行状态评估报告。</w:t>
      </w:r>
    </w:p>
    <w:p w14:paraId="7D7D431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5</w:t>
      </w:r>
      <w:r>
        <w:rPr>
          <w:rFonts w:hint="eastAsia" w:eastAsia="宋体"/>
          <w:sz w:val="24"/>
          <w:lang w:eastAsia="zh-CN"/>
        </w:rPr>
        <w:t>）</w:t>
      </w:r>
      <w:r>
        <w:rPr>
          <w:rFonts w:hint="eastAsia"/>
          <w:sz w:val="24"/>
        </w:rPr>
        <w:t>故障排查，运维技术人员接到故障通知或发现故障后，根据故障现象，分析故障原因，作出初步判断后记录并排除故障。一般故障排除时间不超过</w:t>
      </w:r>
      <w:r>
        <w:rPr>
          <w:sz w:val="24"/>
        </w:rPr>
        <w:t>0.5小时，重大故障排除时间不超过4小时，故障处理完毕两个工作日内提交故障分析报告和故障处理报告。故障处理完毕两个工作日内提交故障分析报告和故障处理报告。</w:t>
      </w:r>
    </w:p>
    <w:p w14:paraId="32CB705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6</w:t>
      </w:r>
      <w:r>
        <w:rPr>
          <w:rFonts w:hint="eastAsia" w:eastAsia="宋体"/>
          <w:sz w:val="24"/>
          <w:lang w:eastAsia="zh-CN"/>
        </w:rPr>
        <w:t>）</w:t>
      </w:r>
      <w:r>
        <w:rPr>
          <w:rFonts w:hint="eastAsia"/>
          <w:sz w:val="24"/>
        </w:rPr>
        <w:t>现场技术人员需严格执行医院战时工作时间安排，其他时段内的重要事件需服从我院管理人员的安排。</w:t>
      </w:r>
    </w:p>
    <w:p w14:paraId="6B0D72F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7</w:t>
      </w:r>
      <w:r>
        <w:rPr>
          <w:rFonts w:hint="eastAsia" w:eastAsia="宋体"/>
          <w:sz w:val="24"/>
          <w:lang w:eastAsia="zh-CN"/>
        </w:rPr>
        <w:t>）</w:t>
      </w:r>
      <w:r>
        <w:rPr>
          <w:rFonts w:hint="eastAsia"/>
          <w:sz w:val="24"/>
        </w:rPr>
        <w:t>除了平时的现场值班外，院重大活动期间，</w:t>
      </w:r>
      <w:r>
        <w:rPr>
          <w:rFonts w:hint="eastAsia" w:ascii="宋体" w:eastAsia="宋体"/>
          <w:sz w:val="24"/>
          <w:lang w:val="en-US" w:eastAsia="zh-CN"/>
        </w:rPr>
        <w:t>投标人</w:t>
      </w:r>
      <w:r>
        <w:rPr>
          <w:rFonts w:hint="eastAsia"/>
          <w:sz w:val="24"/>
        </w:rPr>
        <w:t>根据需要须委派多名丰富经验的工程师，携带专业工具到达现场，确保医院计算机网络系统运转正常。</w:t>
      </w:r>
    </w:p>
    <w:p w14:paraId="669C33F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8</w:t>
      </w:r>
      <w:r>
        <w:rPr>
          <w:rFonts w:hint="eastAsia" w:eastAsia="宋体"/>
          <w:sz w:val="24"/>
          <w:lang w:eastAsia="zh-CN"/>
        </w:rPr>
        <w:t>）</w:t>
      </w:r>
      <w:r>
        <w:rPr>
          <w:rFonts w:hint="eastAsia"/>
          <w:sz w:val="24"/>
        </w:rPr>
        <w:t>对系统的使用环境（环境温度、湿度和电源状况等）进行检查并提出改进措施，以保证系统设备持续正常运行。</w:t>
      </w:r>
    </w:p>
    <w:p w14:paraId="0B56653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9</w:t>
      </w:r>
      <w:r>
        <w:rPr>
          <w:rFonts w:hint="eastAsia" w:eastAsia="宋体"/>
          <w:sz w:val="24"/>
          <w:lang w:eastAsia="zh-CN"/>
        </w:rPr>
        <w:t>）</w:t>
      </w:r>
      <w:r>
        <w:rPr>
          <w:rFonts w:hint="eastAsia"/>
          <w:sz w:val="24"/>
        </w:rPr>
        <w:t>为突发事件提供必要的备用设备。</w:t>
      </w:r>
    </w:p>
    <w:p w14:paraId="088716E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sz w:val="24"/>
        </w:rPr>
        <w:t>在项目运维期内，当用户系统遇到严重故障时，供应商需提供能够满足业务运行要求的各种设备进行临时替换。由于核心设备及管理系统等设备故障导致整个数据库系统瘫痪的，供应商必须提供全面的故障解决方案，在</w:t>
      </w:r>
      <w:r>
        <w:rPr>
          <w:sz w:val="24"/>
        </w:rPr>
        <w:t>48小时内负责整个系统与数据恢复正常。计算机网络系统设备发生故障后，供应商在规定时间内无法解决技术问题和更新故障软硬件，直接影响用户正常开展业务工作的，用户有权选择第三方公司提供服务，所需费用由供应商无条件承担。</w:t>
      </w:r>
    </w:p>
    <w:p w14:paraId="4814198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sz w:val="24"/>
        </w:rPr>
        <w:t>本项目维保期内，所有更换备件为原厂全新 / 合规拆机原厂备件，具备原厂备件溯源证明。</w:t>
      </w:r>
    </w:p>
    <w:p w14:paraId="553F120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3、能力</w:t>
      </w:r>
      <w:r>
        <w:rPr>
          <w:sz w:val="24"/>
        </w:rPr>
        <w:t>要求</w:t>
      </w:r>
    </w:p>
    <w:p w14:paraId="0BAFF65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1</w:t>
      </w:r>
      <w:r>
        <w:rPr>
          <w:rFonts w:hint="eastAsia" w:eastAsia="宋体"/>
          <w:sz w:val="24"/>
          <w:lang w:eastAsia="zh-CN"/>
        </w:rPr>
        <w:t>）</w:t>
      </w:r>
      <w:r>
        <w:rPr>
          <w:rFonts w:hint="eastAsia"/>
          <w:sz w:val="24"/>
        </w:rPr>
        <w:t>现场运维人员应具有</w:t>
      </w:r>
      <w:r>
        <w:rPr>
          <w:sz w:val="24"/>
        </w:rPr>
        <w:t>1年以上维保工作经验</w:t>
      </w:r>
      <w:r>
        <w:rPr>
          <w:rFonts w:hint="eastAsia"/>
          <w:sz w:val="24"/>
        </w:rPr>
        <w:t>（须提供经验证明文件，格式自拟）</w:t>
      </w:r>
      <w:r>
        <w:rPr>
          <w:sz w:val="24"/>
        </w:rPr>
        <w:t>。</w:t>
      </w:r>
    </w:p>
    <w:p w14:paraId="57A3FBC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2</w:t>
      </w:r>
      <w:r>
        <w:rPr>
          <w:rFonts w:hint="eastAsia" w:eastAsia="宋体"/>
          <w:sz w:val="24"/>
          <w:lang w:eastAsia="zh-CN"/>
        </w:rPr>
        <w:t>）</w:t>
      </w:r>
      <w:r>
        <w:rPr>
          <w:rFonts w:hint="eastAsia"/>
          <w:sz w:val="24"/>
        </w:rPr>
        <w:t>熟悉计算机网络系统的工作原理，精通网络设备的工作原理及设备的连接、调试、运用；</w:t>
      </w:r>
    </w:p>
    <w:p w14:paraId="6D94971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3</w:t>
      </w:r>
      <w:r>
        <w:rPr>
          <w:rFonts w:hint="eastAsia" w:eastAsia="宋体"/>
          <w:sz w:val="24"/>
          <w:lang w:eastAsia="zh-CN"/>
        </w:rPr>
        <w:t>）</w:t>
      </w:r>
      <w:r>
        <w:rPr>
          <w:rFonts w:hint="eastAsia"/>
          <w:sz w:val="24"/>
        </w:rPr>
        <w:t>能够对系统故障进行准确有效的诊断修复并排除；</w:t>
      </w:r>
    </w:p>
    <w:p w14:paraId="3B48DCA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highlight w:val="none"/>
        </w:rPr>
      </w:pPr>
      <w:r>
        <w:rPr>
          <w:rFonts w:hint="eastAsia" w:eastAsia="宋体"/>
          <w:sz w:val="24"/>
          <w:highlight w:val="none"/>
          <w:lang w:eastAsia="zh-CN"/>
        </w:rPr>
        <w:t>（</w:t>
      </w:r>
      <w:r>
        <w:rPr>
          <w:rFonts w:hint="eastAsia" w:ascii="宋体" w:eastAsia="宋体"/>
          <w:sz w:val="24"/>
          <w:highlight w:val="none"/>
          <w:lang w:val="en-US" w:eastAsia="zh-CN"/>
        </w:rPr>
        <w:t>4</w:t>
      </w:r>
      <w:r>
        <w:rPr>
          <w:rFonts w:hint="eastAsia" w:eastAsia="宋体"/>
          <w:sz w:val="24"/>
          <w:highlight w:val="none"/>
          <w:lang w:eastAsia="zh-CN"/>
        </w:rPr>
        <w:t>）</w:t>
      </w:r>
      <w:r>
        <w:rPr>
          <w:rFonts w:hint="eastAsia"/>
          <w:sz w:val="24"/>
          <w:highlight w:val="none"/>
        </w:rPr>
        <w:t>网络工程师须持有网络工程师中级及以上认证证书，可接受国家计算机技术与软件专业技术资格（水平）证书（网络工程师），或与院内在用网络设备相对应的厂商中级认证（如 HCIP、H3CSE、RCPE、CCNP 及同等及以上认证），提供证书复印件加盖公章。</w:t>
      </w:r>
    </w:p>
    <w:p w14:paraId="34EAFACB">
      <w:pPr>
        <w:pStyle w:val="5"/>
        <w:keepNext w:val="0"/>
        <w:keepLines w:val="0"/>
        <w:pageBreakBefore w:val="0"/>
        <w:widowControl w:val="0"/>
        <w:kinsoku/>
        <w:wordWrap/>
        <w:overflowPunct/>
        <w:topLinePunct w:val="0"/>
        <w:autoSpaceDE w:val="0"/>
        <w:autoSpaceDN w:val="0"/>
        <w:bidi w:val="0"/>
        <w:adjustRightInd/>
        <w:snapToGrid/>
        <w:spacing w:before="0" w:line="360" w:lineRule="auto"/>
        <w:jc w:val="left"/>
        <w:textAlignment w:val="auto"/>
        <w:rPr>
          <w:rFonts w:hint="eastAsia"/>
          <w:sz w:val="24"/>
        </w:rPr>
      </w:pPr>
      <w:r>
        <w:rPr>
          <w:rFonts w:hint="eastAsia"/>
          <w:sz w:val="24"/>
          <w:lang w:val="en-US" w:eastAsia="zh-CN"/>
        </w:rPr>
        <w:t>2.1.3.5</w:t>
      </w:r>
      <w:r>
        <w:rPr>
          <w:sz w:val="24"/>
        </w:rPr>
        <w:t>桌面运维驻场运维服务</w:t>
      </w:r>
    </w:p>
    <w:p w14:paraId="07FAA16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1、</w:t>
      </w:r>
      <w:r>
        <w:rPr>
          <w:sz w:val="24"/>
        </w:rPr>
        <w:t>服务要求</w:t>
      </w:r>
    </w:p>
    <w:p w14:paraId="28DBD1C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1</w:t>
      </w:r>
      <w:r>
        <w:rPr>
          <w:rFonts w:hint="eastAsia" w:eastAsia="宋体"/>
          <w:sz w:val="24"/>
          <w:lang w:eastAsia="zh-CN"/>
        </w:rPr>
        <w:t>）</w:t>
      </w:r>
      <w:r>
        <w:rPr>
          <w:rFonts w:hint="eastAsia"/>
          <w:sz w:val="24"/>
        </w:rPr>
        <w:t>派驻桌面运维技术工程师</w:t>
      </w:r>
      <w:r>
        <w:rPr>
          <w:sz w:val="24"/>
        </w:rPr>
        <w:t>3名，提供5*8驻场服务，负责</w:t>
      </w:r>
      <w:r>
        <w:rPr>
          <w:rFonts w:hint="eastAsia"/>
          <w:sz w:val="24"/>
        </w:rPr>
        <w:t>采购人</w:t>
      </w:r>
      <w:r>
        <w:rPr>
          <w:sz w:val="24"/>
        </w:rPr>
        <w:t>信息化终端设备的维护工作，包括终端设备的清洁、维护、保养、检测以及弱电间的清洁除尘等，具体工作内容如下：</w:t>
      </w:r>
    </w:p>
    <w:p w14:paraId="4F3E566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2</w:t>
      </w:r>
      <w:r>
        <w:rPr>
          <w:rFonts w:hint="eastAsia" w:eastAsia="宋体"/>
          <w:sz w:val="24"/>
          <w:lang w:eastAsia="zh-CN"/>
        </w:rPr>
        <w:t>）</w:t>
      </w:r>
      <w:r>
        <w:rPr>
          <w:rFonts w:hint="eastAsia"/>
          <w:sz w:val="24"/>
        </w:rPr>
        <w:t>投标人按采购人要求对所有设备的清点整理工作；</w:t>
      </w:r>
    </w:p>
    <w:p w14:paraId="212540C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3</w:t>
      </w:r>
      <w:r>
        <w:rPr>
          <w:rFonts w:hint="eastAsia" w:eastAsia="宋体"/>
          <w:sz w:val="24"/>
          <w:lang w:eastAsia="zh-CN"/>
        </w:rPr>
        <w:t>）</w:t>
      </w:r>
      <w:r>
        <w:rPr>
          <w:rFonts w:hint="eastAsia"/>
          <w:sz w:val="24"/>
        </w:rPr>
        <w:t>投标人对新购设备的登记、软件安装维护等；</w:t>
      </w:r>
    </w:p>
    <w:p w14:paraId="0E6D3FF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4</w:t>
      </w:r>
      <w:r>
        <w:rPr>
          <w:rFonts w:hint="eastAsia" w:eastAsia="宋体"/>
          <w:sz w:val="24"/>
          <w:lang w:eastAsia="zh-CN"/>
        </w:rPr>
        <w:t>）</w:t>
      </w:r>
      <w:r>
        <w:rPr>
          <w:rFonts w:hint="eastAsia"/>
          <w:sz w:val="24"/>
        </w:rPr>
        <w:t>投标人应及时对故障设备进行检查、报修及维修处理；</w:t>
      </w:r>
    </w:p>
    <w:p w14:paraId="57725D1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5</w:t>
      </w:r>
      <w:r>
        <w:rPr>
          <w:rFonts w:hint="eastAsia" w:eastAsia="宋体"/>
          <w:sz w:val="24"/>
          <w:lang w:eastAsia="zh-CN"/>
        </w:rPr>
        <w:t>）</w:t>
      </w:r>
      <w:r>
        <w:rPr>
          <w:rFonts w:hint="eastAsia"/>
          <w:sz w:val="24"/>
        </w:rPr>
        <w:t>终端跟踪，做好设备的变更登记，为信息化设备的维修维护情况、使用人变更情况及时跟踪登记；</w:t>
      </w:r>
    </w:p>
    <w:p w14:paraId="772B0DC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6</w:t>
      </w:r>
      <w:r>
        <w:rPr>
          <w:rFonts w:hint="eastAsia" w:eastAsia="宋体"/>
          <w:sz w:val="24"/>
          <w:lang w:eastAsia="zh-CN"/>
        </w:rPr>
        <w:t>）</w:t>
      </w:r>
      <w:r>
        <w:rPr>
          <w:rFonts w:hint="eastAsia"/>
          <w:sz w:val="24"/>
        </w:rPr>
        <w:t>终端设备的清洁除尘工作；</w:t>
      </w:r>
    </w:p>
    <w:p w14:paraId="012F905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7</w:t>
      </w:r>
      <w:r>
        <w:rPr>
          <w:rFonts w:hint="eastAsia" w:eastAsia="宋体"/>
          <w:sz w:val="24"/>
          <w:lang w:eastAsia="zh-CN"/>
        </w:rPr>
        <w:t>）</w:t>
      </w:r>
      <w:r>
        <w:rPr>
          <w:rFonts w:hint="eastAsia"/>
          <w:sz w:val="24"/>
        </w:rPr>
        <w:t>弱电间的清洁除尘工作；</w:t>
      </w:r>
    </w:p>
    <w:p w14:paraId="142A980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8</w:t>
      </w:r>
      <w:r>
        <w:rPr>
          <w:rFonts w:hint="eastAsia" w:eastAsia="宋体"/>
          <w:sz w:val="24"/>
          <w:lang w:eastAsia="zh-CN"/>
        </w:rPr>
        <w:t>）</w:t>
      </w:r>
      <w:r>
        <w:rPr>
          <w:rFonts w:hint="eastAsia"/>
          <w:sz w:val="24"/>
        </w:rPr>
        <w:t>驻场工程师必须至少有</w:t>
      </w:r>
      <w:r>
        <w:rPr>
          <w:sz w:val="24"/>
        </w:rPr>
        <w:t>1年以上桌面运维相关工作经验，熟练掌握桌面运维的常用技能，并具有初步的网络基础知识技能；</w:t>
      </w:r>
      <w:r>
        <w:rPr>
          <w:rFonts w:hint="eastAsia"/>
          <w:sz w:val="24"/>
        </w:rPr>
        <w:t>（须提供经验证明文件，格式自拟）</w:t>
      </w:r>
    </w:p>
    <w:p w14:paraId="1171DEB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9</w:t>
      </w:r>
      <w:r>
        <w:rPr>
          <w:rFonts w:hint="eastAsia" w:eastAsia="宋体"/>
          <w:sz w:val="24"/>
          <w:lang w:eastAsia="zh-CN"/>
        </w:rPr>
        <w:t>）</w:t>
      </w:r>
      <w:r>
        <w:rPr>
          <w:rFonts w:hint="eastAsia"/>
          <w:sz w:val="24"/>
        </w:rPr>
        <w:t>驻场工程师需配合完成采购人安排的其他临时性工作。</w:t>
      </w:r>
    </w:p>
    <w:p w14:paraId="34EEB3C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2、</w:t>
      </w:r>
      <w:r>
        <w:rPr>
          <w:sz w:val="24"/>
        </w:rPr>
        <w:t>服务内容</w:t>
      </w:r>
    </w:p>
    <w:p w14:paraId="53E14B9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1</w:t>
      </w:r>
      <w:r>
        <w:rPr>
          <w:rFonts w:hint="eastAsia" w:eastAsia="宋体"/>
          <w:sz w:val="24"/>
          <w:lang w:eastAsia="zh-CN"/>
        </w:rPr>
        <w:t>）</w:t>
      </w:r>
      <w:r>
        <w:rPr>
          <w:rFonts w:hint="eastAsia"/>
          <w:sz w:val="24"/>
        </w:rPr>
        <w:t>硬件维护</w:t>
      </w:r>
    </w:p>
    <w:p w14:paraId="3ED7B5A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1）</w:t>
      </w:r>
      <w:r>
        <w:rPr>
          <w:rFonts w:hint="eastAsia"/>
          <w:sz w:val="24"/>
        </w:rPr>
        <w:t>负责提供计算机桌面硬件设备（包括</w:t>
      </w:r>
      <w:r>
        <w:rPr>
          <w:sz w:val="24"/>
        </w:rPr>
        <w:t>PC机、打印机、多功能一体机、复印机等）各类硬件设备的日常维护。</w:t>
      </w:r>
    </w:p>
    <w:p w14:paraId="3AFEE28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2）</w:t>
      </w:r>
      <w:r>
        <w:rPr>
          <w:rFonts w:hint="eastAsia"/>
          <w:sz w:val="24"/>
        </w:rPr>
        <w:t>计算机桌面硬件设备及其外设的安装、配置、迁移和故障维修（不涉及备件服务）等；</w:t>
      </w:r>
    </w:p>
    <w:p w14:paraId="0919DFB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3）</w:t>
      </w:r>
      <w:r>
        <w:rPr>
          <w:rFonts w:hint="eastAsia"/>
          <w:sz w:val="24"/>
        </w:rPr>
        <w:t>联络、协调和辅助第三方厂商进行外部硬件设备故障处理，并监督处理过程；</w:t>
      </w:r>
    </w:p>
    <w:p w14:paraId="59E0E8D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4）</w:t>
      </w:r>
      <w:r>
        <w:rPr>
          <w:rFonts w:hint="eastAsia"/>
          <w:sz w:val="24"/>
        </w:rPr>
        <w:t>计算机桌面网络信息端口的维护，包括网络信息端口的安装、测试和维修更换等；</w:t>
      </w:r>
    </w:p>
    <w:p w14:paraId="6EE6B47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5）</w:t>
      </w:r>
      <w:r>
        <w:rPr>
          <w:rFonts w:hint="eastAsia"/>
          <w:sz w:val="24"/>
        </w:rPr>
        <w:t>每年两次对所有办公区设备计算机桌面硬件设备巡检、清查；</w:t>
      </w:r>
    </w:p>
    <w:p w14:paraId="4B13EA1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6）</w:t>
      </w:r>
      <w:r>
        <w:rPr>
          <w:rFonts w:hint="eastAsia"/>
          <w:sz w:val="24"/>
        </w:rPr>
        <w:t>定期对设备内部物理除尘工作，避免设备在工作时间因静电尘埃而导致的设备故障发生。</w:t>
      </w:r>
    </w:p>
    <w:p w14:paraId="60E8310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7）</w:t>
      </w:r>
      <w:r>
        <w:rPr>
          <w:rFonts w:hint="eastAsia"/>
          <w:sz w:val="24"/>
        </w:rPr>
        <w:t>定期对设备附件做清洁消毒工作，避免因附件长期使用而成为细菌繁殖源。</w:t>
      </w:r>
    </w:p>
    <w:p w14:paraId="12D9F2B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8）</w:t>
      </w:r>
      <w:r>
        <w:rPr>
          <w:rFonts w:hint="eastAsia"/>
          <w:sz w:val="24"/>
        </w:rPr>
        <w:t>定期对设备使用的电源插座、弱电线路等进行巡检，对破、损、污的电源插座及时上报，更换，保证设备用电安全。</w:t>
      </w:r>
    </w:p>
    <w:p w14:paraId="2D4A010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9）</w:t>
      </w:r>
      <w:r>
        <w:rPr>
          <w:rFonts w:hint="eastAsia"/>
          <w:sz w:val="24"/>
        </w:rPr>
        <w:t>定期对机房及弱电间进行理线、除尘和清洁工作，保证机房及弱电间的环境整洁干净。</w:t>
      </w:r>
    </w:p>
    <w:p w14:paraId="7A405E9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10）</w:t>
      </w:r>
      <w:r>
        <w:rPr>
          <w:rFonts w:hint="eastAsia"/>
          <w:sz w:val="24"/>
        </w:rPr>
        <w:t>对相关故障设备进行最初诊断、处理及维修，或协助完成用户报修及后续处理维护任务。</w:t>
      </w:r>
    </w:p>
    <w:p w14:paraId="0EC753B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（2）</w:t>
      </w:r>
      <w:r>
        <w:rPr>
          <w:rFonts w:hint="eastAsia"/>
          <w:sz w:val="24"/>
        </w:rPr>
        <w:t>软件维护</w:t>
      </w:r>
    </w:p>
    <w:p w14:paraId="535F4F1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1）</w:t>
      </w:r>
      <w:r>
        <w:rPr>
          <w:rFonts w:hint="eastAsia"/>
          <w:sz w:val="24"/>
        </w:rPr>
        <w:t>日常客户端计算机上微软</w:t>
      </w:r>
      <w:r>
        <w:rPr>
          <w:sz w:val="24"/>
        </w:rPr>
        <w:t>Windows系统的日常运行问题维护；</w:t>
      </w:r>
    </w:p>
    <w:p w14:paraId="68346A8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2）</w:t>
      </w:r>
      <w:r>
        <w:rPr>
          <w:rFonts w:hint="eastAsia"/>
          <w:sz w:val="24"/>
        </w:rPr>
        <w:t>常见故障的排除，如死机，程序配置不当，系统配置错误等；</w:t>
      </w:r>
    </w:p>
    <w:p w14:paraId="3F807F9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3）</w:t>
      </w:r>
      <w:r>
        <w:rPr>
          <w:rFonts w:hint="eastAsia"/>
          <w:sz w:val="24"/>
        </w:rPr>
        <w:t>由于计算机硬件设备故障导致的网络访问故障；</w:t>
      </w:r>
    </w:p>
    <w:p w14:paraId="74F6394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4）</w:t>
      </w:r>
      <w:r>
        <w:rPr>
          <w:rFonts w:hint="eastAsia"/>
          <w:sz w:val="24"/>
        </w:rPr>
        <w:t>提供统一的安装条件及配置参数要求进行计算机桌面操作系统的标准安装、配置；</w:t>
      </w:r>
    </w:p>
    <w:p w14:paraId="370D942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5）</w:t>
      </w:r>
      <w:r>
        <w:rPr>
          <w:rFonts w:hint="eastAsia"/>
          <w:sz w:val="24"/>
        </w:rPr>
        <w:t>微软</w:t>
      </w:r>
      <w:r>
        <w:rPr>
          <w:sz w:val="24"/>
        </w:rPr>
        <w:t>Office系列软件的安装、配置，常见问题的技术支持；</w:t>
      </w:r>
    </w:p>
    <w:p w14:paraId="6110AA1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6）</w:t>
      </w:r>
      <w:r>
        <w:rPr>
          <w:rFonts w:hint="eastAsia"/>
          <w:sz w:val="24"/>
        </w:rPr>
        <w:t>其他办公软件客户端日常安装配置，常见问题的技术支持；</w:t>
      </w:r>
    </w:p>
    <w:p w14:paraId="50D6C51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7）</w:t>
      </w:r>
      <w:r>
        <w:rPr>
          <w:rFonts w:hint="eastAsia"/>
          <w:sz w:val="24"/>
        </w:rPr>
        <w:t>常见邮件客户端软件安装配置；</w:t>
      </w:r>
    </w:p>
    <w:p w14:paraId="05ECC45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8）</w:t>
      </w:r>
      <w:r>
        <w:rPr>
          <w:rFonts w:hint="eastAsia"/>
          <w:sz w:val="24"/>
        </w:rPr>
        <w:t>网络打印机的安装配置，网络打印机日常配置故障、故障处理（如卡纸等）；</w:t>
      </w:r>
    </w:p>
    <w:p w14:paraId="17A587A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9）</w:t>
      </w:r>
      <w:r>
        <w:rPr>
          <w:rFonts w:hint="eastAsia"/>
          <w:sz w:val="24"/>
        </w:rPr>
        <w:t>业务应用系统客户端的安装、配置、调试及应用恢复等；</w:t>
      </w:r>
    </w:p>
    <w:p w14:paraId="33D2C25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10）</w:t>
      </w:r>
      <w:r>
        <w:rPr>
          <w:rFonts w:hint="eastAsia"/>
          <w:sz w:val="24"/>
        </w:rPr>
        <w:t>各操作系统、办公软件、应用系统客户端、专业软件客户端软件升级服务；</w:t>
      </w:r>
    </w:p>
    <w:p w14:paraId="1598FBC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11）</w:t>
      </w:r>
      <w:r>
        <w:rPr>
          <w:rFonts w:hint="eastAsia"/>
          <w:sz w:val="24"/>
        </w:rPr>
        <w:t>计算机病毒的提醒及查杀工作，其中重大病毒爆发日，及时提醒用户做好预防工作，尽可能避免电脑病毒带来的损失；所用杀毒软件由用户提供。</w:t>
      </w:r>
    </w:p>
    <w:p w14:paraId="6F1C809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（3）能力</w:t>
      </w:r>
      <w:r>
        <w:rPr>
          <w:sz w:val="24"/>
        </w:rPr>
        <w:t>要求</w:t>
      </w:r>
    </w:p>
    <w:p w14:paraId="7717249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1）</w:t>
      </w:r>
      <w:r>
        <w:rPr>
          <w:rFonts w:hint="eastAsia"/>
          <w:sz w:val="24"/>
        </w:rPr>
        <w:t>驻场工程师（包括更替人员）政治素质过硬，并具有相关专业技术资质，有</w:t>
      </w:r>
      <w:r>
        <w:rPr>
          <w:sz w:val="24"/>
        </w:rPr>
        <w:t>1年以上桌面运维工作经验。</w:t>
      </w:r>
    </w:p>
    <w:p w14:paraId="43A392BF">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2）</w:t>
      </w:r>
      <w:r>
        <w:rPr>
          <w:rFonts w:hint="eastAsia"/>
          <w:sz w:val="24"/>
        </w:rPr>
        <w:t>熟悉计算机桌面硬件设备（包括</w:t>
      </w:r>
      <w:r>
        <w:rPr>
          <w:sz w:val="24"/>
        </w:rPr>
        <w:t>PC机、打印机、多功能一体机、复印机等）各类硬件设备的日常维护工作。</w:t>
      </w:r>
    </w:p>
    <w:p w14:paraId="0067A19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3）</w:t>
      </w:r>
      <w:r>
        <w:rPr>
          <w:rFonts w:hint="eastAsia"/>
          <w:sz w:val="24"/>
        </w:rPr>
        <w:t>面对故障，能够对故障进行准确有效的诊断修复并排除；</w:t>
      </w:r>
    </w:p>
    <w:p w14:paraId="2730C38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4）</w:t>
      </w:r>
      <w:r>
        <w:rPr>
          <w:rFonts w:hint="eastAsia"/>
          <w:sz w:val="24"/>
        </w:rPr>
        <w:t>品行端正，工作认真负责，服务态度良好，遵守采购人各项规章制度。</w:t>
      </w:r>
    </w:p>
    <w:p w14:paraId="317BF74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sz w:val="24"/>
        </w:rPr>
        <w:t>注：投标人需提供所有驻场工程师的劳动合同证明。</w:t>
      </w:r>
    </w:p>
    <w:p w14:paraId="369C0E16">
      <w:pPr>
        <w:pStyle w:val="4"/>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b/>
          <w:sz w:val="24"/>
        </w:rPr>
      </w:pPr>
      <w:r>
        <w:rPr>
          <w:rFonts w:hint="eastAsia"/>
          <w:b/>
          <w:sz w:val="24"/>
          <w:lang w:val="en-US" w:eastAsia="zh-CN"/>
        </w:rPr>
        <w:t>2.1.4</w:t>
      </w:r>
      <w:r>
        <w:rPr>
          <w:rFonts w:hint="eastAsia"/>
          <w:b/>
          <w:sz w:val="24"/>
        </w:rPr>
        <w:t>等保测评服务</w:t>
      </w:r>
    </w:p>
    <w:bookmarkEnd w:id="2"/>
    <w:bookmarkEnd w:id="3"/>
    <w:p w14:paraId="606A629D">
      <w:pPr>
        <w:pStyle w:val="5"/>
        <w:keepNext w:val="0"/>
        <w:keepLines w:val="0"/>
        <w:pageBreakBefore w:val="0"/>
        <w:widowControl w:val="0"/>
        <w:kinsoku/>
        <w:wordWrap/>
        <w:overflowPunct/>
        <w:topLinePunct w:val="0"/>
        <w:autoSpaceDE w:val="0"/>
        <w:autoSpaceDN w:val="0"/>
        <w:bidi w:val="0"/>
        <w:adjustRightInd/>
        <w:snapToGrid/>
        <w:spacing w:before="0" w:line="360" w:lineRule="auto"/>
        <w:jc w:val="left"/>
        <w:textAlignment w:val="auto"/>
        <w:rPr>
          <w:rFonts w:hint="eastAsia"/>
          <w:sz w:val="24"/>
        </w:rPr>
      </w:pPr>
      <w:r>
        <w:rPr>
          <w:rFonts w:hint="eastAsia"/>
          <w:sz w:val="24"/>
          <w:lang w:val="en-US" w:eastAsia="zh-CN"/>
        </w:rPr>
        <w:t>2.1.4.1</w:t>
      </w:r>
      <w:r>
        <w:rPr>
          <w:rFonts w:hint="eastAsia"/>
          <w:sz w:val="24"/>
        </w:rPr>
        <w:t>采购需求</w:t>
      </w:r>
    </w:p>
    <w:p w14:paraId="30142F2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1、</w:t>
      </w:r>
      <w:r>
        <w:rPr>
          <w:rFonts w:hint="eastAsia"/>
          <w:sz w:val="24"/>
        </w:rPr>
        <w:t>根据公安部发布</w:t>
      </w:r>
      <w:r>
        <w:rPr>
          <w:sz w:val="24"/>
        </w:rPr>
        <w:t>的《</w:t>
      </w:r>
      <w:r>
        <w:rPr>
          <w:rFonts w:hint="eastAsia"/>
          <w:sz w:val="24"/>
        </w:rPr>
        <w:t>网络</w:t>
      </w:r>
      <w:r>
        <w:rPr>
          <w:sz w:val="24"/>
        </w:rPr>
        <w:t>安全等级保护条例》的要求，</w:t>
      </w:r>
      <w:r>
        <w:rPr>
          <w:rFonts w:hint="eastAsia"/>
          <w:sz w:val="24"/>
        </w:rPr>
        <w:t>在</w:t>
      </w:r>
      <w:r>
        <w:rPr>
          <w:sz w:val="24"/>
        </w:rPr>
        <w:t>境内建设、运营、维护、使用</w:t>
      </w:r>
      <w:r>
        <w:rPr>
          <w:rFonts w:hint="eastAsia"/>
          <w:sz w:val="24"/>
        </w:rPr>
        <w:t>的信息</w:t>
      </w:r>
      <w:r>
        <w:rPr>
          <w:sz w:val="24"/>
        </w:rPr>
        <w:t>系统，</w:t>
      </w:r>
      <w:r>
        <w:rPr>
          <w:rFonts w:hint="eastAsia"/>
          <w:sz w:val="24"/>
        </w:rPr>
        <w:t>均须</w:t>
      </w:r>
      <w:r>
        <w:rPr>
          <w:sz w:val="24"/>
        </w:rPr>
        <w:t>开展网络安全等级保护工作以及监督管理</w:t>
      </w:r>
      <w:r>
        <w:rPr>
          <w:rFonts w:hint="eastAsia"/>
          <w:sz w:val="24"/>
        </w:rPr>
        <w:t>。</w:t>
      </w:r>
    </w:p>
    <w:p w14:paraId="60E56F2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2、</w:t>
      </w:r>
      <w:r>
        <w:rPr>
          <w:rFonts w:hint="eastAsia"/>
          <w:sz w:val="24"/>
        </w:rPr>
        <w:t>本项目为医院医疗业务应用系统提供</w:t>
      </w:r>
      <w:r>
        <w:rPr>
          <w:sz w:val="24"/>
        </w:rPr>
        <w:t>测评</w:t>
      </w:r>
      <w:r>
        <w:rPr>
          <w:rFonts w:hint="eastAsia"/>
          <w:sz w:val="24"/>
        </w:rPr>
        <w:t>服务，</w:t>
      </w:r>
      <w:r>
        <w:rPr>
          <w:sz w:val="24"/>
        </w:rPr>
        <w:t>对</w:t>
      </w:r>
      <w:r>
        <w:rPr>
          <w:rFonts w:hint="eastAsia"/>
          <w:sz w:val="24"/>
        </w:rPr>
        <w:t>医院医疗业务应用系统进行安全性评估，并委托第三方测评机构进行等级</w:t>
      </w:r>
      <w:r>
        <w:rPr>
          <w:sz w:val="24"/>
        </w:rPr>
        <w:t>保护测评，以便</w:t>
      </w:r>
      <w:r>
        <w:rPr>
          <w:rFonts w:hint="eastAsia"/>
          <w:sz w:val="24"/>
        </w:rPr>
        <w:t>发现</w:t>
      </w:r>
      <w:r>
        <w:rPr>
          <w:sz w:val="24"/>
        </w:rPr>
        <w:t>系统的漏洞并做</w:t>
      </w:r>
      <w:r>
        <w:rPr>
          <w:rFonts w:hint="eastAsia"/>
          <w:sz w:val="24"/>
        </w:rPr>
        <w:t>相应处理。</w:t>
      </w:r>
    </w:p>
    <w:p w14:paraId="650AB1C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3、</w:t>
      </w:r>
      <w:r>
        <w:rPr>
          <w:rFonts w:hint="eastAsia"/>
          <w:sz w:val="24"/>
        </w:rPr>
        <w:t>本项目将通过等级保护测评等专业服务，完成采购人医疗业务应用系统所涉及的各种网络设备、安全设备、操作系统、系统软件、数据库、应用系统、中间件等资产的风险识别工作，分析采购人医疗业务应用系统安全现状与等级保护测评之间的合规差异性，识别潜在的安全风险项，提出对应的风险控制与整改措施，并协助医院完成安全风险整改，确保采购人医疗业务应用系统顺利通过等级保护测评。</w:t>
      </w:r>
    </w:p>
    <w:p w14:paraId="41AFBA6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sz w:val="24"/>
        </w:rPr>
        <w:t>在项目过程中，中标人应以现场及远程服务形式，完成所有服务项目。</w:t>
      </w:r>
    </w:p>
    <w:p w14:paraId="41F7DF47">
      <w:pPr>
        <w:pStyle w:val="5"/>
        <w:keepNext w:val="0"/>
        <w:keepLines w:val="0"/>
        <w:pageBreakBefore w:val="0"/>
        <w:widowControl w:val="0"/>
        <w:kinsoku/>
        <w:wordWrap/>
        <w:overflowPunct/>
        <w:topLinePunct w:val="0"/>
        <w:autoSpaceDE w:val="0"/>
        <w:autoSpaceDN w:val="0"/>
        <w:bidi w:val="0"/>
        <w:adjustRightInd/>
        <w:snapToGrid/>
        <w:spacing w:before="0" w:line="360" w:lineRule="auto"/>
        <w:jc w:val="left"/>
        <w:textAlignment w:val="auto"/>
        <w:rPr>
          <w:rFonts w:hint="eastAsia"/>
          <w:sz w:val="24"/>
        </w:rPr>
      </w:pPr>
      <w:r>
        <w:rPr>
          <w:rFonts w:hint="eastAsia"/>
          <w:sz w:val="24"/>
          <w:lang w:val="en-US" w:eastAsia="zh-CN"/>
        </w:rPr>
        <w:t>2.1.4.2</w:t>
      </w:r>
      <w:r>
        <w:rPr>
          <w:rFonts w:hint="eastAsia"/>
          <w:sz w:val="24"/>
        </w:rPr>
        <w:t xml:space="preserve"> 服务内容</w:t>
      </w:r>
    </w:p>
    <w:p w14:paraId="14A5FC8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1、</w:t>
      </w:r>
      <w:r>
        <w:rPr>
          <w:rFonts w:hint="eastAsia"/>
          <w:sz w:val="24"/>
        </w:rPr>
        <w:t>服务目标</w:t>
      </w:r>
    </w:p>
    <w:p w14:paraId="168F3C4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sz w:val="24"/>
        </w:rPr>
        <w:t>完成采购人医疗业务应用系统的等级保护</w:t>
      </w:r>
      <w:r>
        <w:rPr>
          <w:rFonts w:hint="eastAsia" w:ascii="宋体" w:eastAsia="宋体"/>
          <w:sz w:val="24"/>
          <w:lang w:val="en-US" w:eastAsia="zh-CN"/>
        </w:rPr>
        <w:t>三级</w:t>
      </w:r>
      <w:r>
        <w:rPr>
          <w:rFonts w:hint="eastAsia"/>
          <w:sz w:val="24"/>
        </w:rPr>
        <w:t>测评工作，出具符合信息系统等级保护测评要求的测评报告。</w:t>
      </w:r>
    </w:p>
    <w:p w14:paraId="1EB7097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ascii="宋体" w:eastAsia="宋体"/>
          <w:sz w:val="24"/>
          <w:lang w:val="en-US" w:eastAsia="zh-CN"/>
        </w:rPr>
        <w:t>2、</w:t>
      </w:r>
      <w:r>
        <w:rPr>
          <w:rFonts w:hint="eastAsia"/>
          <w:sz w:val="24"/>
        </w:rPr>
        <w:t>服务内容</w:t>
      </w:r>
    </w:p>
    <w:p w14:paraId="122B669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sz w:val="24"/>
        </w:rPr>
        <w:t>基于</w:t>
      </w:r>
      <w:r>
        <w:rPr>
          <w:sz w:val="24"/>
        </w:rPr>
        <w:t>GB/T22239-2019《信息安全技术</w:t>
      </w:r>
      <w:r>
        <w:rPr>
          <w:rFonts w:hint="eastAsia"/>
          <w:sz w:val="24"/>
        </w:rPr>
        <w:t>网络安全等级保护基本要求》、</w:t>
      </w:r>
      <w:r>
        <w:rPr>
          <w:sz w:val="24"/>
        </w:rPr>
        <w:t>GA/T1390.3—2017《信息安全技术</w:t>
      </w:r>
      <w:r>
        <w:rPr>
          <w:rFonts w:hint="eastAsia"/>
          <w:sz w:val="24"/>
        </w:rPr>
        <w:t>网络安全等级保护基本要求第</w:t>
      </w:r>
      <w:r>
        <w:rPr>
          <w:sz w:val="24"/>
        </w:rPr>
        <w:t>3部分：移动互联安全拓展要求》、GB/T 28448-2019《信息安全技术</w:t>
      </w:r>
      <w:r>
        <w:rPr>
          <w:rFonts w:hint="eastAsia"/>
          <w:sz w:val="24"/>
        </w:rPr>
        <w:t>网络安全等级保护测评要求》等国家标准，完成安全技术和安全管理测评。</w:t>
      </w:r>
    </w:p>
    <w:p w14:paraId="4429B2A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1</w:t>
      </w:r>
      <w:r>
        <w:rPr>
          <w:rFonts w:hint="eastAsia" w:eastAsia="宋体"/>
          <w:sz w:val="24"/>
          <w:lang w:eastAsia="zh-CN"/>
        </w:rPr>
        <w:t>）</w:t>
      </w:r>
      <w:r>
        <w:rPr>
          <w:rFonts w:hint="eastAsia"/>
          <w:sz w:val="24"/>
        </w:rPr>
        <w:t>安全技术测评</w:t>
      </w:r>
    </w:p>
    <w:p w14:paraId="12BEC96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sz w:val="24"/>
        </w:rPr>
        <w:t>完成包括安全物理环境、安全通信网络、安全区域边界、安全计算环境、安全管理中心五个方面的安全测评。</w:t>
      </w:r>
    </w:p>
    <w:p w14:paraId="0BEC736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2</w:t>
      </w:r>
      <w:r>
        <w:rPr>
          <w:rFonts w:hint="eastAsia" w:eastAsia="宋体"/>
          <w:sz w:val="24"/>
          <w:lang w:eastAsia="zh-CN"/>
        </w:rPr>
        <w:t>）</w:t>
      </w:r>
      <w:r>
        <w:rPr>
          <w:rFonts w:hint="eastAsia"/>
          <w:sz w:val="24"/>
        </w:rPr>
        <w:t>安全管理测评</w:t>
      </w:r>
    </w:p>
    <w:p w14:paraId="1E44AA4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sz w:val="24"/>
        </w:rPr>
        <w:t>完成包括安全管理制度、安全管理机构、安全管理人员、安全建设管理、安全运维管理五个方面的安全控制测评。</w:t>
      </w:r>
    </w:p>
    <w:p w14:paraId="6B86ACA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sz w:val="24"/>
        </w:rPr>
        <w:t>在等级保护测评过程中，中标人应配合医院完成相关等保测评工作，并确保医院医疗业务应用系统通过等保相关等级测评。</w:t>
      </w:r>
    </w:p>
    <w:p w14:paraId="04F1C23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eastAsia="宋体"/>
          <w:sz w:val="24"/>
          <w:lang w:eastAsia="zh-CN"/>
        </w:rPr>
        <w:t>（</w:t>
      </w:r>
      <w:r>
        <w:rPr>
          <w:rFonts w:hint="eastAsia" w:ascii="宋体" w:eastAsia="宋体"/>
          <w:sz w:val="24"/>
          <w:lang w:val="en-US" w:eastAsia="zh-CN"/>
        </w:rPr>
        <w:t>3</w:t>
      </w:r>
      <w:r>
        <w:rPr>
          <w:rFonts w:hint="eastAsia" w:eastAsia="宋体"/>
          <w:sz w:val="24"/>
          <w:lang w:eastAsia="zh-CN"/>
        </w:rPr>
        <w:t>）</w:t>
      </w:r>
      <w:r>
        <w:rPr>
          <w:sz w:val="24"/>
        </w:rPr>
        <w:t>安全测试服务</w:t>
      </w:r>
    </w:p>
    <w:p w14:paraId="6FC155E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sz w:val="24"/>
        </w:rPr>
        <w:t>针对采购人医疗业务应用系统所包含的重要模块，从输入验证、授权、配置管理、敏感数据、会话管理、加密、参数操作、异常管理、审核和日志记录等几个方面，在本项目服务周期内完成安全测试服务，形成安全测试报告，并基于测试报告提供整改咨询服务。</w:t>
      </w:r>
    </w:p>
    <w:p w14:paraId="36C8269E">
      <w:pPr>
        <w:pStyle w:val="5"/>
        <w:keepNext w:val="0"/>
        <w:keepLines w:val="0"/>
        <w:pageBreakBefore w:val="0"/>
        <w:widowControl w:val="0"/>
        <w:kinsoku/>
        <w:wordWrap/>
        <w:overflowPunct/>
        <w:topLinePunct w:val="0"/>
        <w:autoSpaceDE w:val="0"/>
        <w:autoSpaceDN w:val="0"/>
        <w:bidi w:val="0"/>
        <w:adjustRightInd/>
        <w:snapToGrid/>
        <w:spacing w:before="0" w:line="360" w:lineRule="auto"/>
        <w:jc w:val="left"/>
        <w:textAlignment w:val="auto"/>
        <w:rPr>
          <w:rFonts w:hint="eastAsia"/>
          <w:sz w:val="24"/>
        </w:rPr>
      </w:pPr>
      <w:r>
        <w:rPr>
          <w:rFonts w:hint="eastAsia"/>
          <w:sz w:val="24"/>
          <w:lang w:val="en-US" w:eastAsia="zh-CN"/>
        </w:rPr>
        <w:t>2.1.4.3</w:t>
      </w:r>
      <w:r>
        <w:rPr>
          <w:rFonts w:hint="eastAsia"/>
          <w:sz w:val="24"/>
        </w:rPr>
        <w:t>项目交付</w:t>
      </w:r>
    </w:p>
    <w:p w14:paraId="026A9EF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sz w:val="24"/>
        </w:rPr>
      </w:pPr>
      <w:r>
        <w:rPr>
          <w:rFonts w:hint="eastAsia"/>
          <w:sz w:val="24"/>
        </w:rPr>
        <w:t>中标人出具《医疗业务应用系统等级保护三级系统测评报告》。</w:t>
      </w:r>
    </w:p>
    <w:p w14:paraId="77001659">
      <w:pPr>
        <w:widowControl/>
        <w:spacing w:line="486" w:lineRule="exact"/>
        <w:ind w:firstLine="241" w:firstLineChars="100"/>
        <w:contextualSpacing/>
        <w:rPr>
          <w:b/>
          <w:bCs/>
          <w:sz w:val="24"/>
          <w:szCs w:val="24"/>
          <w:lang w:eastAsia="zh-CN"/>
        </w:rPr>
      </w:pPr>
      <w:r>
        <w:rPr>
          <w:rFonts w:hint="eastAsia" w:eastAsia="宋体"/>
          <w:b/>
          <w:bCs/>
          <w:sz w:val="24"/>
          <w:szCs w:val="24"/>
          <w:lang w:eastAsia="zh-CN"/>
        </w:rPr>
        <w:t>2.</w:t>
      </w:r>
      <w:r>
        <w:rPr>
          <w:rFonts w:hint="default"/>
          <w:b/>
          <w:bCs/>
          <w:sz w:val="24"/>
          <w:szCs w:val="24"/>
          <w:lang w:val="en-US" w:eastAsia="zh-CN"/>
        </w:rPr>
        <w:t>2</w:t>
      </w:r>
      <w:r>
        <w:rPr>
          <w:rFonts w:hint="eastAsia" w:eastAsia="宋体"/>
          <w:b/>
          <w:bCs/>
          <w:sz w:val="24"/>
          <w:szCs w:val="24"/>
          <w:lang w:eastAsia="zh-CN"/>
        </w:rPr>
        <w:t>采购标的需满足的服务标准、期限、效率等要求；</w:t>
      </w:r>
    </w:p>
    <w:p w14:paraId="42B642C3">
      <w:pPr>
        <w:spacing w:line="486" w:lineRule="exact"/>
        <w:ind w:firstLine="480" w:firstLineChars="200"/>
        <w:contextualSpacing/>
        <w:rPr>
          <w:rFonts w:hint="eastAsia"/>
          <w:sz w:val="24"/>
          <w:szCs w:val="24"/>
          <w:highlight w:val="yellow"/>
          <w:lang w:eastAsia="zh-CN"/>
        </w:rPr>
      </w:pPr>
      <w:r>
        <w:rPr>
          <w:rFonts w:hint="eastAsia" w:eastAsia="宋体"/>
          <w:sz w:val="24"/>
          <w:szCs w:val="24"/>
          <w:lang w:eastAsia="zh-CN"/>
        </w:rPr>
        <w:t>详见 需满足的质量、安全、技术规格、物理特性等要求。</w:t>
      </w:r>
    </w:p>
    <w:p w14:paraId="53D8D55F">
      <w:pPr>
        <w:tabs>
          <w:tab w:val="left" w:pos="900"/>
        </w:tabs>
        <w:spacing w:before="156" w:beforeLines="50" w:line="486" w:lineRule="exact"/>
        <w:ind w:firstLine="241" w:firstLineChars="100"/>
        <w:rPr>
          <w:b/>
          <w:bCs/>
          <w:sz w:val="24"/>
          <w:szCs w:val="24"/>
          <w:lang w:eastAsia="zh-CN"/>
        </w:rPr>
      </w:pPr>
      <w:r>
        <w:rPr>
          <w:rFonts w:hint="eastAsia" w:eastAsia="宋体"/>
          <w:b/>
          <w:bCs/>
          <w:sz w:val="24"/>
          <w:szCs w:val="24"/>
          <w:lang w:eastAsia="zh-CN"/>
        </w:rPr>
        <w:t>2.</w:t>
      </w:r>
      <w:r>
        <w:rPr>
          <w:rFonts w:hint="default"/>
          <w:b/>
          <w:bCs/>
          <w:sz w:val="24"/>
          <w:szCs w:val="24"/>
          <w:lang w:val="en-US" w:eastAsia="zh-CN"/>
        </w:rPr>
        <w:t>3</w:t>
      </w:r>
      <w:r>
        <w:rPr>
          <w:rFonts w:hint="eastAsia" w:eastAsia="宋体"/>
          <w:b/>
          <w:bCs/>
          <w:sz w:val="24"/>
          <w:szCs w:val="24"/>
          <w:lang w:eastAsia="zh-CN"/>
        </w:rPr>
        <w:t>为落实政府采购政策需满足的要求；</w:t>
      </w:r>
    </w:p>
    <w:p w14:paraId="7CF72D39">
      <w:pPr>
        <w:tabs>
          <w:tab w:val="left" w:pos="900"/>
        </w:tabs>
        <w:spacing w:line="486" w:lineRule="exact"/>
        <w:ind w:firstLine="480" w:firstLineChars="200"/>
        <w:rPr>
          <w:sz w:val="24"/>
          <w:szCs w:val="24"/>
          <w:lang w:eastAsia="zh-CN"/>
        </w:rPr>
      </w:pPr>
      <w:r>
        <w:rPr>
          <w:rFonts w:hint="eastAsia" w:eastAsia="宋体"/>
          <w:sz w:val="24"/>
          <w:szCs w:val="24"/>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064F0200">
      <w:pPr>
        <w:tabs>
          <w:tab w:val="left" w:pos="900"/>
        </w:tabs>
        <w:spacing w:line="486" w:lineRule="exact"/>
        <w:ind w:firstLine="480" w:firstLineChars="200"/>
        <w:rPr>
          <w:sz w:val="24"/>
          <w:szCs w:val="24"/>
          <w:lang w:eastAsia="zh-CN"/>
        </w:rPr>
      </w:pPr>
      <w:r>
        <w:rPr>
          <w:rFonts w:hint="eastAsia" w:eastAsia="宋体"/>
          <w:sz w:val="24"/>
          <w:szCs w:val="24"/>
          <w:lang w:eastAsia="zh-CN"/>
        </w:rPr>
        <w:t>（2）监狱企业扶持政策：供应商所投产品为监狱企业制造的，将视同为小型或微型企业，将对该投标产品的投标价给予10%的扣除。</w:t>
      </w:r>
      <w:r>
        <w:rPr>
          <w:rFonts w:hint="eastAsia" w:eastAsia="宋体"/>
          <w:iCs/>
          <w:sz w:val="24"/>
          <w:szCs w:val="24"/>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eastAsia="宋体"/>
          <w:sz w:val="24"/>
          <w:szCs w:val="24"/>
          <w:lang w:eastAsia="zh-CN"/>
        </w:rPr>
        <w:t>。（专门面向中小企业采购或预留份额的情况不适用）</w:t>
      </w:r>
    </w:p>
    <w:p w14:paraId="418197AD">
      <w:pPr>
        <w:tabs>
          <w:tab w:val="left" w:pos="900"/>
        </w:tabs>
        <w:spacing w:line="486" w:lineRule="exact"/>
        <w:ind w:firstLine="480" w:firstLineChars="200"/>
        <w:rPr>
          <w:sz w:val="24"/>
          <w:szCs w:val="24"/>
          <w:lang w:eastAsia="zh-CN"/>
        </w:rPr>
      </w:pPr>
      <w:r>
        <w:rPr>
          <w:rFonts w:hint="eastAsia" w:eastAsia="宋体"/>
          <w:sz w:val="24"/>
          <w:szCs w:val="24"/>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5D17C7ED">
      <w:pPr>
        <w:autoSpaceDE/>
        <w:autoSpaceDN/>
        <w:spacing w:line="486" w:lineRule="exact"/>
        <w:ind w:firstLine="480" w:firstLineChars="200"/>
        <w:rPr>
          <w:rFonts w:hint="eastAsia"/>
          <w:sz w:val="24"/>
          <w:szCs w:val="24"/>
          <w:lang w:eastAsia="zh-CN"/>
        </w:rPr>
      </w:pPr>
      <w:r>
        <w:rPr>
          <w:rFonts w:hint="eastAsia" w:eastAsia="宋体"/>
          <w:sz w:val="24"/>
          <w:szCs w:val="24"/>
          <w:lang w:eastAsia="zh-CN"/>
        </w:rPr>
        <w:t>（4）鼓励节能、环保政策：依据《财政部发展改革委生态环境部市场监管总局关于调整优化节能产品、环境标志产品政府采购执行机制的通知（财库（2019）9号）》执行。</w:t>
      </w:r>
    </w:p>
    <w:p w14:paraId="3B1C3CA8">
      <w:pPr>
        <w:tabs>
          <w:tab w:val="left" w:pos="900"/>
        </w:tabs>
        <w:spacing w:line="486" w:lineRule="exact"/>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5）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r>
        <w:rPr>
          <w:rFonts w:hint="eastAsia" w:ascii="宋体" w:hAnsi="宋体" w:eastAsia="宋体" w:cs="宋体"/>
          <w:b/>
          <w:bCs/>
          <w:sz w:val="24"/>
          <w:szCs w:val="24"/>
          <w:lang w:eastAsia="zh-CN"/>
        </w:rPr>
        <w:t>供应商应出具招标文件要求的证明材料给予证明，否则评标时不予认可。</w:t>
      </w:r>
      <w:r>
        <w:rPr>
          <w:rFonts w:hint="eastAsia" w:ascii="宋体" w:hAnsi="宋体" w:eastAsia="宋体" w:cs="宋体"/>
          <w:sz w:val="24"/>
          <w:szCs w:val="24"/>
          <w:lang w:eastAsia="zh-CN"/>
        </w:rPr>
        <w:t>供应商应对提交的证明材料真实性负责，提交证明材料不真实的，应承担相应的法律责任。</w:t>
      </w:r>
    </w:p>
    <w:p w14:paraId="7A5F94B3">
      <w:pPr>
        <w:autoSpaceDE/>
        <w:autoSpaceDN/>
        <w:spacing w:before="20" w:line="486" w:lineRule="exact"/>
        <w:ind w:firstLine="482" w:firstLineChars="200"/>
        <w:rPr>
          <w:b/>
          <w:bCs/>
          <w:sz w:val="24"/>
          <w:szCs w:val="24"/>
          <w:highlight w:val="yellow"/>
          <w:lang w:eastAsia="zh-CN"/>
        </w:rPr>
      </w:pPr>
      <w:r>
        <w:rPr>
          <w:rFonts w:hint="eastAsia" w:eastAsia="宋体"/>
          <w:b/>
          <w:bCs/>
          <w:sz w:val="24"/>
          <w:szCs w:val="24"/>
          <w:lang w:eastAsia="zh-CN"/>
        </w:rPr>
        <w:t>2.</w:t>
      </w:r>
      <w:r>
        <w:rPr>
          <w:rFonts w:hint="default"/>
          <w:b/>
          <w:bCs/>
          <w:sz w:val="24"/>
          <w:szCs w:val="24"/>
          <w:lang w:val="en-US" w:eastAsia="zh-CN"/>
        </w:rPr>
        <w:t>4</w:t>
      </w:r>
      <w:r>
        <w:rPr>
          <w:rFonts w:hint="eastAsia" w:eastAsia="宋体"/>
          <w:b/>
          <w:bCs/>
          <w:sz w:val="24"/>
          <w:szCs w:val="24"/>
          <w:lang w:eastAsia="zh-CN"/>
        </w:rPr>
        <w:t>采购标的的其他技术、服务等要求；</w:t>
      </w:r>
    </w:p>
    <w:p w14:paraId="7D6F3D8A">
      <w:pPr>
        <w:tabs>
          <w:tab w:val="left" w:pos="900"/>
        </w:tabs>
        <w:spacing w:before="156" w:beforeLines="50" w:line="486" w:lineRule="exact"/>
        <w:ind w:firstLine="482" w:firstLineChars="200"/>
        <w:rPr>
          <w:b/>
          <w:bCs/>
          <w:sz w:val="24"/>
          <w:szCs w:val="24"/>
          <w:highlight w:val="none"/>
          <w:lang w:eastAsia="zh-CN"/>
        </w:rPr>
      </w:pPr>
      <w:r>
        <w:rPr>
          <w:rFonts w:hint="eastAsia" w:eastAsia="宋体"/>
          <w:b/>
          <w:bCs/>
          <w:sz w:val="24"/>
          <w:szCs w:val="24"/>
          <w:highlight w:val="none"/>
          <w:lang w:eastAsia="zh-CN"/>
        </w:rPr>
        <w:t>投标人须提供对项目需求的理解及认识程度、整体服务方案、日常巡检方案、技术服务团队配置评价、应急处理方案等。</w:t>
      </w:r>
    </w:p>
    <w:p w14:paraId="3359EB9B">
      <w:pPr>
        <w:tabs>
          <w:tab w:val="left" w:pos="900"/>
        </w:tabs>
        <w:spacing w:before="156" w:beforeLines="50" w:line="486" w:lineRule="exact"/>
        <w:ind w:firstLine="482" w:firstLineChars="200"/>
        <w:rPr>
          <w:b/>
          <w:sz w:val="24"/>
          <w:szCs w:val="24"/>
          <w:lang w:eastAsia="zh-CN"/>
        </w:rPr>
      </w:pPr>
      <w:r>
        <w:rPr>
          <w:rFonts w:hint="eastAsia" w:eastAsia="宋体"/>
          <w:b/>
          <w:sz w:val="24"/>
          <w:szCs w:val="24"/>
          <w:lang w:eastAsia="zh-CN"/>
        </w:rPr>
        <w:t>3.采购标的的验收标准</w:t>
      </w:r>
    </w:p>
    <w:p w14:paraId="23D74481">
      <w:pPr>
        <w:pStyle w:val="6"/>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jc w:val="both"/>
        <w:textAlignment w:val="auto"/>
        <w:outlineLvl w:val="9"/>
        <w:rPr>
          <w:rFonts w:hint="eastAsia"/>
          <w:b w:val="0"/>
          <w:sz w:val="24"/>
          <w:szCs w:val="24"/>
          <w:lang w:eastAsia="zh-CN"/>
        </w:rPr>
      </w:pPr>
      <w:bookmarkStart w:id="4" w:name="_Toc15601"/>
      <w:bookmarkStart w:id="5" w:name="_Toc181860788"/>
      <w:r>
        <w:rPr>
          <w:rFonts w:hint="eastAsia"/>
          <w:b w:val="0"/>
          <w:sz w:val="24"/>
          <w:szCs w:val="24"/>
          <w:lang w:eastAsia="zh-CN"/>
        </w:rPr>
        <w:t>3.</w:t>
      </w:r>
      <w:r>
        <w:rPr>
          <w:b w:val="0"/>
          <w:sz w:val="24"/>
          <w:szCs w:val="24"/>
          <w:lang w:eastAsia="zh-CN"/>
        </w:rPr>
        <w:t>1</w:t>
      </w:r>
      <w:r>
        <w:rPr>
          <w:rFonts w:hint="eastAsia"/>
          <w:b w:val="0"/>
          <w:sz w:val="24"/>
          <w:szCs w:val="24"/>
          <w:lang w:eastAsia="zh-CN"/>
        </w:rPr>
        <w:t>符合采购人服务范围要求。</w:t>
      </w:r>
      <w:bookmarkEnd w:id="4"/>
      <w:bookmarkEnd w:id="5"/>
    </w:p>
    <w:p w14:paraId="775F51D5">
      <w:pPr>
        <w:pStyle w:val="6"/>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jc w:val="both"/>
        <w:textAlignment w:val="auto"/>
        <w:outlineLvl w:val="9"/>
        <w:rPr>
          <w:rFonts w:hint="eastAsia"/>
          <w:b w:val="0"/>
          <w:sz w:val="24"/>
          <w:szCs w:val="24"/>
          <w:lang w:eastAsia="zh-CN"/>
        </w:rPr>
      </w:pPr>
      <w:bookmarkStart w:id="6" w:name="_Toc26326"/>
      <w:bookmarkStart w:id="7" w:name="_Toc181860789"/>
      <w:r>
        <w:rPr>
          <w:rFonts w:hint="eastAsia"/>
          <w:b w:val="0"/>
          <w:sz w:val="24"/>
          <w:szCs w:val="24"/>
          <w:lang w:eastAsia="zh-CN"/>
        </w:rPr>
        <w:t>3.</w:t>
      </w:r>
      <w:r>
        <w:rPr>
          <w:b w:val="0"/>
          <w:sz w:val="24"/>
          <w:szCs w:val="24"/>
          <w:lang w:eastAsia="zh-CN"/>
        </w:rPr>
        <w:t>2</w:t>
      </w:r>
      <w:r>
        <w:rPr>
          <w:rFonts w:hint="eastAsia"/>
          <w:b w:val="0"/>
          <w:sz w:val="24"/>
          <w:szCs w:val="24"/>
          <w:lang w:eastAsia="zh-CN"/>
        </w:rPr>
        <w:t>供应商配置的硬件设备（</w:t>
      </w:r>
      <w:r>
        <w:rPr>
          <w:rFonts w:hint="eastAsia"/>
          <w:b w:val="0"/>
          <w:sz w:val="24"/>
          <w:szCs w:val="24"/>
          <w:lang w:val="en-US" w:eastAsia="zh-CN"/>
        </w:rPr>
        <w:t>如涉及</w:t>
      </w:r>
      <w:r>
        <w:rPr>
          <w:rFonts w:hint="eastAsia"/>
          <w:b w:val="0"/>
          <w:sz w:val="24"/>
          <w:szCs w:val="24"/>
          <w:lang w:eastAsia="zh-CN"/>
        </w:rPr>
        <w:t>）符合采购人要求。</w:t>
      </w:r>
      <w:bookmarkEnd w:id="6"/>
      <w:bookmarkEnd w:id="7"/>
    </w:p>
    <w:p w14:paraId="42E8DE7E">
      <w:pPr>
        <w:pStyle w:val="6"/>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jc w:val="both"/>
        <w:textAlignment w:val="auto"/>
        <w:outlineLvl w:val="9"/>
        <w:rPr>
          <w:rFonts w:hint="eastAsia"/>
          <w:b w:val="0"/>
          <w:sz w:val="24"/>
          <w:szCs w:val="24"/>
          <w:lang w:eastAsia="zh-CN"/>
        </w:rPr>
      </w:pPr>
      <w:bookmarkStart w:id="8" w:name="_Toc181860790"/>
      <w:bookmarkStart w:id="9" w:name="_Toc11917"/>
      <w:r>
        <w:rPr>
          <w:rFonts w:hint="eastAsia"/>
          <w:b w:val="0"/>
          <w:sz w:val="24"/>
          <w:szCs w:val="24"/>
          <w:lang w:eastAsia="zh-CN"/>
        </w:rPr>
        <w:t>3.</w:t>
      </w:r>
      <w:r>
        <w:rPr>
          <w:b w:val="0"/>
          <w:sz w:val="24"/>
          <w:szCs w:val="24"/>
          <w:lang w:eastAsia="zh-CN"/>
        </w:rPr>
        <w:t>3</w:t>
      </w:r>
      <w:r>
        <w:rPr>
          <w:rFonts w:hint="eastAsia"/>
          <w:b w:val="0"/>
          <w:sz w:val="24"/>
          <w:szCs w:val="24"/>
          <w:lang w:eastAsia="zh-CN"/>
        </w:rPr>
        <w:t>完成采购人要求的工作内容。</w:t>
      </w:r>
      <w:bookmarkEnd w:id="8"/>
      <w:bookmarkEnd w:id="9"/>
    </w:p>
    <w:p w14:paraId="2D5CD30F">
      <w:pPr>
        <w:keepNext w:val="0"/>
        <w:keepLines w:val="0"/>
        <w:pageBreakBefore w:val="0"/>
        <w:widowControl w:val="0"/>
        <w:kinsoku/>
        <w:wordWrap/>
        <w:overflowPunct/>
        <w:topLinePunct w:val="0"/>
        <w:autoSpaceDE/>
        <w:autoSpaceDN/>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bookmarkStart w:id="10" w:name="_Toc181860791"/>
      <w:bookmarkStart w:id="11" w:name="_Toc32098"/>
      <w:r>
        <w:rPr>
          <w:rFonts w:hint="eastAsia"/>
          <w:b w:val="0"/>
          <w:sz w:val="24"/>
          <w:szCs w:val="24"/>
          <w:lang w:eastAsia="zh-CN"/>
        </w:rPr>
        <w:t>3.</w:t>
      </w:r>
      <w:r>
        <w:rPr>
          <w:b w:val="0"/>
          <w:sz w:val="24"/>
          <w:szCs w:val="24"/>
          <w:lang w:eastAsia="zh-CN"/>
        </w:rPr>
        <w:t>4</w:t>
      </w:r>
      <w:r>
        <w:rPr>
          <w:rFonts w:hint="eastAsia"/>
          <w:b w:val="0"/>
          <w:sz w:val="24"/>
          <w:szCs w:val="24"/>
          <w:lang w:eastAsia="zh-CN"/>
        </w:rPr>
        <w:t>达到采购人要求的服务和质量标准</w:t>
      </w:r>
      <w:bookmarkEnd w:id="10"/>
      <w:bookmarkEnd w:id="11"/>
      <w:r>
        <w:rPr>
          <w:rFonts w:hint="eastAsia"/>
          <w:b w:val="0"/>
          <w:sz w:val="24"/>
          <w:szCs w:val="24"/>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Symbol">
    <w:panose1 w:val="020B0502040204020203"/>
    <w:charset w:val="00"/>
    <w:family w:val="auto"/>
    <w:pitch w:val="default"/>
    <w:sig w:usb0="800001E3" w:usb1="1200FFEF" w:usb2="00040000" w:usb3="04000000" w:csb0="00000001" w:csb1="40000000"/>
  </w:font>
  <w:font w:name="仿宋_GB2312">
    <w:altName w:val="仿宋"/>
    <w:panose1 w:val="02010609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6462F0"/>
    <w:rsid w:val="22015CC8"/>
    <w:rsid w:val="301B3A0F"/>
    <w:rsid w:val="3FB34197"/>
    <w:rsid w:val="42563169"/>
    <w:rsid w:val="500F4BB5"/>
    <w:rsid w:val="6C6A213F"/>
    <w:rsid w:val="6F415882"/>
    <w:rsid w:val="74423E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next w:val="1"/>
    <w:qFormat/>
    <w:uiPriority w:val="1"/>
    <w:pPr>
      <w:widowControl w:val="0"/>
      <w:autoSpaceDE w:val="0"/>
      <w:autoSpaceDN w:val="0"/>
      <w:outlineLvl w:val="0"/>
    </w:pPr>
    <w:rPr>
      <w:rFonts w:ascii="宋体" w:hAnsi="宋体" w:eastAsia="宋体" w:cs="宋体"/>
      <w:sz w:val="36"/>
      <w:szCs w:val="36"/>
      <w:lang w:val="en-US" w:eastAsia="en-US" w:bidi="ar-SA"/>
    </w:rPr>
  </w:style>
  <w:style w:type="paragraph" w:styleId="4">
    <w:name w:val="heading 2"/>
    <w:next w:val="1"/>
    <w:qFormat/>
    <w:uiPriority w:val="1"/>
    <w:pPr>
      <w:widowControl w:val="0"/>
      <w:autoSpaceDE w:val="0"/>
      <w:autoSpaceDN w:val="0"/>
      <w:ind w:left="121"/>
      <w:outlineLvl w:val="1"/>
    </w:pPr>
    <w:rPr>
      <w:rFonts w:ascii="宋体" w:hAnsi="宋体" w:eastAsia="宋体" w:cs="宋体"/>
      <w:sz w:val="32"/>
      <w:szCs w:val="32"/>
      <w:lang w:val="en-US" w:eastAsia="en-US" w:bidi="ar-SA"/>
    </w:rPr>
  </w:style>
  <w:style w:type="paragraph" w:styleId="5">
    <w:name w:val="heading 3"/>
    <w:next w:val="1"/>
    <w:qFormat/>
    <w:uiPriority w:val="1"/>
    <w:pPr>
      <w:widowControl w:val="0"/>
      <w:autoSpaceDE w:val="0"/>
      <w:autoSpaceDN w:val="0"/>
      <w:spacing w:before="15"/>
      <w:jc w:val="center"/>
      <w:outlineLvl w:val="2"/>
    </w:pPr>
    <w:rPr>
      <w:rFonts w:ascii="宋体" w:hAnsi="宋体" w:eastAsia="宋体" w:cs="宋体"/>
      <w:sz w:val="28"/>
      <w:szCs w:val="28"/>
      <w:lang w:val="en-US" w:eastAsia="en-US" w:bidi="ar-SA"/>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next w:val="1"/>
    <w:qFormat/>
    <w:uiPriority w:val="1"/>
    <w:pPr>
      <w:widowControl w:val="0"/>
      <w:autoSpaceDE w:val="0"/>
      <w:autoSpaceDN w:val="0"/>
    </w:pPr>
    <w:rPr>
      <w:rFonts w:ascii="宋体" w:hAnsi="宋体" w:eastAsia="宋体" w:cs="宋体"/>
      <w:sz w:val="24"/>
      <w:szCs w:val="24"/>
      <w:lang w:val="en-US" w:eastAsia="en-US" w:bidi="ar-SA"/>
    </w:rPr>
  </w:style>
  <w:style w:type="paragraph" w:styleId="6">
    <w:name w:val="Title"/>
    <w:qFormat/>
    <w:uiPriority w:val="0"/>
    <w:pPr>
      <w:widowControl w:val="0"/>
      <w:autoSpaceDE w:val="0"/>
      <w:autoSpaceDN w:val="0"/>
      <w:jc w:val="center"/>
      <w:outlineLvl w:val="0"/>
    </w:pPr>
    <w:rPr>
      <w:rFonts w:ascii="宋体" w:hAnsi="宋体" w:eastAsia="宋体" w:cs="宋体"/>
      <w:b/>
      <w:sz w:val="32"/>
      <w:szCs w:val="20"/>
      <w:lang w:val="en-US" w:eastAsia="en-US" w:bidi="ar-SA"/>
    </w:rPr>
  </w:style>
  <w:style w:type="table" w:styleId="8">
    <w:name w:val="Table Grid"/>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列表段落1"/>
    <w:qFormat/>
    <w:uiPriority w:val="1"/>
    <w:pPr>
      <w:widowControl w:val="0"/>
      <w:autoSpaceDE w:val="0"/>
      <w:autoSpaceDN w:val="0"/>
      <w:spacing w:before="134"/>
      <w:ind w:left="1196" w:hanging="720"/>
    </w:pPr>
    <w:rPr>
      <w:rFonts w:ascii="宋体" w:hAnsi="宋体" w:eastAsia="宋体" w:cs="宋体"/>
      <w:sz w:val="20"/>
      <w:szCs w:val="22"/>
      <w:lang w:val="en-US" w:eastAsia="en-US" w:bidi="ar-SA"/>
    </w:rPr>
  </w:style>
  <w:style w:type="paragraph" w:customStyle="1" w:styleId="11">
    <w:name w:val="列出段落1"/>
    <w:qFormat/>
    <w:uiPriority w:val="1"/>
    <w:pPr>
      <w:widowControl w:val="0"/>
      <w:autoSpaceDE w:val="0"/>
      <w:autoSpaceDN w:val="0"/>
      <w:spacing w:before="134"/>
      <w:ind w:left="1196" w:hanging="720"/>
    </w:pPr>
    <w:rPr>
      <w:rFonts w:ascii="宋体" w:hAnsi="宋体" w:eastAsia="宋体" w:cs="宋体"/>
      <w:sz w:val="20"/>
      <w:szCs w:val="22"/>
      <w:lang w:val="en-US" w:eastAsia="en-US" w:bidi="ar-SA"/>
    </w:rPr>
  </w:style>
  <w:style w:type="paragraph" w:styleId="12">
    <w:name w:val="List Paragraph"/>
    <w:qFormat/>
    <w:uiPriority w:val="34"/>
    <w:pPr>
      <w:widowControl w:val="0"/>
      <w:autoSpaceDE w:val="0"/>
      <w:autoSpaceDN w:val="0"/>
      <w:ind w:left="720"/>
      <w:contextualSpacing/>
    </w:pPr>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47</Pages>
  <Words>808</Words>
  <Characters>858</Characters>
  <Lines>0</Lines>
  <Paragraphs>0</Paragraphs>
  <TotalTime>0</TotalTime>
  <ScaleCrop>false</ScaleCrop>
  <LinksUpToDate>false</LinksUpToDate>
  <CharactersWithSpaces>868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JianJiang</dc:creator>
  <cp:lastModifiedBy>Serena</cp:lastModifiedBy>
  <dcterms:modified xsi:type="dcterms:W3CDTF">2026-11-02T07:32:43Z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eyJoZGlkIjoiMTUxNjU4Y2I1ZTg1ZmY0MTJiZWRhYWQxYzNmOTNlNDEiLCJ1c2VySWQiOiIyMTg5Mjc5NjMifQ==</vt:lpwstr>
  </property>
  <property fmtid="{D5CDD505-2E9C-101B-9397-08002B2CF9AE}" pid="4" name="ICV">
    <vt:lpwstr>D4EC95946ACB48DB848E1E63FCFC80C9_12</vt:lpwstr>
  </property>
</Properties>
</file>