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E9E67">
      <w:pPr>
        <w:widowControl w:val="0"/>
        <w:numPr>
          <w:ilvl w:val="0"/>
          <w:numId w:val="0"/>
        </w:numPr>
        <w:tabs>
          <w:tab w:val="left" w:pos="1630"/>
        </w:tabs>
        <w:autoSpaceDE w:val="0"/>
        <w:autoSpaceDN w:val="0"/>
        <w:spacing w:line="460" w:lineRule="exact"/>
        <w:ind w:left="8" w:leftChars="0"/>
        <w:jc w:val="center"/>
        <w:outlineLvl w:val="0"/>
        <w:rPr>
          <w:rFonts w:hint="eastAsia" w:ascii="宋体" w:hAnsi="宋体" w:eastAsia="宋体" w:cs="宋体"/>
          <w:b/>
          <w:bCs/>
          <w:sz w:val="36"/>
          <w:szCs w:val="36"/>
          <w:lang w:val="en-US" w:eastAsia="en-US" w:bidi="ar-SA"/>
        </w:rPr>
      </w:pPr>
      <w:bookmarkStart w:id="0" w:name="_Toc10143"/>
      <w:r>
        <w:rPr>
          <w:rFonts w:hint="eastAsia" w:ascii="宋体" w:hAnsi="宋体" w:eastAsia="宋体" w:cs="宋体"/>
          <w:b/>
          <w:bCs/>
          <w:sz w:val="36"/>
          <w:szCs w:val="36"/>
          <w:lang w:val="en-US" w:eastAsia="en-US" w:bidi="ar-SA"/>
        </w:rPr>
        <w:t>采购需求</w:t>
      </w:r>
      <w:bookmarkEnd w:id="0"/>
    </w:p>
    <w:p w14:paraId="50D45CD6">
      <w:pPr>
        <w:rPr>
          <w:rFonts w:hint="eastAsia" w:ascii="宋体" w:hAnsi="宋体" w:eastAsia="宋体" w:cs="宋体"/>
        </w:rPr>
      </w:pPr>
    </w:p>
    <w:p w14:paraId="531558F4">
      <w:pPr>
        <w:widowControl w:val="0"/>
        <w:autoSpaceDE w:val="0"/>
        <w:autoSpaceDN w:val="0"/>
        <w:spacing w:before="1"/>
        <w:ind w:left="121"/>
        <w:rPr>
          <w:rFonts w:hint="eastAsia"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491C452E">
      <w:pPr>
        <w:widowControl w:val="0"/>
        <w:tabs>
          <w:tab w:val="left" w:pos="470"/>
          <w:tab w:val="left" w:pos="7040"/>
        </w:tabs>
        <w:autoSpaceDE w:val="0"/>
        <w:autoSpaceDN w:val="0"/>
        <w:spacing w:before="154" w:line="338" w:lineRule="auto"/>
        <w:ind w:left="121" w:right="1830" w:firstLine="269" w:firstLineChars="100"/>
        <w:rPr>
          <w:rFonts w:hint="eastAsia"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采购标的需求一览表</w:t>
      </w:r>
    </w:p>
    <w:tbl>
      <w:tblPr>
        <w:tblStyle w:val="8"/>
        <w:tblW w:w="84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4116"/>
        <w:gridCol w:w="1331"/>
        <w:gridCol w:w="2255"/>
      </w:tblGrid>
      <w:tr w14:paraId="56DF2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5DB124CA">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包号</w:t>
            </w:r>
          </w:p>
        </w:tc>
        <w:tc>
          <w:tcPr>
            <w:tcW w:w="4116" w:type="dxa"/>
            <w:vAlign w:val="center"/>
          </w:tcPr>
          <w:p w14:paraId="6128A664">
            <w:pPr>
              <w:widowControl w:val="0"/>
              <w:autoSpaceDE w:val="0"/>
              <w:autoSpaceDN w:val="0"/>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标的名称</w:t>
            </w:r>
          </w:p>
        </w:tc>
        <w:tc>
          <w:tcPr>
            <w:tcW w:w="1331" w:type="dxa"/>
            <w:vAlign w:val="center"/>
          </w:tcPr>
          <w:p w14:paraId="133CC0B8">
            <w:pPr>
              <w:widowControl w:val="0"/>
              <w:autoSpaceDE w:val="0"/>
              <w:autoSpaceDN w:val="0"/>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en-US" w:bidi="ar-SA"/>
              </w:rPr>
              <w:t>数量</w:t>
            </w:r>
          </w:p>
        </w:tc>
        <w:tc>
          <w:tcPr>
            <w:tcW w:w="2255" w:type="dxa"/>
            <w:vAlign w:val="center"/>
          </w:tcPr>
          <w:p w14:paraId="60F1E481">
            <w:pPr>
              <w:widowControl/>
              <w:jc w:val="center"/>
              <w:rPr>
                <w:rFonts w:hint="eastAsia" w:ascii="宋体" w:hAnsi="宋体" w:eastAsia="宋体" w:cs="宋体"/>
                <w:b/>
                <w:bCs/>
                <w:sz w:val="24"/>
                <w:szCs w:val="24"/>
              </w:rPr>
            </w:pPr>
            <w:r>
              <w:rPr>
                <w:rFonts w:hint="eastAsia" w:ascii="宋体" w:hAnsi="宋体" w:eastAsia="宋体" w:cs="宋体"/>
                <w:b/>
                <w:bCs/>
                <w:sz w:val="24"/>
                <w:lang w:eastAsia="zh-CN"/>
              </w:rPr>
              <w:t>服务</w:t>
            </w:r>
            <w:r>
              <w:rPr>
                <w:rFonts w:hint="eastAsia" w:ascii="宋体" w:hAnsi="宋体" w:eastAsia="宋体" w:cs="宋体"/>
                <w:b/>
                <w:bCs/>
                <w:sz w:val="24"/>
              </w:rPr>
              <w:t>期限</w:t>
            </w:r>
          </w:p>
        </w:tc>
      </w:tr>
      <w:tr w14:paraId="457CA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jc w:val="center"/>
        </w:trPr>
        <w:tc>
          <w:tcPr>
            <w:tcW w:w="756" w:type="dxa"/>
            <w:vAlign w:val="center"/>
          </w:tcPr>
          <w:p w14:paraId="2D2B051A">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4116" w:type="dxa"/>
            <w:vAlign w:val="center"/>
          </w:tcPr>
          <w:p w14:paraId="429E5E32">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HIS系统开发运维服务</w:t>
            </w:r>
          </w:p>
        </w:tc>
        <w:tc>
          <w:tcPr>
            <w:tcW w:w="1331" w:type="dxa"/>
            <w:vAlign w:val="center"/>
          </w:tcPr>
          <w:p w14:paraId="31995AFC">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一项</w:t>
            </w:r>
          </w:p>
        </w:tc>
        <w:tc>
          <w:tcPr>
            <w:tcW w:w="2255" w:type="dxa"/>
            <w:vAlign w:val="center"/>
          </w:tcPr>
          <w:p w14:paraId="1B98FC2C">
            <w:pPr>
              <w:widowControl/>
              <w:jc w:val="center"/>
              <w:textAlignment w:val="center"/>
              <w:rPr>
                <w:rFonts w:hint="eastAsia" w:ascii="宋体" w:hAnsi="宋体" w:eastAsia="宋体" w:cs="宋体"/>
                <w:sz w:val="24"/>
                <w:szCs w:val="24"/>
                <w:lang w:eastAsia="zh-CN" w:bidi="ar"/>
              </w:rPr>
            </w:pPr>
            <w:r>
              <w:rPr>
                <w:rFonts w:hint="eastAsia" w:ascii="宋体" w:hAnsi="宋体" w:eastAsia="宋体" w:cs="宋体"/>
                <w:sz w:val="24"/>
                <w:szCs w:val="24"/>
                <w:lang w:val="en-US" w:eastAsia="zh-CN" w:bidi="ar-SA"/>
              </w:rPr>
              <w:t>合同签订后8个月</w:t>
            </w:r>
          </w:p>
        </w:tc>
      </w:tr>
    </w:tbl>
    <w:p w14:paraId="7A0EF54E">
      <w:pPr>
        <w:widowControl w:val="0"/>
        <w:tabs>
          <w:tab w:val="left" w:pos="1197"/>
        </w:tabs>
        <w:autoSpaceDE w:val="0"/>
        <w:autoSpaceDN w:val="0"/>
        <w:spacing w:before="0" w:line="486" w:lineRule="exact"/>
        <w:ind w:left="0" w:right="233" w:firstLine="0"/>
        <w:jc w:val="both"/>
        <w:rPr>
          <w:rFonts w:hint="eastAsia"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2DD048B8">
      <w:pPr>
        <w:widowControl w:val="0"/>
        <w:tabs>
          <w:tab w:val="left" w:pos="1197"/>
        </w:tabs>
        <w:autoSpaceDE w:val="0"/>
        <w:autoSpaceDN w:val="0"/>
        <w:spacing w:before="0" w:line="486" w:lineRule="exact"/>
        <w:ind w:left="0" w:right="233" w:firstLine="0"/>
        <w:jc w:val="both"/>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1.采购项目交付或者服务的时间和地点：</w:t>
      </w:r>
    </w:p>
    <w:p w14:paraId="48772AD6">
      <w:pPr>
        <w:spacing w:line="360" w:lineRule="auto"/>
        <w:contextualSpacing/>
        <w:rPr>
          <w:rFonts w:hint="eastAsia" w:ascii="宋体" w:hAnsi="宋体" w:eastAsia="宋体" w:cs="宋体"/>
          <w:sz w:val="24"/>
          <w:lang w:eastAsia="zh-CN"/>
        </w:rPr>
      </w:pPr>
      <w:bookmarkStart w:id="1" w:name="_Toc24426"/>
      <w:bookmarkStart w:id="2" w:name="_Toc30905"/>
      <w:r>
        <w:rPr>
          <w:rFonts w:hint="eastAsia" w:ascii="宋体" w:hAnsi="宋体" w:eastAsia="宋体" w:cs="宋体"/>
          <w:sz w:val="24"/>
          <w:lang w:eastAsia="zh-CN"/>
        </w:rPr>
        <w:t>1.1采购项目（标的）实施的时间：</w:t>
      </w:r>
      <w:bookmarkEnd w:id="1"/>
      <w:bookmarkEnd w:id="2"/>
      <w:r>
        <w:rPr>
          <w:rFonts w:hint="eastAsia" w:ascii="宋体" w:hAnsi="宋体" w:eastAsia="宋体" w:cs="宋体"/>
          <w:sz w:val="24"/>
          <w:szCs w:val="24"/>
          <w:lang w:eastAsia="zh-CN"/>
        </w:rPr>
        <w:t>按首都医科大学附属北京天坛医院要求</w:t>
      </w:r>
    </w:p>
    <w:p w14:paraId="12E99456">
      <w:pPr>
        <w:spacing w:line="360" w:lineRule="auto"/>
        <w:contextualSpacing/>
        <w:rPr>
          <w:rFonts w:hint="eastAsia" w:ascii="宋体" w:hAnsi="宋体" w:eastAsia="宋体" w:cs="宋体"/>
          <w:sz w:val="24"/>
          <w:lang w:eastAsia="zh-CN"/>
        </w:rPr>
      </w:pPr>
      <w:bookmarkStart w:id="3" w:name="_Toc31467"/>
      <w:bookmarkStart w:id="4" w:name="_Toc24878"/>
      <w:r>
        <w:rPr>
          <w:rFonts w:hint="eastAsia" w:ascii="宋体" w:hAnsi="宋体" w:eastAsia="宋体" w:cs="宋体"/>
          <w:sz w:val="24"/>
          <w:lang w:eastAsia="zh-CN"/>
        </w:rPr>
        <w:t>1.2采购项目（标的）实施的地点：首都医科大学附属北京天坛医院指定地点</w:t>
      </w:r>
      <w:bookmarkEnd w:id="3"/>
      <w:bookmarkEnd w:id="4"/>
    </w:p>
    <w:p w14:paraId="6EEE6B3B">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w:t>
      </w:r>
    </w:p>
    <w:p w14:paraId="6C50147F">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详见“拟签订的合同文本”。</w:t>
      </w:r>
      <w:bookmarkStart w:id="13" w:name="_GoBack"/>
      <w:bookmarkEnd w:id="13"/>
    </w:p>
    <w:p w14:paraId="0E07677E">
      <w:pPr>
        <w:widowControl w:val="0"/>
        <w:tabs>
          <w:tab w:val="left" w:pos="470"/>
        </w:tabs>
        <w:autoSpaceDE w:val="0"/>
        <w:autoSpaceDN w:val="0"/>
        <w:spacing w:before="0" w:line="486" w:lineRule="exact"/>
        <w:ind w:left="0" w:firstLine="0"/>
        <w:jc w:val="both"/>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2E040D10">
      <w:pPr>
        <w:spacing w:line="486" w:lineRule="exact"/>
        <w:ind w:firstLine="241" w:firstLineChars="100"/>
        <w:contextualSpacing/>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1716295A">
      <w:pPr>
        <w:spacing w:line="486" w:lineRule="exact"/>
        <w:ind w:firstLine="241" w:firstLineChars="100"/>
        <w:contextualSpacing/>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09E0EB11">
      <w:pPr>
        <w:spacing w:line="486" w:lineRule="exact"/>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本次招标为首都医科大学附属北京天坛医院提供HIS系统开发运维服务服务。供应商应根据招标文件所提出的技术规格和服务要求，以先进的技术、优良的服务和优惠的价格，充分显示自己的竞争实力。</w:t>
      </w:r>
    </w:p>
    <w:p w14:paraId="768EAA10">
      <w:pPr>
        <w:spacing w:line="486" w:lineRule="exact"/>
        <w:ind w:firstLine="241" w:firstLineChars="100"/>
        <w:contextualSpacing/>
        <w:rPr>
          <w:rFonts w:hint="eastAsia"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096BEDA6">
      <w:pPr>
        <w:spacing w:line="486" w:lineRule="exact"/>
        <w:ind w:firstLine="240" w:firstLineChars="1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详见 需满足的质量、安全、技术规格、物理特性等要求。</w:t>
      </w:r>
    </w:p>
    <w:p w14:paraId="087C28E9">
      <w:pPr>
        <w:spacing w:line="486" w:lineRule="exact"/>
        <w:ind w:firstLine="241" w:firstLineChars="100"/>
        <w:contextualSpacing/>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2.服务内容及要求</w:t>
      </w:r>
    </w:p>
    <w:p w14:paraId="1121E5B1">
      <w:pPr>
        <w:widowControl/>
        <w:spacing w:line="486" w:lineRule="exact"/>
        <w:ind w:left="-1" w:firstLine="241" w:firstLineChars="100"/>
        <w:contextualSpacing/>
        <w:rPr>
          <w:rFonts w:hint="eastAsia" w:ascii="宋体" w:hAnsi="宋体" w:eastAsia="宋体" w:cs="宋体"/>
          <w:b/>
          <w:sz w:val="24"/>
          <w:lang w:eastAsia="zh-CN"/>
        </w:rPr>
      </w:pPr>
      <w:r>
        <w:rPr>
          <w:rFonts w:hint="eastAsia" w:ascii="宋体" w:hAnsi="宋体" w:eastAsia="宋体" w:cs="宋体"/>
          <w:b/>
          <w:bCs/>
          <w:sz w:val="24"/>
          <w:szCs w:val="24"/>
          <w:lang w:eastAsia="zh-CN"/>
        </w:rPr>
        <w:t>2.1 采购标的需满足的、质量、安全、技术规格、物理特性等要求；</w:t>
      </w:r>
    </w:p>
    <w:p w14:paraId="60AFC226">
      <w:pPr>
        <w:keepNext/>
        <w:keepLines/>
        <w:adjustRightInd w:val="0"/>
        <w:spacing w:line="360" w:lineRule="auto"/>
        <w:outlineLvl w:val="2"/>
        <w:rPr>
          <w:rFonts w:hint="eastAsia" w:ascii="宋体" w:hAnsi="宋体" w:eastAsia="宋体" w:cs="宋体"/>
          <w:b/>
          <w:sz w:val="24"/>
          <w:lang w:eastAsia="zh-CN"/>
        </w:rPr>
      </w:pPr>
      <w:r>
        <w:rPr>
          <w:rFonts w:hint="eastAsia" w:ascii="宋体" w:hAnsi="宋体" w:eastAsia="宋体" w:cs="宋体"/>
          <w:b/>
          <w:sz w:val="24"/>
          <w:lang w:eastAsia="zh-CN"/>
        </w:rPr>
        <w:t>（1）服务范围</w:t>
      </w:r>
    </w:p>
    <w:p w14:paraId="6F300E8A">
      <w:pPr>
        <w:adjustRightInd w:val="0"/>
        <w:spacing w:line="360" w:lineRule="auto"/>
        <w:ind w:firstLine="480"/>
        <w:rPr>
          <w:rFonts w:hint="eastAsia" w:ascii="宋体" w:hAnsi="宋体" w:eastAsia="宋体" w:cs="宋体"/>
          <w:sz w:val="24"/>
          <w:lang w:val="zh-CN" w:eastAsia="zh-CN"/>
        </w:rPr>
      </w:pPr>
      <w:r>
        <w:rPr>
          <w:rFonts w:hint="eastAsia" w:ascii="宋体" w:hAnsi="宋体" w:eastAsia="宋体" w:cs="宋体"/>
          <w:sz w:val="24"/>
          <w:lang w:val="zh-CN" w:eastAsia="zh-CN"/>
        </w:rPr>
        <w:t>在服务期内，供应商将协助采购人完成以医院管理信息系统为中心的医疗信息化建设目标，加强医疗质量管理、</w:t>
      </w:r>
      <w:r>
        <w:rPr>
          <w:rFonts w:hint="eastAsia" w:ascii="宋体" w:hAnsi="宋体" w:eastAsia="宋体" w:cs="宋体"/>
          <w:sz w:val="24"/>
          <w:lang w:eastAsia="zh-CN"/>
        </w:rPr>
        <w:t>提升医疗服务工作效率</w:t>
      </w:r>
      <w:r>
        <w:rPr>
          <w:rFonts w:hint="eastAsia" w:ascii="宋体" w:hAnsi="宋体" w:eastAsia="宋体" w:cs="宋体"/>
          <w:sz w:val="24"/>
          <w:lang w:val="zh-CN" w:eastAsia="zh-CN"/>
        </w:rPr>
        <w:t>。</w:t>
      </w:r>
    </w:p>
    <w:p w14:paraId="61535BAD">
      <w:pPr>
        <w:adjustRightInd w:val="0"/>
        <w:spacing w:line="360" w:lineRule="auto"/>
        <w:ind w:firstLine="480"/>
        <w:rPr>
          <w:rFonts w:hint="eastAsia" w:ascii="宋体" w:hAnsi="宋体" w:eastAsia="宋体" w:cs="宋体"/>
          <w:sz w:val="24"/>
          <w:lang w:eastAsia="zh-CN"/>
        </w:rPr>
      </w:pPr>
      <w:r>
        <w:rPr>
          <w:rFonts w:hint="eastAsia" w:ascii="宋体" w:hAnsi="宋体" w:eastAsia="宋体" w:cs="宋体"/>
          <w:sz w:val="24"/>
          <w:lang w:val="zh-CN" w:eastAsia="zh-CN"/>
        </w:rPr>
        <w:t>医院</w:t>
      </w:r>
      <w:r>
        <w:rPr>
          <w:rFonts w:ascii="宋体" w:hAnsi="宋体" w:eastAsia="宋体" w:cs="宋体"/>
          <w:sz w:val="24"/>
          <w:lang w:val="zh-CN" w:eastAsia="zh-CN"/>
        </w:rPr>
        <w:t>管理信息</w:t>
      </w:r>
      <w:r>
        <w:rPr>
          <w:rFonts w:hint="eastAsia" w:ascii="宋体" w:hAnsi="宋体" w:eastAsia="宋体" w:cs="宋体"/>
          <w:sz w:val="24"/>
          <w:lang w:val="zh-CN" w:eastAsia="zh-CN"/>
        </w:rPr>
        <w:t>系统全部模块驻场运维服务及相应模块功能开发升级；下附天坛医院</w:t>
      </w:r>
      <w:r>
        <w:rPr>
          <w:rFonts w:ascii="宋体" w:hAnsi="宋体" w:eastAsia="宋体" w:cs="宋体"/>
          <w:sz w:val="24"/>
          <w:lang w:val="zh-CN" w:eastAsia="zh-CN"/>
        </w:rPr>
        <w:t>管理信息</w:t>
      </w:r>
      <w:r>
        <w:rPr>
          <w:rFonts w:hint="eastAsia" w:ascii="宋体" w:hAnsi="宋体" w:eastAsia="宋体" w:cs="宋体"/>
          <w:sz w:val="24"/>
          <w:lang w:val="zh-CN" w:eastAsia="zh-CN"/>
        </w:rPr>
        <w:t>系统维护和客户化开发服务模块清单：</w:t>
      </w:r>
    </w:p>
    <w:tbl>
      <w:tblPr>
        <w:tblStyle w:val="8"/>
        <w:tblW w:w="10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059"/>
        <w:gridCol w:w="7222"/>
      </w:tblGrid>
      <w:tr w14:paraId="5DC9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blHeader/>
          <w:jc w:val="center"/>
        </w:trPr>
        <w:tc>
          <w:tcPr>
            <w:tcW w:w="1200" w:type="dxa"/>
            <w:noWrap/>
            <w:vAlign w:val="center"/>
          </w:tcPr>
          <w:p w14:paraId="60F15FD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部门</w:t>
            </w:r>
          </w:p>
        </w:tc>
        <w:tc>
          <w:tcPr>
            <w:tcW w:w="2059" w:type="dxa"/>
            <w:vAlign w:val="center"/>
          </w:tcPr>
          <w:p w14:paraId="6A6067F2">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服务项目</w:t>
            </w:r>
          </w:p>
        </w:tc>
        <w:tc>
          <w:tcPr>
            <w:tcW w:w="7222" w:type="dxa"/>
            <w:vAlign w:val="center"/>
          </w:tcPr>
          <w:p w14:paraId="73F31199">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改造内容(包含需求调研、设计、测试、发布实施、功能优化)</w:t>
            </w:r>
          </w:p>
        </w:tc>
      </w:tr>
      <w:tr w14:paraId="7875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1200" w:type="dxa"/>
            <w:vMerge w:val="restart"/>
            <w:noWrap/>
            <w:vAlign w:val="center"/>
          </w:tcPr>
          <w:p w14:paraId="09F777C8">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护理部</w:t>
            </w:r>
          </w:p>
        </w:tc>
        <w:tc>
          <w:tcPr>
            <w:tcW w:w="2059" w:type="dxa"/>
            <w:vAlign w:val="center"/>
          </w:tcPr>
          <w:p w14:paraId="30B56086">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奖金系统增加全院护士奖罚查询</w:t>
            </w:r>
          </w:p>
        </w:tc>
        <w:tc>
          <w:tcPr>
            <w:tcW w:w="7222" w:type="dxa"/>
          </w:tcPr>
          <w:p w14:paraId="62280C4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1、支持按日期查询护士奖罚明细，可查历史全院各科室上报的护理人员奖罚明细；</w:t>
            </w:r>
          </w:p>
          <w:p w14:paraId="6D6CB7B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2、支持EXCEL导出；</w:t>
            </w:r>
          </w:p>
          <w:p w14:paraId="7F76959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3、查询权限仅授权护理部主任；</w:t>
            </w:r>
          </w:p>
        </w:tc>
      </w:tr>
      <w:tr w14:paraId="3B16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1200" w:type="dxa"/>
            <w:vMerge w:val="continue"/>
            <w:vAlign w:val="center"/>
          </w:tcPr>
          <w:p w14:paraId="145897F5">
            <w:pPr>
              <w:widowControl/>
              <w:jc w:val="left"/>
              <w:rPr>
                <w:rFonts w:ascii="宋体" w:hAnsi="宋体" w:eastAsia="宋体" w:cs="宋体"/>
                <w:b/>
                <w:bCs/>
                <w:color w:val="000000"/>
                <w:kern w:val="0"/>
                <w:sz w:val="24"/>
                <w:szCs w:val="24"/>
              </w:rPr>
            </w:pPr>
          </w:p>
        </w:tc>
        <w:tc>
          <w:tcPr>
            <w:tcW w:w="2059" w:type="dxa"/>
            <w:vAlign w:val="center"/>
          </w:tcPr>
          <w:p w14:paraId="2FFA7093">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护理部耗材物价关联维护功能优化</w:t>
            </w:r>
          </w:p>
        </w:tc>
        <w:tc>
          <w:tcPr>
            <w:tcW w:w="7222" w:type="dxa"/>
          </w:tcPr>
          <w:p w14:paraId="5B33BEB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护理部耗材物价关联维护窗口中，有很多已不使用的耗材仍然显示在界面中。</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1.需要在窗口列表中增加一个“不可用”的勾选项。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2.需要在上方增加一个“全部显示”或“过滤不可用”的下拉菜单，选择“过滤不可用”时，过滤掉列表中“不可用”的耗材。选择“全部显示”时，显示全部耗材。</w:t>
            </w:r>
          </w:p>
        </w:tc>
      </w:tr>
      <w:tr w14:paraId="351D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0" w:type="dxa"/>
            <w:vMerge w:val="continue"/>
            <w:vAlign w:val="center"/>
          </w:tcPr>
          <w:p w14:paraId="5937DC88">
            <w:pPr>
              <w:widowControl/>
              <w:jc w:val="left"/>
              <w:rPr>
                <w:rFonts w:ascii="宋体" w:hAnsi="宋体" w:eastAsia="宋体" w:cs="宋体"/>
                <w:b/>
                <w:bCs/>
                <w:color w:val="000000"/>
                <w:kern w:val="0"/>
                <w:sz w:val="24"/>
                <w:szCs w:val="24"/>
              </w:rPr>
            </w:pPr>
          </w:p>
        </w:tc>
        <w:tc>
          <w:tcPr>
            <w:tcW w:w="2059" w:type="dxa"/>
            <w:vAlign w:val="center"/>
          </w:tcPr>
          <w:p w14:paraId="3695855B">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rPr>
              <w:t>住院护理工作量统计功能口径调整</w:t>
            </w:r>
          </w:p>
        </w:tc>
        <w:tc>
          <w:tcPr>
            <w:tcW w:w="7222" w:type="dxa"/>
            <w:vAlign w:val="center"/>
          </w:tcPr>
          <w:p w14:paraId="264AB79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1、调整后的统一统计时段默认为：昨日8：00-今日7：59；</w:t>
            </w:r>
          </w:p>
          <w:p w14:paraId="4BE36ED7">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2、医嘱以护士审核或长期医嘱的执行时间为统计口径；</w:t>
            </w:r>
          </w:p>
          <w:p w14:paraId="4A43B53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3、共计约90多项护理信息统计口径调整；</w:t>
            </w:r>
          </w:p>
        </w:tc>
      </w:tr>
      <w:tr w14:paraId="28CE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1200" w:type="dxa"/>
            <w:vMerge w:val="continue"/>
            <w:vAlign w:val="center"/>
          </w:tcPr>
          <w:p w14:paraId="4E1BA06D">
            <w:pPr>
              <w:widowControl/>
              <w:jc w:val="left"/>
              <w:rPr>
                <w:rFonts w:ascii="宋体" w:hAnsi="宋体" w:eastAsia="宋体" w:cs="宋体"/>
                <w:b/>
                <w:bCs/>
                <w:color w:val="000000"/>
                <w:kern w:val="0"/>
                <w:sz w:val="24"/>
                <w:szCs w:val="24"/>
              </w:rPr>
            </w:pPr>
          </w:p>
        </w:tc>
        <w:tc>
          <w:tcPr>
            <w:tcW w:w="2059" w:type="dxa"/>
            <w:vAlign w:val="center"/>
          </w:tcPr>
          <w:p w14:paraId="70736E58">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4．</w:t>
            </w:r>
            <w:r>
              <w:rPr>
                <w:rFonts w:hint="eastAsia" w:ascii="宋体" w:hAnsi="宋体" w:eastAsia="宋体" w:cs="宋体"/>
                <w:kern w:val="0"/>
                <w:sz w:val="24"/>
                <w:szCs w:val="24"/>
              </w:rPr>
              <w:t>增加放射科耗材消耗统计</w:t>
            </w:r>
          </w:p>
        </w:tc>
        <w:tc>
          <w:tcPr>
            <w:tcW w:w="7222" w:type="dxa"/>
          </w:tcPr>
          <w:p w14:paraId="3E2A971B">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新增放射科耗材消耗统计（查询模块挂在住院系统护理部权限下）</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查询条件：科室技师确费时间区间，统计范围（下拉选择）：门诊、住院、急诊， 类型（下拉选择）：耗材、药品。报表显示项：类型，项目名称，数量，患者姓名，病历号，确认时间，确认人；</w:t>
            </w:r>
          </w:p>
        </w:tc>
      </w:tr>
      <w:tr w14:paraId="795D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200" w:type="dxa"/>
            <w:vMerge w:val="restart"/>
            <w:noWrap/>
            <w:vAlign w:val="center"/>
          </w:tcPr>
          <w:p w14:paraId="36F50EA1">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手术室</w:t>
            </w:r>
          </w:p>
        </w:tc>
        <w:tc>
          <w:tcPr>
            <w:tcW w:w="2059" w:type="dxa"/>
            <w:vAlign w:val="center"/>
          </w:tcPr>
          <w:p w14:paraId="0E73D693">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导管手术部夜间护士排班功能增加晚班和夜班</w:t>
            </w:r>
          </w:p>
        </w:tc>
        <w:tc>
          <w:tcPr>
            <w:tcW w:w="7222" w:type="dxa"/>
          </w:tcPr>
          <w:p w14:paraId="0AB71A0C">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导管手术部夜间护士排班功能增加晚班和夜班，效果同手术室护士排班。</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调整分值：</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白班造影1分，治疗2分；急诊造影2分，急诊治疗4分；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晚班和夜班工作量双倍计算，造影2分，治疗4分；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肝动脉栓塞配置化疗药配置每台加0.5分；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普通心脏射频加1分，射频一站式工作量整理两个治疗（射频+PPO）；</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穿戴铅衣每台加0.5分；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手术时长超过4小时，每超1小时加1分；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急诊手术无化验检查和传染病手术每台加0.5分；</w:t>
            </w:r>
          </w:p>
        </w:tc>
      </w:tr>
      <w:tr w14:paraId="4EAB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200" w:type="dxa"/>
            <w:vMerge w:val="continue"/>
            <w:vAlign w:val="center"/>
          </w:tcPr>
          <w:p w14:paraId="0B6DDD09">
            <w:pPr>
              <w:widowControl/>
              <w:jc w:val="left"/>
              <w:rPr>
                <w:rFonts w:ascii="宋体" w:hAnsi="宋体" w:eastAsia="宋体" w:cs="宋体"/>
                <w:b/>
                <w:bCs/>
                <w:color w:val="000000"/>
                <w:kern w:val="0"/>
                <w:sz w:val="24"/>
                <w:szCs w:val="24"/>
              </w:rPr>
            </w:pPr>
          </w:p>
        </w:tc>
        <w:tc>
          <w:tcPr>
            <w:tcW w:w="2059" w:type="dxa"/>
            <w:vAlign w:val="center"/>
          </w:tcPr>
          <w:p w14:paraId="1E6F0136">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手术室术后资料整理模块调整</w:t>
            </w:r>
          </w:p>
        </w:tc>
        <w:tc>
          <w:tcPr>
            <w:tcW w:w="7222" w:type="dxa"/>
          </w:tcPr>
          <w:p w14:paraId="0B5302DD">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手术室术后资料整理修改：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1.删除以下模块：加点台、幕上下、两腺否、麻醉用时、现存感染、是否新项目、是否自体血、超1PM、超5PM；</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2.手术记分规则修改：＜用血量＞改为每100ml加0.1分；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3.＜麻醉＞中删除：颈丛阻滞麻醉、臂丛阻滞麻醉、骶丛麻醉，新增：神经阻滞麻醉；</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4.原＜术前备血类型＞修改为＜术中输血类型＞，可多选，可填写各类型用血量（ml），并自动汇总到＜用血量＞字段中；</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5.＜洗手护士＞及＜巡回护士＞填报护士时，手术时长改为填报开始、结束时间，并自动计算时长。时长计算精确到分钟并四舍五入一位小数。（例：1小时17分钟  17/60≈0.3小时  总计折算为1.3）；</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6、输血类型：将原【血小板（1单位=100ml）】修改为【浓缩血小板（1单位=100ml）】。</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新增【单采血小板（1治疗量=200ml）】，计入【用血量】总和；</w:t>
            </w:r>
          </w:p>
        </w:tc>
      </w:tr>
      <w:tr w14:paraId="2BAD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200" w:type="dxa"/>
            <w:vMerge w:val="continue"/>
            <w:vAlign w:val="center"/>
          </w:tcPr>
          <w:p w14:paraId="64BCF693">
            <w:pPr>
              <w:widowControl/>
              <w:jc w:val="left"/>
              <w:rPr>
                <w:rFonts w:ascii="宋体" w:hAnsi="宋体" w:eastAsia="宋体" w:cs="宋体"/>
                <w:b/>
                <w:bCs/>
                <w:color w:val="000000"/>
                <w:kern w:val="0"/>
                <w:sz w:val="24"/>
                <w:szCs w:val="24"/>
              </w:rPr>
            </w:pPr>
          </w:p>
        </w:tc>
        <w:tc>
          <w:tcPr>
            <w:tcW w:w="2059" w:type="dxa"/>
            <w:vAlign w:val="center"/>
          </w:tcPr>
          <w:p w14:paraId="6FA0CCE5">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rPr>
              <w:t>手术费用查询条件调整</w:t>
            </w:r>
          </w:p>
        </w:tc>
        <w:tc>
          <w:tcPr>
            <w:tcW w:w="7222" w:type="dxa"/>
          </w:tcPr>
          <w:p w14:paraId="152FCE71">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手术费用查询（双签窗口），非药品tab页按照手术费、低值、高值、不可计费项目类型。调整排序，按高值-低值-手术-其他由上而下排序；</w:t>
            </w:r>
          </w:p>
        </w:tc>
      </w:tr>
      <w:tr w14:paraId="3C3D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0" w:hRule="atLeast"/>
          <w:jc w:val="center"/>
        </w:trPr>
        <w:tc>
          <w:tcPr>
            <w:tcW w:w="1200" w:type="dxa"/>
            <w:vMerge w:val="restart"/>
            <w:vAlign w:val="center"/>
          </w:tcPr>
          <w:p w14:paraId="642857CA">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医保办</w:t>
            </w:r>
          </w:p>
        </w:tc>
        <w:tc>
          <w:tcPr>
            <w:tcW w:w="2059" w:type="dxa"/>
            <w:vAlign w:val="center"/>
          </w:tcPr>
          <w:p w14:paraId="134D5EE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7日内重复住院原因登记</w:t>
            </w:r>
          </w:p>
        </w:tc>
        <w:tc>
          <w:tcPr>
            <w:tcW w:w="7222" w:type="dxa"/>
          </w:tcPr>
          <w:p w14:paraId="1501FB82">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1、所有渠道开立住院证时，</w:t>
            </w:r>
            <w:r>
              <w:rPr>
                <w:rFonts w:hint="eastAsia" w:ascii="宋体" w:hAnsi="宋体" w:eastAsia="宋体" w:cs="宋体"/>
                <w:color w:val="000000"/>
                <w:kern w:val="0"/>
                <w:sz w:val="24"/>
                <w:szCs w:val="24"/>
                <w:lang w:val="en-US" w:eastAsia="zh-CN"/>
              </w:rPr>
              <w:t>需</w:t>
            </w:r>
            <w:r>
              <w:rPr>
                <w:rFonts w:hint="eastAsia" w:ascii="宋体" w:hAnsi="宋体" w:eastAsia="宋体" w:cs="宋体"/>
                <w:color w:val="000000"/>
                <w:kern w:val="0"/>
                <w:sz w:val="24"/>
                <w:szCs w:val="24"/>
              </w:rPr>
              <w:t>查询患者是否曾在7天内出过院，按身份证号校验。查询到有数据时，弹出选项：“该患者曾在7天内出院，请填写再次入院原因”。原因是个下拉列表，设后台维护表，选“其他原因”时要求手工填写，且至少8个汉字。保存后才允许继续开立住院证，存档医生ID和操作时间；</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2、增加7日内重复住院查询，查询以上填写过原因的记录；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3、再次入院原因列表：</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①按疗程计划在入院</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②术后并发症等二次手术</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③病情复发或加重需再次治疗</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④计划转院但并未转出</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⑤患者明确要求再次住院</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⑥其他情况(需具体说明原因)</w:t>
            </w:r>
          </w:p>
        </w:tc>
      </w:tr>
      <w:tr w14:paraId="6488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00" w:type="dxa"/>
            <w:vMerge w:val="continue"/>
            <w:vAlign w:val="center"/>
          </w:tcPr>
          <w:p w14:paraId="2846DB46">
            <w:pPr>
              <w:widowControl/>
              <w:jc w:val="left"/>
              <w:rPr>
                <w:rFonts w:ascii="宋体" w:hAnsi="宋体" w:eastAsia="宋体" w:cs="宋体"/>
                <w:b/>
                <w:bCs/>
                <w:color w:val="000000"/>
                <w:kern w:val="0"/>
                <w:sz w:val="24"/>
                <w:szCs w:val="24"/>
              </w:rPr>
            </w:pPr>
          </w:p>
        </w:tc>
        <w:tc>
          <w:tcPr>
            <w:tcW w:w="2059" w:type="dxa"/>
            <w:vAlign w:val="center"/>
          </w:tcPr>
          <w:p w14:paraId="41D4B7C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新药新技术标识医保上传</w:t>
            </w:r>
          </w:p>
        </w:tc>
        <w:tc>
          <w:tcPr>
            <w:tcW w:w="7222" w:type="dxa"/>
          </w:tcPr>
          <w:p w14:paraId="0304573A">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1、药库药品字典、物价非药品字典增加新药新技术标识维护字段；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2、住院医保患者导出费用明细.IN接口数据文件增加是否新药新技术标示上传至医保；</w:t>
            </w:r>
          </w:p>
        </w:tc>
      </w:tr>
      <w:tr w14:paraId="615D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0" w:hRule="atLeast"/>
          <w:jc w:val="center"/>
        </w:trPr>
        <w:tc>
          <w:tcPr>
            <w:tcW w:w="1200" w:type="dxa"/>
            <w:vMerge w:val="continue"/>
            <w:vAlign w:val="center"/>
          </w:tcPr>
          <w:p w14:paraId="241B2606">
            <w:pPr>
              <w:widowControl/>
              <w:jc w:val="left"/>
              <w:rPr>
                <w:rFonts w:ascii="宋体" w:hAnsi="宋体" w:eastAsia="宋体" w:cs="宋体"/>
                <w:b/>
                <w:bCs/>
                <w:color w:val="000000"/>
                <w:kern w:val="0"/>
                <w:sz w:val="24"/>
                <w:szCs w:val="24"/>
              </w:rPr>
            </w:pPr>
          </w:p>
        </w:tc>
        <w:tc>
          <w:tcPr>
            <w:tcW w:w="2059" w:type="dxa"/>
            <w:vAlign w:val="center"/>
          </w:tcPr>
          <w:p w14:paraId="359A649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rPr>
              <w:t>禁止患者在本院医保住院期间办理任何本院门诊挂号及门诊交易</w:t>
            </w:r>
          </w:p>
        </w:tc>
        <w:tc>
          <w:tcPr>
            <w:tcW w:w="7222" w:type="dxa"/>
          </w:tcPr>
          <w:p w14:paraId="1EC8880A">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适用范围：</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1.适用情形：针对本院住院期间（医保实时结算类型）、在本院发生门诊费用的情形。</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2.排除情形1：外院住院期间，仅允许本院自费门诊交易，不适用本拦截规则。</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3.排除情形2：外院家庭病床建床期间，允许本院医保门诊交易，不适用本拦截规则。</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4.排除情形3：本院自费住院患者，不实施门诊交易拦截。</w:t>
            </w:r>
            <w:r>
              <w:rPr>
                <w:rFonts w:hint="eastAsia" w:ascii="宋体" w:hAnsi="宋体" w:eastAsia="宋体" w:cs="宋体"/>
                <w:kern w:val="0"/>
                <w:sz w:val="24"/>
                <w:szCs w:val="24"/>
              </w:rPr>
              <w:br w:type="textWrapping"/>
            </w:r>
            <w:r>
              <w:rPr>
                <w:rFonts w:hint="eastAsia" w:ascii="宋体" w:hAnsi="宋体" w:eastAsia="宋体" w:cs="宋体"/>
                <w:kern w:val="0"/>
                <w:sz w:val="24"/>
                <w:szCs w:val="24"/>
              </w:rPr>
              <w:t>5.排除情形4：患者已出院登记，不实施门诊交易拦截。</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拦截要求：</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1.禁止患者在本院医保住院期间办理任何本院门诊挂号及门诊交易（自费亦不允许）</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《患者未出院结算，住院登记身份为医保的》</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2.小程序、114、自助机当日号锁号、预约号取号均设置拦截。</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提示语：</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尊敬的医保患者您好！您目前在本院（XX科）住院治疗，若有其他就医需求，请和病房主管医生沟通；</w:t>
            </w:r>
          </w:p>
        </w:tc>
      </w:tr>
      <w:tr w14:paraId="7C4B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00" w:type="dxa"/>
            <w:vMerge w:val="continue"/>
            <w:vAlign w:val="center"/>
          </w:tcPr>
          <w:p w14:paraId="54F59DF8">
            <w:pPr>
              <w:widowControl/>
              <w:jc w:val="left"/>
              <w:rPr>
                <w:rFonts w:ascii="宋体" w:hAnsi="宋体" w:eastAsia="宋体" w:cs="宋体"/>
                <w:b/>
                <w:bCs/>
                <w:color w:val="000000"/>
                <w:kern w:val="0"/>
                <w:sz w:val="24"/>
                <w:szCs w:val="24"/>
              </w:rPr>
            </w:pPr>
          </w:p>
        </w:tc>
        <w:tc>
          <w:tcPr>
            <w:tcW w:w="2059" w:type="dxa"/>
            <w:vAlign w:val="center"/>
          </w:tcPr>
          <w:p w14:paraId="603CFD57">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4.</w:t>
            </w:r>
            <w:r>
              <w:rPr>
                <w:rFonts w:hint="eastAsia" w:ascii="宋体" w:hAnsi="宋体" w:eastAsia="宋体" w:cs="宋体"/>
                <w:color w:val="000000"/>
                <w:kern w:val="0"/>
                <w:sz w:val="24"/>
                <w:szCs w:val="24"/>
              </w:rPr>
              <w:t>患者费用查询调整（参考住院处）</w:t>
            </w:r>
          </w:p>
        </w:tc>
        <w:tc>
          <w:tcPr>
            <w:tcW w:w="7222" w:type="dxa"/>
          </w:tcPr>
          <w:p w14:paraId="7763A47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1、查询结果显示明细；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2、查询结果按分类分组显示；</w:t>
            </w:r>
          </w:p>
        </w:tc>
      </w:tr>
      <w:tr w14:paraId="3965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0" w:hRule="atLeast"/>
          <w:jc w:val="center"/>
        </w:trPr>
        <w:tc>
          <w:tcPr>
            <w:tcW w:w="1200" w:type="dxa"/>
            <w:vMerge w:val="restart"/>
            <w:vAlign w:val="center"/>
          </w:tcPr>
          <w:p w14:paraId="3848AB8A">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医工处</w:t>
            </w:r>
          </w:p>
        </w:tc>
        <w:tc>
          <w:tcPr>
            <w:tcW w:w="2059" w:type="dxa"/>
            <w:vAlign w:val="center"/>
          </w:tcPr>
          <w:p w14:paraId="63B74EB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固定资产系统改造</w:t>
            </w:r>
          </w:p>
        </w:tc>
        <w:tc>
          <w:tcPr>
            <w:tcW w:w="7222" w:type="dxa"/>
          </w:tcPr>
          <w:p w14:paraId="0935AB44">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1、后勤物资库房系统的固定资产、无形资产月报中，将“出库额”这一数据项移除。财务处已确认出库额不影响固定资产和无形资产的结存数；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2、出库单打印：现在领用科室打印不全，可把出库单号和出库日期整体右移，与最右侧平齐；</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3、设备查询管理窗口去掉“院区”选项，无用；</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4、统计报表功能中增加对“保管处”字段的筛选功能；</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5、"在用查询" 和 "经费查询" 中增加 "特殊备注"列，按医工的excel后台批量导入特殊备注，然后在系统导出时显示出来；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6、设备登记：增加设备类型、设备类别两个字典维护；</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7、设备登记：在使用科室这一行的下方，增加设备类型、设备类别下拉选项。表中增加相应字段；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8、统计报表查询中，增加设备类型、设备类别的条件查询。同时需要增加条件查询的还有注册证号、经费来源及名称、经销公司；</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9、固定资产-设备查询管理窗口增加显示医疗器械注册证号；</w:t>
            </w:r>
          </w:p>
        </w:tc>
      </w:tr>
      <w:tr w14:paraId="3A9B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200" w:type="dxa"/>
            <w:vMerge w:val="continue"/>
            <w:vAlign w:val="center"/>
          </w:tcPr>
          <w:p w14:paraId="522E3986">
            <w:pPr>
              <w:widowControl/>
              <w:jc w:val="left"/>
              <w:rPr>
                <w:rFonts w:ascii="宋体" w:hAnsi="宋体" w:eastAsia="宋体" w:cs="宋体"/>
                <w:b/>
                <w:bCs/>
                <w:color w:val="000000"/>
                <w:kern w:val="0"/>
                <w:sz w:val="24"/>
                <w:szCs w:val="24"/>
              </w:rPr>
            </w:pPr>
          </w:p>
        </w:tc>
        <w:tc>
          <w:tcPr>
            <w:tcW w:w="2059" w:type="dxa"/>
            <w:vAlign w:val="center"/>
          </w:tcPr>
          <w:p w14:paraId="3D50BD02">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后勤物资系统检索功能调整</w:t>
            </w:r>
          </w:p>
        </w:tc>
        <w:tc>
          <w:tcPr>
            <w:tcW w:w="7222" w:type="dxa"/>
          </w:tcPr>
          <w:p w14:paraId="7859A542">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1.在用物资-主卡登记: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①添加可以根据卡号进行物资检索的搜索框；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②“领用科室”检索框现在是根据科室编码（现只能在信息查询-出库查询中记下编码再返回本界面才能搜索科室）进行搜索，更改为根据科室简拼（如财务处为CWC）进行搜索；</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2.在用物资-保管变更中“新科室”检索框现问题同②，一并修改；</w:t>
            </w:r>
          </w:p>
        </w:tc>
      </w:tr>
      <w:tr w14:paraId="6181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200" w:type="dxa"/>
            <w:vMerge w:val="continue"/>
            <w:vAlign w:val="center"/>
          </w:tcPr>
          <w:p w14:paraId="6511E5E9">
            <w:pPr>
              <w:widowControl/>
              <w:jc w:val="left"/>
              <w:rPr>
                <w:rFonts w:ascii="宋体" w:hAnsi="宋体" w:eastAsia="宋体" w:cs="宋体"/>
                <w:b/>
                <w:bCs/>
                <w:color w:val="000000"/>
                <w:kern w:val="0"/>
                <w:sz w:val="24"/>
                <w:szCs w:val="24"/>
              </w:rPr>
            </w:pPr>
          </w:p>
        </w:tc>
        <w:tc>
          <w:tcPr>
            <w:tcW w:w="2059" w:type="dxa"/>
            <w:vAlign w:val="center"/>
          </w:tcPr>
          <w:p w14:paraId="726E3AD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3.</w:t>
            </w:r>
            <w:r>
              <w:rPr>
                <w:rFonts w:hint="eastAsia" w:ascii="宋体" w:hAnsi="宋体" w:eastAsia="宋体" w:cs="宋体"/>
                <w:kern w:val="0"/>
                <w:sz w:val="24"/>
                <w:szCs w:val="24"/>
              </w:rPr>
              <w:t>高值耗材管理库存管理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界面易用性优化</w:t>
            </w:r>
          </w:p>
        </w:tc>
        <w:tc>
          <w:tcPr>
            <w:tcW w:w="7222" w:type="dxa"/>
          </w:tcPr>
          <w:p w14:paraId="2BDD6D1F">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高值耗材管理-退货,入库单重打</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1.增加一键全勾选按钮；</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2.增加耗材名称筛选功能；</w:t>
            </w:r>
          </w:p>
        </w:tc>
      </w:tr>
      <w:tr w14:paraId="0B5B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00" w:type="dxa"/>
            <w:vMerge w:val="continue"/>
            <w:vAlign w:val="center"/>
          </w:tcPr>
          <w:p w14:paraId="745A348C">
            <w:pPr>
              <w:widowControl/>
              <w:jc w:val="left"/>
              <w:rPr>
                <w:rFonts w:ascii="宋体" w:hAnsi="宋体" w:eastAsia="宋体" w:cs="宋体"/>
                <w:b/>
                <w:bCs/>
                <w:color w:val="000000"/>
                <w:kern w:val="0"/>
                <w:sz w:val="24"/>
                <w:szCs w:val="24"/>
              </w:rPr>
            </w:pPr>
          </w:p>
        </w:tc>
        <w:tc>
          <w:tcPr>
            <w:tcW w:w="2059" w:type="dxa"/>
            <w:vAlign w:val="center"/>
          </w:tcPr>
          <w:p w14:paraId="08AEC5C0">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4.</w:t>
            </w:r>
            <w:r>
              <w:rPr>
                <w:rFonts w:hint="eastAsia" w:ascii="宋体" w:hAnsi="宋体" w:eastAsia="宋体" w:cs="宋体"/>
                <w:color w:val="000000"/>
                <w:kern w:val="0"/>
                <w:sz w:val="24"/>
                <w:szCs w:val="24"/>
              </w:rPr>
              <w:t>库房请领出库增加出库信息查询</w:t>
            </w:r>
          </w:p>
        </w:tc>
        <w:tc>
          <w:tcPr>
            <w:tcW w:w="7222" w:type="dxa"/>
          </w:tcPr>
          <w:p w14:paraId="63BBD57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1：请领确认模块中，增加“请领出库数量”保存功能；</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2：科室请领单查询中增加出库数量查询；</w:t>
            </w:r>
          </w:p>
        </w:tc>
      </w:tr>
      <w:tr w14:paraId="131E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jc w:val="center"/>
        </w:trPr>
        <w:tc>
          <w:tcPr>
            <w:tcW w:w="1200" w:type="dxa"/>
            <w:vMerge w:val="restart"/>
            <w:noWrap/>
            <w:vAlign w:val="center"/>
          </w:tcPr>
          <w:p w14:paraId="68A6D499">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药学部</w:t>
            </w:r>
          </w:p>
        </w:tc>
        <w:tc>
          <w:tcPr>
            <w:tcW w:w="2059" w:type="dxa"/>
            <w:vAlign w:val="center"/>
          </w:tcPr>
          <w:p w14:paraId="772C414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1.</w:t>
            </w:r>
            <w:r>
              <w:rPr>
                <w:rFonts w:hint="eastAsia" w:ascii="宋体" w:hAnsi="宋体" w:eastAsia="宋体" w:cs="宋体"/>
                <w:kern w:val="0"/>
                <w:sz w:val="24"/>
                <w:szCs w:val="24"/>
              </w:rPr>
              <w:t>出院带药单打印模板调整</w:t>
            </w:r>
          </w:p>
        </w:tc>
        <w:tc>
          <w:tcPr>
            <w:tcW w:w="7222" w:type="dxa"/>
          </w:tcPr>
          <w:p w14:paraId="7E52BCEA">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下方电话内容调整为：</w:t>
            </w:r>
            <w:r>
              <w:rPr>
                <w:rFonts w:hint="eastAsia" w:ascii="宋体" w:hAnsi="宋体" w:eastAsia="宋体" w:cs="宋体"/>
                <w:kern w:val="0"/>
                <w:sz w:val="24"/>
                <w:szCs w:val="24"/>
              </w:rPr>
              <w:br w:type="textWrapping"/>
            </w:r>
            <w:r>
              <w:rPr>
                <w:rFonts w:hint="eastAsia" w:ascii="宋体" w:hAnsi="宋体" w:eastAsia="宋体" w:cs="宋体"/>
                <w:kern w:val="0"/>
                <w:sz w:val="24"/>
                <w:szCs w:val="24"/>
              </w:rPr>
              <w:t>联系电话 (拨打接听时间:工作日08:30-16:30)</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用药咨询:010-59978204</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病房药房:010-59976897</w:t>
            </w:r>
            <w:r>
              <w:rPr>
                <w:rFonts w:hint="eastAsia" w:ascii="宋体" w:hAnsi="宋体" w:eastAsia="宋体" w:cs="宋体"/>
                <w:kern w:val="0"/>
                <w:sz w:val="24"/>
                <w:szCs w:val="24"/>
              </w:rPr>
              <w:br w:type="textWrapping"/>
            </w:r>
            <w:r>
              <w:rPr>
                <w:rFonts w:hint="eastAsia" w:ascii="宋体" w:hAnsi="宋体" w:eastAsia="宋体" w:cs="宋体"/>
                <w:kern w:val="0"/>
                <w:sz w:val="24"/>
                <w:szCs w:val="24"/>
              </w:rPr>
              <w:t>门诊药房:010-59976903</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医院总机:010-59978000</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用药咨询:010-59978204改为010-59975085</w:t>
            </w:r>
          </w:p>
        </w:tc>
      </w:tr>
      <w:tr w14:paraId="47A9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jc w:val="center"/>
        </w:trPr>
        <w:tc>
          <w:tcPr>
            <w:tcW w:w="1200" w:type="dxa"/>
            <w:vMerge w:val="continue"/>
            <w:vAlign w:val="center"/>
          </w:tcPr>
          <w:p w14:paraId="0D6C17F3">
            <w:pPr>
              <w:widowControl/>
              <w:jc w:val="left"/>
              <w:rPr>
                <w:rFonts w:ascii="宋体" w:hAnsi="宋体" w:eastAsia="宋体" w:cs="宋体"/>
                <w:b/>
                <w:bCs/>
                <w:kern w:val="0"/>
                <w:sz w:val="24"/>
                <w:szCs w:val="24"/>
              </w:rPr>
            </w:pPr>
          </w:p>
        </w:tc>
        <w:tc>
          <w:tcPr>
            <w:tcW w:w="2059" w:type="dxa"/>
            <w:vAlign w:val="center"/>
          </w:tcPr>
          <w:p w14:paraId="4F92EC10">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2.</w:t>
            </w:r>
            <w:r>
              <w:rPr>
                <w:rFonts w:hint="eastAsia" w:ascii="宋体" w:hAnsi="宋体" w:eastAsia="宋体" w:cs="宋体"/>
                <w:kern w:val="0"/>
                <w:sz w:val="24"/>
                <w:szCs w:val="24"/>
              </w:rPr>
              <w:t>病房药学会诊费自动记费流程改造</w:t>
            </w:r>
          </w:p>
        </w:tc>
        <w:tc>
          <w:tcPr>
            <w:tcW w:w="7222" w:type="dxa"/>
          </w:tcPr>
          <w:p w14:paraId="6A7E82C9">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药剂师会诊写嘉和病历，实现病历签名后HIS自动记费。</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1、HIS医生站开立药学会诊，会诊写嘉和病历，病历签名后调用HIS能会诊记费接口实现会诊费记费；</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2、目前有普通药师会诊50元、副主任药师会诊60元，主任药师会诊80元三类；</w:t>
            </w:r>
          </w:p>
        </w:tc>
      </w:tr>
      <w:tr w14:paraId="1FB5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jc w:val="center"/>
        </w:trPr>
        <w:tc>
          <w:tcPr>
            <w:tcW w:w="1200" w:type="dxa"/>
            <w:vMerge w:val="continue"/>
            <w:vAlign w:val="center"/>
          </w:tcPr>
          <w:p w14:paraId="0396DD63">
            <w:pPr>
              <w:widowControl/>
              <w:jc w:val="left"/>
              <w:rPr>
                <w:rFonts w:ascii="宋体" w:hAnsi="宋体" w:eastAsia="宋体" w:cs="宋体"/>
                <w:b/>
                <w:bCs/>
                <w:kern w:val="0"/>
                <w:sz w:val="24"/>
                <w:szCs w:val="24"/>
              </w:rPr>
            </w:pPr>
          </w:p>
        </w:tc>
        <w:tc>
          <w:tcPr>
            <w:tcW w:w="2059" w:type="dxa"/>
            <w:shd w:val="clear" w:color="000000" w:fill="FFFFFF"/>
            <w:vAlign w:val="center"/>
          </w:tcPr>
          <w:p w14:paraId="2E89F699">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3.</w:t>
            </w:r>
            <w:r>
              <w:rPr>
                <w:rFonts w:hint="eastAsia" w:ascii="宋体" w:hAnsi="宋体" w:eastAsia="宋体" w:cs="宋体"/>
                <w:kern w:val="0"/>
                <w:sz w:val="24"/>
                <w:szCs w:val="24"/>
              </w:rPr>
              <w:t>住院增加科室的药品权限控制，类似门诊</w:t>
            </w:r>
          </w:p>
        </w:tc>
        <w:tc>
          <w:tcPr>
            <w:tcW w:w="7222" w:type="dxa"/>
            <w:shd w:val="clear" w:color="000000" w:fill="FFFFFF"/>
            <w:vAlign w:val="center"/>
          </w:tcPr>
          <w:p w14:paraId="3DAE8E56">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住院增加科室的药品权限控制</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1、增加药学部</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科室可用药品维护模块（如果一条可用药品都不存在，则系统认为都可用）</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颗粒度到病区</w:t>
            </w:r>
            <w:r>
              <w:rPr>
                <w:rFonts w:hint="eastAsia" w:ascii="宋体" w:hAnsi="宋体" w:eastAsia="宋体" w:cs="宋体"/>
                <w:kern w:val="0"/>
                <w:sz w:val="24"/>
                <w:szCs w:val="24"/>
              </w:rPr>
              <w:t>；</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2、医生工作站增加根据对科室维护可用药品的清单进行是否可开立校验；</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3、病区现有特殊药品设置功能，颗粒度到医生，如果科室权限不能开此药，则医生有此药权限则可开立，医生权限高于科室权限；</w:t>
            </w:r>
          </w:p>
        </w:tc>
      </w:tr>
      <w:tr w14:paraId="4693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0" w:hRule="atLeast"/>
          <w:jc w:val="center"/>
        </w:trPr>
        <w:tc>
          <w:tcPr>
            <w:tcW w:w="1200" w:type="dxa"/>
            <w:vMerge w:val="continue"/>
            <w:vAlign w:val="center"/>
          </w:tcPr>
          <w:p w14:paraId="0BD9DDFF">
            <w:pPr>
              <w:widowControl/>
              <w:jc w:val="left"/>
              <w:rPr>
                <w:rFonts w:ascii="宋体" w:hAnsi="宋体" w:eastAsia="宋体" w:cs="宋体"/>
                <w:b/>
                <w:bCs/>
                <w:kern w:val="0"/>
                <w:sz w:val="24"/>
                <w:szCs w:val="24"/>
              </w:rPr>
            </w:pPr>
          </w:p>
        </w:tc>
        <w:tc>
          <w:tcPr>
            <w:tcW w:w="2059" w:type="dxa"/>
            <w:shd w:val="clear" w:color="000000" w:fill="FFFFFF"/>
            <w:vAlign w:val="center"/>
          </w:tcPr>
          <w:p w14:paraId="1EEFCAC0">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4.</w:t>
            </w:r>
            <w:r>
              <w:rPr>
                <w:rFonts w:hint="eastAsia" w:ascii="宋体" w:hAnsi="宋体" w:eastAsia="宋体" w:cs="宋体"/>
                <w:kern w:val="0"/>
                <w:sz w:val="24"/>
                <w:szCs w:val="24"/>
              </w:rPr>
              <w:t>药库药品字典失效规则调整</w:t>
            </w:r>
          </w:p>
        </w:tc>
        <w:tc>
          <w:tcPr>
            <w:tcW w:w="7222" w:type="dxa"/>
            <w:shd w:val="clear" w:color="000000" w:fill="FFFFFF"/>
            <w:vAlign w:val="center"/>
          </w:tcPr>
          <w:p w14:paraId="6B7A04D1">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1.当药库将药品字典标记为无效时，各药房不再显示该药品账页。后续如果重新使用，药库可以将药品标记为有效，各药房可以重新显示账页；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2.增加系统校验：只有各药房与药库都没有库存时(（包括科室库存）)，药库才能成功将药品标记为无效；</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3.药品字典有效时，如果各药房自行将药品账页冻结，仍可重新打开药品账页；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4.药品字典无效时，不运行在药房、病房进行开账操作；</w:t>
            </w:r>
          </w:p>
        </w:tc>
      </w:tr>
      <w:tr w14:paraId="6E56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jc w:val="center"/>
        </w:trPr>
        <w:tc>
          <w:tcPr>
            <w:tcW w:w="1200" w:type="dxa"/>
            <w:vMerge w:val="continue"/>
            <w:vAlign w:val="center"/>
          </w:tcPr>
          <w:p w14:paraId="559FF1D6">
            <w:pPr>
              <w:widowControl/>
              <w:jc w:val="left"/>
              <w:rPr>
                <w:rFonts w:ascii="宋体" w:hAnsi="宋体" w:eastAsia="宋体" w:cs="宋体"/>
                <w:b/>
                <w:bCs/>
                <w:kern w:val="0"/>
                <w:sz w:val="24"/>
                <w:szCs w:val="24"/>
              </w:rPr>
            </w:pPr>
          </w:p>
        </w:tc>
        <w:tc>
          <w:tcPr>
            <w:tcW w:w="2059" w:type="dxa"/>
            <w:vAlign w:val="center"/>
          </w:tcPr>
          <w:p w14:paraId="4D508E1D">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5.</w:t>
            </w:r>
            <w:r>
              <w:rPr>
                <w:rFonts w:hint="eastAsia" w:ascii="宋体" w:hAnsi="宋体" w:eastAsia="宋体" w:cs="宋体"/>
                <w:kern w:val="0"/>
                <w:sz w:val="24"/>
                <w:szCs w:val="24"/>
              </w:rPr>
              <w:t>药品调价时拆零规则调整</w:t>
            </w:r>
          </w:p>
        </w:tc>
        <w:tc>
          <w:tcPr>
            <w:tcW w:w="7222" w:type="dxa"/>
            <w:vAlign w:val="center"/>
          </w:tcPr>
          <w:p w14:paraId="7A252714">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调整药品调价时拆零数量的退库和再入库数量取整规则：</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1.对HIS中非整盒数量做取整处理。在药品降价时，退出的非整盒数量向上进位；在药品涨价时，退出的非整盒数量不进位，直接取其整数。相应地，金额做随动计算处理；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2.仍按照目前的西药、成药、中药饮片；带量采购、非带量采购；及日期等现行参数，可进行查询；</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3.针对其中发生取整处理的，则出具供货单位调整数据查询表  ；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4.点击上表中某供应商对应的具体“差额”，可关联查询明细调整情况；</w:t>
            </w:r>
          </w:p>
        </w:tc>
      </w:tr>
      <w:tr w14:paraId="362F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1200" w:type="dxa"/>
            <w:vMerge w:val="continue"/>
            <w:vAlign w:val="center"/>
          </w:tcPr>
          <w:p w14:paraId="481B5BFD">
            <w:pPr>
              <w:widowControl/>
              <w:jc w:val="left"/>
              <w:rPr>
                <w:rFonts w:ascii="宋体" w:hAnsi="宋体" w:eastAsia="宋体" w:cs="宋体"/>
                <w:b/>
                <w:bCs/>
                <w:kern w:val="0"/>
                <w:sz w:val="24"/>
                <w:szCs w:val="24"/>
              </w:rPr>
            </w:pPr>
          </w:p>
        </w:tc>
        <w:tc>
          <w:tcPr>
            <w:tcW w:w="2059" w:type="dxa"/>
            <w:shd w:val="clear" w:color="000000" w:fill="FFFFFF"/>
            <w:vAlign w:val="center"/>
          </w:tcPr>
          <w:p w14:paraId="4C74A96A">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6.</w:t>
            </w:r>
            <w:r>
              <w:rPr>
                <w:rFonts w:hint="eastAsia" w:ascii="宋体" w:hAnsi="宋体" w:eastAsia="宋体" w:cs="宋体"/>
                <w:kern w:val="0"/>
                <w:sz w:val="24"/>
                <w:szCs w:val="24"/>
              </w:rPr>
              <w:t>病房草药开立自动带出代煎费，及解决剂量自动计算错误问题</w:t>
            </w:r>
          </w:p>
        </w:tc>
        <w:tc>
          <w:tcPr>
            <w:tcW w:w="7222" w:type="dxa"/>
            <w:shd w:val="clear" w:color="000000" w:fill="FFFFFF"/>
            <w:vAlign w:val="center"/>
          </w:tcPr>
          <w:p w14:paraId="43088C4A">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病房开具草药医嘱时，提醒医生同时开具“机械代煎”。</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【原因】病房开具中草药医嘱时经常不开机械代煎医嘱，造成漏费。药房HIS界面只能看见药品信息，无法确认是否开具煎药医嘱。</w:t>
            </w:r>
          </w:p>
        </w:tc>
      </w:tr>
      <w:tr w14:paraId="70F4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0" w:type="dxa"/>
            <w:vMerge w:val="restart"/>
            <w:noWrap/>
            <w:vAlign w:val="center"/>
          </w:tcPr>
          <w:p w14:paraId="74D831BA">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医务处</w:t>
            </w:r>
          </w:p>
        </w:tc>
        <w:tc>
          <w:tcPr>
            <w:tcW w:w="2059" w:type="dxa"/>
            <w:vAlign w:val="center"/>
          </w:tcPr>
          <w:p w14:paraId="55C3914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工作量日报增加新上报规范统计页</w:t>
            </w:r>
          </w:p>
        </w:tc>
        <w:tc>
          <w:tcPr>
            <w:tcW w:w="7222" w:type="dxa"/>
          </w:tcPr>
          <w:p w14:paraId="7108BDF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1.医务处管理-查询-商保数据查询-门急诊及住院工作量日报（新）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新增一个统计tab页，按新接口标准，增加[上报日期]选项；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2.[急诊床位试验信息]和[门急诊及住院工作量日报（新）]2个模块增加[上报日期]选项；</w:t>
            </w:r>
          </w:p>
        </w:tc>
      </w:tr>
      <w:tr w14:paraId="3F3F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200" w:type="dxa"/>
            <w:vMerge w:val="continue"/>
            <w:vAlign w:val="center"/>
          </w:tcPr>
          <w:p w14:paraId="346C8A40">
            <w:pPr>
              <w:widowControl/>
              <w:jc w:val="left"/>
              <w:rPr>
                <w:rFonts w:ascii="宋体" w:hAnsi="宋体" w:eastAsia="宋体" w:cs="宋体"/>
                <w:b/>
                <w:bCs/>
                <w:color w:val="000000"/>
                <w:kern w:val="0"/>
                <w:sz w:val="24"/>
                <w:szCs w:val="24"/>
              </w:rPr>
            </w:pPr>
          </w:p>
        </w:tc>
        <w:tc>
          <w:tcPr>
            <w:tcW w:w="2059" w:type="dxa"/>
            <w:vAlign w:val="center"/>
          </w:tcPr>
          <w:p w14:paraId="1232078B">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增加手术耗材收费的医生双签确认功能</w:t>
            </w:r>
          </w:p>
        </w:tc>
        <w:tc>
          <w:tcPr>
            <w:tcW w:w="7222" w:type="dxa"/>
          </w:tcPr>
          <w:p w14:paraId="6C497F30">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术中耗材需要手术医生CA签名确认，不确认的不能出院登记。</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1.手术批费查询界面增加双签功能及相关显示；</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2.出院登记时增加校验：出院登记时的耗材双签提醒，提前到医生开立出院通知时，不双签不能开立出院通知；</w:t>
            </w:r>
          </w:p>
        </w:tc>
      </w:tr>
      <w:tr w14:paraId="3502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jc w:val="center"/>
        </w:trPr>
        <w:tc>
          <w:tcPr>
            <w:tcW w:w="1200" w:type="dxa"/>
            <w:vMerge w:val="continue"/>
            <w:vAlign w:val="center"/>
          </w:tcPr>
          <w:p w14:paraId="4C041435">
            <w:pPr>
              <w:widowControl/>
              <w:jc w:val="left"/>
              <w:rPr>
                <w:rFonts w:ascii="宋体" w:hAnsi="宋体" w:eastAsia="宋体" w:cs="宋体"/>
                <w:b/>
                <w:bCs/>
                <w:color w:val="000000"/>
                <w:kern w:val="0"/>
                <w:sz w:val="24"/>
                <w:szCs w:val="24"/>
              </w:rPr>
            </w:pPr>
          </w:p>
        </w:tc>
        <w:tc>
          <w:tcPr>
            <w:tcW w:w="2059" w:type="dxa"/>
            <w:vAlign w:val="center"/>
          </w:tcPr>
          <w:p w14:paraId="347D774B">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rPr>
              <w:t>检验检查分级维护和统计查询</w:t>
            </w:r>
          </w:p>
        </w:tc>
        <w:tc>
          <w:tcPr>
            <w:tcW w:w="7222" w:type="dxa"/>
          </w:tcPr>
          <w:p w14:paraId="6A4B3BF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1.增加检查检验分级维护窗口，所有检查检验默认为“普通级”，可单独设置“特殊级”。维护权限赋予医务处。首批分级字典后台导入；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2.门诊、急诊、住院在开立“特殊级”检查检验时，由DRG系统弹窗提示：“此项目为特殊项目，应在严格评估适应证后由主治以上医师开具申请单，并向患者告知后记入病历。”；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3.增加统计功能：按时间段、科室、医生姓名、医师级别查询开立“特殊级”检查检验的数量。查询权限赋予医务处；</w:t>
            </w:r>
          </w:p>
        </w:tc>
      </w:tr>
      <w:tr w14:paraId="132B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200" w:type="dxa"/>
            <w:vMerge w:val="continue"/>
            <w:vAlign w:val="center"/>
          </w:tcPr>
          <w:p w14:paraId="2417BE11">
            <w:pPr>
              <w:widowControl/>
              <w:jc w:val="left"/>
              <w:rPr>
                <w:rFonts w:ascii="宋体" w:hAnsi="宋体" w:eastAsia="宋体" w:cs="宋体"/>
                <w:b/>
                <w:bCs/>
                <w:color w:val="000000"/>
                <w:kern w:val="0"/>
                <w:sz w:val="24"/>
                <w:szCs w:val="24"/>
              </w:rPr>
            </w:pPr>
          </w:p>
        </w:tc>
        <w:tc>
          <w:tcPr>
            <w:tcW w:w="2059" w:type="dxa"/>
            <w:vAlign w:val="center"/>
          </w:tcPr>
          <w:p w14:paraId="7EBF5F8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4.</w:t>
            </w:r>
            <w:r>
              <w:rPr>
                <w:rFonts w:hint="eastAsia" w:ascii="宋体" w:hAnsi="宋体" w:eastAsia="宋体" w:cs="宋体"/>
                <w:color w:val="000000"/>
                <w:kern w:val="0"/>
                <w:sz w:val="24"/>
                <w:szCs w:val="24"/>
              </w:rPr>
              <w:t>住院手术耗材管理，试点增加手术申请单关联耗材功能</w:t>
            </w:r>
          </w:p>
        </w:tc>
        <w:tc>
          <w:tcPr>
            <w:tcW w:w="7222" w:type="dxa"/>
          </w:tcPr>
          <w:p w14:paraId="6B197C97">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1、依据医务处提供的手术使用耗材为依据，建立手术-耗材模板维护;</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2、手术申请：医师开上述手术医嘱时，在手术申请界面展示出手术-耗材基准清单，医生可修改并提交属于本次手术的患者耗材使用参考；</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3、增加规则集：处理术后与基准差异，手术申请单状态不是取消的完成手术的实际耗材用量与医生基准用量差异，并标记是否符合基准；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4、医生站提醒：如不符合用量范围，在医生点选该患者时进行提示”手术耗材用量超出预期，请注意在手术记录中写明原因“，并设置“稍后提醒我”和“确定,不再通知”按钮；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统计查询：将手术申请时用量与手术实际发生的耗材计费用量进行比对，统计科室符合用量范围和不符合用量范围的病例（显示病案号、术式、手术日期、不符合用量范围的耗材明细，并为此设置医务处质控查询按钮和统计表，可以按手术日期区间、科室、术式等方式查询））；</w:t>
            </w:r>
          </w:p>
        </w:tc>
      </w:tr>
      <w:tr w14:paraId="1B1D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1200" w:type="dxa"/>
            <w:vMerge w:val="continue"/>
            <w:vAlign w:val="center"/>
          </w:tcPr>
          <w:p w14:paraId="79918492">
            <w:pPr>
              <w:widowControl/>
              <w:jc w:val="left"/>
              <w:rPr>
                <w:rFonts w:ascii="宋体" w:hAnsi="宋体" w:eastAsia="宋体" w:cs="宋体"/>
                <w:b/>
                <w:bCs/>
                <w:color w:val="000000"/>
                <w:kern w:val="0"/>
                <w:sz w:val="24"/>
                <w:szCs w:val="24"/>
              </w:rPr>
            </w:pPr>
          </w:p>
        </w:tc>
        <w:tc>
          <w:tcPr>
            <w:tcW w:w="2059" w:type="dxa"/>
            <w:vAlign w:val="center"/>
          </w:tcPr>
          <w:p w14:paraId="22D88832">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5.</w:t>
            </w:r>
            <w:r>
              <w:rPr>
                <w:rFonts w:hint="eastAsia" w:ascii="宋体" w:hAnsi="宋体" w:eastAsia="宋体" w:cs="宋体"/>
                <w:color w:val="000000"/>
                <w:kern w:val="0"/>
                <w:sz w:val="24"/>
                <w:szCs w:val="24"/>
              </w:rPr>
              <w:t>国际部床管审核规则调整</w:t>
            </w:r>
          </w:p>
        </w:tc>
        <w:tc>
          <w:tcPr>
            <w:tcW w:w="7222" w:type="dxa"/>
          </w:tcPr>
          <w:p w14:paraId="2549AE4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1、取消医务处床管中心对国际部神经内科（综合4、5）和神经外科（综合1、2、6）病房的审核环节；</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2、取消国际部所有病房及两次审核病房（神内血管1、2、3和神外意识障碍）入院须知打印；</w:t>
            </w:r>
          </w:p>
        </w:tc>
      </w:tr>
      <w:tr w14:paraId="002F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1200" w:type="dxa"/>
            <w:vMerge w:val="continue"/>
            <w:vAlign w:val="center"/>
          </w:tcPr>
          <w:p w14:paraId="51F25162">
            <w:pPr>
              <w:widowControl/>
              <w:jc w:val="left"/>
              <w:rPr>
                <w:rFonts w:ascii="宋体" w:hAnsi="宋体" w:eastAsia="宋体" w:cs="宋体"/>
                <w:b/>
                <w:bCs/>
                <w:color w:val="000000"/>
                <w:kern w:val="0"/>
                <w:sz w:val="24"/>
                <w:szCs w:val="24"/>
              </w:rPr>
            </w:pPr>
          </w:p>
        </w:tc>
        <w:tc>
          <w:tcPr>
            <w:tcW w:w="2059" w:type="dxa"/>
            <w:vAlign w:val="center"/>
          </w:tcPr>
          <w:p w14:paraId="5C18ACF2">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6.</w:t>
            </w:r>
            <w:r>
              <w:rPr>
                <w:rFonts w:hint="eastAsia" w:ascii="宋体" w:hAnsi="宋体" w:eastAsia="宋体" w:cs="宋体"/>
                <w:color w:val="000000"/>
                <w:kern w:val="0"/>
                <w:sz w:val="24"/>
                <w:szCs w:val="24"/>
              </w:rPr>
              <w:t>0级手术允许所有医生开单，不再拦截手术申请</w:t>
            </w:r>
          </w:p>
        </w:tc>
        <w:tc>
          <w:tcPr>
            <w:tcW w:w="7222" w:type="dxa"/>
          </w:tcPr>
          <w:p w14:paraId="45ECB67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1、0级手术允许所有医生开单；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2、拦截“该手术不允许提交手术申请，请到医务处申请权限开通”，改成提醒不拦截“该手术尚未定级（0级），虽不影响安排手术，但事后请联系医务处定级”；</w:t>
            </w:r>
          </w:p>
        </w:tc>
      </w:tr>
      <w:tr w14:paraId="4EFC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1200" w:type="dxa"/>
            <w:vMerge w:val="restart"/>
            <w:noWrap/>
            <w:vAlign w:val="center"/>
          </w:tcPr>
          <w:p w14:paraId="5AD9C8C3">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财务处</w:t>
            </w:r>
          </w:p>
        </w:tc>
        <w:tc>
          <w:tcPr>
            <w:tcW w:w="2059" w:type="dxa"/>
            <w:vAlign w:val="center"/>
          </w:tcPr>
          <w:p w14:paraId="23B3F477">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规范医疗项目价格改革（831医改）</w:t>
            </w:r>
          </w:p>
        </w:tc>
        <w:tc>
          <w:tcPr>
            <w:tcW w:w="7222" w:type="dxa"/>
          </w:tcPr>
          <w:p w14:paraId="2709736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1、配合物价后台同步医改项目；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2、配合物价完成医改启、停项目设置；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3、配合物价核对医改项目医保对照完成情况；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4、物价字典维护增加供PACS使用的部位选项（与互认部位独</w:t>
            </w:r>
          </w:p>
          <w:p w14:paraId="0BED4E8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立），限定费用类别为“X光费、CT费、MR费、超声检查费”的在保存时必填部位。</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5、831放射科医改方案执行与上线：</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（一）DR类（同部位项目按体位数量减免）；</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（二）CT/MR类（同类底层按数量减免）；</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（三）退费处理：退放射科检查项目时需先退减免项目，再退原价项目（由后往前退），未按此规定退费时系统将进行拦截并说明拦截原因，并提示患者需先退哪些参与了减免的项目后方可进行此单退费；</w:t>
            </w:r>
          </w:p>
        </w:tc>
      </w:tr>
      <w:tr w14:paraId="0A6A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jc w:val="center"/>
        </w:trPr>
        <w:tc>
          <w:tcPr>
            <w:tcW w:w="1200" w:type="dxa"/>
            <w:vMerge w:val="continue"/>
            <w:vAlign w:val="center"/>
          </w:tcPr>
          <w:p w14:paraId="0D0838A2">
            <w:pPr>
              <w:widowControl/>
              <w:jc w:val="left"/>
              <w:rPr>
                <w:rFonts w:ascii="宋体" w:hAnsi="宋体" w:eastAsia="宋体" w:cs="宋体"/>
                <w:b/>
                <w:bCs/>
                <w:color w:val="000000"/>
                <w:kern w:val="0"/>
                <w:sz w:val="24"/>
                <w:szCs w:val="24"/>
              </w:rPr>
            </w:pPr>
          </w:p>
        </w:tc>
        <w:tc>
          <w:tcPr>
            <w:tcW w:w="2059" w:type="dxa"/>
            <w:vAlign w:val="center"/>
          </w:tcPr>
          <w:p w14:paraId="3ACD85E5">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规范医疗项目价格改革（711医改）</w:t>
            </w:r>
          </w:p>
        </w:tc>
        <w:tc>
          <w:tcPr>
            <w:tcW w:w="7222" w:type="dxa"/>
          </w:tcPr>
          <w:p w14:paraId="76A5686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1、配合物价后台同步医改项目；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2、配合物价完成医改启、停项目设置；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3、配合物价核对医改项目医保对照完成情况；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4、超声科医改方案执行与上线：</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（一）配合维护部位与体位映射关系。</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（二）医生工作站增加多体位弹窗，支持单选、多选，并把已选体位集合同步给PACS；</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5、配合物价后台同步项目指南，并能在医生工作站查看；</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6、配合物价后台同步 床位费、侦查费、会诊费映射关系，切换后系统自动记费；</w:t>
            </w:r>
          </w:p>
        </w:tc>
      </w:tr>
      <w:tr w14:paraId="16C5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jc w:val="center"/>
        </w:trPr>
        <w:tc>
          <w:tcPr>
            <w:tcW w:w="1200" w:type="dxa"/>
            <w:vMerge w:val="continue"/>
            <w:vAlign w:val="center"/>
          </w:tcPr>
          <w:p w14:paraId="68001210">
            <w:pPr>
              <w:widowControl/>
              <w:jc w:val="left"/>
              <w:rPr>
                <w:rFonts w:ascii="宋体" w:hAnsi="宋体" w:eastAsia="宋体" w:cs="宋体"/>
                <w:b/>
                <w:bCs/>
                <w:color w:val="000000"/>
                <w:kern w:val="0"/>
                <w:sz w:val="24"/>
                <w:szCs w:val="24"/>
              </w:rPr>
            </w:pPr>
          </w:p>
        </w:tc>
        <w:tc>
          <w:tcPr>
            <w:tcW w:w="2059" w:type="dxa"/>
            <w:vMerge w:val="restart"/>
            <w:vAlign w:val="center"/>
          </w:tcPr>
          <w:p w14:paraId="6149B9E5">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rPr>
              <w:t>住院预交金规范设置</w:t>
            </w:r>
          </w:p>
        </w:tc>
        <w:tc>
          <w:tcPr>
            <w:tcW w:w="7222" w:type="dxa"/>
            <w:vMerge w:val="restart"/>
          </w:tcPr>
          <w:p w14:paraId="1A74004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1、新增诊断预交金维护窗口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（1）人员类型做成可配置扩展，不同人员类型指导比例</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（2）窗口指导预交金问题，可根据诊断编码、诊断名称维护指导预交金金额，也可根据诊断编码、诊断名称、病区维护指导预交金。</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（3）窗口包含新增、删除、保存、查询、导出按钮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2、住院证开立窗口修改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（1）预交金设置为不可编辑，根据人员类型、初步诊断自动生成预交金金额。</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（2）新增修改预交金按钮，点击弹出预交金修改框，窗口包含预交金额及修改原因两部分。如果指导预交金为0，可随意修改预交金金额；如果指导预交金不为0，修改预交金金额不得超过指导预交金金额。</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3、入院登记窗口修改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入院登记时人员类型有修改与住院证上不一致时，根据新人员类型自动计算指导预交金金额并弹出提醒操作员应收预交金金额，入院登记成功将该金额更新住院证表。</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4、小程序自助办理入院修改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患者自行选择人员类型与住院证不一致时，根据根据新人员类型自动计算指导预交金金额，并提示患者应缴金额</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5、医生工作站修改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（1）患者欠费规则算法修改，不同人员类型指导比例不同，根据医保类别的报销比例测算“预估欠费金额”，医生可根据实际情况判断是否需要患者补缴住院预交金，仅提示不拦截。</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预交金即将欠费提醒修改，原提醒改为是否需要补缴住院预交金，选择‘是’弹出预交金补缴通知单窗口，维护补缴预交金金额和补缴费原因，填写完成保存后，系统生成预交金催缴信息，并通过微信小程序推送给患者。</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（3）医生开立出院通知时，判断自费患者预交金是否充足，不充足提示患者补齐预交金，否是不允许开立出院通知。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（4）在医嘱界面上方的患者信息栏，根据医保类别的报销比例测算“预估欠费金额”，区分出实际预交金、虚拟预交金(3万)、实际可用余额、预估欠费金额。</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6、办理预交金窗口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人工办理预交金窗口，增加催缴信息提示功能，按催缴信息补缴预交金。</w:t>
            </w:r>
          </w:p>
        </w:tc>
      </w:tr>
      <w:tr w14:paraId="2406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0" w:hRule="atLeast"/>
          <w:jc w:val="center"/>
        </w:trPr>
        <w:tc>
          <w:tcPr>
            <w:tcW w:w="1200" w:type="dxa"/>
            <w:vMerge w:val="continue"/>
            <w:vAlign w:val="center"/>
          </w:tcPr>
          <w:p w14:paraId="7811182C">
            <w:pPr>
              <w:widowControl/>
              <w:jc w:val="left"/>
              <w:rPr>
                <w:rFonts w:ascii="宋体" w:hAnsi="宋体" w:eastAsia="宋体" w:cs="宋体"/>
                <w:b/>
                <w:bCs/>
                <w:color w:val="000000"/>
                <w:kern w:val="0"/>
                <w:sz w:val="24"/>
                <w:szCs w:val="24"/>
              </w:rPr>
            </w:pPr>
          </w:p>
        </w:tc>
        <w:tc>
          <w:tcPr>
            <w:tcW w:w="2059" w:type="dxa"/>
            <w:vMerge w:val="continue"/>
            <w:vAlign w:val="center"/>
          </w:tcPr>
          <w:p w14:paraId="587C1AFB">
            <w:pPr>
              <w:keepNext w:val="0"/>
              <w:keepLines w:val="0"/>
              <w:pageBreakBefore w:val="0"/>
              <w:widowControl/>
              <w:kinsoku/>
              <w:wordWrap/>
              <w:overflowPunct/>
              <w:topLinePunct w:val="0"/>
              <w:autoSpaceDE w:val="0"/>
              <w:autoSpaceDN w:val="0"/>
              <w:bidi w:val="0"/>
              <w:adjustRightInd/>
              <w:snapToGrid/>
              <w:ind w:left="0" w:firstLine="0" w:firstLineChars="0"/>
              <w:jc w:val="center"/>
              <w:textAlignment w:val="auto"/>
              <w:rPr>
                <w:rFonts w:ascii="宋体" w:hAnsi="宋体" w:eastAsia="宋体" w:cs="宋体"/>
                <w:color w:val="000000"/>
                <w:kern w:val="0"/>
                <w:sz w:val="24"/>
                <w:szCs w:val="24"/>
              </w:rPr>
            </w:pPr>
          </w:p>
        </w:tc>
        <w:tc>
          <w:tcPr>
            <w:tcW w:w="7222" w:type="dxa"/>
            <w:vMerge w:val="continue"/>
            <w:vAlign w:val="center"/>
          </w:tcPr>
          <w:p w14:paraId="1A32CDE0">
            <w:pPr>
              <w:widowControl/>
              <w:jc w:val="left"/>
              <w:rPr>
                <w:rFonts w:ascii="宋体" w:hAnsi="宋体" w:eastAsia="宋体" w:cs="宋体"/>
                <w:color w:val="000000"/>
                <w:kern w:val="0"/>
                <w:sz w:val="24"/>
                <w:szCs w:val="24"/>
              </w:rPr>
            </w:pPr>
          </w:p>
        </w:tc>
      </w:tr>
      <w:tr w14:paraId="605E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200" w:type="dxa"/>
            <w:vMerge w:val="continue"/>
            <w:vAlign w:val="center"/>
          </w:tcPr>
          <w:p w14:paraId="33EF85F6">
            <w:pPr>
              <w:widowControl/>
              <w:jc w:val="left"/>
              <w:rPr>
                <w:rFonts w:ascii="宋体" w:hAnsi="宋体" w:eastAsia="宋体" w:cs="宋体"/>
                <w:b/>
                <w:bCs/>
                <w:color w:val="000000"/>
                <w:kern w:val="0"/>
                <w:sz w:val="24"/>
                <w:szCs w:val="24"/>
              </w:rPr>
            </w:pPr>
          </w:p>
        </w:tc>
        <w:tc>
          <w:tcPr>
            <w:tcW w:w="2059" w:type="dxa"/>
            <w:vAlign w:val="center"/>
          </w:tcPr>
          <w:p w14:paraId="6C455DE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4.</w:t>
            </w:r>
            <w:r>
              <w:rPr>
                <w:rFonts w:hint="eastAsia" w:ascii="宋体" w:hAnsi="宋体" w:eastAsia="宋体" w:cs="宋体"/>
                <w:color w:val="000000"/>
                <w:kern w:val="0"/>
                <w:sz w:val="24"/>
                <w:szCs w:val="24"/>
              </w:rPr>
              <w:t>物价字典导入首信接口.in文件</w:t>
            </w:r>
          </w:p>
        </w:tc>
        <w:tc>
          <w:tcPr>
            <w:tcW w:w="7222" w:type="dxa"/>
          </w:tcPr>
          <w:p w14:paraId="77CE440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新增窗口，能按操作时间筛选最近修改或新增的字典。然后将这些字典导出.in文件。耗材导成hc.in，非耗材导成sfxm.in两个文件。</w:t>
            </w:r>
          </w:p>
        </w:tc>
      </w:tr>
      <w:tr w14:paraId="421B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200" w:type="dxa"/>
            <w:vMerge w:val="continue"/>
            <w:vAlign w:val="center"/>
          </w:tcPr>
          <w:p w14:paraId="4274070F">
            <w:pPr>
              <w:widowControl/>
              <w:jc w:val="left"/>
              <w:rPr>
                <w:rFonts w:ascii="宋体" w:hAnsi="宋体" w:eastAsia="宋体" w:cs="宋体"/>
                <w:b/>
                <w:bCs/>
                <w:color w:val="000000"/>
                <w:kern w:val="0"/>
                <w:sz w:val="24"/>
                <w:szCs w:val="24"/>
              </w:rPr>
            </w:pPr>
          </w:p>
        </w:tc>
        <w:tc>
          <w:tcPr>
            <w:tcW w:w="2059" w:type="dxa"/>
            <w:vAlign w:val="center"/>
          </w:tcPr>
          <w:p w14:paraId="3EAC4A5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kern w:val="0"/>
                <w:sz w:val="24"/>
                <w:szCs w:val="24"/>
              </w:rPr>
            </w:pPr>
            <w:r>
              <w:rPr>
                <w:rFonts w:hint="default" w:ascii="宋体" w:hAnsi="宋体" w:eastAsia="宋体" w:cs="宋体"/>
                <w:kern w:val="0"/>
                <w:sz w:val="24"/>
                <w:szCs w:val="24"/>
                <w:lang w:val="en-US" w:eastAsia="en-US" w:bidi="ar-SA"/>
              </w:rPr>
              <w:t>5.</w:t>
            </w:r>
            <w:r>
              <w:rPr>
                <w:rFonts w:hint="eastAsia" w:ascii="宋体" w:hAnsi="宋体" w:eastAsia="宋体" w:cs="宋体"/>
                <w:kern w:val="0"/>
                <w:sz w:val="24"/>
                <w:szCs w:val="24"/>
              </w:rPr>
              <w:t>麻醉批费模块调整（711）</w:t>
            </w:r>
          </w:p>
        </w:tc>
        <w:tc>
          <w:tcPr>
            <w:tcW w:w="7222" w:type="dxa"/>
          </w:tcPr>
          <w:p w14:paraId="5487A64D">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1、配合麻醉科后台批量导入预启用的科常用非药类模板明细。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2、麻醉科常用非药类维护界面，物价停用项目标红显示。</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3、麻醉批费界面非药品、药品、毒麻批费，字体、长度改版</w:t>
            </w:r>
            <w:r>
              <w:rPr>
                <w:rFonts w:hint="eastAsia" w:ascii="宋体" w:hAnsi="宋体" w:eastAsia="宋体" w:cs="宋体"/>
                <w:kern w:val="0"/>
                <w:sz w:val="24"/>
                <w:szCs w:val="24"/>
                <w:lang w:eastAsia="zh-CN"/>
              </w:rPr>
              <w:t>。</w:t>
            </w:r>
          </w:p>
        </w:tc>
      </w:tr>
      <w:tr w14:paraId="2097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jc w:val="center"/>
        </w:trPr>
        <w:tc>
          <w:tcPr>
            <w:tcW w:w="1200" w:type="dxa"/>
            <w:vMerge w:val="continue"/>
            <w:vAlign w:val="center"/>
          </w:tcPr>
          <w:p w14:paraId="16A869F7">
            <w:pPr>
              <w:widowControl/>
              <w:jc w:val="left"/>
              <w:rPr>
                <w:rFonts w:ascii="宋体" w:hAnsi="宋体" w:eastAsia="宋体" w:cs="宋体"/>
                <w:b/>
                <w:bCs/>
                <w:color w:val="000000"/>
                <w:kern w:val="0"/>
                <w:sz w:val="24"/>
                <w:szCs w:val="24"/>
              </w:rPr>
            </w:pPr>
          </w:p>
        </w:tc>
        <w:tc>
          <w:tcPr>
            <w:tcW w:w="2059" w:type="dxa"/>
            <w:vAlign w:val="center"/>
          </w:tcPr>
          <w:p w14:paraId="38B64A04">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6.</w:t>
            </w:r>
            <w:r>
              <w:rPr>
                <w:rFonts w:hint="eastAsia" w:ascii="宋体" w:hAnsi="宋体" w:eastAsia="宋体" w:cs="宋体"/>
                <w:color w:val="000000"/>
                <w:kern w:val="0"/>
                <w:sz w:val="24"/>
                <w:szCs w:val="24"/>
              </w:rPr>
              <w:t>分娩镇痛相关耗材上传医保时增加标记（711）</w:t>
            </w:r>
          </w:p>
        </w:tc>
        <w:tc>
          <w:tcPr>
            <w:tcW w:w="7222" w:type="dxa"/>
          </w:tcPr>
          <w:p w14:paraId="086F3A1C">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1、麻醉科常用维护增加字段“分娩镇痛相关”，耗材类项目可打勾、取消打勾。</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2、麻醉批费保存时判断，如果分娩镇痛相关的收费项目被记费，则弹出提示“收费项目：XXXXXX是否按分娩镇痛类型记费？”是和否两个选项。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3、患者结算导出首信.in文件时，需要将是否分娩镇痛类型记费的标记写入到对应的字段中。</w:t>
            </w:r>
          </w:p>
        </w:tc>
      </w:tr>
      <w:tr w14:paraId="2E1E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200" w:type="dxa"/>
            <w:vMerge w:val="continue"/>
            <w:vAlign w:val="center"/>
          </w:tcPr>
          <w:p w14:paraId="6919E202">
            <w:pPr>
              <w:widowControl/>
              <w:jc w:val="left"/>
              <w:rPr>
                <w:rFonts w:ascii="宋体" w:hAnsi="宋体" w:eastAsia="宋体" w:cs="宋体"/>
                <w:b/>
                <w:bCs/>
                <w:color w:val="000000"/>
                <w:kern w:val="0"/>
                <w:sz w:val="24"/>
                <w:szCs w:val="24"/>
              </w:rPr>
            </w:pPr>
          </w:p>
        </w:tc>
        <w:tc>
          <w:tcPr>
            <w:tcW w:w="2059" w:type="dxa"/>
            <w:vMerge w:val="restart"/>
            <w:vAlign w:val="center"/>
          </w:tcPr>
          <w:p w14:paraId="0B0B6AE8">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7.</w:t>
            </w:r>
            <w:r>
              <w:rPr>
                <w:rFonts w:hint="eastAsia" w:ascii="宋体" w:hAnsi="宋体" w:eastAsia="宋体" w:cs="宋体"/>
                <w:color w:val="000000"/>
                <w:kern w:val="0"/>
                <w:sz w:val="24"/>
                <w:szCs w:val="24"/>
              </w:rPr>
              <w:t>RPA系统对接</w:t>
            </w:r>
          </w:p>
        </w:tc>
        <w:tc>
          <w:tcPr>
            <w:tcW w:w="7222" w:type="dxa"/>
            <w:vMerge w:val="restart"/>
          </w:tcPr>
          <w:p w14:paraId="48474D06">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HIS给RPA提供服务接口：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1、耗材字典推送服务</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HIS物资系统与rpa完成物资耗材字典数据的交互对接。</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2、供应商字典推送服务</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HIS物资系统与rpa完成供应商字典数据的交互对接。</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3、科室字典查询服务</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获取HIS物资系统的科室档案数据并将数据保存在rpa。</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4、高值耗材HIS收费明细记录查询服务</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rpa查询HIS系统高值耗材收费记录。</w:t>
            </w:r>
            <w:r>
              <w:rPr>
                <w:rFonts w:hint="eastAsia" w:ascii="宋体" w:hAnsi="宋体" w:eastAsia="宋体" w:cs="宋体"/>
                <w:kern w:val="0"/>
                <w:sz w:val="24"/>
                <w:szCs w:val="24"/>
              </w:rPr>
              <w:br w:type="textWrapping"/>
            </w:r>
            <w:r>
              <w:rPr>
                <w:rFonts w:hint="eastAsia" w:ascii="宋体" w:hAnsi="宋体" w:eastAsia="宋体" w:cs="宋体"/>
                <w:kern w:val="0"/>
                <w:sz w:val="24"/>
                <w:szCs w:val="24"/>
              </w:rPr>
              <w:t>5、低值待核准入库单明细查询</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rpa获取HIS低值入库未核准记录明细。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6、低值入库核准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HIS物资系统接受rpa生成的低值耗材的入库核准单。</w:t>
            </w:r>
            <w:r>
              <w:rPr>
                <w:rFonts w:hint="eastAsia" w:ascii="宋体" w:hAnsi="宋体" w:eastAsia="宋体" w:cs="宋体"/>
                <w:kern w:val="0"/>
                <w:sz w:val="24"/>
                <w:szCs w:val="24"/>
              </w:rPr>
              <w:br w:type="textWrapping"/>
            </w:r>
            <w:r>
              <w:rPr>
                <w:rFonts w:hint="eastAsia" w:ascii="宋体" w:hAnsi="宋体" w:eastAsia="宋体" w:cs="宋体"/>
                <w:kern w:val="0"/>
                <w:sz w:val="24"/>
                <w:szCs w:val="24"/>
              </w:rPr>
              <w:t>7、低值出库核准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HIS物资系统接受rpa生成的低值耗材的出库核准单。</w:t>
            </w:r>
            <w:r>
              <w:rPr>
                <w:rFonts w:hint="eastAsia" w:ascii="宋体" w:hAnsi="宋体" w:eastAsia="宋体" w:cs="宋体"/>
                <w:kern w:val="0"/>
                <w:sz w:val="24"/>
                <w:szCs w:val="24"/>
              </w:rPr>
              <w:br w:type="textWrapping"/>
            </w:r>
            <w:r>
              <w:rPr>
                <w:rFonts w:hint="eastAsia" w:ascii="宋体" w:hAnsi="宋体" w:eastAsia="宋体" w:cs="宋体"/>
                <w:kern w:val="0"/>
                <w:sz w:val="24"/>
                <w:szCs w:val="24"/>
              </w:rPr>
              <w:t>8、高值入库出库核准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HIS物资系统接受rpa生成的高值耗材的入库核准单，现有的流程高值条码入库核</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准的同时出库核准。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HIS调用RPA服务接口：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1、采购单推送</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his采购单保存时，供应商标记为需要给rpa推送的，推送给rpa系统。</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2、rpa发货单查询</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his高值入库界面，增加扫码自动查询发货单明细功能。</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3、rpa临采耗材字典作废</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临采高值耗材入库成功后，调用rpa临采耗材字典作废接口。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4、出库单推送</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his低值耗材出库信息推送给rpa</w:t>
            </w:r>
            <w:r>
              <w:rPr>
                <w:rFonts w:hint="eastAsia" w:ascii="宋体" w:hAnsi="宋体" w:eastAsia="宋体" w:cs="宋体"/>
                <w:kern w:val="0"/>
                <w:sz w:val="24"/>
                <w:szCs w:val="24"/>
              </w:rPr>
              <w:br w:type="textWrapping"/>
            </w:r>
            <w:r>
              <w:rPr>
                <w:rFonts w:hint="eastAsia" w:ascii="宋体" w:hAnsi="宋体" w:eastAsia="宋体" w:cs="宋体"/>
                <w:kern w:val="0"/>
                <w:sz w:val="24"/>
                <w:szCs w:val="24"/>
              </w:rPr>
              <w:t>HIS程序改造：</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1、给华润提供采购单视图，并标记rpa标识。</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2、高值入库界面，作废原来的rpa发货单查询，改成调用华润发货单查询；补录的采</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购单重新推送rpa系统。</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3、高值入库推送华润系统（调华润入库推送接口）、推送rpa系统（调rpa入库推送接口）。</w:t>
            </w:r>
          </w:p>
        </w:tc>
      </w:tr>
      <w:tr w14:paraId="216C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0" w:hRule="atLeast"/>
          <w:jc w:val="center"/>
        </w:trPr>
        <w:tc>
          <w:tcPr>
            <w:tcW w:w="1200" w:type="dxa"/>
            <w:vMerge w:val="continue"/>
            <w:vAlign w:val="center"/>
          </w:tcPr>
          <w:p w14:paraId="3ACE2A21">
            <w:pPr>
              <w:widowControl/>
              <w:jc w:val="left"/>
              <w:rPr>
                <w:rFonts w:ascii="宋体" w:hAnsi="宋体" w:eastAsia="宋体" w:cs="宋体"/>
                <w:b/>
                <w:bCs/>
                <w:color w:val="000000"/>
                <w:kern w:val="0"/>
                <w:sz w:val="24"/>
                <w:szCs w:val="24"/>
              </w:rPr>
            </w:pPr>
          </w:p>
        </w:tc>
        <w:tc>
          <w:tcPr>
            <w:tcW w:w="2059" w:type="dxa"/>
            <w:vMerge w:val="continue"/>
            <w:vAlign w:val="center"/>
          </w:tcPr>
          <w:p w14:paraId="2A6D2820">
            <w:pPr>
              <w:keepNext w:val="0"/>
              <w:keepLines w:val="0"/>
              <w:pageBreakBefore w:val="0"/>
              <w:widowControl/>
              <w:kinsoku/>
              <w:wordWrap/>
              <w:overflowPunct/>
              <w:topLinePunct w:val="0"/>
              <w:autoSpaceDE w:val="0"/>
              <w:autoSpaceDN w:val="0"/>
              <w:bidi w:val="0"/>
              <w:adjustRightInd/>
              <w:snapToGrid/>
              <w:ind w:left="0" w:firstLine="0" w:firstLineChars="0"/>
              <w:jc w:val="center"/>
              <w:textAlignment w:val="auto"/>
              <w:rPr>
                <w:rFonts w:ascii="宋体" w:hAnsi="宋体" w:eastAsia="宋体" w:cs="宋体"/>
                <w:color w:val="000000"/>
                <w:kern w:val="0"/>
                <w:sz w:val="24"/>
                <w:szCs w:val="24"/>
              </w:rPr>
            </w:pPr>
          </w:p>
        </w:tc>
        <w:tc>
          <w:tcPr>
            <w:tcW w:w="7222" w:type="dxa"/>
            <w:vMerge w:val="continue"/>
            <w:vAlign w:val="center"/>
          </w:tcPr>
          <w:p w14:paraId="655F1C03">
            <w:pPr>
              <w:widowControl/>
              <w:jc w:val="left"/>
              <w:rPr>
                <w:rFonts w:ascii="宋体" w:hAnsi="宋体" w:eastAsia="宋体" w:cs="宋体"/>
                <w:kern w:val="0"/>
                <w:sz w:val="24"/>
                <w:szCs w:val="24"/>
              </w:rPr>
            </w:pPr>
          </w:p>
        </w:tc>
      </w:tr>
      <w:tr w14:paraId="748C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3" w:hRule="atLeast"/>
          <w:jc w:val="center"/>
        </w:trPr>
        <w:tc>
          <w:tcPr>
            <w:tcW w:w="1200" w:type="dxa"/>
            <w:vMerge w:val="continue"/>
            <w:vAlign w:val="center"/>
          </w:tcPr>
          <w:p w14:paraId="1C842521">
            <w:pPr>
              <w:widowControl/>
              <w:jc w:val="left"/>
              <w:rPr>
                <w:rFonts w:ascii="宋体" w:hAnsi="宋体" w:eastAsia="宋体" w:cs="宋体"/>
                <w:b/>
                <w:bCs/>
                <w:color w:val="000000"/>
                <w:kern w:val="0"/>
                <w:sz w:val="24"/>
                <w:szCs w:val="24"/>
              </w:rPr>
            </w:pPr>
          </w:p>
        </w:tc>
        <w:tc>
          <w:tcPr>
            <w:tcW w:w="2059" w:type="dxa"/>
            <w:vMerge w:val="continue"/>
            <w:vAlign w:val="center"/>
          </w:tcPr>
          <w:p w14:paraId="79B224E2">
            <w:pPr>
              <w:keepNext w:val="0"/>
              <w:keepLines w:val="0"/>
              <w:pageBreakBefore w:val="0"/>
              <w:widowControl/>
              <w:kinsoku/>
              <w:wordWrap/>
              <w:overflowPunct/>
              <w:topLinePunct w:val="0"/>
              <w:autoSpaceDE w:val="0"/>
              <w:autoSpaceDN w:val="0"/>
              <w:bidi w:val="0"/>
              <w:adjustRightInd/>
              <w:snapToGrid/>
              <w:ind w:left="0" w:firstLine="0" w:firstLineChars="0"/>
              <w:jc w:val="center"/>
              <w:textAlignment w:val="auto"/>
              <w:rPr>
                <w:rFonts w:ascii="宋体" w:hAnsi="宋体" w:eastAsia="宋体" w:cs="宋体"/>
                <w:color w:val="000000"/>
                <w:kern w:val="0"/>
                <w:sz w:val="24"/>
                <w:szCs w:val="24"/>
              </w:rPr>
            </w:pPr>
          </w:p>
        </w:tc>
        <w:tc>
          <w:tcPr>
            <w:tcW w:w="7222" w:type="dxa"/>
            <w:vMerge w:val="continue"/>
            <w:vAlign w:val="center"/>
          </w:tcPr>
          <w:p w14:paraId="26B86510">
            <w:pPr>
              <w:widowControl/>
              <w:jc w:val="left"/>
              <w:rPr>
                <w:rFonts w:ascii="宋体" w:hAnsi="宋体" w:eastAsia="宋体" w:cs="宋体"/>
                <w:kern w:val="0"/>
                <w:sz w:val="24"/>
                <w:szCs w:val="24"/>
              </w:rPr>
            </w:pPr>
          </w:p>
        </w:tc>
      </w:tr>
      <w:tr w14:paraId="6C9E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1200" w:type="dxa"/>
            <w:vMerge w:val="continue"/>
            <w:vAlign w:val="center"/>
          </w:tcPr>
          <w:p w14:paraId="64896993">
            <w:pPr>
              <w:widowControl/>
              <w:jc w:val="left"/>
              <w:rPr>
                <w:rFonts w:ascii="宋体" w:hAnsi="宋体" w:eastAsia="宋体" w:cs="宋体"/>
                <w:b/>
                <w:bCs/>
                <w:color w:val="000000"/>
                <w:kern w:val="0"/>
                <w:sz w:val="24"/>
                <w:szCs w:val="24"/>
              </w:rPr>
            </w:pPr>
          </w:p>
        </w:tc>
        <w:tc>
          <w:tcPr>
            <w:tcW w:w="2059" w:type="dxa"/>
            <w:vAlign w:val="center"/>
          </w:tcPr>
          <w:p w14:paraId="285359EE">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8.</w:t>
            </w:r>
            <w:r>
              <w:rPr>
                <w:rFonts w:hint="eastAsia" w:ascii="宋体" w:hAnsi="宋体" w:eastAsia="宋体" w:cs="宋体"/>
                <w:color w:val="000000"/>
                <w:kern w:val="0"/>
                <w:sz w:val="24"/>
                <w:szCs w:val="24"/>
              </w:rPr>
              <w:t>天枢大模型接口</w:t>
            </w:r>
          </w:p>
        </w:tc>
        <w:tc>
          <w:tcPr>
            <w:tcW w:w="7222" w:type="dxa"/>
          </w:tcPr>
          <w:p w14:paraId="55CCC01B">
            <w:pPr>
              <w:widowControl/>
              <w:jc w:val="left"/>
              <w:rPr>
                <w:rFonts w:ascii="宋体" w:hAnsi="宋体" w:eastAsia="宋体" w:cs="宋体"/>
                <w:kern w:val="0"/>
                <w:sz w:val="24"/>
                <w:szCs w:val="24"/>
              </w:rPr>
            </w:pPr>
            <w:r>
              <w:rPr>
                <w:rFonts w:hint="eastAsia" w:ascii="宋体" w:hAnsi="宋体" w:eastAsia="宋体" w:cs="宋体"/>
                <w:kern w:val="0"/>
                <w:sz w:val="24"/>
                <w:szCs w:val="24"/>
              </w:rPr>
              <w:t>天枢大模型HIS接口视图：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1、HIS-患者住院信息接口视图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2、HIS-病案首页，费用接口视图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3、HIS-医嘱信息接口视图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4、HIS-人事信息接口视图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5、HIS-药品字典接口视图</w:t>
            </w:r>
          </w:p>
        </w:tc>
      </w:tr>
      <w:tr w14:paraId="460C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200" w:type="dxa"/>
            <w:vMerge w:val="restart"/>
            <w:noWrap/>
            <w:vAlign w:val="center"/>
          </w:tcPr>
          <w:p w14:paraId="6B723B2E">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信息中心</w:t>
            </w:r>
          </w:p>
        </w:tc>
        <w:tc>
          <w:tcPr>
            <w:tcW w:w="2059" w:type="dxa"/>
            <w:vAlign w:val="center"/>
          </w:tcPr>
          <w:p w14:paraId="306048DF">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远卓护理系统和南格系统接口护理级别调整</w:t>
            </w:r>
          </w:p>
        </w:tc>
        <w:tc>
          <w:tcPr>
            <w:tcW w:w="7222" w:type="dxa"/>
          </w:tcPr>
          <w:p w14:paraId="38F3CA2A">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后台新增护理级别目录，调整提供给护理系统和南格系统的护理级别，取患者在目录中的最新的有效级别。</w:t>
            </w:r>
          </w:p>
        </w:tc>
      </w:tr>
      <w:tr w14:paraId="5A71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0" w:hRule="atLeast"/>
          <w:jc w:val="center"/>
        </w:trPr>
        <w:tc>
          <w:tcPr>
            <w:tcW w:w="1200" w:type="dxa"/>
            <w:vMerge w:val="continue"/>
            <w:vAlign w:val="center"/>
          </w:tcPr>
          <w:p w14:paraId="37BDB888">
            <w:pPr>
              <w:widowControl/>
              <w:jc w:val="left"/>
              <w:rPr>
                <w:rFonts w:ascii="宋体" w:hAnsi="宋体" w:eastAsia="宋体" w:cs="宋体"/>
                <w:b/>
                <w:bCs/>
                <w:color w:val="000000"/>
                <w:kern w:val="0"/>
                <w:sz w:val="24"/>
                <w:szCs w:val="24"/>
              </w:rPr>
            </w:pPr>
          </w:p>
        </w:tc>
        <w:tc>
          <w:tcPr>
            <w:tcW w:w="2059" w:type="dxa"/>
            <w:vAlign w:val="center"/>
          </w:tcPr>
          <w:p w14:paraId="4711D366">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放射胶片记费打印流程改造V2</w:t>
            </w:r>
          </w:p>
        </w:tc>
        <w:tc>
          <w:tcPr>
            <w:tcW w:w="7222" w:type="dxa"/>
          </w:tcPr>
          <w:p w14:paraId="41EF7FD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HIS程序改造：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1、HIS未标记已打印的胶片可窗口退费，已打印的不可退费。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2、住院终端确认时，系统不再对胶片自动计费。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3、住院患者出院结算时以自助机打印胶片或手工计费成功的为依据结算。</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胶片打印机接口: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1、现有的是否打印接口，HIS调整住院患者是否可打印逻辑，未记费的直接记费，返回可打印。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2、增加接口，胶片机打印时调用，通知HIS已打印，HIS同步记录打印标记。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3、出院结算患者打印需求时，需先做出院召回才能打印。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4、体检患者统一返回可打印。</w:t>
            </w:r>
          </w:p>
        </w:tc>
      </w:tr>
      <w:tr w14:paraId="58D5CD0E">
        <w:tblPrEx>
          <w:tblCellMar>
            <w:top w:w="0" w:type="dxa"/>
            <w:left w:w="108" w:type="dxa"/>
            <w:bottom w:w="0" w:type="dxa"/>
            <w:right w:w="108" w:type="dxa"/>
          </w:tblCellMar>
        </w:tblPrEx>
        <w:trPr>
          <w:trHeight w:val="1195" w:hRule="atLeast"/>
          <w:jc w:val="center"/>
        </w:trPr>
        <w:tc>
          <w:tcPr>
            <w:tcW w:w="1200" w:type="dxa"/>
            <w:vMerge w:val="continue"/>
            <w:vAlign w:val="center"/>
          </w:tcPr>
          <w:p w14:paraId="67ABA5CF">
            <w:pPr>
              <w:widowControl/>
              <w:jc w:val="left"/>
              <w:rPr>
                <w:rFonts w:ascii="宋体" w:hAnsi="宋体" w:eastAsia="宋体" w:cs="宋体"/>
                <w:b/>
                <w:bCs/>
                <w:color w:val="000000"/>
                <w:kern w:val="0"/>
                <w:sz w:val="24"/>
                <w:szCs w:val="24"/>
              </w:rPr>
            </w:pPr>
          </w:p>
        </w:tc>
        <w:tc>
          <w:tcPr>
            <w:tcW w:w="2059" w:type="dxa"/>
            <w:vAlign w:val="center"/>
          </w:tcPr>
          <w:p w14:paraId="673C6860">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lang w:val="en-US" w:eastAsia="zh-CN"/>
              </w:rPr>
              <w:t>特殊</w:t>
            </w:r>
            <w:r>
              <w:rPr>
                <w:rFonts w:hint="eastAsia" w:ascii="宋体" w:hAnsi="宋体" w:eastAsia="宋体" w:cs="宋体"/>
                <w:color w:val="000000"/>
                <w:kern w:val="0"/>
                <w:sz w:val="24"/>
                <w:szCs w:val="24"/>
              </w:rPr>
              <w:t>患者在诊疗节点触发企微消息提醒</w:t>
            </w:r>
          </w:p>
        </w:tc>
        <w:tc>
          <w:tcPr>
            <w:tcW w:w="7222" w:type="dxa"/>
          </w:tcPr>
          <w:p w14:paraId="6820655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当</w:t>
            </w:r>
            <w:r>
              <w:rPr>
                <w:rFonts w:hint="eastAsia" w:ascii="宋体" w:hAnsi="宋体" w:eastAsia="宋体" w:cs="宋体"/>
                <w:color w:val="000000"/>
                <w:kern w:val="0"/>
                <w:sz w:val="24"/>
                <w:szCs w:val="24"/>
                <w:lang w:val="en-US" w:eastAsia="zh-CN"/>
              </w:rPr>
              <w:t>特定</w:t>
            </w:r>
            <w:r>
              <w:rPr>
                <w:rFonts w:hint="eastAsia" w:ascii="宋体" w:hAnsi="宋体" w:eastAsia="宋体" w:cs="宋体"/>
                <w:color w:val="000000"/>
                <w:kern w:val="0"/>
                <w:sz w:val="24"/>
                <w:szCs w:val="24"/>
              </w:rPr>
              <w:t>患者完成入院登记、出院登记时：</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对接护理系统，进行企微消息提醒，消息弹给安全稳定处。提示内容：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特殊患者（住院号XXXXXX）已在XXXXX病区登记入院。</w:t>
            </w:r>
          </w:p>
        </w:tc>
      </w:tr>
      <w:tr w14:paraId="4A7D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200" w:type="dxa"/>
            <w:vMerge w:val="continue"/>
            <w:vAlign w:val="center"/>
          </w:tcPr>
          <w:p w14:paraId="7A2B3DBA">
            <w:pPr>
              <w:widowControl/>
              <w:jc w:val="left"/>
              <w:rPr>
                <w:rFonts w:ascii="宋体" w:hAnsi="宋体" w:eastAsia="宋体" w:cs="宋体"/>
                <w:b/>
                <w:bCs/>
                <w:color w:val="000000"/>
                <w:kern w:val="0"/>
                <w:sz w:val="24"/>
                <w:szCs w:val="24"/>
              </w:rPr>
            </w:pPr>
          </w:p>
        </w:tc>
        <w:tc>
          <w:tcPr>
            <w:tcW w:w="2059" w:type="dxa"/>
            <w:vAlign w:val="center"/>
          </w:tcPr>
          <w:p w14:paraId="3C382A9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4.</w:t>
            </w:r>
            <w:r>
              <w:rPr>
                <w:rFonts w:hint="eastAsia" w:ascii="宋体" w:hAnsi="宋体" w:eastAsia="宋体" w:cs="宋体"/>
                <w:color w:val="000000"/>
                <w:kern w:val="0"/>
                <w:sz w:val="24"/>
                <w:szCs w:val="24"/>
              </w:rPr>
              <w:t>住院数据库患者姓名和地址扩字段</w:t>
            </w:r>
          </w:p>
        </w:tc>
        <w:tc>
          <w:tcPr>
            <w:tcW w:w="7222" w:type="dxa"/>
          </w:tcPr>
          <w:p w14:paraId="1735BC12">
            <w:pPr>
              <w:widowControl/>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涉及住院医生工作站、护士工作站、住院收费处、病案系统、病房药房系统的患者姓名长度扩展至80字节、地址长度扩展至200字节</w:t>
            </w:r>
            <w:r>
              <w:rPr>
                <w:rFonts w:hint="eastAsia" w:ascii="宋体" w:hAnsi="宋体" w:eastAsia="宋体" w:cs="宋体"/>
                <w:color w:val="000000"/>
                <w:kern w:val="0"/>
                <w:sz w:val="24"/>
                <w:szCs w:val="24"/>
                <w:lang w:eastAsia="zh-CN"/>
              </w:rPr>
              <w:t>。</w:t>
            </w:r>
          </w:p>
        </w:tc>
      </w:tr>
      <w:tr w14:paraId="039B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1200" w:type="dxa"/>
            <w:vMerge w:val="continue"/>
            <w:vAlign w:val="center"/>
          </w:tcPr>
          <w:p w14:paraId="62DA0296">
            <w:pPr>
              <w:widowControl/>
              <w:jc w:val="left"/>
              <w:rPr>
                <w:rFonts w:ascii="宋体" w:hAnsi="宋体" w:eastAsia="宋体" w:cs="宋体"/>
                <w:b/>
                <w:bCs/>
                <w:color w:val="000000"/>
                <w:kern w:val="0"/>
                <w:sz w:val="24"/>
                <w:szCs w:val="24"/>
              </w:rPr>
            </w:pPr>
          </w:p>
        </w:tc>
        <w:tc>
          <w:tcPr>
            <w:tcW w:w="2059" w:type="dxa"/>
            <w:vAlign w:val="center"/>
          </w:tcPr>
          <w:p w14:paraId="49C1E29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5.</w:t>
            </w:r>
            <w:r>
              <w:rPr>
                <w:rFonts w:hint="eastAsia" w:ascii="宋体" w:hAnsi="宋体" w:eastAsia="宋体" w:cs="宋体"/>
                <w:color w:val="000000"/>
                <w:kern w:val="0"/>
                <w:sz w:val="24"/>
                <w:szCs w:val="24"/>
              </w:rPr>
              <w:t>病房日报统计口径调整</w:t>
            </w:r>
          </w:p>
        </w:tc>
        <w:tc>
          <w:tcPr>
            <w:tcW w:w="7222" w:type="dxa"/>
          </w:tcPr>
          <w:p w14:paraId="565A9EBA">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1、修改病房日报自动审核，将预入院且无费退院且未审核的患者排除出统计；</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2、转科确定时判断该患者是否已经做过转出或转入，避免产生两条转科记录，影响日报。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3、有患者出院登记后不结算，过了好几天 护士又取消出院了，但当天的日报没有算入院，导致日报数字错误。</w:t>
            </w:r>
          </w:p>
        </w:tc>
      </w:tr>
      <w:tr w14:paraId="28A9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1200" w:type="dxa"/>
            <w:vMerge w:val="continue"/>
            <w:vAlign w:val="center"/>
          </w:tcPr>
          <w:p w14:paraId="1716F2E9">
            <w:pPr>
              <w:widowControl/>
              <w:jc w:val="left"/>
              <w:rPr>
                <w:rFonts w:ascii="宋体" w:hAnsi="宋体" w:eastAsia="宋体" w:cs="宋体"/>
                <w:b/>
                <w:bCs/>
                <w:color w:val="000000"/>
                <w:kern w:val="0"/>
                <w:sz w:val="24"/>
                <w:szCs w:val="24"/>
              </w:rPr>
            </w:pPr>
          </w:p>
        </w:tc>
        <w:tc>
          <w:tcPr>
            <w:tcW w:w="2059" w:type="dxa"/>
            <w:vAlign w:val="center"/>
          </w:tcPr>
          <w:p w14:paraId="17FD5CD5">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6.</w:t>
            </w:r>
            <w:r>
              <w:rPr>
                <w:rFonts w:hint="eastAsia" w:ascii="宋体" w:hAnsi="宋体" w:eastAsia="宋体" w:cs="宋体"/>
                <w:color w:val="000000"/>
                <w:kern w:val="0"/>
                <w:sz w:val="24"/>
                <w:szCs w:val="24"/>
              </w:rPr>
              <w:t>配合虹桥LIS数据库升级</w:t>
            </w:r>
          </w:p>
        </w:tc>
        <w:tc>
          <w:tcPr>
            <w:tcW w:w="7222" w:type="dxa"/>
          </w:tcPr>
          <w:p w14:paraId="00344DA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1、视图：将数据库服务地址由172.28.10.97改为10.0.100.220，</w:t>
            </w:r>
            <w:r>
              <w:rPr>
                <w:rFonts w:hint="eastAsia" w:ascii="宋体" w:hAnsi="宋体" w:eastAsia="宋体" w:cs="宋体"/>
                <w:color w:val="000000"/>
                <w:kern w:val="0"/>
                <w:sz w:val="24"/>
                <w:szCs w:val="24"/>
                <w:lang w:val="en-US" w:eastAsia="zh-CN"/>
              </w:rPr>
              <w:t>并进行流程测试</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2、UI集成：调用dll的应用程序根目录registry.ini文件中将server ip address由172.28.10.97改为10.0.100.220，进入集成的用户界面，测试页面是否正常调用（10.0.100.220数据截止到20250401）；</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3、HIS业务调用LIS库联接地址调整为可配置；</w:t>
            </w:r>
          </w:p>
        </w:tc>
      </w:tr>
      <w:tr w14:paraId="1688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0" w:type="dxa"/>
            <w:vMerge w:val="continue"/>
            <w:vAlign w:val="center"/>
          </w:tcPr>
          <w:p w14:paraId="43BE6DA4">
            <w:pPr>
              <w:widowControl/>
              <w:jc w:val="left"/>
              <w:rPr>
                <w:rFonts w:ascii="宋体" w:hAnsi="宋体" w:eastAsia="宋体" w:cs="宋体"/>
                <w:b/>
                <w:bCs/>
                <w:color w:val="000000"/>
                <w:kern w:val="0"/>
                <w:sz w:val="24"/>
                <w:szCs w:val="24"/>
              </w:rPr>
            </w:pPr>
          </w:p>
        </w:tc>
        <w:tc>
          <w:tcPr>
            <w:tcW w:w="2059" w:type="dxa"/>
            <w:vAlign w:val="center"/>
          </w:tcPr>
          <w:p w14:paraId="54DF546B">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7.</w:t>
            </w:r>
            <w:r>
              <w:rPr>
                <w:rFonts w:hint="eastAsia" w:ascii="宋体" w:hAnsi="宋体" w:eastAsia="宋体" w:cs="宋体"/>
                <w:color w:val="000000"/>
                <w:kern w:val="0"/>
                <w:sz w:val="24"/>
                <w:szCs w:val="24"/>
              </w:rPr>
              <w:t>电子病历上报V3版本升级</w:t>
            </w:r>
          </w:p>
        </w:tc>
        <w:tc>
          <w:tcPr>
            <w:tcW w:w="7222" w:type="dxa"/>
          </w:tcPr>
          <w:p w14:paraId="2E9DEE0F">
            <w:pPr>
              <w:widowControl/>
              <w:spacing w:after="24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新增接口：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1、住院医嘱记录上传；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2、医嘱执行单信息上传；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3、药品基本信息上传；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4、药品入出库信息上传；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5、医用耗材基本信息上传；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6、医用耗材入出库信息上传；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修改接口：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1、住院结算费用信息上传：接口增加nhsSettlementId（医保结算流水号）、</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referencedInvoiceId（关联票据号）、等二十个字段；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2、入院信息上传：接口新增 cfResultCode（产妇身份核验结果代码），cfResultName（产妇身份核验结果名称；</w:t>
            </w:r>
          </w:p>
        </w:tc>
      </w:tr>
      <w:tr w14:paraId="22ED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200" w:type="dxa"/>
            <w:vMerge w:val="continue"/>
            <w:vAlign w:val="center"/>
          </w:tcPr>
          <w:p w14:paraId="351955F8">
            <w:pPr>
              <w:widowControl/>
              <w:jc w:val="left"/>
              <w:rPr>
                <w:rFonts w:ascii="宋体" w:hAnsi="宋体" w:eastAsia="宋体" w:cs="宋体"/>
                <w:b/>
                <w:bCs/>
                <w:color w:val="000000"/>
                <w:kern w:val="0"/>
                <w:sz w:val="24"/>
                <w:szCs w:val="24"/>
              </w:rPr>
            </w:pPr>
          </w:p>
        </w:tc>
        <w:tc>
          <w:tcPr>
            <w:tcW w:w="2059" w:type="dxa"/>
            <w:vAlign w:val="center"/>
          </w:tcPr>
          <w:p w14:paraId="6783CDD7">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8.</w:t>
            </w:r>
            <w:r>
              <w:rPr>
                <w:rFonts w:hint="eastAsia" w:ascii="宋体" w:hAnsi="宋体" w:eastAsia="宋体" w:cs="宋体"/>
                <w:color w:val="000000"/>
                <w:kern w:val="0"/>
                <w:sz w:val="24"/>
                <w:szCs w:val="24"/>
              </w:rPr>
              <w:t>住院内涵质控接口（对接嘉和系统）</w:t>
            </w:r>
          </w:p>
        </w:tc>
        <w:tc>
          <w:tcPr>
            <w:tcW w:w="7222" w:type="dxa"/>
          </w:tcPr>
          <w:p w14:paraId="4B5418B9">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1、住院医嘱接口视图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2、住院费用明细模型视图</w:t>
            </w:r>
          </w:p>
        </w:tc>
      </w:tr>
      <w:tr w14:paraId="0EF7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1200" w:type="dxa"/>
            <w:vMerge w:val="continue"/>
            <w:vAlign w:val="center"/>
          </w:tcPr>
          <w:p w14:paraId="6D92A867">
            <w:pPr>
              <w:widowControl/>
              <w:jc w:val="left"/>
              <w:rPr>
                <w:rFonts w:ascii="宋体" w:hAnsi="宋体" w:eastAsia="宋体" w:cs="宋体"/>
                <w:b/>
                <w:bCs/>
                <w:color w:val="000000"/>
                <w:kern w:val="0"/>
                <w:sz w:val="24"/>
                <w:szCs w:val="24"/>
              </w:rPr>
            </w:pPr>
          </w:p>
        </w:tc>
        <w:tc>
          <w:tcPr>
            <w:tcW w:w="2059" w:type="dxa"/>
            <w:vAlign w:val="center"/>
          </w:tcPr>
          <w:p w14:paraId="34154B96">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9.</w:t>
            </w:r>
            <w:r>
              <w:rPr>
                <w:rFonts w:hint="eastAsia" w:ascii="宋体" w:hAnsi="宋体" w:eastAsia="宋体" w:cs="宋体"/>
                <w:color w:val="000000"/>
                <w:kern w:val="0"/>
                <w:sz w:val="24"/>
                <w:szCs w:val="24"/>
              </w:rPr>
              <w:t>病房探视患者人员登记功能，并对接小程序</w:t>
            </w:r>
          </w:p>
        </w:tc>
        <w:tc>
          <w:tcPr>
            <w:tcW w:w="7222" w:type="dxa"/>
          </w:tcPr>
          <w:p w14:paraId="7138B8C6">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1、窗口授权各病房医生，将左侧科室一级列表固定为医生所在大科，二级列表是大科下</w:t>
            </w:r>
            <w:r>
              <w:rPr>
                <w:rFonts w:hint="eastAsia" w:ascii="宋体" w:hAnsi="宋体" w:eastAsia="宋体" w:cs="宋体"/>
                <w:kern w:val="0"/>
                <w:sz w:val="24"/>
                <w:szCs w:val="24"/>
                <w:lang w:val="en-US" w:eastAsia="zh-CN"/>
              </w:rPr>
              <w:t>的</w:t>
            </w:r>
            <w:r>
              <w:rPr>
                <w:rFonts w:hint="eastAsia" w:ascii="宋体" w:hAnsi="宋体" w:eastAsia="宋体" w:cs="宋体"/>
                <w:kern w:val="0"/>
                <w:sz w:val="24"/>
                <w:szCs w:val="24"/>
              </w:rPr>
              <w:t>病房</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2、右侧下方的探视登记，不需要医生填任何信息，直接双击后保存即可完成操作</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3、增加凭证生效时间设定界面，凭证失效后，可以在HIS中重新设定生效日期</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4、每次探视登记保存后，推送给小程序消息通知。</w:t>
            </w:r>
          </w:p>
        </w:tc>
      </w:tr>
      <w:tr w14:paraId="1D2C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200" w:type="dxa"/>
            <w:vMerge w:val="continue"/>
            <w:vAlign w:val="center"/>
          </w:tcPr>
          <w:p w14:paraId="3E07024F">
            <w:pPr>
              <w:widowControl/>
              <w:jc w:val="left"/>
              <w:rPr>
                <w:rFonts w:ascii="宋体" w:hAnsi="宋体" w:eastAsia="宋体" w:cs="宋体"/>
                <w:b/>
                <w:bCs/>
                <w:color w:val="000000"/>
                <w:kern w:val="0"/>
                <w:sz w:val="24"/>
                <w:szCs w:val="24"/>
              </w:rPr>
            </w:pPr>
          </w:p>
        </w:tc>
        <w:tc>
          <w:tcPr>
            <w:tcW w:w="2059" w:type="dxa"/>
            <w:vAlign w:val="center"/>
          </w:tcPr>
          <w:p w14:paraId="305506E0">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10.</w:t>
            </w:r>
            <w:r>
              <w:rPr>
                <w:rFonts w:hint="eastAsia" w:ascii="宋体" w:hAnsi="宋体" w:eastAsia="宋体" w:cs="宋体"/>
                <w:color w:val="000000"/>
                <w:kern w:val="0"/>
                <w:sz w:val="24"/>
                <w:szCs w:val="24"/>
              </w:rPr>
              <w:t>医疗美容科配置为手术科室</w:t>
            </w:r>
          </w:p>
        </w:tc>
        <w:tc>
          <w:tcPr>
            <w:tcW w:w="7222" w:type="dxa"/>
          </w:tcPr>
          <w:p w14:paraId="0ED218D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1、医疗美容科门诊设置为手术科室；</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2、配合设置手术安排、术后资料整理模块权限；</w:t>
            </w:r>
          </w:p>
        </w:tc>
      </w:tr>
      <w:tr w14:paraId="0977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4" w:hRule="atLeast"/>
          <w:jc w:val="center"/>
        </w:trPr>
        <w:tc>
          <w:tcPr>
            <w:tcW w:w="1200" w:type="dxa"/>
            <w:vMerge w:val="continue"/>
            <w:vAlign w:val="center"/>
          </w:tcPr>
          <w:p w14:paraId="3B6B3E82">
            <w:pPr>
              <w:widowControl/>
              <w:jc w:val="left"/>
              <w:rPr>
                <w:rFonts w:ascii="宋体" w:hAnsi="宋体" w:eastAsia="宋体" w:cs="宋体"/>
                <w:b/>
                <w:bCs/>
                <w:color w:val="000000"/>
                <w:kern w:val="0"/>
                <w:sz w:val="24"/>
                <w:szCs w:val="24"/>
              </w:rPr>
            </w:pPr>
          </w:p>
        </w:tc>
        <w:tc>
          <w:tcPr>
            <w:tcW w:w="2059" w:type="dxa"/>
            <w:vAlign w:val="center"/>
          </w:tcPr>
          <w:p w14:paraId="79DBED1A">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11.</w:t>
            </w:r>
            <w:r>
              <w:rPr>
                <w:rFonts w:hint="eastAsia" w:ascii="宋体" w:hAnsi="宋体" w:eastAsia="宋体" w:cs="宋体"/>
                <w:color w:val="000000"/>
                <w:kern w:val="0"/>
                <w:sz w:val="24"/>
                <w:szCs w:val="24"/>
              </w:rPr>
              <w:t>临床用血核心信息上报</w:t>
            </w:r>
          </w:p>
        </w:tc>
        <w:tc>
          <w:tcPr>
            <w:tcW w:w="7222" w:type="dxa"/>
          </w:tcPr>
          <w:p w14:paraId="4A6AB1E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住院HIS系统改造：</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1、医保科室字典信息；</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2、患者基本信息；</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3、用血申请信息；</w:t>
            </w:r>
            <w:r>
              <w:rPr>
                <w:rFonts w:hint="eastAsia" w:ascii="宋体" w:hAnsi="宋体" w:eastAsia="宋体" w:cs="宋体"/>
                <w:kern w:val="0"/>
                <w:sz w:val="24"/>
                <w:szCs w:val="24"/>
              </w:rPr>
              <w:br w:type="textWrapping"/>
            </w:r>
            <w:r>
              <w:rPr>
                <w:rFonts w:hint="eastAsia" w:ascii="宋体" w:hAnsi="宋体" w:eastAsia="宋体" w:cs="宋体"/>
                <w:kern w:val="0"/>
                <w:sz w:val="24"/>
                <w:szCs w:val="24"/>
              </w:rPr>
              <w:t>4、医生工作站开立用血申请单时，增加“献血者优先用血”下拉选项，选择结果存储到申请单信息；</w:t>
            </w:r>
            <w:r>
              <w:rPr>
                <w:rFonts w:hint="eastAsia" w:ascii="宋体" w:hAnsi="宋体" w:eastAsia="宋体" w:cs="宋体"/>
                <w:kern w:val="0"/>
                <w:sz w:val="24"/>
                <w:szCs w:val="24"/>
              </w:rPr>
              <w:br w:type="textWrapping"/>
            </w:r>
            <w:r>
              <w:rPr>
                <w:rFonts w:hint="eastAsia" w:ascii="宋体" w:hAnsi="宋体" w:eastAsia="宋体" w:cs="宋体"/>
                <w:kern w:val="0"/>
                <w:sz w:val="24"/>
                <w:szCs w:val="24"/>
              </w:rPr>
              <w:t>输血系统改造：</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1、打开程序后，时间段默认前一天12:00:00至今天12:00:00。</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2、可查询、可导出EXCEL。导出模板见&lt;临床用血核心信息（模板）.xlsx&gt;</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br w:type="textWrapping"/>
            </w:r>
            <w:r>
              <w:rPr>
                <w:rFonts w:hint="eastAsia" w:ascii="宋体" w:hAnsi="宋体" w:eastAsia="宋体" w:cs="宋体"/>
                <w:kern w:val="0"/>
                <w:sz w:val="24"/>
                <w:szCs w:val="24"/>
              </w:rPr>
              <w:t>3、查询内容：按时间段查询发血信息，字段见&lt;临床用血核心信息（模板）.xlsx&gt;。</w:t>
            </w:r>
          </w:p>
        </w:tc>
      </w:tr>
      <w:tr w14:paraId="1367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jc w:val="center"/>
        </w:trPr>
        <w:tc>
          <w:tcPr>
            <w:tcW w:w="1200" w:type="dxa"/>
            <w:vMerge w:val="continue"/>
            <w:vAlign w:val="center"/>
          </w:tcPr>
          <w:p w14:paraId="232023BD">
            <w:pPr>
              <w:widowControl/>
              <w:jc w:val="left"/>
              <w:rPr>
                <w:rFonts w:ascii="宋体" w:hAnsi="宋体" w:eastAsia="宋体" w:cs="宋体"/>
                <w:b/>
                <w:bCs/>
                <w:color w:val="000000"/>
                <w:kern w:val="0"/>
                <w:sz w:val="24"/>
                <w:szCs w:val="24"/>
              </w:rPr>
            </w:pPr>
          </w:p>
        </w:tc>
        <w:tc>
          <w:tcPr>
            <w:tcW w:w="2059" w:type="dxa"/>
            <w:vAlign w:val="center"/>
          </w:tcPr>
          <w:p w14:paraId="12F1BE83">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12.</w:t>
            </w:r>
            <w:r>
              <w:rPr>
                <w:rFonts w:hint="eastAsia" w:ascii="宋体" w:hAnsi="宋体" w:eastAsia="宋体" w:cs="宋体"/>
                <w:color w:val="000000"/>
                <w:kern w:val="0"/>
                <w:sz w:val="24"/>
                <w:szCs w:val="24"/>
              </w:rPr>
              <w:t>手麻记费与手麻系统对接</w:t>
            </w:r>
          </w:p>
        </w:tc>
        <w:tc>
          <w:tcPr>
            <w:tcW w:w="7222" w:type="dxa"/>
          </w:tcPr>
          <w:p w14:paraId="306B175E">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新增并对接如下接口：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1、手麻医嘱清单接口；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2、麻醉科人员查询接口；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3、手麻系统批费明细查询接口；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4、手麻项目批费接口；</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5、手麻记费项目全退接口； </w:t>
            </w:r>
          </w:p>
        </w:tc>
      </w:tr>
      <w:tr w14:paraId="70C6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1200" w:type="dxa"/>
            <w:vMerge w:val="continue"/>
            <w:vAlign w:val="center"/>
          </w:tcPr>
          <w:p w14:paraId="29E6995B">
            <w:pPr>
              <w:widowControl/>
              <w:jc w:val="left"/>
              <w:rPr>
                <w:rFonts w:ascii="宋体" w:hAnsi="宋体" w:eastAsia="宋体" w:cs="宋体"/>
                <w:b/>
                <w:bCs/>
                <w:color w:val="000000"/>
                <w:kern w:val="0"/>
                <w:sz w:val="24"/>
                <w:szCs w:val="24"/>
              </w:rPr>
            </w:pPr>
          </w:p>
        </w:tc>
        <w:tc>
          <w:tcPr>
            <w:tcW w:w="2059" w:type="dxa"/>
            <w:vAlign w:val="center"/>
          </w:tcPr>
          <w:p w14:paraId="2C544C55">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13.</w:t>
            </w:r>
            <w:r>
              <w:rPr>
                <w:rFonts w:hint="eastAsia" w:ascii="宋体" w:hAnsi="宋体" w:eastAsia="宋体" w:cs="宋体"/>
                <w:color w:val="000000"/>
                <w:kern w:val="0"/>
                <w:sz w:val="24"/>
                <w:szCs w:val="24"/>
              </w:rPr>
              <w:t>国际部医保费用导出规则及住院证提示调整</w:t>
            </w:r>
          </w:p>
        </w:tc>
        <w:tc>
          <w:tcPr>
            <w:tcW w:w="7222" w:type="dxa"/>
          </w:tcPr>
          <w:p w14:paraId="1CA75F1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1、住院医保费用导出功能，将国际部患者（合同类型为医疗照顾除外）的耗材费用导出为“自费”。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国际医疗部住院证上增加提醒内容如下：感谢选择我院国际部住院，如您是北京医保患者，根据政策规定您在国际部住院期间发生的符合基本医疗保险报销规定的药品和床位费（医保报销范围内）可享受基本医疗保险支付。为了不影响您的医保报销，请您办理入院时主动出示医保介质，感谢您的配合！</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3、当国际部患者为医保身份时，其所有药品费用都导出为可报销【医生工作站医生自行勾选的自费药品，依然走自费导出】</w:t>
            </w:r>
          </w:p>
        </w:tc>
      </w:tr>
      <w:tr w14:paraId="1ED9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200" w:type="dxa"/>
            <w:vMerge w:val="continue"/>
            <w:vAlign w:val="center"/>
          </w:tcPr>
          <w:p w14:paraId="047E3F86">
            <w:pPr>
              <w:widowControl/>
              <w:jc w:val="left"/>
              <w:rPr>
                <w:rFonts w:ascii="宋体" w:hAnsi="宋体" w:eastAsia="宋体" w:cs="宋体"/>
                <w:b/>
                <w:bCs/>
                <w:color w:val="000000"/>
                <w:kern w:val="0"/>
                <w:sz w:val="24"/>
                <w:szCs w:val="24"/>
              </w:rPr>
            </w:pPr>
          </w:p>
        </w:tc>
        <w:tc>
          <w:tcPr>
            <w:tcW w:w="2059" w:type="dxa"/>
            <w:vAlign w:val="center"/>
          </w:tcPr>
          <w:p w14:paraId="6FB86D41">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14.</w:t>
            </w:r>
            <w:r>
              <w:rPr>
                <w:rFonts w:hint="eastAsia" w:ascii="宋体" w:hAnsi="宋体" w:eastAsia="宋体" w:cs="宋体"/>
                <w:color w:val="000000"/>
                <w:kern w:val="0"/>
                <w:sz w:val="24"/>
                <w:szCs w:val="24"/>
              </w:rPr>
              <w:t>国际部住院证允许上调预交金</w:t>
            </w:r>
          </w:p>
        </w:tc>
        <w:tc>
          <w:tcPr>
            <w:tcW w:w="7222" w:type="dxa"/>
          </w:tcPr>
          <w:p w14:paraId="7EE5CEFF">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1、开到国际部的住院证，允许医生上调预交金；</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2、手工调整预交金时写入操作信息日志；</w:t>
            </w:r>
          </w:p>
        </w:tc>
      </w:tr>
      <w:tr w14:paraId="6F71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1200" w:type="dxa"/>
            <w:vMerge w:val="continue"/>
            <w:vAlign w:val="center"/>
          </w:tcPr>
          <w:p w14:paraId="33E01F41">
            <w:pPr>
              <w:widowControl/>
              <w:jc w:val="left"/>
              <w:rPr>
                <w:rFonts w:ascii="宋体" w:hAnsi="宋体" w:eastAsia="宋体" w:cs="宋体"/>
                <w:b/>
                <w:bCs/>
                <w:color w:val="000000"/>
                <w:kern w:val="0"/>
                <w:sz w:val="24"/>
                <w:szCs w:val="24"/>
              </w:rPr>
            </w:pPr>
          </w:p>
        </w:tc>
        <w:tc>
          <w:tcPr>
            <w:tcW w:w="2059" w:type="dxa"/>
            <w:vAlign w:val="center"/>
          </w:tcPr>
          <w:p w14:paraId="11639447">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15.</w:t>
            </w:r>
            <w:r>
              <w:rPr>
                <w:rFonts w:hint="eastAsia" w:ascii="宋体" w:hAnsi="宋体" w:eastAsia="宋体" w:cs="宋体"/>
                <w:color w:val="000000"/>
                <w:kern w:val="0"/>
                <w:sz w:val="24"/>
                <w:szCs w:val="24"/>
              </w:rPr>
              <w:t>物资字典维护增加变更导入功能</w:t>
            </w:r>
          </w:p>
        </w:tc>
        <w:tc>
          <w:tcPr>
            <w:tcW w:w="7222" w:type="dxa"/>
          </w:tcPr>
          <w:p w14:paraId="661C76D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增加功能模块：&lt;物资字典变更模板导入&gt;，类似原字典导入功能。导入EXCEL后展示变更信息，保存后更新物资字典、未入库的科室请领单、未入库的库房请领单、未入库的采购单，并生成变更日志。</w:t>
            </w:r>
          </w:p>
        </w:tc>
      </w:tr>
      <w:tr w14:paraId="1D62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200" w:type="dxa"/>
            <w:vMerge w:val="continue"/>
            <w:vAlign w:val="center"/>
          </w:tcPr>
          <w:p w14:paraId="3008F498">
            <w:pPr>
              <w:widowControl/>
              <w:jc w:val="left"/>
              <w:rPr>
                <w:rFonts w:ascii="宋体" w:hAnsi="宋体" w:eastAsia="宋体" w:cs="宋体"/>
                <w:b/>
                <w:bCs/>
                <w:color w:val="000000"/>
                <w:kern w:val="0"/>
                <w:sz w:val="24"/>
                <w:szCs w:val="24"/>
              </w:rPr>
            </w:pPr>
          </w:p>
        </w:tc>
        <w:tc>
          <w:tcPr>
            <w:tcW w:w="2059" w:type="dxa"/>
            <w:vAlign w:val="center"/>
          </w:tcPr>
          <w:p w14:paraId="764DBC47">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16.</w:t>
            </w:r>
            <w:r>
              <w:rPr>
                <w:rFonts w:hint="eastAsia" w:ascii="宋体" w:hAnsi="宋体" w:eastAsia="宋体" w:cs="宋体"/>
                <w:color w:val="000000"/>
                <w:kern w:val="0"/>
                <w:sz w:val="24"/>
                <w:szCs w:val="24"/>
              </w:rPr>
              <w:t>耗材批量关停和物价字典关联</w:t>
            </w:r>
          </w:p>
        </w:tc>
        <w:tc>
          <w:tcPr>
            <w:tcW w:w="7222" w:type="dxa"/>
          </w:tcPr>
          <w:p w14:paraId="6EC0518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采购：批量关停</w:t>
            </w:r>
            <w:r>
              <w:rPr>
                <w:rFonts w:hint="eastAsia" w:ascii="宋体" w:hAnsi="宋体" w:eastAsia="宋体" w:cs="宋体"/>
                <w:color w:val="000000"/>
                <w:kern w:val="0"/>
                <w:sz w:val="24"/>
                <w:szCs w:val="24"/>
                <w:lang w:val="en-US" w:eastAsia="zh-CN"/>
              </w:rPr>
              <w:t>指定的</w:t>
            </w:r>
            <w:r>
              <w:rPr>
                <w:rFonts w:hint="eastAsia" w:ascii="宋体" w:hAnsi="宋体" w:eastAsia="宋体" w:cs="宋体"/>
                <w:color w:val="000000"/>
                <w:kern w:val="0"/>
                <w:sz w:val="24"/>
                <w:szCs w:val="24"/>
              </w:rPr>
              <w:t>耗材。</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物价：新增10085条</w:t>
            </w:r>
            <w:r>
              <w:rPr>
                <w:rFonts w:hint="eastAsia" w:ascii="宋体" w:hAnsi="宋体" w:eastAsia="宋体" w:cs="宋体"/>
                <w:color w:val="000000"/>
                <w:kern w:val="0"/>
                <w:sz w:val="24"/>
                <w:szCs w:val="24"/>
                <w:lang w:val="en-US" w:eastAsia="zh-CN"/>
              </w:rPr>
              <w:t>特定</w:t>
            </w:r>
            <w:r>
              <w:rPr>
                <w:rFonts w:hint="eastAsia" w:ascii="宋体" w:hAnsi="宋体" w:eastAsia="宋体" w:cs="宋体"/>
                <w:color w:val="000000"/>
                <w:kern w:val="0"/>
                <w:sz w:val="24"/>
                <w:szCs w:val="24"/>
              </w:rPr>
              <w:t>高值</w:t>
            </w:r>
            <w:r>
              <w:rPr>
                <w:rFonts w:hint="eastAsia" w:ascii="宋体" w:hAnsi="宋体" w:eastAsia="宋体" w:cs="宋体"/>
                <w:color w:val="000000"/>
                <w:kern w:val="0"/>
                <w:sz w:val="24"/>
                <w:szCs w:val="24"/>
                <w:lang w:val="en-US" w:eastAsia="zh-CN"/>
              </w:rPr>
              <w:t>耗材</w:t>
            </w:r>
            <w:r>
              <w:rPr>
                <w:rFonts w:hint="eastAsia" w:ascii="宋体" w:hAnsi="宋体" w:eastAsia="宋体" w:cs="宋体"/>
                <w:color w:val="000000"/>
                <w:kern w:val="0"/>
                <w:sz w:val="24"/>
                <w:szCs w:val="24"/>
              </w:rPr>
              <w:t>，以及对应的原耗材。关联到原耗材对应的物价字典中。</w:t>
            </w:r>
          </w:p>
        </w:tc>
      </w:tr>
      <w:tr w14:paraId="35FE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jc w:val="center"/>
        </w:trPr>
        <w:tc>
          <w:tcPr>
            <w:tcW w:w="1200" w:type="dxa"/>
            <w:vMerge w:val="continue"/>
            <w:vAlign w:val="center"/>
          </w:tcPr>
          <w:p w14:paraId="459570FE">
            <w:pPr>
              <w:widowControl/>
              <w:jc w:val="left"/>
              <w:rPr>
                <w:rFonts w:ascii="宋体" w:hAnsi="宋体" w:eastAsia="宋体" w:cs="宋体"/>
                <w:b/>
                <w:bCs/>
                <w:color w:val="000000"/>
                <w:kern w:val="0"/>
                <w:sz w:val="24"/>
                <w:szCs w:val="24"/>
              </w:rPr>
            </w:pPr>
          </w:p>
        </w:tc>
        <w:tc>
          <w:tcPr>
            <w:tcW w:w="2059" w:type="dxa"/>
            <w:vAlign w:val="center"/>
          </w:tcPr>
          <w:p w14:paraId="551F173B">
            <w:pPr>
              <w:keepNext w:val="0"/>
              <w:keepLines w:val="0"/>
              <w:pageBreakBefore w:val="0"/>
              <w:widowControl/>
              <w:numPr>
                <w:ilvl w:val="0"/>
                <w:numId w:val="0"/>
              </w:numPr>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17.</w:t>
            </w:r>
            <w:r>
              <w:rPr>
                <w:rFonts w:hint="eastAsia" w:ascii="宋体" w:hAnsi="宋体" w:eastAsia="宋体" w:cs="宋体"/>
                <w:color w:val="000000"/>
                <w:kern w:val="0"/>
                <w:sz w:val="24"/>
                <w:szCs w:val="24"/>
              </w:rPr>
              <w:t>考勤系统增加婚假、护理假、放射假最大天数维护和累计请假天数提醒</w:t>
            </w:r>
          </w:p>
        </w:tc>
        <w:tc>
          <w:tcPr>
            <w:tcW w:w="7222" w:type="dxa"/>
          </w:tcPr>
          <w:p w14:paraId="4839564C">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婚假（最多不超过10天）、护理假（最多不超过10天）、放射假（最多不超过30天），因以上假期可以连续享受，也可分次享受，容易出现超报的情况。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1.考勤系统增加设置婚假、护理假、放射假最多上报天数的功能。</w:t>
            </w:r>
            <w:r>
              <w:rPr>
                <w:rFonts w:hint="eastAsia" w:ascii="宋体" w:hAnsi="宋体" w:eastAsia="宋体" w:cs="宋体"/>
                <w:kern w:val="0"/>
                <w:sz w:val="24"/>
                <w:szCs w:val="24"/>
              </w:rPr>
              <w:br w:type="textWrapping"/>
            </w:r>
            <w:r>
              <w:rPr>
                <w:rFonts w:hint="eastAsia" w:ascii="宋体" w:hAnsi="宋体" w:eastAsia="宋体" w:cs="宋体"/>
                <w:kern w:val="0"/>
                <w:sz w:val="24"/>
                <w:szCs w:val="24"/>
              </w:rPr>
              <w:t>2.在上报A职工的婚假或护理假或放射假时，若当年A职工已累计超出最多休假天数时，应不能上报并提醒：您今年的XX假还剩余XX天，请及时确认并修改。</w:t>
            </w:r>
          </w:p>
        </w:tc>
      </w:tr>
      <w:tr w14:paraId="7173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restart"/>
            <w:vAlign w:val="center"/>
          </w:tcPr>
          <w:p w14:paraId="75A83188">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系统运维</w:t>
            </w:r>
          </w:p>
        </w:tc>
        <w:tc>
          <w:tcPr>
            <w:tcW w:w="9281" w:type="dxa"/>
            <w:gridSpan w:val="2"/>
            <w:noWrap/>
            <w:vAlign w:val="center"/>
          </w:tcPr>
          <w:p w14:paraId="11F42A01">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1.</w:t>
            </w:r>
            <w:r>
              <w:rPr>
                <w:rFonts w:hint="eastAsia" w:ascii="宋体" w:hAnsi="宋体" w:eastAsia="宋体" w:cs="宋体"/>
                <w:color w:val="000000"/>
                <w:kern w:val="0"/>
                <w:sz w:val="24"/>
                <w:szCs w:val="24"/>
              </w:rPr>
              <w:t>住院医生站管理系统</w:t>
            </w:r>
          </w:p>
        </w:tc>
      </w:tr>
      <w:tr w14:paraId="598C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3667E9D6">
            <w:pPr>
              <w:widowControl/>
              <w:jc w:val="left"/>
              <w:rPr>
                <w:rFonts w:ascii="宋体" w:hAnsi="宋体" w:eastAsia="宋体" w:cs="宋体"/>
                <w:b/>
                <w:bCs/>
                <w:color w:val="000000"/>
                <w:kern w:val="0"/>
                <w:sz w:val="24"/>
                <w:szCs w:val="24"/>
              </w:rPr>
            </w:pPr>
          </w:p>
        </w:tc>
        <w:tc>
          <w:tcPr>
            <w:tcW w:w="9281" w:type="dxa"/>
            <w:gridSpan w:val="2"/>
            <w:noWrap/>
            <w:vAlign w:val="center"/>
          </w:tcPr>
          <w:p w14:paraId="5CDE2423">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2.</w:t>
            </w:r>
            <w:r>
              <w:rPr>
                <w:rFonts w:hint="eastAsia" w:ascii="宋体" w:hAnsi="宋体" w:eastAsia="宋体" w:cs="宋体"/>
                <w:color w:val="000000"/>
                <w:kern w:val="0"/>
                <w:sz w:val="24"/>
                <w:szCs w:val="24"/>
              </w:rPr>
              <w:t>住院医技终端管理系统</w:t>
            </w:r>
          </w:p>
        </w:tc>
      </w:tr>
      <w:tr w14:paraId="690D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647C484C">
            <w:pPr>
              <w:widowControl/>
              <w:jc w:val="left"/>
              <w:rPr>
                <w:rFonts w:ascii="宋体" w:hAnsi="宋体" w:eastAsia="宋体" w:cs="宋体"/>
                <w:b/>
                <w:bCs/>
                <w:color w:val="000000"/>
                <w:kern w:val="0"/>
                <w:sz w:val="24"/>
                <w:szCs w:val="24"/>
              </w:rPr>
            </w:pPr>
          </w:p>
        </w:tc>
        <w:tc>
          <w:tcPr>
            <w:tcW w:w="9281" w:type="dxa"/>
            <w:gridSpan w:val="2"/>
            <w:noWrap/>
            <w:vAlign w:val="center"/>
          </w:tcPr>
          <w:p w14:paraId="25973FCD">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3.</w:t>
            </w:r>
            <w:r>
              <w:rPr>
                <w:rFonts w:hint="eastAsia" w:ascii="宋体" w:hAnsi="宋体" w:eastAsia="宋体" w:cs="宋体"/>
                <w:color w:val="000000"/>
                <w:kern w:val="0"/>
                <w:sz w:val="24"/>
                <w:szCs w:val="24"/>
              </w:rPr>
              <w:t>住院药房管理系统</w:t>
            </w:r>
          </w:p>
        </w:tc>
      </w:tr>
      <w:tr w14:paraId="63CD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437BF378">
            <w:pPr>
              <w:widowControl/>
              <w:jc w:val="left"/>
              <w:rPr>
                <w:rFonts w:ascii="宋体" w:hAnsi="宋体" w:eastAsia="宋体" w:cs="宋体"/>
                <w:b/>
                <w:bCs/>
                <w:color w:val="000000"/>
                <w:kern w:val="0"/>
                <w:sz w:val="24"/>
                <w:szCs w:val="24"/>
              </w:rPr>
            </w:pPr>
          </w:p>
        </w:tc>
        <w:tc>
          <w:tcPr>
            <w:tcW w:w="9281" w:type="dxa"/>
            <w:gridSpan w:val="2"/>
            <w:noWrap/>
            <w:vAlign w:val="center"/>
          </w:tcPr>
          <w:p w14:paraId="2E988E46">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4.</w:t>
            </w:r>
            <w:r>
              <w:rPr>
                <w:rFonts w:hint="eastAsia" w:ascii="宋体" w:hAnsi="宋体" w:eastAsia="宋体" w:cs="宋体"/>
                <w:color w:val="000000"/>
                <w:kern w:val="0"/>
                <w:sz w:val="24"/>
                <w:szCs w:val="24"/>
              </w:rPr>
              <w:t>住院收费结算管理系统</w:t>
            </w:r>
          </w:p>
        </w:tc>
      </w:tr>
      <w:tr w14:paraId="4FBB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12C7E695">
            <w:pPr>
              <w:widowControl/>
              <w:jc w:val="left"/>
              <w:rPr>
                <w:rFonts w:ascii="宋体" w:hAnsi="宋体" w:eastAsia="宋体" w:cs="宋体"/>
                <w:b/>
                <w:bCs/>
                <w:color w:val="000000"/>
                <w:kern w:val="0"/>
                <w:sz w:val="24"/>
                <w:szCs w:val="24"/>
              </w:rPr>
            </w:pPr>
          </w:p>
        </w:tc>
        <w:tc>
          <w:tcPr>
            <w:tcW w:w="9281" w:type="dxa"/>
            <w:gridSpan w:val="2"/>
            <w:noWrap/>
            <w:vAlign w:val="center"/>
          </w:tcPr>
          <w:p w14:paraId="36CF318E">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5.</w:t>
            </w:r>
            <w:r>
              <w:rPr>
                <w:rFonts w:hint="eastAsia" w:ascii="宋体" w:hAnsi="宋体" w:eastAsia="宋体" w:cs="宋体"/>
                <w:color w:val="000000"/>
                <w:kern w:val="0"/>
                <w:sz w:val="24"/>
                <w:szCs w:val="24"/>
              </w:rPr>
              <w:t>住院护士站管理系统</w:t>
            </w:r>
          </w:p>
        </w:tc>
      </w:tr>
      <w:tr w14:paraId="3B8D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43385251">
            <w:pPr>
              <w:widowControl/>
              <w:jc w:val="left"/>
              <w:rPr>
                <w:rFonts w:ascii="宋体" w:hAnsi="宋体" w:eastAsia="宋体" w:cs="宋体"/>
                <w:b/>
                <w:bCs/>
                <w:color w:val="000000"/>
                <w:kern w:val="0"/>
                <w:sz w:val="24"/>
                <w:szCs w:val="24"/>
              </w:rPr>
            </w:pPr>
          </w:p>
        </w:tc>
        <w:tc>
          <w:tcPr>
            <w:tcW w:w="9281" w:type="dxa"/>
            <w:gridSpan w:val="2"/>
            <w:noWrap/>
            <w:vAlign w:val="center"/>
          </w:tcPr>
          <w:p w14:paraId="451DE719">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color w:val="000000"/>
                <w:kern w:val="0"/>
                <w:sz w:val="24"/>
                <w:szCs w:val="24"/>
                <w:lang w:val="en-US" w:eastAsia="en-US" w:bidi="ar-SA"/>
              </w:rPr>
              <w:t>6.</w:t>
            </w:r>
            <w:r>
              <w:rPr>
                <w:rFonts w:hint="eastAsia" w:ascii="宋体" w:hAnsi="宋体" w:eastAsia="宋体" w:cs="宋体"/>
                <w:color w:val="000000"/>
                <w:kern w:val="0"/>
                <w:sz w:val="24"/>
                <w:szCs w:val="24"/>
              </w:rPr>
              <w:t>手术</w:t>
            </w:r>
            <w:r>
              <w:rPr>
                <w:rFonts w:hint="eastAsia" w:ascii="宋体" w:hAnsi="宋体" w:eastAsia="宋体" w:cs="宋体"/>
                <w:color w:val="000000"/>
                <w:kern w:val="0"/>
                <w:sz w:val="24"/>
                <w:szCs w:val="24"/>
                <w:lang w:val="en-US" w:eastAsia="zh-CN"/>
              </w:rPr>
              <w:t>麻醉批费</w:t>
            </w:r>
            <w:r>
              <w:rPr>
                <w:rFonts w:hint="eastAsia" w:ascii="宋体" w:hAnsi="宋体" w:eastAsia="宋体" w:cs="宋体"/>
                <w:color w:val="000000"/>
                <w:kern w:val="0"/>
                <w:sz w:val="24"/>
                <w:szCs w:val="24"/>
              </w:rPr>
              <w:t>管理系统</w:t>
            </w:r>
          </w:p>
        </w:tc>
      </w:tr>
      <w:tr w14:paraId="5296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6F37EB0E">
            <w:pPr>
              <w:widowControl/>
              <w:jc w:val="left"/>
              <w:rPr>
                <w:rFonts w:ascii="宋体" w:hAnsi="宋体" w:eastAsia="宋体" w:cs="宋体"/>
                <w:b/>
                <w:bCs/>
                <w:color w:val="000000"/>
                <w:kern w:val="0"/>
                <w:sz w:val="24"/>
                <w:szCs w:val="24"/>
              </w:rPr>
            </w:pPr>
          </w:p>
        </w:tc>
        <w:tc>
          <w:tcPr>
            <w:tcW w:w="9281" w:type="dxa"/>
            <w:gridSpan w:val="2"/>
            <w:noWrap/>
            <w:vAlign w:val="center"/>
          </w:tcPr>
          <w:p w14:paraId="0786ED39">
            <w:pPr>
              <w:widowControl/>
              <w:numPr>
                <w:ilvl w:val="0"/>
                <w:numId w:val="0"/>
              </w:numPr>
              <w:ind w:left="425" w:leftChars="0" w:hanging="425" w:firstLineChars="0"/>
              <w:jc w:val="left"/>
              <w:rPr>
                <w:rFonts w:ascii="宋体" w:hAnsi="宋体" w:eastAsia="宋体" w:cs="宋体"/>
                <w:kern w:val="0"/>
                <w:sz w:val="24"/>
                <w:szCs w:val="24"/>
              </w:rPr>
            </w:pPr>
            <w:r>
              <w:rPr>
                <w:rFonts w:hint="default" w:ascii="宋体" w:hAnsi="宋体" w:eastAsia="宋体" w:cs="宋体"/>
                <w:kern w:val="0"/>
                <w:sz w:val="24"/>
                <w:szCs w:val="24"/>
                <w:lang w:val="en-US" w:eastAsia="en-US" w:bidi="ar-SA"/>
              </w:rPr>
              <w:t>7.</w:t>
            </w:r>
            <w:r>
              <w:rPr>
                <w:rFonts w:hint="eastAsia" w:ascii="宋体" w:hAnsi="宋体" w:eastAsia="宋体" w:cs="宋体"/>
                <w:color w:val="000000"/>
                <w:kern w:val="0"/>
                <w:sz w:val="24"/>
                <w:szCs w:val="24"/>
              </w:rPr>
              <w:t>考勤奖金管理系统</w:t>
            </w:r>
          </w:p>
        </w:tc>
      </w:tr>
      <w:tr w14:paraId="2593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53F5D7A8">
            <w:pPr>
              <w:widowControl/>
              <w:jc w:val="left"/>
              <w:rPr>
                <w:rFonts w:ascii="宋体" w:hAnsi="宋体" w:eastAsia="宋体" w:cs="宋体"/>
                <w:b/>
                <w:bCs/>
                <w:color w:val="000000"/>
                <w:kern w:val="0"/>
                <w:sz w:val="24"/>
                <w:szCs w:val="24"/>
              </w:rPr>
            </w:pPr>
          </w:p>
        </w:tc>
        <w:tc>
          <w:tcPr>
            <w:tcW w:w="9281" w:type="dxa"/>
            <w:gridSpan w:val="2"/>
            <w:noWrap/>
            <w:vAlign w:val="center"/>
          </w:tcPr>
          <w:p w14:paraId="1F54FAEF">
            <w:pPr>
              <w:widowControl/>
              <w:numPr>
                <w:ilvl w:val="0"/>
                <w:numId w:val="0"/>
              </w:numPr>
              <w:ind w:left="425" w:leftChars="0" w:hanging="425" w:firstLineChars="0"/>
              <w:jc w:val="left"/>
              <w:rPr>
                <w:rFonts w:ascii="宋体" w:hAnsi="宋体" w:eastAsia="宋体" w:cs="宋体"/>
                <w:kern w:val="0"/>
                <w:sz w:val="24"/>
                <w:szCs w:val="24"/>
              </w:rPr>
            </w:pPr>
            <w:r>
              <w:rPr>
                <w:rFonts w:hint="default" w:ascii="宋体" w:hAnsi="宋体" w:eastAsia="宋体" w:cs="宋体"/>
                <w:kern w:val="0"/>
                <w:sz w:val="24"/>
                <w:szCs w:val="24"/>
                <w:lang w:val="en-US" w:eastAsia="en-US" w:bidi="ar-SA"/>
              </w:rPr>
              <w:t>8.</w:t>
            </w:r>
            <w:r>
              <w:rPr>
                <w:rFonts w:hint="eastAsia" w:ascii="宋体" w:hAnsi="宋体" w:eastAsia="宋体" w:cs="宋体"/>
                <w:color w:val="000000"/>
                <w:kern w:val="0"/>
                <w:sz w:val="24"/>
                <w:szCs w:val="24"/>
              </w:rPr>
              <w:t>党费管理系统</w:t>
            </w:r>
          </w:p>
        </w:tc>
      </w:tr>
      <w:tr w14:paraId="429D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3E9A2753">
            <w:pPr>
              <w:widowControl/>
              <w:jc w:val="left"/>
              <w:rPr>
                <w:rFonts w:ascii="宋体" w:hAnsi="宋体" w:eastAsia="宋体" w:cs="宋体"/>
                <w:b/>
                <w:bCs/>
                <w:color w:val="000000"/>
                <w:kern w:val="0"/>
                <w:sz w:val="24"/>
                <w:szCs w:val="24"/>
              </w:rPr>
            </w:pPr>
          </w:p>
        </w:tc>
        <w:tc>
          <w:tcPr>
            <w:tcW w:w="9281" w:type="dxa"/>
            <w:gridSpan w:val="2"/>
            <w:noWrap/>
            <w:vAlign w:val="center"/>
          </w:tcPr>
          <w:p w14:paraId="220CAA81">
            <w:pPr>
              <w:widowControl/>
              <w:numPr>
                <w:ilvl w:val="0"/>
                <w:numId w:val="0"/>
              </w:numPr>
              <w:ind w:left="425" w:leftChars="0" w:hanging="425" w:firstLineChars="0"/>
              <w:jc w:val="left"/>
              <w:rPr>
                <w:rFonts w:ascii="宋体" w:hAnsi="宋体" w:eastAsia="宋体" w:cs="宋体"/>
                <w:kern w:val="0"/>
                <w:sz w:val="24"/>
                <w:szCs w:val="24"/>
              </w:rPr>
            </w:pPr>
            <w:r>
              <w:rPr>
                <w:rFonts w:hint="default" w:ascii="宋体" w:hAnsi="宋体" w:eastAsia="宋体" w:cs="宋体"/>
                <w:kern w:val="0"/>
                <w:sz w:val="24"/>
                <w:szCs w:val="24"/>
                <w:lang w:val="en-US" w:eastAsia="en-US" w:bidi="ar-SA"/>
              </w:rPr>
              <w:t>9.</w:t>
            </w:r>
            <w:r>
              <w:rPr>
                <w:rFonts w:hint="eastAsia" w:ascii="宋体" w:hAnsi="宋体" w:eastAsia="宋体" w:cs="宋体"/>
                <w:color w:val="000000"/>
                <w:kern w:val="0"/>
                <w:sz w:val="24"/>
                <w:szCs w:val="24"/>
              </w:rPr>
              <w:t>固定资产管理系统</w:t>
            </w:r>
          </w:p>
        </w:tc>
      </w:tr>
      <w:tr w14:paraId="710F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66568C1E">
            <w:pPr>
              <w:widowControl/>
              <w:jc w:val="left"/>
              <w:rPr>
                <w:rFonts w:ascii="宋体" w:hAnsi="宋体" w:eastAsia="宋体" w:cs="宋体"/>
                <w:b/>
                <w:bCs/>
                <w:color w:val="000000"/>
                <w:kern w:val="0"/>
                <w:sz w:val="24"/>
                <w:szCs w:val="24"/>
              </w:rPr>
            </w:pPr>
          </w:p>
        </w:tc>
        <w:tc>
          <w:tcPr>
            <w:tcW w:w="9281" w:type="dxa"/>
            <w:gridSpan w:val="2"/>
            <w:noWrap/>
            <w:vAlign w:val="center"/>
          </w:tcPr>
          <w:p w14:paraId="7EDDF321">
            <w:pPr>
              <w:widowControl/>
              <w:numPr>
                <w:ilvl w:val="0"/>
                <w:numId w:val="0"/>
              </w:numPr>
              <w:ind w:left="425" w:leftChars="0" w:hanging="425" w:firstLineChars="0"/>
              <w:jc w:val="left"/>
              <w:rPr>
                <w:rFonts w:ascii="宋体" w:hAnsi="宋体" w:eastAsia="宋体" w:cs="宋体"/>
                <w:kern w:val="0"/>
                <w:sz w:val="24"/>
                <w:szCs w:val="24"/>
              </w:rPr>
            </w:pPr>
            <w:r>
              <w:rPr>
                <w:rFonts w:hint="default" w:ascii="宋体" w:hAnsi="宋体" w:eastAsia="宋体" w:cs="宋体"/>
                <w:kern w:val="0"/>
                <w:sz w:val="24"/>
                <w:szCs w:val="24"/>
                <w:lang w:val="en-US" w:eastAsia="en-US" w:bidi="ar-SA"/>
              </w:rPr>
              <w:t>10.</w:t>
            </w:r>
            <w:r>
              <w:rPr>
                <w:rFonts w:hint="eastAsia" w:ascii="宋体" w:hAnsi="宋体" w:eastAsia="宋体" w:cs="宋体"/>
                <w:color w:val="000000"/>
                <w:kern w:val="0"/>
                <w:sz w:val="24"/>
                <w:szCs w:val="24"/>
              </w:rPr>
              <w:t>输血管理系统</w:t>
            </w:r>
          </w:p>
        </w:tc>
      </w:tr>
      <w:tr w14:paraId="412B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00" w:type="dxa"/>
            <w:vMerge w:val="continue"/>
            <w:vAlign w:val="center"/>
          </w:tcPr>
          <w:p w14:paraId="293D0D08">
            <w:pPr>
              <w:widowControl/>
              <w:jc w:val="left"/>
              <w:rPr>
                <w:rFonts w:ascii="宋体" w:hAnsi="宋体" w:eastAsia="宋体" w:cs="宋体"/>
                <w:b/>
                <w:bCs/>
                <w:color w:val="000000"/>
                <w:kern w:val="0"/>
                <w:sz w:val="24"/>
                <w:szCs w:val="24"/>
              </w:rPr>
            </w:pPr>
          </w:p>
        </w:tc>
        <w:tc>
          <w:tcPr>
            <w:tcW w:w="9281" w:type="dxa"/>
            <w:gridSpan w:val="2"/>
            <w:noWrap/>
            <w:vAlign w:val="center"/>
          </w:tcPr>
          <w:p w14:paraId="0F3660A1">
            <w:pPr>
              <w:widowControl/>
              <w:numPr>
                <w:ilvl w:val="0"/>
                <w:numId w:val="0"/>
              </w:numPr>
              <w:ind w:left="425" w:leftChars="0" w:hanging="425" w:firstLineChars="0"/>
              <w:jc w:val="left"/>
              <w:rPr>
                <w:rFonts w:ascii="宋体" w:hAnsi="宋体" w:eastAsia="宋体" w:cs="宋体"/>
                <w:kern w:val="0"/>
                <w:sz w:val="24"/>
                <w:szCs w:val="24"/>
              </w:rPr>
            </w:pPr>
            <w:r>
              <w:rPr>
                <w:rFonts w:hint="default" w:ascii="宋体" w:hAnsi="宋体" w:eastAsia="宋体" w:cs="宋体"/>
                <w:kern w:val="0"/>
                <w:sz w:val="24"/>
                <w:szCs w:val="24"/>
                <w:lang w:val="en-US" w:eastAsia="en-US" w:bidi="ar-SA"/>
              </w:rPr>
              <w:t>11.</w:t>
            </w:r>
            <w:r>
              <w:rPr>
                <w:rFonts w:hint="eastAsia" w:ascii="宋体" w:hAnsi="宋体" w:eastAsia="宋体" w:cs="宋体"/>
                <w:color w:val="000000"/>
                <w:kern w:val="0"/>
                <w:sz w:val="24"/>
                <w:szCs w:val="24"/>
              </w:rPr>
              <w:t>物资库房管理系统</w:t>
            </w:r>
          </w:p>
        </w:tc>
      </w:tr>
      <w:tr w14:paraId="2C5A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200" w:type="dxa"/>
            <w:vMerge w:val="continue"/>
            <w:vAlign w:val="center"/>
          </w:tcPr>
          <w:p w14:paraId="762BB404">
            <w:pPr>
              <w:widowControl/>
              <w:jc w:val="left"/>
              <w:rPr>
                <w:rFonts w:ascii="宋体" w:hAnsi="宋体" w:eastAsia="宋体" w:cs="宋体"/>
                <w:b/>
                <w:bCs/>
                <w:color w:val="000000"/>
                <w:kern w:val="0"/>
                <w:sz w:val="24"/>
                <w:szCs w:val="24"/>
              </w:rPr>
            </w:pPr>
          </w:p>
        </w:tc>
        <w:tc>
          <w:tcPr>
            <w:tcW w:w="9281" w:type="dxa"/>
            <w:gridSpan w:val="2"/>
            <w:vAlign w:val="center"/>
          </w:tcPr>
          <w:p w14:paraId="7ECE5DCF">
            <w:pPr>
              <w:widowControl/>
              <w:numPr>
                <w:ilvl w:val="0"/>
                <w:numId w:val="0"/>
              </w:numPr>
              <w:ind w:left="425" w:leftChars="0" w:hanging="425" w:firstLineChars="0"/>
              <w:jc w:val="left"/>
              <w:rPr>
                <w:rFonts w:hint="eastAsia" w:ascii="宋体" w:hAnsi="宋体" w:eastAsia="宋体" w:cs="宋体"/>
                <w:color w:val="000000"/>
                <w:kern w:val="0"/>
                <w:sz w:val="24"/>
                <w:szCs w:val="24"/>
              </w:rPr>
            </w:pPr>
            <w:r>
              <w:rPr>
                <w:rFonts w:hint="default" w:ascii="宋体" w:hAnsi="宋体" w:eastAsia="宋体" w:cs="宋体"/>
                <w:kern w:val="0"/>
                <w:sz w:val="24"/>
                <w:szCs w:val="24"/>
                <w:lang w:val="en-US" w:eastAsia="en-US" w:bidi="ar-SA"/>
              </w:rPr>
              <w:t>12.</w:t>
            </w:r>
            <w:r>
              <w:rPr>
                <w:rFonts w:hint="eastAsia" w:ascii="宋体" w:hAnsi="宋体" w:eastAsia="宋体" w:cs="宋体"/>
                <w:color w:val="000000"/>
                <w:kern w:val="0"/>
                <w:sz w:val="24"/>
                <w:szCs w:val="24"/>
              </w:rPr>
              <w:t>对医院目前已建设运行及升级后的以上系统和HIS接口服务提供维护服务, 并提供</w:t>
            </w:r>
          </w:p>
          <w:p w14:paraId="19CB6F24">
            <w:pPr>
              <w:widowControl/>
              <w:numPr>
                <w:ilvl w:val="0"/>
                <w:numId w:val="0"/>
              </w:numPr>
              <w:ind w:left="425" w:leftChars="0" w:hanging="425" w:firstLineChars="0"/>
              <w:jc w:val="left"/>
              <w:rPr>
                <w:rFonts w:ascii="宋体" w:hAnsi="宋体" w:eastAsia="宋体" w:cs="宋体"/>
                <w:kern w:val="0"/>
                <w:sz w:val="24"/>
                <w:szCs w:val="24"/>
              </w:rPr>
            </w:pPr>
            <w:r>
              <w:rPr>
                <w:rFonts w:hint="eastAsia" w:ascii="宋体" w:hAnsi="宋体" w:eastAsia="宋体" w:cs="宋体"/>
                <w:color w:val="000000"/>
                <w:kern w:val="0"/>
                <w:sz w:val="24"/>
                <w:szCs w:val="24"/>
              </w:rPr>
              <w:t>工程师驻场服务8个月。</w:t>
            </w:r>
          </w:p>
        </w:tc>
      </w:tr>
    </w:tbl>
    <w:p w14:paraId="6390393A">
      <w:pPr>
        <w:keepNext/>
        <w:keepLines/>
        <w:adjustRightInd w:val="0"/>
        <w:spacing w:line="360" w:lineRule="auto"/>
        <w:outlineLvl w:val="2"/>
        <w:rPr>
          <w:rFonts w:hint="eastAsia" w:ascii="宋体" w:hAnsi="宋体" w:eastAsia="宋体" w:cs="宋体"/>
          <w:b/>
          <w:sz w:val="24"/>
        </w:rPr>
      </w:pPr>
      <w:r>
        <w:rPr>
          <w:rFonts w:hint="eastAsia" w:ascii="宋体" w:hAnsi="宋体" w:eastAsia="宋体" w:cs="宋体"/>
          <w:b/>
          <w:sz w:val="24"/>
          <w:lang w:eastAsia="zh-CN"/>
        </w:rPr>
        <w:t>（2）</w:t>
      </w:r>
      <w:r>
        <w:rPr>
          <w:rFonts w:hint="eastAsia" w:ascii="宋体" w:hAnsi="宋体" w:eastAsia="宋体" w:cs="宋体"/>
          <w:b/>
          <w:sz w:val="24"/>
        </w:rPr>
        <w:t>服务要求</w:t>
      </w:r>
    </w:p>
    <w:p w14:paraId="2EF05EEE">
      <w:pPr>
        <w:keepNext/>
        <w:keepLines/>
        <w:tabs>
          <w:tab w:val="left" w:pos="720"/>
        </w:tabs>
        <w:spacing w:line="360" w:lineRule="auto"/>
        <w:ind w:left="420" w:hanging="420"/>
        <w:outlineLvl w:val="3"/>
        <w:rPr>
          <w:rFonts w:hint="eastAsia" w:ascii="宋体" w:hAnsi="宋体" w:eastAsia="宋体" w:cs="宋体"/>
          <w:b/>
          <w:sz w:val="24"/>
        </w:rPr>
      </w:pPr>
      <w:r>
        <w:rPr>
          <w:rFonts w:hint="eastAsia" w:ascii="宋体" w:hAnsi="宋体" w:eastAsia="宋体" w:cs="宋体"/>
          <w:b/>
          <w:sz w:val="24"/>
          <w:lang w:eastAsia="zh-CN"/>
        </w:rPr>
        <w:t>2</w:t>
      </w:r>
      <w:r>
        <w:rPr>
          <w:rFonts w:hint="eastAsia" w:ascii="宋体" w:hAnsi="宋体" w:eastAsia="宋体" w:cs="宋体"/>
          <w:b/>
          <w:sz w:val="24"/>
        </w:rPr>
        <w:t>.1服务期要求</w:t>
      </w:r>
    </w:p>
    <w:p w14:paraId="5676A9C6">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1）合同签订后8个月，7*24不间断服务；</w:t>
      </w:r>
    </w:p>
    <w:p w14:paraId="215BFE8D">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2）工作日提供驻场服务，工作时间与采购人保持一致，服务主要工作由驻场工程师负责，驻场人员无法处理的事项需由投标人提供技术专家支持；</w:t>
      </w:r>
    </w:p>
    <w:p w14:paraId="0C23A47E">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3）节假日或驻场工程师休假期间，由投标人提供电话支持，如遇重大故障或紧急情况投标人需现场支持。</w:t>
      </w:r>
    </w:p>
    <w:p w14:paraId="6F5DFA10">
      <w:pPr>
        <w:tabs>
          <w:tab w:val="left" w:pos="284"/>
        </w:tabs>
        <w:spacing w:line="360" w:lineRule="auto"/>
        <w:rPr>
          <w:rFonts w:hint="eastAsia" w:ascii="宋体" w:hAnsi="宋体" w:eastAsia="宋体" w:cs="宋体"/>
          <w:b/>
          <w:sz w:val="24"/>
          <w:lang w:eastAsia="zh-CN"/>
        </w:rPr>
      </w:pPr>
      <w:r>
        <w:rPr>
          <w:rFonts w:hint="eastAsia" w:ascii="宋体" w:hAnsi="宋体" w:eastAsia="宋体" w:cs="宋体"/>
          <w:b/>
          <w:sz w:val="24"/>
          <w:lang w:eastAsia="zh-CN"/>
        </w:rPr>
        <w:t>2.2系统维护要求</w:t>
      </w:r>
    </w:p>
    <w:p w14:paraId="5E0D2DF6">
      <w:pPr>
        <w:tabs>
          <w:tab w:val="left" w:pos="284"/>
        </w:tabs>
        <w:spacing w:line="360" w:lineRule="auto"/>
        <w:rPr>
          <w:rFonts w:hint="eastAsia" w:ascii="宋体" w:hAnsi="宋体" w:eastAsia="宋体" w:cs="宋体"/>
          <w:b/>
          <w:bCs/>
          <w:color w:val="000000"/>
          <w:sz w:val="24"/>
          <w:szCs w:val="24"/>
        </w:rPr>
      </w:pPr>
      <w:r>
        <w:rPr>
          <w:rFonts w:hint="eastAsia" w:ascii="宋体" w:hAnsi="宋体" w:eastAsia="宋体" w:cs="宋体"/>
          <w:b/>
          <w:sz w:val="24"/>
          <w:lang w:eastAsia="zh-CN"/>
        </w:rPr>
        <w:t>2.2.1</w:t>
      </w:r>
      <w:r>
        <w:rPr>
          <w:rFonts w:hint="eastAsia" w:ascii="宋体" w:hAnsi="宋体" w:eastAsia="宋体" w:cs="宋体"/>
          <w:b/>
          <w:bCs/>
          <w:color w:val="000000"/>
          <w:sz w:val="24"/>
          <w:szCs w:val="24"/>
        </w:rPr>
        <w:t>系统运维</w:t>
      </w:r>
    </w:p>
    <w:p w14:paraId="5E83AB89">
      <w:pPr>
        <w:tabs>
          <w:tab w:val="left" w:pos="284"/>
        </w:tabs>
        <w:spacing w:line="360" w:lineRule="auto"/>
        <w:rPr>
          <w:rFonts w:hint="eastAsia" w:ascii="宋体" w:hAnsi="宋体" w:eastAsia="宋体" w:cs="宋体"/>
          <w:b w:val="0"/>
          <w:bCs/>
          <w:sz w:val="24"/>
          <w:lang w:eastAsia="zh-CN"/>
        </w:rPr>
      </w:pPr>
      <w:r>
        <w:rPr>
          <w:rFonts w:hint="eastAsia" w:ascii="宋体" w:hAnsi="宋体" w:eastAsia="宋体" w:cs="宋体"/>
          <w:b w:val="0"/>
          <w:bCs/>
          <w:sz w:val="24"/>
          <w:lang w:eastAsia="zh-CN"/>
        </w:rPr>
        <w:t>1</w:t>
      </w:r>
      <w:r>
        <w:rPr>
          <w:rFonts w:hint="eastAsia" w:ascii="宋体" w:hAnsi="宋体" w:eastAsia="宋体" w:cs="宋体"/>
          <w:sz w:val="24"/>
          <w:lang w:eastAsia="zh-CN"/>
        </w:rPr>
        <w:t>）</w:t>
      </w:r>
      <w:r>
        <w:rPr>
          <w:rFonts w:hint="eastAsia" w:ascii="宋体" w:hAnsi="宋体" w:eastAsia="宋体" w:cs="宋体"/>
          <w:b w:val="0"/>
          <w:bCs/>
          <w:sz w:val="24"/>
          <w:lang w:eastAsia="zh-CN"/>
        </w:rPr>
        <w:t>住院医生站管理系统</w:t>
      </w:r>
    </w:p>
    <w:p w14:paraId="3A3CA520">
      <w:pPr>
        <w:tabs>
          <w:tab w:val="left" w:pos="284"/>
        </w:tabs>
        <w:spacing w:line="360" w:lineRule="auto"/>
        <w:rPr>
          <w:rFonts w:hint="eastAsia" w:ascii="宋体" w:hAnsi="宋体" w:eastAsia="宋体" w:cs="宋体"/>
          <w:b w:val="0"/>
          <w:bCs/>
          <w:sz w:val="24"/>
          <w:lang w:eastAsia="zh-CN"/>
        </w:rPr>
      </w:pPr>
      <w:r>
        <w:rPr>
          <w:rFonts w:hint="eastAsia" w:ascii="宋体" w:hAnsi="宋体" w:eastAsia="宋体" w:cs="宋体"/>
          <w:b w:val="0"/>
          <w:bCs/>
          <w:sz w:val="24"/>
          <w:lang w:eastAsia="zh-CN"/>
        </w:rPr>
        <w:t>2</w:t>
      </w:r>
      <w:r>
        <w:rPr>
          <w:rFonts w:hint="eastAsia" w:ascii="宋体" w:hAnsi="宋体" w:eastAsia="宋体" w:cs="宋体"/>
          <w:sz w:val="24"/>
          <w:lang w:eastAsia="zh-CN"/>
        </w:rPr>
        <w:t>）</w:t>
      </w:r>
      <w:r>
        <w:rPr>
          <w:rFonts w:hint="eastAsia" w:ascii="宋体" w:hAnsi="宋体" w:eastAsia="宋体" w:cs="宋体"/>
          <w:b w:val="0"/>
          <w:bCs/>
          <w:sz w:val="24"/>
          <w:lang w:eastAsia="zh-CN"/>
        </w:rPr>
        <w:t>住院医技终端管理系统</w:t>
      </w:r>
    </w:p>
    <w:p w14:paraId="50DB5E36">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3</w:t>
      </w:r>
      <w:r>
        <w:rPr>
          <w:rFonts w:hint="eastAsia" w:ascii="宋体" w:hAnsi="宋体" w:eastAsia="宋体" w:cs="宋体"/>
          <w:sz w:val="24"/>
          <w:lang w:eastAsia="zh-CN"/>
        </w:rPr>
        <w:t>）</w:t>
      </w:r>
      <w:r>
        <w:rPr>
          <w:rFonts w:hint="eastAsia" w:ascii="宋体" w:hAnsi="宋体" w:eastAsia="宋体" w:cs="宋体"/>
          <w:b w:val="0"/>
          <w:bCs/>
          <w:sz w:val="24"/>
          <w:lang w:eastAsia="zh-CN"/>
        </w:rPr>
        <w:t>住院药房管理系统</w:t>
      </w:r>
    </w:p>
    <w:p w14:paraId="37C877EE">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4</w:t>
      </w:r>
      <w:r>
        <w:rPr>
          <w:rFonts w:hint="eastAsia" w:ascii="宋体" w:hAnsi="宋体" w:eastAsia="宋体" w:cs="宋体"/>
          <w:sz w:val="24"/>
          <w:lang w:eastAsia="zh-CN"/>
        </w:rPr>
        <w:t>）</w:t>
      </w:r>
      <w:r>
        <w:rPr>
          <w:rFonts w:hint="eastAsia" w:ascii="宋体" w:hAnsi="宋体" w:eastAsia="宋体" w:cs="宋体"/>
          <w:b w:val="0"/>
          <w:bCs/>
          <w:sz w:val="24"/>
          <w:lang w:eastAsia="zh-CN"/>
        </w:rPr>
        <w:t>住院收费结算管理系统</w:t>
      </w:r>
    </w:p>
    <w:p w14:paraId="2A67169D">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5</w:t>
      </w:r>
      <w:r>
        <w:rPr>
          <w:rFonts w:hint="eastAsia" w:ascii="宋体" w:hAnsi="宋体" w:eastAsia="宋体" w:cs="宋体"/>
          <w:sz w:val="24"/>
          <w:lang w:eastAsia="zh-CN"/>
        </w:rPr>
        <w:t>）</w:t>
      </w:r>
      <w:r>
        <w:rPr>
          <w:rFonts w:hint="eastAsia" w:ascii="宋体" w:hAnsi="宋体" w:eastAsia="宋体" w:cs="宋体"/>
          <w:b w:val="0"/>
          <w:bCs/>
          <w:sz w:val="24"/>
          <w:lang w:eastAsia="zh-CN"/>
        </w:rPr>
        <w:t>住院护士站管理系统</w:t>
      </w:r>
    </w:p>
    <w:p w14:paraId="35EC3C92">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6</w:t>
      </w:r>
      <w:r>
        <w:rPr>
          <w:rFonts w:hint="eastAsia" w:ascii="宋体" w:hAnsi="宋体" w:eastAsia="宋体" w:cs="宋体"/>
          <w:sz w:val="24"/>
          <w:lang w:eastAsia="zh-CN"/>
        </w:rPr>
        <w:t>）</w:t>
      </w:r>
      <w:r>
        <w:rPr>
          <w:rFonts w:hint="eastAsia" w:ascii="宋体" w:hAnsi="宋体" w:eastAsia="宋体" w:cs="宋体"/>
          <w:b w:val="0"/>
          <w:bCs/>
          <w:sz w:val="24"/>
          <w:lang w:eastAsia="zh-CN"/>
        </w:rPr>
        <w:t>手术麻醉批费管理系统</w:t>
      </w:r>
    </w:p>
    <w:p w14:paraId="49BA8DDE">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7</w:t>
      </w:r>
      <w:r>
        <w:rPr>
          <w:rFonts w:hint="eastAsia" w:ascii="宋体" w:hAnsi="宋体" w:eastAsia="宋体" w:cs="宋体"/>
          <w:sz w:val="24"/>
          <w:lang w:eastAsia="zh-CN"/>
        </w:rPr>
        <w:t>）</w:t>
      </w:r>
      <w:r>
        <w:rPr>
          <w:rFonts w:hint="eastAsia" w:ascii="宋体" w:hAnsi="宋体" w:eastAsia="宋体" w:cs="宋体"/>
          <w:b w:val="0"/>
          <w:bCs/>
          <w:sz w:val="24"/>
          <w:lang w:eastAsia="zh-CN"/>
        </w:rPr>
        <w:t>考勤奖金管理系统</w:t>
      </w:r>
    </w:p>
    <w:p w14:paraId="63E0321D">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8</w:t>
      </w:r>
      <w:r>
        <w:rPr>
          <w:rFonts w:hint="eastAsia" w:ascii="宋体" w:hAnsi="宋体" w:eastAsia="宋体" w:cs="宋体"/>
          <w:sz w:val="24"/>
          <w:lang w:eastAsia="zh-CN"/>
        </w:rPr>
        <w:t>）</w:t>
      </w:r>
      <w:r>
        <w:rPr>
          <w:rFonts w:hint="eastAsia" w:ascii="宋体" w:hAnsi="宋体" w:eastAsia="宋体" w:cs="宋体"/>
          <w:b w:val="0"/>
          <w:bCs/>
          <w:sz w:val="24"/>
          <w:lang w:eastAsia="zh-CN"/>
        </w:rPr>
        <w:t>党费管理系统</w:t>
      </w:r>
    </w:p>
    <w:p w14:paraId="34B8B51C">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9</w:t>
      </w:r>
      <w:r>
        <w:rPr>
          <w:rFonts w:hint="eastAsia" w:ascii="宋体" w:hAnsi="宋体" w:eastAsia="宋体" w:cs="宋体"/>
          <w:sz w:val="24"/>
          <w:lang w:eastAsia="zh-CN"/>
        </w:rPr>
        <w:t>）</w:t>
      </w:r>
      <w:r>
        <w:rPr>
          <w:rFonts w:hint="eastAsia" w:ascii="宋体" w:hAnsi="宋体" w:eastAsia="宋体" w:cs="宋体"/>
          <w:b w:val="0"/>
          <w:bCs/>
          <w:sz w:val="24"/>
          <w:lang w:eastAsia="zh-CN"/>
        </w:rPr>
        <w:t>固定资产管理系统</w:t>
      </w:r>
    </w:p>
    <w:p w14:paraId="7A69D662">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10</w:t>
      </w:r>
      <w:r>
        <w:rPr>
          <w:rFonts w:hint="eastAsia" w:ascii="宋体" w:hAnsi="宋体" w:eastAsia="宋体" w:cs="宋体"/>
          <w:sz w:val="24"/>
          <w:lang w:eastAsia="zh-CN"/>
        </w:rPr>
        <w:t>）</w:t>
      </w:r>
      <w:r>
        <w:rPr>
          <w:rFonts w:hint="eastAsia" w:ascii="宋体" w:hAnsi="宋体" w:eastAsia="宋体" w:cs="宋体"/>
          <w:b w:val="0"/>
          <w:bCs/>
          <w:sz w:val="24"/>
          <w:lang w:eastAsia="zh-CN"/>
        </w:rPr>
        <w:t>输血管理系统</w:t>
      </w:r>
    </w:p>
    <w:p w14:paraId="0A59043F">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11</w:t>
      </w:r>
      <w:r>
        <w:rPr>
          <w:rFonts w:hint="eastAsia" w:ascii="宋体" w:hAnsi="宋体" w:eastAsia="宋体" w:cs="宋体"/>
          <w:sz w:val="24"/>
          <w:lang w:eastAsia="zh-CN"/>
        </w:rPr>
        <w:t>）</w:t>
      </w:r>
      <w:r>
        <w:rPr>
          <w:rFonts w:hint="eastAsia" w:ascii="宋体" w:hAnsi="宋体" w:eastAsia="宋体" w:cs="宋体"/>
          <w:b w:val="0"/>
          <w:bCs/>
          <w:sz w:val="24"/>
          <w:lang w:eastAsia="zh-CN"/>
        </w:rPr>
        <w:t>物资库房管理系统</w:t>
      </w:r>
    </w:p>
    <w:p w14:paraId="37CD37C4">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12</w:t>
      </w:r>
      <w:r>
        <w:rPr>
          <w:rFonts w:hint="eastAsia" w:ascii="宋体" w:hAnsi="宋体" w:eastAsia="宋体" w:cs="宋体"/>
          <w:sz w:val="24"/>
          <w:lang w:eastAsia="zh-CN"/>
        </w:rPr>
        <w:t>）</w:t>
      </w:r>
      <w:r>
        <w:rPr>
          <w:rFonts w:hint="eastAsia" w:ascii="宋体" w:hAnsi="宋体" w:eastAsia="宋体" w:cs="宋体"/>
          <w:b w:val="0"/>
          <w:bCs/>
          <w:sz w:val="24"/>
          <w:lang w:eastAsia="zh-CN"/>
        </w:rPr>
        <w:t>对医院目前已建设运行及升级后的以上系统和HIS接口服务提供维护服务, 并提供</w:t>
      </w:r>
    </w:p>
    <w:p w14:paraId="2E90D44D">
      <w:pPr>
        <w:keepNext/>
        <w:keepLines/>
        <w:spacing w:line="360" w:lineRule="auto"/>
        <w:ind w:left="420" w:hanging="420"/>
        <w:outlineLvl w:val="4"/>
        <w:rPr>
          <w:rFonts w:hint="eastAsia" w:ascii="宋体" w:hAnsi="宋体" w:eastAsia="宋体" w:cs="宋体"/>
          <w:b w:val="0"/>
          <w:bCs/>
          <w:sz w:val="24"/>
          <w:lang w:eastAsia="zh-CN"/>
        </w:rPr>
      </w:pPr>
      <w:r>
        <w:rPr>
          <w:rFonts w:hint="eastAsia" w:ascii="宋体" w:hAnsi="宋体" w:eastAsia="宋体" w:cs="宋体"/>
          <w:b w:val="0"/>
          <w:bCs/>
          <w:sz w:val="24"/>
          <w:lang w:eastAsia="zh-CN"/>
        </w:rPr>
        <w:t>工程师驻场服务8个月。</w:t>
      </w:r>
    </w:p>
    <w:p w14:paraId="6F746EFA">
      <w:pPr>
        <w:keepNext/>
        <w:keepLines/>
        <w:spacing w:line="360" w:lineRule="auto"/>
        <w:ind w:left="420" w:hanging="420"/>
        <w:outlineLvl w:val="4"/>
        <w:rPr>
          <w:rFonts w:hint="eastAsia" w:ascii="宋体" w:hAnsi="宋体" w:eastAsia="宋体" w:cs="宋体"/>
          <w:b/>
          <w:sz w:val="24"/>
          <w:lang w:eastAsia="zh-CN"/>
        </w:rPr>
      </w:pPr>
      <w:r>
        <w:rPr>
          <w:rFonts w:hint="eastAsia" w:ascii="宋体" w:hAnsi="宋体" w:eastAsia="宋体" w:cs="宋体"/>
          <w:b/>
          <w:sz w:val="24"/>
          <w:lang w:eastAsia="zh-CN"/>
        </w:rPr>
        <w:t>2.2.</w:t>
      </w:r>
      <w:r>
        <w:rPr>
          <w:rFonts w:hint="eastAsia" w:ascii="宋体" w:hAnsi="宋体" w:eastAsia="宋体" w:cs="宋体"/>
          <w:b/>
          <w:sz w:val="24"/>
          <w:lang w:val="en-US" w:eastAsia="zh-CN"/>
        </w:rPr>
        <w:t>2</w:t>
      </w:r>
      <w:r>
        <w:rPr>
          <w:rFonts w:hint="eastAsia" w:ascii="宋体" w:hAnsi="宋体" w:eastAsia="宋体" w:cs="宋体"/>
          <w:b/>
          <w:sz w:val="24"/>
          <w:lang w:eastAsia="zh-CN"/>
        </w:rPr>
        <w:t>日常运维</w:t>
      </w:r>
    </w:p>
    <w:p w14:paraId="60D255F1">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1）应用软件的日常数据检查维护、报表等添加及维护，包括科室查询统计报表等院内报表和医保报表的添加及维护；</w:t>
      </w:r>
    </w:p>
    <w:p w14:paraId="0037F8C3">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2）对应用软件系统存在的BUG进行修复，系统故障现场处理及系统性能调优；</w:t>
      </w:r>
    </w:p>
    <w:p w14:paraId="7E4F0E21">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3）因政策法规、医院管理、科室需求、业务拓展等原因，对运维范围内系统进行功能优化、接口改造、需求改进工作，协助医院完成评级相关支持工作；</w:t>
      </w:r>
    </w:p>
    <w:p w14:paraId="39DDF828">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4）系统更新有标准化更新日志、备份和应急处理措施；</w:t>
      </w:r>
    </w:p>
    <w:p w14:paraId="1385FB9D">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5）驻场工程师负责配合采购人或信息科管理信息系统负责人进行医院管理信息系统正式服务器与测试服务器搭建及维护工作；</w:t>
      </w:r>
    </w:p>
    <w:p w14:paraId="16126ACA">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6）驻场工程师现场协助采购人或信息科管理信息系统负责人处理各业务科室报告问题并在完成后予以服务平台记录，以便定期数据分析；</w:t>
      </w:r>
    </w:p>
    <w:p w14:paraId="5B977610">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7）提供系统技术与业务咨询服务，指导技术人员处理异常数据。</w:t>
      </w:r>
    </w:p>
    <w:p w14:paraId="5C9923DF">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8）协助院方建立日常维护记录，定期与院方系统管理人员共同检查系统运行情况，并形成系统维护记录制度和系统管理规范；</w:t>
      </w:r>
    </w:p>
    <w:p w14:paraId="7A01F69A">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9）上级检查前期配合采购人或信息科管理信息系统负责人对相关系统模块进行有针对性的自检、自查，排查管理信息系统运行风险及业务流程风险；</w:t>
      </w:r>
    </w:p>
    <w:p w14:paraId="385E74EC">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10）驻场工程师协助采购人或信息科管理信息系统负责人提供相关数据及相关文件检索以供检查或评审使用；</w:t>
      </w:r>
    </w:p>
    <w:p w14:paraId="1AB848B2">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11）驻场工程师全程陪同有关管理信息系统内容检查，记录相关领导、专家对管理信息系统提出的整改意见，形成会议纪要或需求文档格式，整理后与公司后台开发管理人员核对、沟通。并由公司出文予以采购人或信息科管理信息系统负责人明确需求更改计划和需求实现方案；</w:t>
      </w:r>
    </w:p>
    <w:p w14:paraId="2AC988AA">
      <w:pPr>
        <w:keepNext/>
        <w:keepLines/>
        <w:spacing w:line="360" w:lineRule="auto"/>
        <w:ind w:left="420" w:hanging="420"/>
        <w:outlineLvl w:val="4"/>
        <w:rPr>
          <w:rFonts w:hint="eastAsia" w:ascii="宋体" w:hAnsi="宋体" w:eastAsia="宋体" w:cs="宋体"/>
          <w:b/>
          <w:sz w:val="24"/>
          <w:lang w:eastAsia="zh-CN"/>
        </w:rPr>
      </w:pPr>
      <w:r>
        <w:rPr>
          <w:rFonts w:hint="eastAsia" w:ascii="宋体" w:hAnsi="宋体" w:eastAsia="宋体" w:cs="宋体"/>
          <w:b/>
          <w:sz w:val="24"/>
          <w:lang w:eastAsia="zh-CN"/>
        </w:rPr>
        <w:t>2.2.</w:t>
      </w:r>
      <w:r>
        <w:rPr>
          <w:rFonts w:hint="eastAsia" w:ascii="宋体" w:hAnsi="宋体" w:eastAsia="宋体" w:cs="宋体"/>
          <w:b/>
          <w:sz w:val="24"/>
          <w:lang w:val="en-US" w:eastAsia="zh-CN"/>
        </w:rPr>
        <w:t>3</w:t>
      </w:r>
      <w:r>
        <w:rPr>
          <w:rFonts w:ascii="宋体" w:hAnsi="宋体" w:eastAsia="宋体" w:cs="宋体"/>
        </w:rPr>
        <w:fldChar w:fldCharType="begin"/>
      </w:r>
      <w:r>
        <w:rPr>
          <w:rFonts w:ascii="宋体" w:hAnsi="宋体" w:eastAsia="宋体" w:cs="宋体"/>
        </w:rPr>
        <w:instrText xml:space="preserve"> HYPERLINK \l "_系统概述" </w:instrText>
      </w:r>
      <w:r>
        <w:rPr>
          <w:rFonts w:ascii="宋体" w:hAnsi="宋体" w:eastAsia="宋体" w:cs="宋体"/>
        </w:rPr>
        <w:fldChar w:fldCharType="separate"/>
      </w:r>
      <w:r>
        <w:rPr>
          <w:rFonts w:hint="eastAsia" w:ascii="宋体" w:hAnsi="宋体" w:eastAsia="宋体" w:cs="宋体"/>
          <w:b/>
          <w:sz w:val="24"/>
          <w:lang w:eastAsia="zh-CN"/>
        </w:rPr>
        <w:t>功能维护</w:t>
      </w:r>
      <w:r>
        <w:rPr>
          <w:rFonts w:hint="eastAsia" w:ascii="宋体" w:hAnsi="宋体" w:eastAsia="宋体" w:cs="宋体"/>
          <w:b/>
          <w:sz w:val="24"/>
          <w:lang w:eastAsia="zh-CN"/>
        </w:rPr>
        <w:fldChar w:fldCharType="end"/>
      </w:r>
      <w:r>
        <w:rPr>
          <w:rFonts w:hint="eastAsia" w:ascii="宋体" w:hAnsi="宋体" w:eastAsia="宋体" w:cs="宋体"/>
          <w:b/>
          <w:sz w:val="24"/>
          <w:lang w:eastAsia="zh-CN"/>
        </w:rPr>
        <w:t>要求</w:t>
      </w:r>
    </w:p>
    <w:p w14:paraId="108CBDD9">
      <w:pPr>
        <w:keepNext/>
        <w:keepLines/>
        <w:widowControl/>
        <w:tabs>
          <w:tab w:val="left" w:pos="360"/>
          <w:tab w:val="left" w:pos="720"/>
        </w:tabs>
        <w:snapToGrid w:val="0"/>
        <w:spacing w:line="360" w:lineRule="auto"/>
        <w:ind w:left="720" w:hanging="720"/>
        <w:outlineLvl w:val="5"/>
        <w:rPr>
          <w:rFonts w:hint="eastAsia" w:ascii="宋体" w:hAnsi="宋体" w:eastAsia="宋体" w:cs="宋体"/>
          <w:b/>
          <w:sz w:val="24"/>
          <w:lang w:eastAsia="zh-CN"/>
        </w:rPr>
      </w:pPr>
      <w:r>
        <w:rPr>
          <w:rFonts w:hint="eastAsia" w:ascii="宋体" w:hAnsi="宋体" w:eastAsia="宋体" w:cs="宋体"/>
          <w:b/>
          <w:sz w:val="24"/>
          <w:lang w:eastAsia="zh-CN"/>
        </w:rPr>
        <w:t>2.2.</w:t>
      </w:r>
      <w:r>
        <w:rPr>
          <w:rFonts w:hint="eastAsia" w:ascii="宋体" w:hAnsi="宋体" w:eastAsia="宋体" w:cs="宋体"/>
          <w:b/>
          <w:sz w:val="24"/>
          <w:lang w:val="en-US" w:eastAsia="zh-CN"/>
        </w:rPr>
        <w:t>3</w:t>
      </w:r>
      <w:r>
        <w:rPr>
          <w:rFonts w:hint="eastAsia" w:ascii="宋体" w:hAnsi="宋体" w:eastAsia="宋体" w:cs="宋体"/>
          <w:b/>
          <w:sz w:val="24"/>
          <w:lang w:eastAsia="zh-CN"/>
        </w:rPr>
        <w:t>.1功能提升</w:t>
      </w:r>
    </w:p>
    <w:p w14:paraId="025BEA61">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1）驻场工程师负责长期现场业务科室需求调研，并结合采购人服务记录分析，提请公司架构师、咨询师每年至少2次客户现场沟通，对采购人管理信息系统规划做出相应建议，满足采购人系统功能提升需求；</w:t>
      </w:r>
    </w:p>
    <w:p w14:paraId="1B3B35BA">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2）驻场工程师根据采购人未来管理信息系统功能提升要求，提请公司提供管理信息系统全国医院客户中较优的功能推荐，向采购人介绍；</w:t>
      </w:r>
    </w:p>
    <w:p w14:paraId="4988D3AC">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3）中标人根据客户需求及服务情况分析，推荐适合采购人的新功能、产品，提升信息化建设水平；</w:t>
      </w:r>
    </w:p>
    <w:p w14:paraId="212D59AF">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4）中标人提供全国管理信息系统客户清单，以便客户进行信息系统使用调研；</w:t>
      </w:r>
    </w:p>
    <w:p w14:paraId="63D64D23">
      <w:pPr>
        <w:keepNext/>
        <w:keepLines/>
        <w:widowControl/>
        <w:tabs>
          <w:tab w:val="left" w:pos="360"/>
          <w:tab w:val="left" w:pos="720"/>
        </w:tabs>
        <w:snapToGrid w:val="0"/>
        <w:spacing w:line="360" w:lineRule="auto"/>
        <w:ind w:left="720" w:hanging="720"/>
        <w:outlineLvl w:val="5"/>
        <w:rPr>
          <w:rFonts w:hint="eastAsia" w:ascii="宋体" w:hAnsi="宋体" w:eastAsia="宋体" w:cs="宋体"/>
          <w:b/>
          <w:sz w:val="24"/>
          <w:lang w:eastAsia="zh-CN"/>
        </w:rPr>
      </w:pPr>
      <w:r>
        <w:rPr>
          <w:rFonts w:hint="eastAsia" w:ascii="宋体" w:hAnsi="宋体" w:eastAsia="宋体" w:cs="宋体"/>
          <w:b/>
          <w:sz w:val="24"/>
          <w:lang w:eastAsia="zh-CN"/>
        </w:rPr>
        <w:t>2.2.</w:t>
      </w:r>
      <w:r>
        <w:rPr>
          <w:rFonts w:hint="eastAsia" w:ascii="宋体" w:hAnsi="宋体" w:eastAsia="宋体" w:cs="宋体"/>
          <w:b/>
          <w:sz w:val="24"/>
          <w:lang w:val="en-US" w:eastAsia="zh-CN"/>
        </w:rPr>
        <w:t>3</w:t>
      </w:r>
      <w:r>
        <w:rPr>
          <w:rFonts w:hint="eastAsia" w:ascii="宋体" w:hAnsi="宋体" w:eastAsia="宋体" w:cs="宋体"/>
          <w:b/>
          <w:sz w:val="24"/>
          <w:lang w:eastAsia="zh-CN"/>
        </w:rPr>
        <w:t>.2功能改善</w:t>
      </w:r>
    </w:p>
    <w:p w14:paraId="2F5A2B41">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1）驻场工程师每月至少进行一次主动各业务科室需求反馈巡查，巡查各业务科室使用管理信息系统情况，及现有模块使用功能提升需求；</w:t>
      </w:r>
    </w:p>
    <w:p w14:paraId="313A39E6">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2）驻场工程师与业务科室需求提出人确认需求功能后向采购人或信息科管理信息系统负责人汇报，并确认功能可行性，如可能确认需求实现方案，根据责任划分分别由驻场开发工程师或后台研发部门实现；</w:t>
      </w:r>
    </w:p>
    <w:p w14:paraId="21CC0BDE">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3）驻场工程师需求确认3个工作日内，以邮件及口头汇报方式向采购人或信息科管理信息系统负责人汇报计划开发完成日期；</w:t>
      </w:r>
    </w:p>
    <w:p w14:paraId="2BEFF8ED">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4）售后研发部完成需求开发及相应测试后会将程序邮件形式发给采购人或信息科管理信息系统负责人和驻场工程师，驻场工程师配合采购人或信息科管理信息系统负责人进行测试机测试，如测试无误，进行正式服务器升级；</w:t>
      </w:r>
    </w:p>
    <w:p w14:paraId="302D5532">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5）驻场工程师负责持续观察系统提升需求对最终使用业务科室使用情况，并进行需求反馈及系统提升功能对业务科室使用情况提升调查；</w:t>
      </w:r>
    </w:p>
    <w:p w14:paraId="16E165C5">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6）如有不能或近期不能实现的功能，给出书面解释原因，并由驻场工程师向采购人管理信息系统负责人进行答复；</w:t>
      </w:r>
    </w:p>
    <w:p w14:paraId="44488BBF">
      <w:pPr>
        <w:tabs>
          <w:tab w:val="left" w:pos="284"/>
        </w:tabs>
        <w:spacing w:line="360" w:lineRule="auto"/>
        <w:rPr>
          <w:rFonts w:hint="eastAsia" w:ascii="宋体" w:hAnsi="宋体" w:eastAsia="宋体" w:cs="宋体"/>
          <w:b/>
          <w:sz w:val="24"/>
          <w:lang w:eastAsia="zh-CN"/>
        </w:rPr>
      </w:pPr>
      <w:r>
        <w:rPr>
          <w:rFonts w:hint="eastAsia" w:ascii="宋体" w:hAnsi="宋体" w:eastAsia="宋体" w:cs="宋体"/>
          <w:b/>
          <w:sz w:val="24"/>
          <w:lang w:eastAsia="zh-CN"/>
        </w:rPr>
        <w:t>2.2.</w:t>
      </w:r>
      <w:r>
        <w:rPr>
          <w:rFonts w:hint="eastAsia" w:ascii="宋体" w:hAnsi="宋体" w:eastAsia="宋体" w:cs="宋体"/>
          <w:b/>
          <w:sz w:val="24"/>
          <w:lang w:val="en-US" w:eastAsia="zh-CN"/>
        </w:rPr>
        <w:t>3</w:t>
      </w:r>
      <w:r>
        <w:rPr>
          <w:rFonts w:hint="eastAsia" w:ascii="宋体" w:hAnsi="宋体" w:eastAsia="宋体" w:cs="宋体"/>
          <w:b/>
          <w:sz w:val="24"/>
          <w:lang w:eastAsia="zh-CN"/>
        </w:rPr>
        <w:t>.3</w:t>
      </w:r>
      <w:r>
        <w:rPr>
          <w:rFonts w:ascii="宋体" w:hAnsi="宋体" w:eastAsia="宋体" w:cs="宋体"/>
        </w:rPr>
        <w:fldChar w:fldCharType="begin"/>
      </w:r>
      <w:r>
        <w:rPr>
          <w:rFonts w:ascii="宋体" w:hAnsi="宋体" w:eastAsia="宋体" w:cs="宋体"/>
        </w:rPr>
        <w:instrText xml:space="preserve"> HYPERLINK \l "_系统概述" </w:instrText>
      </w:r>
      <w:r>
        <w:rPr>
          <w:rFonts w:ascii="宋体" w:hAnsi="宋体" w:eastAsia="宋体" w:cs="宋体"/>
        </w:rPr>
        <w:fldChar w:fldCharType="separate"/>
      </w:r>
      <w:r>
        <w:rPr>
          <w:rFonts w:hint="eastAsia" w:ascii="宋体" w:hAnsi="宋体" w:eastAsia="宋体" w:cs="宋体"/>
          <w:b/>
          <w:sz w:val="24"/>
          <w:lang w:eastAsia="zh-CN"/>
        </w:rPr>
        <w:t>运行状态检查</w:t>
      </w:r>
      <w:r>
        <w:rPr>
          <w:rFonts w:hint="eastAsia" w:ascii="宋体" w:hAnsi="宋体" w:eastAsia="宋体" w:cs="宋体"/>
          <w:b/>
          <w:sz w:val="24"/>
          <w:lang w:eastAsia="zh-CN"/>
        </w:rPr>
        <w:fldChar w:fldCharType="end"/>
      </w:r>
    </w:p>
    <w:p w14:paraId="1EBF20AE">
      <w:pPr>
        <w:tabs>
          <w:tab w:val="left" w:pos="284"/>
        </w:tabs>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驻场工程师配合客户现场硬件运维技术人员进行系统运行状态检查，用以降低数据丢失风险，降低系统宕机风险，保证采购人管理信息系统运行稳定；</w:t>
      </w:r>
    </w:p>
    <w:p w14:paraId="25558363">
      <w:pPr>
        <w:keepNext/>
        <w:keepLines/>
        <w:tabs>
          <w:tab w:val="left" w:pos="720"/>
        </w:tabs>
        <w:spacing w:line="360" w:lineRule="auto"/>
        <w:ind w:left="420" w:hanging="420"/>
        <w:outlineLvl w:val="3"/>
        <w:rPr>
          <w:rFonts w:hint="eastAsia" w:ascii="宋体" w:hAnsi="宋体" w:eastAsia="宋体" w:cs="宋体"/>
          <w:b/>
          <w:sz w:val="24"/>
          <w:lang w:eastAsia="zh-CN"/>
        </w:rPr>
      </w:pPr>
      <w:r>
        <w:rPr>
          <w:rFonts w:hint="eastAsia" w:ascii="宋体" w:hAnsi="宋体" w:eastAsia="宋体" w:cs="宋体"/>
          <w:b/>
          <w:sz w:val="24"/>
          <w:lang w:eastAsia="zh-CN"/>
        </w:rPr>
        <w:t>2.</w:t>
      </w:r>
      <w:r>
        <w:rPr>
          <w:rFonts w:hint="eastAsia" w:ascii="宋体" w:hAnsi="宋体" w:eastAsia="宋体" w:cs="宋体"/>
          <w:b/>
          <w:sz w:val="24"/>
          <w:lang w:val="en-US" w:eastAsia="zh-CN"/>
        </w:rPr>
        <w:t>4</w:t>
      </w:r>
      <w:r>
        <w:rPr>
          <w:rFonts w:ascii="宋体" w:hAnsi="宋体" w:eastAsia="宋体" w:cs="宋体"/>
        </w:rPr>
        <w:fldChar w:fldCharType="begin"/>
      </w:r>
      <w:r>
        <w:rPr>
          <w:rFonts w:ascii="宋体" w:hAnsi="宋体" w:eastAsia="宋体" w:cs="宋体"/>
        </w:rPr>
        <w:instrText xml:space="preserve"> HYPERLINK \l "_系统概述" </w:instrText>
      </w:r>
      <w:r>
        <w:rPr>
          <w:rFonts w:ascii="宋体" w:hAnsi="宋体" w:eastAsia="宋体" w:cs="宋体"/>
        </w:rPr>
        <w:fldChar w:fldCharType="separate"/>
      </w:r>
      <w:r>
        <w:rPr>
          <w:rFonts w:hint="eastAsia" w:ascii="宋体" w:hAnsi="宋体" w:eastAsia="宋体" w:cs="宋体"/>
          <w:b/>
          <w:caps/>
          <w:sz w:val="24"/>
          <w:lang w:eastAsia="zh-CN"/>
        </w:rPr>
        <w:t>数据分析</w:t>
      </w:r>
      <w:r>
        <w:rPr>
          <w:rFonts w:hint="eastAsia" w:ascii="宋体" w:hAnsi="宋体" w:eastAsia="宋体" w:cs="宋体"/>
          <w:b/>
          <w:caps/>
          <w:sz w:val="24"/>
          <w:lang w:eastAsia="zh-CN"/>
        </w:rPr>
        <w:fldChar w:fldCharType="end"/>
      </w:r>
    </w:p>
    <w:p w14:paraId="5C9E2E13">
      <w:pPr>
        <w:keepNext/>
        <w:keepLines/>
        <w:spacing w:line="360" w:lineRule="auto"/>
        <w:ind w:left="420" w:hanging="420"/>
        <w:outlineLvl w:val="4"/>
        <w:rPr>
          <w:rFonts w:hint="eastAsia" w:ascii="宋体" w:hAnsi="宋体" w:eastAsia="宋体" w:cs="宋体"/>
          <w:b/>
          <w:sz w:val="24"/>
          <w:lang w:eastAsia="zh-CN"/>
        </w:rPr>
      </w:pPr>
      <w:r>
        <w:rPr>
          <w:rFonts w:hint="eastAsia" w:ascii="宋体" w:hAnsi="宋体" w:eastAsia="宋体" w:cs="宋体"/>
          <w:b/>
          <w:sz w:val="24"/>
          <w:lang w:eastAsia="zh-CN"/>
        </w:rPr>
        <w:t>2.</w:t>
      </w:r>
      <w:r>
        <w:rPr>
          <w:rFonts w:hint="eastAsia" w:ascii="宋体" w:hAnsi="宋体" w:eastAsia="宋体" w:cs="宋体"/>
          <w:b/>
          <w:sz w:val="24"/>
          <w:lang w:val="en-US" w:eastAsia="zh-CN"/>
        </w:rPr>
        <w:t>4</w:t>
      </w:r>
      <w:r>
        <w:rPr>
          <w:rFonts w:hint="eastAsia" w:ascii="宋体" w:hAnsi="宋体" w:eastAsia="宋体" w:cs="宋体"/>
          <w:b/>
          <w:sz w:val="24"/>
          <w:lang w:eastAsia="zh-CN"/>
        </w:rPr>
        <w:t>.1服务记录分析</w:t>
      </w:r>
    </w:p>
    <w:p w14:paraId="3B5A8930">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1）根据培训、故障、需求统计出医院现存问题，并将存在问题及解决建议通过服务记录反馈给医院；</w:t>
      </w:r>
    </w:p>
    <w:p w14:paraId="1B4DBAB3">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2）驻场工程师通过服务记录细化分析，协助信息科统计前端科室上报的使用支持情况、需求，并统计年工作量，需求完成率等；</w:t>
      </w:r>
    </w:p>
    <w:p w14:paraId="10002AB7">
      <w:pPr>
        <w:tabs>
          <w:tab w:val="left" w:pos="284"/>
        </w:tabs>
        <w:spacing w:line="360" w:lineRule="auto"/>
        <w:rPr>
          <w:rFonts w:hint="eastAsia" w:ascii="宋体" w:hAnsi="宋体" w:eastAsia="宋体" w:cs="宋体"/>
          <w:sz w:val="24"/>
          <w:lang w:eastAsia="zh-CN"/>
        </w:rPr>
      </w:pPr>
      <w:r>
        <w:rPr>
          <w:rFonts w:hint="eastAsia" w:ascii="宋体" w:hAnsi="宋体" w:eastAsia="宋体" w:cs="宋体"/>
          <w:sz w:val="24"/>
          <w:lang w:eastAsia="zh-CN"/>
        </w:rPr>
        <w:t>3）根据需求完成情况和后续跟踪，定期汇报各业务科室系统使用情况及数据分析；</w:t>
      </w:r>
    </w:p>
    <w:p w14:paraId="71735F1B">
      <w:pPr>
        <w:keepNext/>
        <w:keepLines/>
        <w:tabs>
          <w:tab w:val="left" w:pos="720"/>
        </w:tabs>
        <w:spacing w:line="360" w:lineRule="auto"/>
        <w:ind w:left="420" w:hanging="420"/>
        <w:outlineLvl w:val="3"/>
        <w:rPr>
          <w:rFonts w:hint="eastAsia" w:ascii="宋体" w:hAnsi="宋体" w:eastAsia="宋体" w:cs="宋体"/>
          <w:b/>
          <w:sz w:val="24"/>
          <w:lang w:eastAsia="zh-CN"/>
        </w:rPr>
      </w:pPr>
      <w:r>
        <w:rPr>
          <w:rFonts w:hint="eastAsia" w:ascii="宋体" w:hAnsi="宋体" w:eastAsia="宋体" w:cs="宋体"/>
          <w:b/>
          <w:sz w:val="24"/>
          <w:lang w:eastAsia="zh-CN"/>
        </w:rPr>
        <w:t>2.</w:t>
      </w:r>
      <w:r>
        <w:rPr>
          <w:rFonts w:hint="eastAsia" w:ascii="宋体" w:hAnsi="宋体" w:eastAsia="宋体" w:cs="宋体"/>
          <w:b/>
          <w:sz w:val="24"/>
          <w:lang w:val="en-US" w:eastAsia="zh-CN"/>
        </w:rPr>
        <w:t>5</w:t>
      </w:r>
      <w:r>
        <w:rPr>
          <w:rFonts w:hint="eastAsia" w:ascii="宋体" w:hAnsi="宋体" w:eastAsia="宋体" w:cs="宋体"/>
          <w:b/>
          <w:sz w:val="24"/>
          <w:lang w:eastAsia="zh-CN"/>
        </w:rPr>
        <w:t>驻场服务定期</w:t>
      </w:r>
      <w:r>
        <w:rPr>
          <w:rFonts w:hint="eastAsia" w:ascii="宋体" w:hAnsi="宋体" w:eastAsia="宋体" w:cs="宋体"/>
        </w:rPr>
        <w:fldChar w:fldCharType="begin"/>
      </w:r>
      <w:r>
        <w:rPr>
          <w:rFonts w:ascii="宋体" w:hAnsi="宋体" w:eastAsia="宋体" w:cs="宋体"/>
          <w:lang w:eastAsia="zh-CN"/>
        </w:rPr>
        <w:instrText xml:space="preserve"> HYPERLINK \l "_系统概述" </w:instrText>
      </w:r>
      <w:r>
        <w:rPr>
          <w:rFonts w:hint="eastAsia" w:ascii="宋体" w:hAnsi="宋体" w:eastAsia="宋体" w:cs="宋体"/>
        </w:rPr>
        <w:fldChar w:fldCharType="separate"/>
      </w:r>
      <w:r>
        <w:rPr>
          <w:rFonts w:hint="eastAsia" w:ascii="宋体" w:hAnsi="宋体" w:eastAsia="宋体" w:cs="宋体"/>
          <w:b/>
          <w:caps/>
          <w:sz w:val="24"/>
          <w:lang w:eastAsia="zh-CN"/>
        </w:rPr>
        <w:t>汇报</w:t>
      </w:r>
      <w:r>
        <w:rPr>
          <w:rFonts w:hint="eastAsia" w:ascii="宋体" w:hAnsi="宋体" w:eastAsia="宋体" w:cs="宋体"/>
          <w:b/>
          <w:caps/>
          <w:sz w:val="24"/>
        </w:rPr>
        <w:fldChar w:fldCharType="end"/>
      </w:r>
    </w:p>
    <w:p w14:paraId="72148A96">
      <w:pPr>
        <w:keepNext/>
        <w:keepLines/>
        <w:tabs>
          <w:tab w:val="left" w:pos="720"/>
        </w:tabs>
        <w:spacing w:line="360" w:lineRule="auto"/>
        <w:ind w:left="720" w:hanging="720"/>
        <w:outlineLvl w:val="4"/>
        <w:rPr>
          <w:rFonts w:hint="eastAsia" w:ascii="宋体" w:hAnsi="宋体" w:eastAsia="宋体" w:cs="宋体"/>
          <w:b/>
          <w:sz w:val="24"/>
          <w:lang w:eastAsia="zh-CN"/>
        </w:rPr>
      </w:pPr>
      <w:r>
        <w:rPr>
          <w:rFonts w:hint="eastAsia" w:ascii="宋体" w:hAnsi="宋体" w:eastAsia="宋体" w:cs="宋体"/>
          <w:b/>
          <w:sz w:val="24"/>
          <w:lang w:eastAsia="zh-CN"/>
        </w:rPr>
        <w:t>2.</w:t>
      </w:r>
      <w:r>
        <w:rPr>
          <w:rFonts w:hint="eastAsia" w:ascii="宋体" w:hAnsi="宋体" w:eastAsia="宋体" w:cs="宋体"/>
          <w:b/>
          <w:sz w:val="24"/>
          <w:lang w:val="en-US" w:eastAsia="zh-CN"/>
        </w:rPr>
        <w:t>5</w:t>
      </w:r>
      <w:r>
        <w:rPr>
          <w:rFonts w:hint="eastAsia" w:ascii="宋体" w:hAnsi="宋体" w:eastAsia="宋体" w:cs="宋体"/>
          <w:b/>
          <w:sz w:val="24"/>
          <w:lang w:eastAsia="zh-CN"/>
        </w:rPr>
        <w:t>.1周汇报内容</w:t>
      </w:r>
    </w:p>
    <w:p w14:paraId="19159F65">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1）</w:t>
      </w:r>
      <w:r>
        <w:rPr>
          <w:rFonts w:hint="eastAsia" w:ascii="宋体" w:hAnsi="宋体" w:eastAsia="宋体" w:cs="宋体"/>
          <w:sz w:val="24"/>
          <w:lang w:eastAsia="zh-CN"/>
        </w:rPr>
        <w:t>本周工作内容统计；</w:t>
      </w:r>
    </w:p>
    <w:p w14:paraId="6D90A5C1">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2）</w:t>
      </w:r>
      <w:r>
        <w:rPr>
          <w:rFonts w:hint="eastAsia" w:ascii="宋体" w:hAnsi="宋体" w:eastAsia="宋体" w:cs="宋体"/>
          <w:sz w:val="24"/>
          <w:lang w:eastAsia="zh-CN"/>
        </w:rPr>
        <w:t>未完成工作进展汇报；</w:t>
      </w:r>
    </w:p>
    <w:p w14:paraId="6133C291">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3）</w:t>
      </w:r>
      <w:r>
        <w:rPr>
          <w:rFonts w:hint="eastAsia" w:ascii="宋体" w:hAnsi="宋体" w:eastAsia="宋体" w:cs="宋体"/>
          <w:sz w:val="24"/>
          <w:lang w:eastAsia="zh-CN"/>
        </w:rPr>
        <w:t>本周重大事件汇总；</w:t>
      </w:r>
    </w:p>
    <w:p w14:paraId="19BC0C6B">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4）</w:t>
      </w:r>
      <w:r>
        <w:rPr>
          <w:rFonts w:hint="eastAsia" w:ascii="宋体" w:hAnsi="宋体" w:eastAsia="宋体" w:cs="宋体"/>
          <w:sz w:val="24"/>
          <w:lang w:eastAsia="zh-CN"/>
        </w:rPr>
        <w:t>下周工作计划；</w:t>
      </w:r>
    </w:p>
    <w:p w14:paraId="5E35333F">
      <w:pPr>
        <w:keepNext/>
        <w:keepLines/>
        <w:tabs>
          <w:tab w:val="left" w:pos="720"/>
        </w:tabs>
        <w:spacing w:line="360" w:lineRule="auto"/>
        <w:ind w:left="720" w:hanging="720"/>
        <w:outlineLvl w:val="4"/>
        <w:rPr>
          <w:rFonts w:hint="eastAsia" w:ascii="宋体" w:hAnsi="宋体" w:eastAsia="宋体" w:cs="宋体"/>
          <w:b/>
          <w:sz w:val="24"/>
          <w:lang w:eastAsia="zh-CN"/>
        </w:rPr>
      </w:pPr>
      <w:r>
        <w:rPr>
          <w:rFonts w:hint="eastAsia" w:ascii="宋体" w:hAnsi="宋体" w:eastAsia="宋体" w:cs="宋体"/>
          <w:b/>
          <w:sz w:val="24"/>
          <w:lang w:eastAsia="zh-CN"/>
        </w:rPr>
        <w:t>2.</w:t>
      </w:r>
      <w:r>
        <w:rPr>
          <w:rFonts w:hint="eastAsia" w:ascii="宋体" w:hAnsi="宋体" w:eastAsia="宋体" w:cs="宋体"/>
          <w:b/>
          <w:sz w:val="24"/>
          <w:lang w:val="en-US" w:eastAsia="zh-CN"/>
        </w:rPr>
        <w:t>5</w:t>
      </w:r>
      <w:r>
        <w:rPr>
          <w:rFonts w:hint="eastAsia" w:ascii="宋体" w:hAnsi="宋体" w:eastAsia="宋体" w:cs="宋体"/>
          <w:b/>
          <w:sz w:val="24"/>
          <w:lang w:eastAsia="zh-CN"/>
        </w:rPr>
        <w:t>.2年度汇报内容</w:t>
      </w:r>
    </w:p>
    <w:p w14:paraId="39FBD194">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1）</w:t>
      </w:r>
      <w:r>
        <w:rPr>
          <w:rFonts w:hint="eastAsia" w:ascii="宋体" w:hAnsi="宋体" w:eastAsia="宋体" w:cs="宋体"/>
          <w:sz w:val="24"/>
          <w:lang w:eastAsia="zh-CN"/>
        </w:rPr>
        <w:t>年度项目升级运维总结报告；</w:t>
      </w:r>
    </w:p>
    <w:p w14:paraId="0CA3DE81">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2）</w:t>
      </w:r>
      <w:r>
        <w:rPr>
          <w:rFonts w:hint="eastAsia" w:ascii="宋体" w:hAnsi="宋体" w:eastAsia="宋体" w:cs="宋体"/>
          <w:sz w:val="24"/>
          <w:lang w:eastAsia="zh-CN"/>
        </w:rPr>
        <w:t>下年医院信息管理系统(HIS)整体运行计划（包括新产品宣讲）；</w:t>
      </w:r>
    </w:p>
    <w:p w14:paraId="059BB623">
      <w:pPr>
        <w:keepNext/>
        <w:keepLines/>
        <w:tabs>
          <w:tab w:val="left" w:pos="720"/>
        </w:tabs>
        <w:spacing w:line="360" w:lineRule="auto"/>
        <w:ind w:left="720" w:hanging="720"/>
        <w:outlineLvl w:val="4"/>
        <w:rPr>
          <w:rFonts w:hint="eastAsia" w:ascii="宋体" w:hAnsi="宋体" w:eastAsia="宋体" w:cs="宋体"/>
          <w:b/>
          <w:sz w:val="24"/>
          <w:lang w:eastAsia="zh-CN"/>
        </w:rPr>
      </w:pPr>
      <w:r>
        <w:rPr>
          <w:rFonts w:hint="eastAsia" w:ascii="宋体" w:hAnsi="宋体" w:eastAsia="宋体" w:cs="宋体"/>
          <w:b/>
          <w:sz w:val="24"/>
          <w:lang w:eastAsia="zh-CN"/>
        </w:rPr>
        <w:t>2.</w:t>
      </w:r>
      <w:r>
        <w:rPr>
          <w:rFonts w:hint="eastAsia" w:ascii="宋体" w:hAnsi="宋体" w:eastAsia="宋体" w:cs="宋体"/>
          <w:b/>
          <w:sz w:val="24"/>
          <w:lang w:val="en-US" w:eastAsia="zh-CN"/>
        </w:rPr>
        <w:t>5</w:t>
      </w:r>
      <w:r>
        <w:rPr>
          <w:rFonts w:hint="eastAsia" w:ascii="宋体" w:hAnsi="宋体" w:eastAsia="宋体" w:cs="宋体"/>
          <w:b/>
          <w:sz w:val="24"/>
          <w:lang w:eastAsia="zh-CN"/>
        </w:rPr>
        <w:t>.3汇报文档格式</w:t>
      </w:r>
    </w:p>
    <w:p w14:paraId="41A703D4">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1）</w:t>
      </w:r>
      <w:r>
        <w:rPr>
          <w:rFonts w:hint="eastAsia" w:ascii="宋体" w:hAnsi="宋体" w:eastAsia="宋体" w:cs="宋体"/>
          <w:sz w:val="24"/>
          <w:lang w:eastAsia="zh-CN"/>
        </w:rPr>
        <w:t>《项目组工作周报记录单》EXCEL格式</w:t>
      </w:r>
    </w:p>
    <w:p w14:paraId="3F4AAED0">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2）</w:t>
      </w:r>
      <w:r>
        <w:rPr>
          <w:rFonts w:hint="eastAsia" w:ascii="宋体" w:hAnsi="宋体" w:eastAsia="宋体" w:cs="宋体"/>
          <w:sz w:val="24"/>
          <w:lang w:eastAsia="zh-CN"/>
        </w:rPr>
        <w:t>《单次服务报告》WORD格式</w:t>
      </w:r>
    </w:p>
    <w:p w14:paraId="2F213063">
      <w:pPr>
        <w:tabs>
          <w:tab w:val="left" w:pos="284"/>
        </w:tabs>
        <w:spacing w:line="360" w:lineRule="auto"/>
        <w:rPr>
          <w:rFonts w:hint="eastAsia" w:ascii="宋体" w:hAnsi="宋体" w:eastAsia="宋体" w:cs="宋体"/>
          <w:sz w:val="24"/>
          <w:lang w:eastAsia="zh-CN"/>
        </w:rPr>
      </w:pPr>
      <w:r>
        <w:rPr>
          <w:rFonts w:ascii="宋体" w:hAnsi="宋体" w:eastAsia="宋体" w:cs="宋体"/>
          <w:sz w:val="24"/>
          <w:lang w:eastAsia="zh-CN"/>
        </w:rPr>
        <w:t>3）</w:t>
      </w:r>
      <w:r>
        <w:rPr>
          <w:rFonts w:hint="eastAsia" w:ascii="宋体" w:hAnsi="宋体" w:eastAsia="宋体" w:cs="宋体"/>
          <w:sz w:val="24"/>
          <w:lang w:eastAsia="zh-CN"/>
        </w:rPr>
        <w:t>《年度项目升级运维总结报告》WORD格式</w:t>
      </w:r>
    </w:p>
    <w:p w14:paraId="274A231A">
      <w:pPr>
        <w:keepNext/>
        <w:keepLines/>
        <w:adjustRightInd w:val="0"/>
        <w:spacing w:line="360" w:lineRule="auto"/>
        <w:outlineLvl w:val="2"/>
        <w:rPr>
          <w:rFonts w:hint="eastAsia" w:ascii="宋体" w:hAnsi="宋体" w:eastAsia="宋体" w:cs="宋体"/>
          <w:b/>
          <w:sz w:val="24"/>
          <w:lang w:eastAsia="zh-CN"/>
        </w:rPr>
      </w:pPr>
      <w:r>
        <w:rPr>
          <w:rFonts w:hint="eastAsia" w:ascii="宋体" w:hAnsi="宋体" w:eastAsia="宋体" w:cs="宋体"/>
          <w:b/>
          <w:sz w:val="24"/>
          <w:lang w:eastAsia="zh-CN"/>
        </w:rPr>
        <w:t>（3）维护人员资质要求</w:t>
      </w:r>
    </w:p>
    <w:p w14:paraId="622545F7">
      <w:pPr>
        <w:spacing w:line="360" w:lineRule="auto"/>
        <w:rPr>
          <w:rFonts w:hint="eastAsia" w:ascii="宋体" w:hAnsi="宋体" w:eastAsia="宋体" w:cs="Arial"/>
          <w:b/>
          <w:sz w:val="24"/>
          <w:lang w:eastAsia="zh-CN"/>
        </w:rPr>
      </w:pPr>
      <w:r>
        <w:rPr>
          <w:rFonts w:hint="eastAsia" w:ascii="宋体" w:hAnsi="宋体" w:eastAsia="宋体" w:cs="Arial"/>
          <w:b/>
          <w:sz w:val="24"/>
          <w:lang w:eastAsia="zh-CN"/>
        </w:rPr>
        <w:t>3.1驻场工程师及驻场开发工程师服务以及售后维护服务工作内容：</w:t>
      </w:r>
    </w:p>
    <w:p w14:paraId="427881A9">
      <w:pPr>
        <w:adjustRightInd w:val="0"/>
        <w:spacing w:line="360" w:lineRule="auto"/>
        <w:ind w:firstLine="480"/>
        <w:rPr>
          <w:rFonts w:hint="eastAsia" w:ascii="宋体" w:hAnsi="宋体" w:eastAsia="宋体" w:cs="宋体"/>
          <w:lang w:eastAsia="zh-CN"/>
        </w:rPr>
      </w:pPr>
      <w:r>
        <w:rPr>
          <w:rFonts w:hint="eastAsia" w:ascii="宋体" w:hAnsi="宋体" w:eastAsia="宋体" w:cs="宋体"/>
          <w:sz w:val="24"/>
          <w:lang w:val="zh-CN" w:eastAsia="zh-CN"/>
        </w:rPr>
        <w:t>在维护服务期（以下简称“服务期”）内，由投标人向采购人现场派遣</w:t>
      </w:r>
      <w:r>
        <w:rPr>
          <w:rFonts w:hint="eastAsia" w:ascii="宋体" w:hAnsi="宋体" w:eastAsia="宋体" w:cs="宋体"/>
          <w:sz w:val="24"/>
          <w:lang w:eastAsia="zh-CN"/>
        </w:rPr>
        <w:t>驻场项目经理</w:t>
      </w:r>
      <w:r>
        <w:rPr>
          <w:rFonts w:hint="eastAsia" w:ascii="宋体" w:hAnsi="宋体" w:eastAsia="宋体" w:cs="宋体"/>
          <w:sz w:val="24"/>
          <w:lang w:val="zh-CN" w:eastAsia="zh-CN"/>
        </w:rPr>
        <w:t>1名，派遣驻场工程师5名（包括定制升级工程师4名、驻场维护工程师</w:t>
      </w:r>
      <w:r>
        <w:rPr>
          <w:rFonts w:hint="eastAsia" w:ascii="宋体" w:hAnsi="宋体" w:eastAsia="宋体" w:cs="宋体"/>
          <w:sz w:val="24"/>
          <w:lang w:eastAsia="zh-CN"/>
        </w:rPr>
        <w:t>1</w:t>
      </w:r>
      <w:r>
        <w:rPr>
          <w:rFonts w:hint="eastAsia" w:ascii="宋体" w:hAnsi="宋体" w:eastAsia="宋体" w:cs="宋体"/>
          <w:sz w:val="24"/>
          <w:lang w:val="zh-CN" w:eastAsia="zh-CN"/>
        </w:rPr>
        <w:t>名），共计6人为采购人提供医院</w:t>
      </w:r>
      <w:r>
        <w:rPr>
          <w:rFonts w:ascii="宋体" w:hAnsi="宋体" w:eastAsia="宋体" w:cs="宋体"/>
          <w:sz w:val="24"/>
          <w:lang w:val="zh-CN" w:eastAsia="zh-CN"/>
        </w:rPr>
        <w:t>管理信息</w:t>
      </w:r>
      <w:r>
        <w:rPr>
          <w:rFonts w:hint="eastAsia" w:ascii="宋体" w:hAnsi="宋体" w:eastAsia="宋体" w:cs="宋体"/>
          <w:sz w:val="24"/>
          <w:lang w:val="zh-CN" w:eastAsia="zh-CN"/>
        </w:rPr>
        <w:t>系统驻场定制升级和日常维护响应服务。服务内容包含现场产品定制升级、使用支持、功能维护、运维检查等。</w:t>
      </w:r>
    </w:p>
    <w:p w14:paraId="62316DD1">
      <w:pPr>
        <w:keepNext/>
        <w:keepLines/>
        <w:spacing w:line="360" w:lineRule="auto"/>
        <w:ind w:left="500" w:hanging="500"/>
        <w:outlineLvl w:val="3"/>
        <w:rPr>
          <w:rFonts w:hint="eastAsia" w:ascii="宋体" w:hAnsi="宋体" w:eastAsia="宋体" w:cs="宋体"/>
          <w:b/>
          <w:sz w:val="24"/>
          <w:lang w:eastAsia="zh-CN"/>
        </w:rPr>
      </w:pPr>
      <w:r>
        <w:rPr>
          <w:rFonts w:hint="eastAsia" w:ascii="宋体" w:hAnsi="宋体" w:eastAsia="宋体" w:cs="宋体"/>
          <w:b/>
          <w:sz w:val="24"/>
          <w:lang w:eastAsia="zh-CN"/>
        </w:rPr>
        <w:t>3.2项目经理要求</w:t>
      </w:r>
    </w:p>
    <w:p w14:paraId="1D4ECECF">
      <w:pPr>
        <w:spacing w:line="360" w:lineRule="auto"/>
        <w:rPr>
          <w:rFonts w:hint="eastAsia" w:ascii="宋体" w:hAnsi="宋体" w:eastAsia="宋体" w:cs="宋体"/>
          <w:sz w:val="24"/>
          <w:lang w:eastAsia="zh-CN"/>
        </w:rPr>
      </w:pPr>
      <w:r>
        <w:rPr>
          <w:rFonts w:hint="eastAsia" w:ascii="宋体" w:hAnsi="宋体" w:eastAsia="宋体" w:cs="宋体"/>
          <w:sz w:val="24"/>
          <w:lang w:eastAsia="zh-CN"/>
        </w:rPr>
        <w:t>1）具有系统集成项目管理工程师证书</w:t>
      </w:r>
    </w:p>
    <w:p w14:paraId="7360938B">
      <w:pPr>
        <w:spacing w:line="360" w:lineRule="auto"/>
        <w:rPr>
          <w:rFonts w:hint="eastAsia" w:ascii="宋体" w:hAnsi="宋体" w:eastAsia="宋体" w:cs="宋体"/>
          <w:sz w:val="24"/>
          <w:lang w:eastAsia="zh-CN"/>
        </w:rPr>
      </w:pPr>
      <w:r>
        <w:rPr>
          <w:rFonts w:hint="eastAsia" w:ascii="宋体" w:hAnsi="宋体" w:eastAsia="宋体" w:cs="宋体"/>
          <w:sz w:val="24"/>
          <w:lang w:eastAsia="zh-CN"/>
        </w:rPr>
        <w:t>2）具有三年以上信息管理系统(HIS)项目管理经验</w:t>
      </w:r>
    </w:p>
    <w:p w14:paraId="5B092C1D">
      <w:pPr>
        <w:keepNext/>
        <w:keepLines/>
        <w:spacing w:line="360" w:lineRule="auto"/>
        <w:ind w:left="500" w:hanging="500"/>
        <w:outlineLvl w:val="3"/>
        <w:rPr>
          <w:rFonts w:hint="eastAsia" w:ascii="宋体" w:hAnsi="宋体" w:eastAsia="宋体" w:cs="宋体"/>
          <w:b/>
          <w:sz w:val="24"/>
          <w:lang w:eastAsia="zh-CN"/>
        </w:rPr>
      </w:pPr>
      <w:r>
        <w:rPr>
          <w:rFonts w:hint="eastAsia" w:ascii="宋体" w:hAnsi="宋体" w:eastAsia="宋体" w:cs="宋体"/>
          <w:b/>
          <w:sz w:val="24"/>
          <w:lang w:eastAsia="zh-CN"/>
        </w:rPr>
        <w:t>3.3定制升级工程师要求</w:t>
      </w:r>
    </w:p>
    <w:p w14:paraId="09EE2EAD">
      <w:pPr>
        <w:spacing w:line="360" w:lineRule="auto"/>
        <w:rPr>
          <w:rFonts w:hint="eastAsia" w:ascii="宋体" w:hAnsi="宋体" w:eastAsia="宋体" w:cs="宋体"/>
          <w:sz w:val="24"/>
          <w:lang w:eastAsia="zh-CN"/>
        </w:rPr>
      </w:pPr>
      <w:r>
        <w:rPr>
          <w:rFonts w:hint="eastAsia" w:ascii="宋体" w:hAnsi="宋体" w:eastAsia="宋体" w:cs="宋体"/>
          <w:sz w:val="24"/>
          <w:lang w:eastAsia="zh-CN"/>
        </w:rPr>
        <w:t>1）具有一年以上信息管理系统(HIS)现场开发工作经验</w:t>
      </w:r>
    </w:p>
    <w:p w14:paraId="11816A08">
      <w:pPr>
        <w:keepNext/>
        <w:keepLines/>
        <w:spacing w:line="360" w:lineRule="auto"/>
        <w:ind w:left="500" w:hanging="500"/>
        <w:outlineLvl w:val="3"/>
        <w:rPr>
          <w:rFonts w:hint="eastAsia" w:ascii="宋体" w:hAnsi="宋体" w:eastAsia="宋体" w:cs="宋体"/>
          <w:b/>
          <w:sz w:val="24"/>
          <w:lang w:eastAsia="zh-CN"/>
        </w:rPr>
      </w:pPr>
      <w:r>
        <w:rPr>
          <w:rFonts w:hint="eastAsia" w:ascii="宋体" w:hAnsi="宋体" w:eastAsia="宋体" w:cs="宋体"/>
          <w:b/>
          <w:sz w:val="24"/>
          <w:lang w:eastAsia="zh-CN"/>
        </w:rPr>
        <w:t>3.4驻场工程师要求</w:t>
      </w:r>
    </w:p>
    <w:p w14:paraId="2CCD7DD0">
      <w:pPr>
        <w:spacing w:line="360" w:lineRule="auto"/>
        <w:rPr>
          <w:rFonts w:hint="eastAsia" w:ascii="宋体" w:hAnsi="宋体" w:eastAsia="宋体" w:cs="宋体"/>
          <w:sz w:val="24"/>
          <w:lang w:eastAsia="zh-CN"/>
        </w:rPr>
      </w:pPr>
      <w:r>
        <w:rPr>
          <w:rFonts w:hint="eastAsia" w:ascii="宋体" w:hAnsi="宋体" w:eastAsia="宋体" w:cs="宋体"/>
          <w:sz w:val="24"/>
          <w:lang w:eastAsia="zh-CN"/>
        </w:rPr>
        <w:t>1）具有一年以上信息管理系统(HIS)现场维护工作经验</w:t>
      </w:r>
    </w:p>
    <w:p w14:paraId="62606449">
      <w:pPr>
        <w:keepNext/>
        <w:keepLines/>
        <w:spacing w:line="360" w:lineRule="auto"/>
        <w:ind w:left="500" w:hanging="500"/>
        <w:outlineLvl w:val="3"/>
        <w:rPr>
          <w:rFonts w:hint="eastAsia" w:ascii="宋体" w:hAnsi="宋体" w:eastAsia="宋体" w:cs="宋体"/>
          <w:b/>
          <w:sz w:val="24"/>
          <w:lang w:eastAsia="zh-CN"/>
        </w:rPr>
      </w:pPr>
      <w:r>
        <w:rPr>
          <w:rFonts w:hint="eastAsia" w:ascii="宋体" w:hAnsi="宋体" w:eastAsia="宋体" w:cs="宋体"/>
          <w:b/>
          <w:sz w:val="24"/>
          <w:lang w:eastAsia="zh-CN"/>
        </w:rPr>
        <w:t>3.5培训及保障措施</w:t>
      </w:r>
    </w:p>
    <w:p w14:paraId="26F4288D">
      <w:pPr>
        <w:spacing w:line="360" w:lineRule="auto"/>
        <w:rPr>
          <w:rFonts w:hint="eastAsia" w:ascii="宋体" w:hAnsi="宋体" w:eastAsia="宋体" w:cs="宋体"/>
          <w:sz w:val="24"/>
          <w:lang w:eastAsia="zh-CN"/>
        </w:rPr>
      </w:pPr>
      <w:r>
        <w:rPr>
          <w:rFonts w:hint="eastAsia" w:ascii="宋体" w:hAnsi="宋体" w:eastAsia="宋体" w:cs="宋体"/>
          <w:sz w:val="24"/>
          <w:lang w:eastAsia="zh-CN"/>
        </w:rPr>
        <w:t>1）投标人提供的培训方案及保障措施培训内容及时间安排能保障项目人员具备完成实施项目的能力；</w:t>
      </w:r>
    </w:p>
    <w:p w14:paraId="7FC46F80">
      <w:pPr>
        <w:spacing w:line="360" w:lineRule="auto"/>
        <w:rPr>
          <w:rFonts w:hint="eastAsia" w:ascii="宋体" w:hAnsi="宋体" w:eastAsia="宋体" w:cs="宋体"/>
          <w:sz w:val="24"/>
          <w:lang w:eastAsia="zh-CN"/>
        </w:rPr>
      </w:pPr>
      <w:r>
        <w:rPr>
          <w:rFonts w:hint="eastAsia" w:ascii="宋体" w:hAnsi="宋体" w:eastAsia="宋体" w:cs="宋体"/>
          <w:sz w:val="24"/>
          <w:lang w:eastAsia="zh-CN"/>
        </w:rPr>
        <w:t>2）培训对象：投标人驻场项目人员，培训内容为此次升级模块清单，要求保障完成项目实施。</w:t>
      </w:r>
    </w:p>
    <w:p w14:paraId="2DF6903D">
      <w:pPr>
        <w:spacing w:line="360" w:lineRule="auto"/>
        <w:rPr>
          <w:rFonts w:hint="eastAsia" w:ascii="宋体" w:hAnsi="宋体" w:eastAsia="宋体" w:cs="宋体"/>
          <w:sz w:val="24"/>
          <w:lang w:eastAsia="zh-CN"/>
        </w:rPr>
      </w:pPr>
      <w:r>
        <w:rPr>
          <w:rFonts w:hint="eastAsia" w:ascii="宋体" w:hAnsi="宋体" w:eastAsia="宋体" w:cs="宋体"/>
          <w:sz w:val="24"/>
          <w:lang w:eastAsia="zh-CN"/>
        </w:rPr>
        <w:t>3）按照采购人的实际需要对各部门的使用人员进行不定期培训。</w:t>
      </w:r>
    </w:p>
    <w:p w14:paraId="67084F0C">
      <w:pPr>
        <w:keepNext/>
        <w:keepLines/>
        <w:adjustRightInd w:val="0"/>
        <w:spacing w:line="360" w:lineRule="auto"/>
        <w:outlineLvl w:val="2"/>
        <w:rPr>
          <w:rFonts w:hint="eastAsia" w:ascii="宋体" w:hAnsi="宋体" w:eastAsia="宋体" w:cs="宋体"/>
          <w:b/>
          <w:sz w:val="24"/>
          <w:lang w:eastAsia="zh-CN"/>
        </w:rPr>
      </w:pPr>
      <w:r>
        <w:rPr>
          <w:rFonts w:hint="eastAsia" w:ascii="宋体" w:hAnsi="宋体" w:eastAsia="宋体" w:cs="宋体"/>
          <w:b/>
          <w:sz w:val="24"/>
          <w:lang w:eastAsia="zh-CN"/>
        </w:rPr>
        <w:t>3.4驻场人员规章制度要求</w:t>
      </w:r>
    </w:p>
    <w:p w14:paraId="44CD65DC">
      <w:pPr>
        <w:adjustRightInd w:val="0"/>
        <w:spacing w:line="360" w:lineRule="auto"/>
        <w:rPr>
          <w:rFonts w:hint="eastAsia" w:ascii="宋体" w:hAnsi="宋体" w:eastAsia="宋体" w:cs="宋体"/>
          <w:sz w:val="24"/>
          <w:lang w:eastAsia="zh-CN"/>
        </w:rPr>
      </w:pPr>
      <w:r>
        <w:rPr>
          <w:rFonts w:hint="eastAsia" w:ascii="宋体" w:hAnsi="宋体" w:eastAsia="宋体" w:cs="宋体"/>
          <w:sz w:val="24"/>
          <w:lang w:eastAsia="zh-CN"/>
        </w:rPr>
        <w:t>1)按照采购人管理要求，所有驻场人员必须遵守医院的规章制度，包含但不限于：</w:t>
      </w:r>
    </w:p>
    <w:p w14:paraId="16C99559">
      <w:pPr>
        <w:adjustRightInd w:val="0"/>
        <w:spacing w:line="360" w:lineRule="auto"/>
        <w:rPr>
          <w:rFonts w:hint="eastAsia" w:ascii="宋体" w:hAnsi="宋体" w:eastAsia="宋体" w:cs="宋体"/>
          <w:sz w:val="24"/>
          <w:lang w:eastAsia="zh-CN"/>
        </w:rPr>
      </w:pPr>
      <w:r>
        <w:rPr>
          <w:rFonts w:hint="eastAsia" w:ascii="宋体" w:hAnsi="宋体" w:eastAsia="宋体" w:cs="宋体"/>
          <w:sz w:val="24"/>
          <w:lang w:eastAsia="zh-CN"/>
        </w:rPr>
        <w:t>2)开发运维工作制度；</w:t>
      </w:r>
    </w:p>
    <w:p w14:paraId="4E732470">
      <w:pPr>
        <w:adjustRightInd w:val="0"/>
        <w:spacing w:line="360" w:lineRule="auto"/>
        <w:rPr>
          <w:rFonts w:hint="eastAsia" w:ascii="宋体" w:hAnsi="宋体" w:eastAsia="宋体" w:cs="宋体"/>
          <w:sz w:val="24"/>
          <w:lang w:eastAsia="zh-CN"/>
        </w:rPr>
      </w:pPr>
      <w:r>
        <w:rPr>
          <w:rFonts w:hint="eastAsia" w:ascii="宋体" w:hAnsi="宋体" w:eastAsia="宋体" w:cs="宋体"/>
          <w:sz w:val="24"/>
          <w:lang w:eastAsia="zh-CN"/>
        </w:rPr>
        <w:t>3)医院指定的项目管理工具；</w:t>
      </w:r>
    </w:p>
    <w:p w14:paraId="3249C3DD">
      <w:pPr>
        <w:adjustRightInd w:val="0"/>
        <w:spacing w:line="360" w:lineRule="auto"/>
        <w:rPr>
          <w:rFonts w:hint="eastAsia" w:ascii="宋体" w:hAnsi="宋体" w:eastAsia="宋体" w:cs="宋体"/>
          <w:sz w:val="24"/>
          <w:lang w:eastAsia="zh-CN"/>
        </w:rPr>
      </w:pPr>
      <w:r>
        <w:rPr>
          <w:rFonts w:hint="eastAsia" w:ascii="宋体" w:hAnsi="宋体" w:eastAsia="宋体" w:cs="宋体"/>
          <w:sz w:val="24"/>
          <w:lang w:eastAsia="zh-CN"/>
        </w:rPr>
        <w:t>4)疫情防控制度；</w:t>
      </w:r>
    </w:p>
    <w:p w14:paraId="52EBD3B2">
      <w:pPr>
        <w:adjustRightInd w:val="0"/>
        <w:spacing w:line="360" w:lineRule="auto"/>
        <w:rPr>
          <w:rFonts w:hint="eastAsia" w:ascii="宋体" w:hAnsi="宋体" w:eastAsia="宋体" w:cs="宋体"/>
          <w:sz w:val="24"/>
          <w:lang w:eastAsia="zh-CN"/>
        </w:rPr>
      </w:pPr>
      <w:r>
        <w:rPr>
          <w:rFonts w:hint="eastAsia" w:ascii="宋体" w:hAnsi="宋体" w:eastAsia="宋体" w:cs="宋体"/>
          <w:sz w:val="24"/>
          <w:lang w:eastAsia="zh-CN"/>
        </w:rPr>
        <w:t>5)信息安全数据安全制度；</w:t>
      </w:r>
    </w:p>
    <w:p w14:paraId="4243F8A6">
      <w:pPr>
        <w:adjustRightInd w:val="0"/>
        <w:spacing w:line="360" w:lineRule="auto"/>
        <w:rPr>
          <w:rFonts w:hint="eastAsia" w:ascii="宋体" w:hAnsi="宋体" w:eastAsia="宋体" w:cs="宋体"/>
          <w:b/>
          <w:bCs/>
          <w:sz w:val="24"/>
          <w:szCs w:val="24"/>
          <w:lang w:eastAsia="zh-CN"/>
        </w:rPr>
      </w:pPr>
      <w:r>
        <w:rPr>
          <w:rFonts w:hint="eastAsia" w:ascii="宋体" w:hAnsi="宋体" w:eastAsia="宋体" w:cs="宋体"/>
          <w:sz w:val="24"/>
          <w:lang w:eastAsia="zh-CN"/>
        </w:rPr>
        <w:t>6)办公消防安全等制度。</w:t>
      </w:r>
    </w:p>
    <w:p w14:paraId="3F6C74A6">
      <w:pPr>
        <w:widowControl/>
        <w:spacing w:line="486" w:lineRule="exact"/>
        <w:ind w:firstLine="241" w:firstLineChars="100"/>
        <w:contextualSpacing/>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6216D2CE">
      <w:pPr>
        <w:tabs>
          <w:tab w:val="left" w:pos="900"/>
        </w:tabs>
        <w:autoSpaceDE/>
        <w:autoSpaceDN/>
        <w:spacing w:line="486" w:lineRule="exact"/>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0E883FDD">
      <w:pPr>
        <w:spacing w:line="486" w:lineRule="exact"/>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详见 需满足的质量、安全、技术规格、物理特性等要求。</w:t>
      </w:r>
    </w:p>
    <w:p w14:paraId="6751201A">
      <w:pPr>
        <w:tabs>
          <w:tab w:val="left" w:pos="900"/>
        </w:tabs>
        <w:autoSpaceDE/>
        <w:autoSpaceDN/>
        <w:spacing w:line="486" w:lineRule="exact"/>
        <w:ind w:firstLine="220" w:firstLineChars="100"/>
        <w:rPr>
          <w:rFonts w:hint="eastAsia" w:ascii="宋体" w:hAnsi="宋体" w:eastAsia="宋体" w:cs="宋体"/>
          <w:sz w:val="24"/>
          <w:szCs w:val="24"/>
          <w:lang w:eastAsia="zh-CN"/>
        </w:rPr>
      </w:pPr>
      <w:r>
        <w:rPr>
          <w:rFonts w:hint="eastAsia" w:ascii="宋体" w:hAnsi="宋体" w:eastAsia="宋体" w:cs="宋体"/>
          <w:szCs w:val="24"/>
          <w:lang w:eastAsia="zh-CN"/>
        </w:rPr>
        <w:t>（</w:t>
      </w:r>
      <w:r>
        <w:rPr>
          <w:rFonts w:hint="eastAsia" w:ascii="宋体" w:hAnsi="宋体" w:eastAsia="宋体" w:cs="宋体"/>
          <w:sz w:val="24"/>
          <w:szCs w:val="24"/>
          <w:lang w:eastAsia="zh-CN"/>
        </w:rPr>
        <w:t>2）采购标的需满足的服务期限要求</w:t>
      </w:r>
    </w:p>
    <w:p w14:paraId="1813149A">
      <w:pPr>
        <w:tabs>
          <w:tab w:val="left" w:pos="90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详见“采购标的需求一览表”</w:t>
      </w:r>
    </w:p>
    <w:p w14:paraId="118F8E5F">
      <w:pPr>
        <w:tabs>
          <w:tab w:val="left" w:pos="900"/>
        </w:tabs>
        <w:spacing w:line="360" w:lineRule="auto"/>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368C8BC3">
      <w:pPr>
        <w:tabs>
          <w:tab w:val="left" w:pos="900"/>
        </w:tabs>
        <w:spacing w:line="486"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7F594E02">
      <w:pPr>
        <w:tabs>
          <w:tab w:val="left" w:pos="900"/>
        </w:tabs>
        <w:spacing w:line="486"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6C469E43">
      <w:pPr>
        <w:tabs>
          <w:tab w:val="left" w:pos="900"/>
        </w:tabs>
        <w:spacing w:line="486"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964D9B">
      <w:pPr>
        <w:autoSpaceDE/>
        <w:autoSpaceDN/>
        <w:spacing w:line="486"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231AC78C">
      <w:pPr>
        <w:tabs>
          <w:tab w:val="left" w:pos="900"/>
        </w:tabs>
        <w:autoSpaceDE/>
        <w:autoSpaceDN/>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（5）实施本国产品标准及相关政策：依据《</w:t>
      </w:r>
      <w:r>
        <w:rPr>
          <w:rFonts w:hint="eastAsia" w:ascii="宋体" w:hAnsi="宋体" w:eastAsia="宋体" w:cs="宋体"/>
          <w:sz w:val="24"/>
          <w:szCs w:val="24"/>
          <w:shd w:val="clear" w:color="auto" w:fill="FFFFFF"/>
          <w:lang w:eastAsia="zh-CN"/>
        </w:rPr>
        <w:t>国务院办公厅关于在政府采购中实施本国产品标准及相关政策的通知</w:t>
      </w:r>
      <w:r>
        <w:rPr>
          <w:rFonts w:hint="eastAsia" w:ascii="宋体" w:hAnsi="宋体" w:eastAsia="宋体" w:cs="宋体"/>
          <w:sz w:val="24"/>
          <w:szCs w:val="24"/>
          <w:lang w:eastAsia="zh-CN"/>
        </w:rPr>
        <w:t>》（国办发〔2025〕34号）规定，本项目供应商所投产品</w:t>
      </w:r>
      <w:r>
        <w:rPr>
          <w:rFonts w:hint="eastAsia" w:ascii="宋体" w:hAnsi="宋体" w:eastAsia="宋体" w:cs="宋体"/>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sz w:val="24"/>
          <w:szCs w:val="24"/>
          <w:lang w:eastAsia="zh-CN"/>
        </w:rPr>
        <w:t>，</w:t>
      </w:r>
      <w:r>
        <w:rPr>
          <w:rFonts w:hint="eastAsia" w:ascii="宋体" w:hAnsi="宋体" w:eastAsia="宋体" w:cs="宋体"/>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w:t>
      </w:r>
      <w:r>
        <w:rPr>
          <w:rFonts w:hint="eastAsia" w:ascii="宋体" w:hAnsi="宋体" w:eastAsia="宋体" w:cs="宋体"/>
          <w:b/>
          <w:bCs/>
          <w:sz w:val="24"/>
          <w:szCs w:val="24"/>
          <w:lang w:eastAsia="zh-CN"/>
        </w:rPr>
        <w:t>供应商应对提交的证明材料真实性负责，</w:t>
      </w:r>
      <w:r>
        <w:rPr>
          <w:rFonts w:hint="eastAsia" w:ascii="宋体" w:hAnsi="宋体" w:eastAsia="宋体" w:cs="宋体"/>
          <w:sz w:val="24"/>
          <w:szCs w:val="24"/>
          <w:lang w:eastAsia="zh-CN"/>
        </w:rPr>
        <w:t>提交证明材料不真实的，应承担相应的法律责任。（本项目不适用）</w:t>
      </w:r>
    </w:p>
    <w:p w14:paraId="7CFA880C">
      <w:pPr>
        <w:autoSpaceDE/>
        <w:autoSpaceDN/>
        <w:spacing w:line="486" w:lineRule="exact"/>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2.4采购标的的其他技术、服务等要求；</w:t>
      </w:r>
    </w:p>
    <w:p w14:paraId="5B3EC07B">
      <w:pPr>
        <w:tabs>
          <w:tab w:val="left" w:pos="900"/>
        </w:tabs>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投标人需按照招标文件要求提供整体服务方案、对本次服务项目的理解、</w:t>
      </w:r>
      <w:r>
        <w:rPr>
          <w:rFonts w:hint="eastAsia" w:ascii="宋体" w:hAnsi="宋体" w:eastAsia="宋体" w:cs="宋体"/>
          <w:sz w:val="24"/>
          <w:szCs w:val="24"/>
          <w:lang w:eastAsia="zh-CN"/>
        </w:rPr>
        <w:t>培训方案及保障措施方案</w:t>
      </w:r>
      <w:r>
        <w:rPr>
          <w:rFonts w:hint="eastAsia" w:ascii="宋体" w:hAnsi="宋体" w:eastAsia="宋体" w:cs="宋体"/>
          <w:bCs/>
          <w:sz w:val="24"/>
          <w:szCs w:val="24"/>
          <w:lang w:eastAsia="zh-CN"/>
        </w:rPr>
        <w:t>、人员配备方案等。</w:t>
      </w:r>
    </w:p>
    <w:p w14:paraId="4DBF3BA0">
      <w:pPr>
        <w:tabs>
          <w:tab w:val="left" w:pos="900"/>
        </w:tabs>
        <w:spacing w:line="360" w:lineRule="auto"/>
        <w:ind w:firstLine="482" w:firstLineChars="200"/>
        <w:rPr>
          <w:rFonts w:hint="eastAsia"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1410A541">
      <w:pPr>
        <w:widowControl w:val="0"/>
        <w:autoSpaceDE w:val="0"/>
        <w:autoSpaceDN w:val="0"/>
        <w:spacing w:before="0" w:line="360" w:lineRule="auto"/>
        <w:ind w:left="0" w:firstLine="476"/>
        <w:rPr>
          <w:rFonts w:hint="eastAsia" w:ascii="宋体" w:hAnsi="宋体" w:eastAsia="宋体" w:cs="宋体"/>
          <w:sz w:val="24"/>
          <w:szCs w:val="22"/>
          <w:lang w:val="en-US" w:eastAsia="zh-CN" w:bidi="ar-SA"/>
        </w:rPr>
      </w:pPr>
      <w:bookmarkStart w:id="5" w:name="_Toc181860788"/>
      <w:bookmarkStart w:id="6" w:name="_Toc15601"/>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1</w:t>
      </w:r>
      <w:r>
        <w:rPr>
          <w:rFonts w:hint="eastAsia" w:ascii="宋体" w:hAnsi="宋体" w:eastAsia="宋体" w:cs="宋体"/>
          <w:sz w:val="24"/>
          <w:szCs w:val="22"/>
          <w:lang w:val="en-US" w:eastAsia="zh-CN" w:bidi="ar-SA"/>
        </w:rPr>
        <w:t>符合采购人服务范围要求。</w:t>
      </w:r>
      <w:bookmarkEnd w:id="5"/>
      <w:bookmarkEnd w:id="6"/>
    </w:p>
    <w:p w14:paraId="2D46D163">
      <w:pPr>
        <w:widowControl w:val="0"/>
        <w:autoSpaceDE w:val="0"/>
        <w:autoSpaceDN w:val="0"/>
        <w:spacing w:before="0" w:line="360" w:lineRule="auto"/>
        <w:ind w:left="0" w:firstLine="476"/>
        <w:rPr>
          <w:rFonts w:hint="eastAsia" w:ascii="宋体" w:hAnsi="宋体" w:eastAsia="宋体" w:cs="宋体"/>
          <w:sz w:val="24"/>
          <w:szCs w:val="22"/>
          <w:lang w:val="en-US" w:eastAsia="zh-CN" w:bidi="ar-SA"/>
        </w:rPr>
      </w:pPr>
      <w:bookmarkStart w:id="7" w:name="_Toc26326"/>
      <w:bookmarkStart w:id="8" w:name="_Toc181860789"/>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2</w:t>
      </w:r>
      <w:r>
        <w:rPr>
          <w:rFonts w:hint="eastAsia" w:ascii="宋体" w:hAnsi="宋体" w:eastAsia="宋体" w:cs="宋体"/>
          <w:sz w:val="24"/>
          <w:szCs w:val="22"/>
          <w:lang w:val="en-US" w:eastAsia="zh-CN" w:bidi="ar-SA"/>
        </w:rPr>
        <w:t>供应商配置的硬件设备（如涉及）符合采购人要求。</w:t>
      </w:r>
      <w:bookmarkEnd w:id="7"/>
      <w:bookmarkEnd w:id="8"/>
    </w:p>
    <w:p w14:paraId="10F782EB">
      <w:pPr>
        <w:widowControl w:val="0"/>
        <w:autoSpaceDE w:val="0"/>
        <w:autoSpaceDN w:val="0"/>
        <w:spacing w:before="0" w:line="360" w:lineRule="auto"/>
        <w:ind w:left="0" w:firstLine="476"/>
        <w:rPr>
          <w:rFonts w:hint="eastAsia" w:ascii="宋体" w:hAnsi="宋体" w:eastAsia="宋体" w:cs="宋体"/>
          <w:sz w:val="24"/>
          <w:szCs w:val="22"/>
          <w:lang w:val="en-US" w:eastAsia="zh-CN" w:bidi="ar-SA"/>
        </w:rPr>
      </w:pPr>
      <w:bookmarkStart w:id="9" w:name="_Toc181860790"/>
      <w:bookmarkStart w:id="10" w:name="_Toc11917"/>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3</w:t>
      </w:r>
      <w:r>
        <w:rPr>
          <w:rFonts w:hint="eastAsia" w:ascii="宋体" w:hAnsi="宋体" w:eastAsia="宋体" w:cs="宋体"/>
          <w:sz w:val="24"/>
          <w:szCs w:val="22"/>
          <w:lang w:val="en-US" w:eastAsia="zh-CN" w:bidi="ar-SA"/>
        </w:rPr>
        <w:t>完成采购人要求的工作内容。</w:t>
      </w:r>
      <w:bookmarkEnd w:id="9"/>
      <w:bookmarkEnd w:id="10"/>
    </w:p>
    <w:p w14:paraId="3D10AFD3">
      <w:pPr>
        <w:tabs>
          <w:tab w:val="left" w:pos="900"/>
        </w:tabs>
        <w:spacing w:line="360" w:lineRule="auto"/>
        <w:ind w:firstLine="480" w:firstLineChars="200"/>
      </w:pPr>
      <w:bookmarkStart w:id="11" w:name="_Toc181860791"/>
      <w:bookmarkStart w:id="12" w:name="_Toc32098"/>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4</w:t>
      </w:r>
      <w:r>
        <w:rPr>
          <w:rFonts w:hint="eastAsia" w:ascii="宋体" w:hAnsi="宋体" w:eastAsia="宋体" w:cs="宋体"/>
          <w:sz w:val="24"/>
          <w:szCs w:val="22"/>
          <w:lang w:val="en-US" w:eastAsia="zh-CN" w:bidi="ar-SA"/>
        </w:rPr>
        <w:t>达到采购人要求的服务和质量标准</w:t>
      </w:r>
      <w:bookmarkEnd w:id="11"/>
      <w:bookmarkEnd w:id="12"/>
      <w:r>
        <w:rPr>
          <w:rFonts w:hint="eastAsia" w:ascii="宋体" w:hAnsi="宋体" w:eastAsia="宋体" w:cs="宋体"/>
          <w:sz w:val="24"/>
          <w:szCs w:val="22"/>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25D043BC"/>
    <w:rsid w:val="2B187DF1"/>
    <w:rsid w:val="36B80769"/>
    <w:rsid w:val="38444C26"/>
    <w:rsid w:val="3E530FD1"/>
    <w:rsid w:val="57D05FA1"/>
    <w:rsid w:val="692844CB"/>
    <w:rsid w:val="6B7F6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2565</Words>
  <Characters>2989</Characters>
  <Lines>0</Lines>
  <Paragraphs>0</Paragraphs>
  <TotalTime>0</TotalTime>
  <ScaleCrop>false</ScaleCrop>
  <LinksUpToDate>false</LinksUpToDate>
  <CharactersWithSpaces>3029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2026-11-02T08:29:14Z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